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5E38A1" w14:textId="77777777" w:rsidR="00B515D1" w:rsidRDefault="00B515D1" w:rsidP="00EB066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Where’s Coase? </w:t>
      </w:r>
    </w:p>
    <w:p w14:paraId="1728E6B5" w14:textId="45FB3648" w:rsidR="00A012CB" w:rsidRDefault="0034114B" w:rsidP="00EB066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Transaction Costs </w:t>
      </w:r>
      <w:r w:rsidR="00AD1567">
        <w:rPr>
          <w:rFonts w:ascii="Times New Roman" w:hAnsi="Times New Roman" w:cs="Times New Roman"/>
          <w:b/>
          <w:bCs/>
          <w:sz w:val="28"/>
          <w:szCs w:val="28"/>
        </w:rPr>
        <w:t xml:space="preserve">Reduction </w:t>
      </w:r>
      <w:r>
        <w:rPr>
          <w:rFonts w:ascii="Times New Roman" w:hAnsi="Times New Roman" w:cs="Times New Roman"/>
          <w:b/>
          <w:bCs/>
          <w:sz w:val="28"/>
          <w:szCs w:val="28"/>
        </w:rPr>
        <w:t xml:space="preserve">or </w:t>
      </w:r>
      <w:r w:rsidR="00300120">
        <w:rPr>
          <w:rFonts w:ascii="Times New Roman" w:hAnsi="Times New Roman" w:cs="Times New Roman"/>
          <w:b/>
          <w:bCs/>
          <w:sz w:val="28"/>
          <w:szCs w:val="28"/>
        </w:rPr>
        <w:t>Rent-Seeking</w:t>
      </w:r>
      <w:r w:rsidR="0033386F">
        <w:rPr>
          <w:rFonts w:ascii="Times New Roman" w:hAnsi="Times New Roman" w:cs="Times New Roman"/>
          <w:b/>
          <w:bCs/>
          <w:sz w:val="28"/>
          <w:szCs w:val="28"/>
        </w:rPr>
        <w:t xml:space="preserve"> in </w:t>
      </w:r>
      <w:r w:rsidR="00E1672B">
        <w:rPr>
          <w:rFonts w:ascii="Times New Roman" w:hAnsi="Times New Roman" w:cs="Times New Roman"/>
          <w:b/>
          <w:bCs/>
          <w:sz w:val="28"/>
          <w:szCs w:val="28"/>
        </w:rPr>
        <w:t xml:space="preserve">the </w:t>
      </w:r>
    </w:p>
    <w:p w14:paraId="1D9D98E3" w14:textId="6203DEE6" w:rsidR="00C45311" w:rsidRPr="00EB0664" w:rsidRDefault="00A012CB" w:rsidP="00EB066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F</w:t>
      </w:r>
      <w:r w:rsidR="00E1672B">
        <w:rPr>
          <w:rFonts w:ascii="Times New Roman" w:hAnsi="Times New Roman" w:cs="Times New Roman"/>
          <w:b/>
          <w:bCs/>
          <w:sz w:val="28"/>
          <w:szCs w:val="28"/>
        </w:rPr>
        <w:t xml:space="preserve">ormation of </w:t>
      </w:r>
      <w:r w:rsidR="0033386F">
        <w:rPr>
          <w:rFonts w:ascii="Times New Roman" w:hAnsi="Times New Roman" w:cs="Times New Roman"/>
          <w:b/>
          <w:bCs/>
          <w:sz w:val="28"/>
          <w:szCs w:val="28"/>
        </w:rPr>
        <w:t>Institution</w:t>
      </w:r>
      <w:r w:rsidR="00E1672B">
        <w:rPr>
          <w:rFonts w:ascii="Times New Roman" w:hAnsi="Times New Roman" w:cs="Times New Roman"/>
          <w:b/>
          <w:bCs/>
          <w:sz w:val="28"/>
          <w:szCs w:val="28"/>
        </w:rPr>
        <w:t>s</w:t>
      </w:r>
      <w:r w:rsidR="00EE7E7A">
        <w:rPr>
          <w:rStyle w:val="FootnoteReference"/>
          <w:rFonts w:ascii="Times New Roman" w:hAnsi="Times New Roman" w:cs="Times New Roman"/>
          <w:b/>
          <w:bCs/>
          <w:sz w:val="28"/>
          <w:szCs w:val="28"/>
        </w:rPr>
        <w:footnoteReference w:id="1"/>
      </w:r>
    </w:p>
    <w:p w14:paraId="0657ADFF" w14:textId="77777777" w:rsidR="00C7502B" w:rsidRDefault="00C7502B" w:rsidP="00EB0664">
      <w:pPr>
        <w:spacing w:after="0" w:line="240" w:lineRule="auto"/>
        <w:jc w:val="center"/>
        <w:rPr>
          <w:rFonts w:ascii="Times New Roman" w:hAnsi="Times New Roman" w:cs="Times New Roman"/>
          <w:sz w:val="24"/>
          <w:szCs w:val="24"/>
        </w:rPr>
      </w:pPr>
    </w:p>
    <w:p w14:paraId="18671270" w14:textId="04D8A5A7" w:rsidR="00EB0664" w:rsidRDefault="00EB0664" w:rsidP="00EB0664">
      <w:pPr>
        <w:spacing w:after="0" w:line="240" w:lineRule="auto"/>
        <w:jc w:val="center"/>
        <w:rPr>
          <w:rFonts w:ascii="Times New Roman" w:hAnsi="Times New Roman" w:cs="Times New Roman"/>
          <w:sz w:val="24"/>
          <w:szCs w:val="24"/>
        </w:rPr>
      </w:pPr>
      <w:r w:rsidRPr="00076C9D">
        <w:rPr>
          <w:rFonts w:ascii="Times New Roman" w:hAnsi="Times New Roman" w:cs="Times New Roman"/>
          <w:sz w:val="24"/>
          <w:szCs w:val="24"/>
        </w:rPr>
        <w:t>Gary D. Libecap</w:t>
      </w:r>
    </w:p>
    <w:p w14:paraId="70CA2697" w14:textId="77777777" w:rsidR="00B62D89" w:rsidRDefault="00B62D89" w:rsidP="00EB0664">
      <w:pPr>
        <w:spacing w:after="0" w:line="240" w:lineRule="auto"/>
        <w:jc w:val="center"/>
        <w:rPr>
          <w:rFonts w:ascii="Times New Roman" w:hAnsi="Times New Roman" w:cs="Times New Roman"/>
          <w:sz w:val="24"/>
          <w:szCs w:val="24"/>
        </w:rPr>
      </w:pPr>
    </w:p>
    <w:p w14:paraId="68404007" w14:textId="7780DEE4" w:rsidR="00C14058" w:rsidRPr="00B55FB4" w:rsidRDefault="00C14058" w:rsidP="0029357E">
      <w:pPr>
        <w:spacing w:after="0" w:line="240" w:lineRule="auto"/>
        <w:jc w:val="both"/>
        <w:rPr>
          <w:rFonts w:ascii="Times New Roman" w:hAnsi="Times New Roman" w:cs="Times New Roman"/>
          <w:sz w:val="24"/>
          <w:szCs w:val="24"/>
        </w:rPr>
      </w:pPr>
      <w:r w:rsidRPr="00C14058">
        <w:rPr>
          <w:rFonts w:ascii="Times New Roman" w:hAnsi="Times New Roman" w:cs="Times New Roman"/>
          <w:i/>
          <w:iCs/>
          <w:sz w:val="24"/>
          <w:szCs w:val="24"/>
        </w:rPr>
        <w:t>“…governance is the means by which to infuse order, thereby to</w:t>
      </w:r>
      <w:r w:rsidR="00F50574">
        <w:rPr>
          <w:rFonts w:ascii="Times New Roman" w:hAnsi="Times New Roman" w:cs="Times New Roman"/>
          <w:i/>
          <w:iCs/>
          <w:sz w:val="24"/>
          <w:szCs w:val="24"/>
        </w:rPr>
        <w:t xml:space="preserve"> </w:t>
      </w:r>
      <w:r w:rsidRPr="00C14058">
        <w:rPr>
          <w:rFonts w:ascii="Times New Roman" w:hAnsi="Times New Roman" w:cs="Times New Roman"/>
          <w:i/>
          <w:iCs/>
          <w:sz w:val="24"/>
          <w:szCs w:val="24"/>
        </w:rPr>
        <w:t>mitigate conflict and realize mutual gain. Furthermore, the transaction is made the basic unit of analysis</w:t>
      </w:r>
      <w:r>
        <w:rPr>
          <w:rFonts w:ascii="Times New Roman" w:hAnsi="Times New Roman" w:cs="Times New Roman"/>
          <w:i/>
          <w:iCs/>
          <w:sz w:val="24"/>
          <w:szCs w:val="24"/>
        </w:rPr>
        <w:t>…</w:t>
      </w:r>
      <w:r w:rsidRPr="00C14058">
        <w:rPr>
          <w:rFonts w:ascii="Times New Roman" w:hAnsi="Times New Roman" w:cs="Times New Roman"/>
          <w:i/>
          <w:iCs/>
          <w:sz w:val="24"/>
          <w:szCs w:val="24"/>
        </w:rPr>
        <w:t xml:space="preserve"> Transaction cost economics appeals to the efficient alignment hypothesis to predict which transactions go where—to wit, transactions, which differ in their attributes, are aligned with governance structures, which differ in their cost and competences, so as to effect a (mainly) transaction cost economizing outcome.”</w:t>
      </w:r>
      <w:r w:rsidRPr="00B55FB4">
        <w:rPr>
          <w:rFonts w:ascii="Times New Roman" w:hAnsi="Times New Roman" w:cs="Times New Roman"/>
          <w:sz w:val="24"/>
          <w:szCs w:val="24"/>
        </w:rPr>
        <w:t xml:space="preserve"> O. E. Williamson (2010) Transaction Cost Economics: The Natural Progression, </w:t>
      </w:r>
      <w:r w:rsidRPr="00B55FB4">
        <w:rPr>
          <w:rFonts w:ascii="Times New Roman" w:hAnsi="Times New Roman" w:cs="Times New Roman"/>
          <w:i/>
          <w:iCs/>
          <w:sz w:val="24"/>
          <w:szCs w:val="24"/>
        </w:rPr>
        <w:t>American Economic Review</w:t>
      </w:r>
      <w:r w:rsidRPr="00B55FB4">
        <w:rPr>
          <w:rFonts w:ascii="Times New Roman" w:hAnsi="Times New Roman" w:cs="Times New Roman"/>
          <w:sz w:val="24"/>
          <w:szCs w:val="24"/>
        </w:rPr>
        <w:t xml:space="preserve"> 100 (June</w:t>
      </w:r>
      <w:r>
        <w:rPr>
          <w:rFonts w:ascii="Times New Roman" w:hAnsi="Times New Roman" w:cs="Times New Roman"/>
          <w:sz w:val="24"/>
          <w:szCs w:val="24"/>
        </w:rPr>
        <w:t>)</w:t>
      </w:r>
      <w:r w:rsidRPr="00B55FB4">
        <w:rPr>
          <w:rFonts w:ascii="Times New Roman" w:hAnsi="Times New Roman" w:cs="Times New Roman"/>
          <w:sz w:val="24"/>
          <w:szCs w:val="24"/>
        </w:rPr>
        <w:t>: 673–690</w:t>
      </w:r>
      <w:r>
        <w:rPr>
          <w:rFonts w:ascii="Times New Roman" w:hAnsi="Times New Roman" w:cs="Times New Roman"/>
          <w:sz w:val="24"/>
          <w:szCs w:val="24"/>
        </w:rPr>
        <w:t xml:space="preserve">, </w:t>
      </w:r>
      <w:r w:rsidRPr="00B55FB4">
        <w:rPr>
          <w:rFonts w:ascii="Times New Roman" w:hAnsi="Times New Roman" w:cs="Times New Roman"/>
          <w:sz w:val="24"/>
          <w:szCs w:val="24"/>
        </w:rPr>
        <w:t>673</w:t>
      </w:r>
      <w:r>
        <w:rPr>
          <w:rFonts w:ascii="Times New Roman" w:hAnsi="Times New Roman" w:cs="Times New Roman"/>
          <w:sz w:val="24"/>
          <w:szCs w:val="24"/>
        </w:rPr>
        <w:t>, 681</w:t>
      </w:r>
      <w:r w:rsidRPr="00B55FB4">
        <w:rPr>
          <w:rFonts w:ascii="Times New Roman" w:hAnsi="Times New Roman" w:cs="Times New Roman"/>
          <w:sz w:val="24"/>
          <w:szCs w:val="24"/>
        </w:rPr>
        <w:t>.</w:t>
      </w:r>
    </w:p>
    <w:p w14:paraId="03E54748" w14:textId="77777777" w:rsidR="00C14058" w:rsidRPr="00A66711" w:rsidRDefault="00C14058" w:rsidP="00C14058">
      <w:pPr>
        <w:rPr>
          <w:rFonts w:ascii="Times New Roman" w:hAnsi="Times New Roman" w:cs="Times New Roman"/>
          <w:sz w:val="24"/>
          <w:szCs w:val="24"/>
        </w:rPr>
      </w:pPr>
    </w:p>
    <w:p w14:paraId="19A14762" w14:textId="69CB2292" w:rsidR="00C14058" w:rsidRDefault="00C14058" w:rsidP="0029357E">
      <w:pPr>
        <w:spacing w:after="0" w:line="240" w:lineRule="auto"/>
        <w:jc w:val="both"/>
        <w:rPr>
          <w:rFonts w:ascii="Times New Roman" w:hAnsi="Times New Roman" w:cs="Times New Roman"/>
          <w:sz w:val="24"/>
          <w:szCs w:val="24"/>
        </w:rPr>
      </w:pPr>
      <w:r w:rsidRPr="00210F9B">
        <w:rPr>
          <w:rFonts w:ascii="Times New Roman" w:hAnsi="Times New Roman" w:cs="Times New Roman"/>
          <w:i/>
          <w:iCs/>
          <w:sz w:val="24"/>
          <w:szCs w:val="24"/>
        </w:rPr>
        <w:t>“It would clearly be desirable if the only actions performed were those in which what was gained was worth more than what was lost. But in choosing between social arrangements within the context of which individual decisions are made, we have to bear in mind that a change in the existing system which will lead to an improvement in some decisions may well lead to a worsening of others. Furthermore</w:t>
      </w:r>
      <w:r>
        <w:rPr>
          <w:rFonts w:ascii="Times New Roman" w:hAnsi="Times New Roman" w:cs="Times New Roman"/>
          <w:i/>
          <w:iCs/>
          <w:sz w:val="24"/>
          <w:szCs w:val="24"/>
        </w:rPr>
        <w:t>,</w:t>
      </w:r>
      <w:r w:rsidRPr="00210F9B">
        <w:rPr>
          <w:rFonts w:ascii="Times New Roman" w:hAnsi="Times New Roman" w:cs="Times New Roman"/>
          <w:i/>
          <w:iCs/>
          <w:sz w:val="24"/>
          <w:szCs w:val="24"/>
        </w:rPr>
        <w:t xml:space="preserve"> we have to take into account the costs involved in operating the various social arrangements (whether it be the working of a market or of a government department), as well as the costs involved in moving to a new system. In devising and choosing between social arrangements we should have regard for the total effect.  This, above all, is the change in approach which I am advocating.”</w:t>
      </w:r>
      <w:r>
        <w:rPr>
          <w:rFonts w:ascii="Times New Roman" w:hAnsi="Times New Roman" w:cs="Times New Roman"/>
          <w:sz w:val="24"/>
          <w:szCs w:val="24"/>
        </w:rPr>
        <w:t xml:space="preserve"> Ronald H. Coase (1960, 44) </w:t>
      </w:r>
      <w:r w:rsidRPr="0029357E">
        <w:rPr>
          <w:rFonts w:ascii="Times New Roman" w:hAnsi="Times New Roman" w:cs="Times New Roman"/>
          <w:sz w:val="24"/>
          <w:szCs w:val="24"/>
        </w:rPr>
        <w:t>The Problem of Social Cost</w:t>
      </w:r>
      <w:r w:rsidR="0029357E">
        <w:rPr>
          <w:rFonts w:ascii="Times New Roman" w:hAnsi="Times New Roman" w:cs="Times New Roman"/>
          <w:sz w:val="24"/>
          <w:szCs w:val="24"/>
        </w:rPr>
        <w:t xml:space="preserve">, </w:t>
      </w:r>
      <w:r w:rsidR="0029357E">
        <w:rPr>
          <w:rFonts w:ascii="Times New Roman" w:hAnsi="Times New Roman" w:cs="Times New Roman"/>
          <w:i/>
          <w:iCs/>
          <w:sz w:val="24"/>
          <w:szCs w:val="24"/>
        </w:rPr>
        <w:t>Journal of Law and Economics</w:t>
      </w:r>
      <w:r w:rsidR="0029357E">
        <w:rPr>
          <w:rFonts w:ascii="Times New Roman" w:hAnsi="Times New Roman" w:cs="Times New Roman"/>
          <w:sz w:val="24"/>
          <w:szCs w:val="24"/>
        </w:rPr>
        <w:t xml:space="preserve"> 3 (October): 1-44, 44.</w:t>
      </w:r>
    </w:p>
    <w:p w14:paraId="622EDC2E" w14:textId="77777777" w:rsidR="00164D52" w:rsidRDefault="00164D52" w:rsidP="0029357E">
      <w:pPr>
        <w:spacing w:after="0" w:line="240" w:lineRule="auto"/>
        <w:jc w:val="both"/>
        <w:rPr>
          <w:rFonts w:ascii="Times New Roman" w:hAnsi="Times New Roman" w:cs="Times New Roman"/>
          <w:sz w:val="24"/>
          <w:szCs w:val="24"/>
        </w:rPr>
      </w:pPr>
    </w:p>
    <w:p w14:paraId="36256D73" w14:textId="71BFB123" w:rsidR="00164D52" w:rsidRPr="0029357E" w:rsidRDefault="00164D52" w:rsidP="0029357E">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5564632" wp14:editId="1590DECA">
            <wp:extent cx="5944235" cy="969645"/>
            <wp:effectExtent l="0" t="0" r="0" b="1905"/>
            <wp:docPr id="2117139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4235" cy="969645"/>
                    </a:xfrm>
                    <a:prstGeom prst="rect">
                      <a:avLst/>
                    </a:prstGeom>
                    <a:noFill/>
                  </pic:spPr>
                </pic:pic>
              </a:graphicData>
            </a:graphic>
          </wp:inline>
        </w:drawing>
      </w:r>
    </w:p>
    <w:p w14:paraId="28358562" w14:textId="77777777" w:rsidR="00B17474" w:rsidRDefault="00B17474" w:rsidP="00C14058">
      <w:pPr>
        <w:spacing w:after="0" w:line="240" w:lineRule="auto"/>
        <w:jc w:val="both"/>
        <w:rPr>
          <w:rFonts w:ascii="Times New Roman" w:hAnsi="Times New Roman" w:cs="Times New Roman"/>
          <w:sz w:val="24"/>
          <w:szCs w:val="24"/>
        </w:rPr>
      </w:pPr>
    </w:p>
    <w:p w14:paraId="5A579679" w14:textId="77777777" w:rsidR="00B17474" w:rsidRDefault="00B17474" w:rsidP="00C14058">
      <w:pPr>
        <w:spacing w:after="0" w:line="240" w:lineRule="auto"/>
        <w:jc w:val="both"/>
        <w:rPr>
          <w:rFonts w:ascii="Times New Roman" w:hAnsi="Times New Roman" w:cs="Times New Roman"/>
          <w:sz w:val="24"/>
          <w:szCs w:val="24"/>
        </w:rPr>
      </w:pPr>
    </w:p>
    <w:p w14:paraId="11C9B1EE" w14:textId="77777777" w:rsidR="00B17474" w:rsidRPr="00E1642F" w:rsidRDefault="00B17474" w:rsidP="00C14058">
      <w:pPr>
        <w:spacing w:after="0" w:line="240" w:lineRule="auto"/>
        <w:jc w:val="both"/>
        <w:rPr>
          <w:rFonts w:ascii="Times New Roman" w:hAnsi="Times New Roman" w:cs="Times New Roman"/>
          <w:sz w:val="24"/>
          <w:szCs w:val="24"/>
        </w:rPr>
      </w:pPr>
    </w:p>
    <w:p w14:paraId="24662C96" w14:textId="77777777" w:rsidR="00C14058" w:rsidRDefault="00C14058" w:rsidP="001F108D">
      <w:pPr>
        <w:spacing w:after="0" w:line="240" w:lineRule="auto"/>
      </w:pPr>
    </w:p>
    <w:p w14:paraId="4B319788" w14:textId="74B4AE26" w:rsidR="002E0421" w:rsidRDefault="008D08F4" w:rsidP="005351C4">
      <w:pPr>
        <w:jc w:val="center"/>
        <w:rPr>
          <w:rFonts w:ascii="Times New Roman" w:hAnsi="Times New Roman" w:cs="Times New Roman"/>
          <w:b/>
          <w:bCs/>
          <w:sz w:val="24"/>
          <w:szCs w:val="24"/>
        </w:rPr>
      </w:pPr>
      <w:r>
        <w:br w:type="page"/>
      </w:r>
      <w:r w:rsidR="005351C4" w:rsidRPr="005351C4">
        <w:rPr>
          <w:rFonts w:ascii="Times New Roman" w:hAnsi="Times New Roman" w:cs="Times New Roman"/>
          <w:b/>
          <w:bCs/>
          <w:sz w:val="24"/>
          <w:szCs w:val="24"/>
        </w:rPr>
        <w:lastRenderedPageBreak/>
        <w:t>A</w:t>
      </w:r>
      <w:r w:rsidR="002E0421">
        <w:rPr>
          <w:rFonts w:ascii="Times New Roman" w:hAnsi="Times New Roman" w:cs="Times New Roman"/>
          <w:b/>
          <w:bCs/>
          <w:sz w:val="24"/>
          <w:szCs w:val="24"/>
        </w:rPr>
        <w:t>BSTRACT</w:t>
      </w:r>
    </w:p>
    <w:p w14:paraId="7524DA2B" w14:textId="656D5F44" w:rsidR="00970424" w:rsidRDefault="002E0421" w:rsidP="00970424">
      <w:pPr>
        <w:jc w:val="both"/>
        <w:rPr>
          <w:rFonts w:ascii="Times New Roman" w:hAnsi="Times New Roman" w:cs="Times New Roman"/>
          <w:sz w:val="24"/>
          <w:szCs w:val="24"/>
        </w:rPr>
      </w:pPr>
      <w:r w:rsidRPr="00F66065">
        <w:rPr>
          <w:rFonts w:ascii="Times New Roman" w:hAnsi="Times New Roman" w:cs="Times New Roman"/>
          <w:sz w:val="24"/>
          <w:szCs w:val="24"/>
        </w:rPr>
        <w:t xml:space="preserve">The </w:t>
      </w:r>
      <w:r w:rsidR="00E21A62" w:rsidRPr="00F66065">
        <w:rPr>
          <w:rFonts w:ascii="Times New Roman" w:hAnsi="Times New Roman" w:cs="Times New Roman"/>
          <w:sz w:val="24"/>
          <w:szCs w:val="24"/>
        </w:rPr>
        <w:t xml:space="preserve">transaction cost </w:t>
      </w:r>
      <w:r w:rsidRPr="00F66065">
        <w:rPr>
          <w:rFonts w:ascii="Times New Roman" w:hAnsi="Times New Roman" w:cs="Times New Roman"/>
          <w:sz w:val="24"/>
          <w:szCs w:val="24"/>
        </w:rPr>
        <w:t xml:space="preserve">insights of Oliver Williamson (1975, 1985, 1996, 2010) and </w:t>
      </w:r>
      <w:r w:rsidR="00A717FC" w:rsidRPr="00F66065">
        <w:rPr>
          <w:rFonts w:ascii="Times New Roman" w:hAnsi="Times New Roman" w:cs="Times New Roman"/>
          <w:sz w:val="24"/>
          <w:szCs w:val="24"/>
        </w:rPr>
        <w:t xml:space="preserve">Ronald </w:t>
      </w:r>
      <w:r w:rsidRPr="00F66065">
        <w:rPr>
          <w:rFonts w:ascii="Times New Roman" w:hAnsi="Times New Roman" w:cs="Times New Roman"/>
          <w:sz w:val="24"/>
          <w:szCs w:val="24"/>
        </w:rPr>
        <w:t>Coase (1937</w:t>
      </w:r>
      <w:r w:rsidR="00233859" w:rsidRPr="00F66065">
        <w:rPr>
          <w:rFonts w:ascii="Times New Roman" w:hAnsi="Times New Roman" w:cs="Times New Roman"/>
          <w:sz w:val="24"/>
          <w:szCs w:val="24"/>
        </w:rPr>
        <w:t xml:space="preserve">, </w:t>
      </w:r>
      <w:r w:rsidR="00205BCE" w:rsidRPr="00F66065">
        <w:rPr>
          <w:rFonts w:ascii="Times New Roman" w:hAnsi="Times New Roman" w:cs="Times New Roman"/>
          <w:sz w:val="24"/>
          <w:szCs w:val="24"/>
        </w:rPr>
        <w:t xml:space="preserve">1960, </w:t>
      </w:r>
      <w:r w:rsidR="00233859" w:rsidRPr="00F66065">
        <w:rPr>
          <w:rFonts w:ascii="Times New Roman" w:hAnsi="Times New Roman" w:cs="Times New Roman"/>
          <w:sz w:val="24"/>
          <w:szCs w:val="24"/>
        </w:rPr>
        <w:t>1992</w:t>
      </w:r>
      <w:r w:rsidRPr="00F66065">
        <w:rPr>
          <w:rFonts w:ascii="Times New Roman" w:hAnsi="Times New Roman" w:cs="Times New Roman"/>
          <w:sz w:val="24"/>
          <w:szCs w:val="24"/>
        </w:rPr>
        <w:t xml:space="preserve">) </w:t>
      </w:r>
      <w:r w:rsidR="00E62FA9" w:rsidRPr="00F66065">
        <w:rPr>
          <w:rFonts w:ascii="Times New Roman" w:hAnsi="Times New Roman" w:cs="Times New Roman"/>
          <w:sz w:val="24"/>
          <w:szCs w:val="24"/>
        </w:rPr>
        <w:t xml:space="preserve">led to an outpouring of research on property rights, </w:t>
      </w:r>
      <w:r w:rsidR="007C629F" w:rsidRPr="00F66065">
        <w:rPr>
          <w:rFonts w:ascii="Times New Roman" w:hAnsi="Times New Roman" w:cs="Times New Roman"/>
          <w:sz w:val="24"/>
          <w:szCs w:val="24"/>
        </w:rPr>
        <w:t>organization</w:t>
      </w:r>
      <w:r w:rsidR="00E62FA9" w:rsidRPr="00F66065">
        <w:rPr>
          <w:rFonts w:ascii="Times New Roman" w:hAnsi="Times New Roman" w:cs="Times New Roman"/>
          <w:sz w:val="24"/>
          <w:szCs w:val="24"/>
        </w:rPr>
        <w:t xml:space="preserve">, market institutions, and economic </w:t>
      </w:r>
      <w:r w:rsidR="00970424">
        <w:rPr>
          <w:rFonts w:ascii="Times New Roman" w:hAnsi="Times New Roman" w:cs="Times New Roman"/>
          <w:sz w:val="24"/>
          <w:szCs w:val="24"/>
        </w:rPr>
        <w:t>outcomes</w:t>
      </w:r>
      <w:r w:rsidR="00E62FA9" w:rsidRPr="00F66065">
        <w:rPr>
          <w:rFonts w:ascii="Times New Roman" w:hAnsi="Times New Roman" w:cs="Times New Roman"/>
          <w:sz w:val="24"/>
          <w:szCs w:val="24"/>
        </w:rPr>
        <w:t xml:space="preserve">. </w:t>
      </w:r>
      <w:r w:rsidR="00A65933" w:rsidRPr="00F66065">
        <w:rPr>
          <w:rFonts w:ascii="Times New Roman" w:hAnsi="Times New Roman" w:cs="Times New Roman"/>
          <w:sz w:val="24"/>
          <w:szCs w:val="24"/>
        </w:rPr>
        <w:t>Efforts to economize on t</w:t>
      </w:r>
      <w:r w:rsidR="006225F3" w:rsidRPr="00F66065">
        <w:rPr>
          <w:rFonts w:ascii="Times New Roman" w:eastAsia="Times New Roman" w:hAnsi="Times New Roman" w:cs="Times New Roman"/>
          <w:color w:val="222222"/>
          <w:kern w:val="0"/>
          <w:sz w:val="24"/>
          <w:szCs w:val="24"/>
          <w14:ligatures w14:val="none"/>
        </w:rPr>
        <w:t>ransaction cost</w:t>
      </w:r>
      <w:r w:rsidR="007C629F" w:rsidRPr="00F66065">
        <w:rPr>
          <w:rFonts w:ascii="Times New Roman" w:eastAsia="Times New Roman" w:hAnsi="Times New Roman" w:cs="Times New Roman"/>
          <w:color w:val="222222"/>
          <w:kern w:val="0"/>
          <w:sz w:val="24"/>
          <w:szCs w:val="24"/>
          <w14:ligatures w14:val="none"/>
        </w:rPr>
        <w:t xml:space="preserve"> led to efficient </w:t>
      </w:r>
      <w:r w:rsidR="006225F3" w:rsidRPr="00F66065">
        <w:rPr>
          <w:rFonts w:ascii="Times New Roman" w:eastAsia="Times New Roman" w:hAnsi="Times New Roman" w:cs="Times New Roman"/>
          <w:color w:val="222222"/>
          <w:kern w:val="0"/>
          <w:sz w:val="24"/>
          <w:szCs w:val="24"/>
          <w14:ligatures w14:val="none"/>
        </w:rPr>
        <w:t>adaptation</w:t>
      </w:r>
      <w:r w:rsidR="00A65933" w:rsidRPr="00F66065">
        <w:rPr>
          <w:rFonts w:ascii="Times New Roman" w:eastAsia="Times New Roman" w:hAnsi="Times New Roman" w:cs="Times New Roman"/>
          <w:color w:val="222222"/>
          <w:kern w:val="0"/>
          <w:sz w:val="24"/>
          <w:szCs w:val="24"/>
          <w14:ligatures w14:val="none"/>
        </w:rPr>
        <w:t xml:space="preserve"> in </w:t>
      </w:r>
      <w:r w:rsidR="007C629F" w:rsidRPr="00F66065">
        <w:rPr>
          <w:rFonts w:ascii="Times New Roman" w:eastAsia="Times New Roman" w:hAnsi="Times New Roman" w:cs="Times New Roman"/>
          <w:color w:val="222222"/>
          <w:kern w:val="0"/>
          <w:sz w:val="24"/>
          <w:szCs w:val="24"/>
          <w14:ligatures w14:val="none"/>
        </w:rPr>
        <w:t xml:space="preserve">firm structure, contracts, </w:t>
      </w:r>
      <w:r w:rsidR="00A65933" w:rsidRPr="00F66065">
        <w:rPr>
          <w:rFonts w:ascii="Times New Roman" w:eastAsia="Times New Roman" w:hAnsi="Times New Roman" w:cs="Times New Roman"/>
          <w:color w:val="222222"/>
          <w:kern w:val="0"/>
          <w:sz w:val="24"/>
          <w:szCs w:val="24"/>
          <w14:ligatures w14:val="none"/>
        </w:rPr>
        <w:t>investment, and production</w:t>
      </w:r>
      <w:r w:rsidR="007C629F" w:rsidRPr="00F66065">
        <w:rPr>
          <w:rFonts w:ascii="Times New Roman" w:eastAsia="Times New Roman" w:hAnsi="Times New Roman" w:cs="Times New Roman"/>
          <w:color w:val="222222"/>
          <w:kern w:val="0"/>
          <w:sz w:val="24"/>
          <w:szCs w:val="24"/>
          <w14:ligatures w14:val="none"/>
        </w:rPr>
        <w:t xml:space="preserve">. </w:t>
      </w:r>
      <w:r w:rsidR="00967098" w:rsidRPr="00F66065">
        <w:rPr>
          <w:rFonts w:ascii="Times New Roman" w:hAnsi="Times New Roman" w:cs="Times New Roman"/>
          <w:sz w:val="24"/>
          <w:szCs w:val="24"/>
        </w:rPr>
        <w:t>With a focus on private efficiency gains</w:t>
      </w:r>
      <w:r w:rsidR="00FE31CC" w:rsidRPr="00F66065">
        <w:rPr>
          <w:rFonts w:ascii="Times New Roman" w:hAnsi="Times New Roman" w:cs="Times New Roman"/>
          <w:sz w:val="24"/>
          <w:szCs w:val="24"/>
        </w:rPr>
        <w:t xml:space="preserve"> and incentives, </w:t>
      </w:r>
      <w:r w:rsidR="00967098" w:rsidRPr="00F66065">
        <w:rPr>
          <w:rFonts w:ascii="Times New Roman" w:hAnsi="Times New Roman" w:cs="Times New Roman"/>
          <w:sz w:val="24"/>
          <w:szCs w:val="24"/>
        </w:rPr>
        <w:t>neither Williamson nor Coase</w:t>
      </w:r>
      <w:r w:rsidR="00C67032">
        <w:rPr>
          <w:rFonts w:ascii="Times New Roman" w:hAnsi="Times New Roman" w:cs="Times New Roman"/>
          <w:sz w:val="24"/>
          <w:szCs w:val="24"/>
        </w:rPr>
        <w:t xml:space="preserve"> </w:t>
      </w:r>
      <w:r w:rsidR="00967098" w:rsidRPr="00F66065">
        <w:rPr>
          <w:rFonts w:ascii="Times New Roman" w:hAnsi="Times New Roman" w:cs="Times New Roman"/>
          <w:sz w:val="24"/>
          <w:szCs w:val="24"/>
        </w:rPr>
        <w:t>explore</w:t>
      </w:r>
      <w:r w:rsidR="00AA7590" w:rsidRPr="00F66065">
        <w:rPr>
          <w:rFonts w:ascii="Times New Roman" w:hAnsi="Times New Roman" w:cs="Times New Roman"/>
          <w:sz w:val="24"/>
          <w:szCs w:val="24"/>
        </w:rPr>
        <w:t>d</w:t>
      </w:r>
      <w:r w:rsidR="00967098" w:rsidRPr="00F66065">
        <w:rPr>
          <w:rFonts w:ascii="Times New Roman" w:hAnsi="Times New Roman" w:cs="Times New Roman"/>
          <w:sz w:val="24"/>
          <w:szCs w:val="24"/>
        </w:rPr>
        <w:t xml:space="preserve"> political exchange and rent-seeking. </w:t>
      </w:r>
      <w:r w:rsidRPr="00F66065">
        <w:rPr>
          <w:rFonts w:ascii="Times New Roman" w:hAnsi="Times New Roman" w:cs="Times New Roman"/>
          <w:sz w:val="24"/>
          <w:szCs w:val="24"/>
        </w:rPr>
        <w:t>Coase</w:t>
      </w:r>
      <w:r w:rsidR="008453BE" w:rsidRPr="00F66065">
        <w:rPr>
          <w:rFonts w:ascii="Times New Roman" w:hAnsi="Times New Roman" w:cs="Times New Roman"/>
          <w:sz w:val="24"/>
          <w:szCs w:val="24"/>
        </w:rPr>
        <w:t>’s</w:t>
      </w:r>
      <w:r w:rsidRPr="00F66065">
        <w:rPr>
          <w:rFonts w:ascii="Times New Roman" w:hAnsi="Times New Roman" w:cs="Times New Roman"/>
          <w:sz w:val="24"/>
          <w:szCs w:val="24"/>
        </w:rPr>
        <w:t xml:space="preserve"> (1960) </w:t>
      </w:r>
      <w:r w:rsidR="00CB3D81" w:rsidRPr="00F66065">
        <w:rPr>
          <w:rFonts w:ascii="Times New Roman" w:hAnsi="Times New Roman" w:cs="Times New Roman"/>
          <w:sz w:val="24"/>
          <w:szCs w:val="24"/>
        </w:rPr>
        <w:t>conceptual</w:t>
      </w:r>
      <w:r w:rsidR="008453BE" w:rsidRPr="00F66065">
        <w:rPr>
          <w:rFonts w:ascii="Times New Roman" w:hAnsi="Times New Roman" w:cs="Times New Roman"/>
          <w:sz w:val="24"/>
          <w:szCs w:val="24"/>
        </w:rPr>
        <w:t xml:space="preserve"> </w:t>
      </w:r>
      <w:r w:rsidR="00DD2987" w:rsidRPr="00F66065">
        <w:rPr>
          <w:rFonts w:ascii="Times New Roman" w:hAnsi="Times New Roman" w:cs="Times New Roman"/>
          <w:sz w:val="24"/>
          <w:szCs w:val="24"/>
        </w:rPr>
        <w:t>framework</w:t>
      </w:r>
      <w:r w:rsidR="00FE31CC" w:rsidRPr="00F66065">
        <w:rPr>
          <w:rFonts w:ascii="Times New Roman" w:hAnsi="Times New Roman" w:cs="Times New Roman"/>
          <w:sz w:val="24"/>
          <w:szCs w:val="24"/>
        </w:rPr>
        <w:t xml:space="preserve"> to mitigate externalities, an </w:t>
      </w:r>
      <w:r w:rsidR="00FE31CC" w:rsidRPr="00F66065">
        <w:rPr>
          <w:rFonts w:ascii="Times New Roman" w:hAnsi="Times New Roman" w:cs="Times New Roman"/>
          <w:color w:val="001D35"/>
          <w:sz w:val="24"/>
          <w:szCs w:val="24"/>
          <w:shd w:val="clear" w:color="auto" w:fill="FFFFFF"/>
        </w:rPr>
        <w:t>archetypal market failure, described how</w:t>
      </w:r>
      <w:r w:rsidR="00FE31CC" w:rsidRPr="00F66065">
        <w:rPr>
          <w:rFonts w:ascii="Times New Roman" w:hAnsi="Times New Roman" w:cs="Times New Roman"/>
          <w:sz w:val="24"/>
          <w:szCs w:val="24"/>
        </w:rPr>
        <w:t xml:space="preserve"> property rights and bargaining could </w:t>
      </w:r>
      <w:r w:rsidR="00970424">
        <w:rPr>
          <w:rFonts w:ascii="Times New Roman" w:hAnsi="Times New Roman" w:cs="Times New Roman"/>
          <w:sz w:val="24"/>
          <w:szCs w:val="24"/>
        </w:rPr>
        <w:t>out</w:t>
      </w:r>
      <w:r w:rsidR="00FE31CC" w:rsidRPr="00F66065">
        <w:rPr>
          <w:rFonts w:ascii="Times New Roman" w:hAnsi="Times New Roman" w:cs="Times New Roman"/>
          <w:sz w:val="24"/>
          <w:szCs w:val="24"/>
        </w:rPr>
        <w:t xml:space="preserve">perform Pigouvian regulation. The </w:t>
      </w:r>
      <w:r w:rsidRPr="00F66065">
        <w:rPr>
          <w:rFonts w:ascii="Times New Roman" w:hAnsi="Times New Roman" w:cs="Times New Roman"/>
          <w:sz w:val="24"/>
          <w:szCs w:val="24"/>
        </w:rPr>
        <w:t>paper is among the most cited in economics</w:t>
      </w:r>
      <w:r w:rsidR="001C3C29" w:rsidRPr="00F66065">
        <w:rPr>
          <w:rFonts w:ascii="Times New Roman" w:hAnsi="Times New Roman" w:cs="Times New Roman"/>
          <w:sz w:val="24"/>
          <w:szCs w:val="24"/>
        </w:rPr>
        <w:t xml:space="preserve">, </w:t>
      </w:r>
      <w:r w:rsidR="0059659F" w:rsidRPr="00F66065">
        <w:rPr>
          <w:rFonts w:ascii="Times New Roman" w:hAnsi="Times New Roman" w:cs="Times New Roman"/>
          <w:sz w:val="24"/>
          <w:szCs w:val="24"/>
        </w:rPr>
        <w:t xml:space="preserve">but </w:t>
      </w:r>
      <w:r w:rsidR="00DC5AB4" w:rsidRPr="00F66065">
        <w:rPr>
          <w:rFonts w:ascii="Times New Roman" w:hAnsi="Times New Roman" w:cs="Times New Roman"/>
          <w:sz w:val="24"/>
          <w:szCs w:val="24"/>
        </w:rPr>
        <w:t xml:space="preserve">the </w:t>
      </w:r>
      <w:r w:rsidR="0011429B" w:rsidRPr="00F66065">
        <w:rPr>
          <w:rFonts w:ascii="Times New Roman" w:hAnsi="Times New Roman" w:cs="Times New Roman"/>
          <w:sz w:val="24"/>
          <w:szCs w:val="24"/>
        </w:rPr>
        <w:t>approach</w:t>
      </w:r>
      <w:r w:rsidR="00DD2987" w:rsidRPr="00F66065">
        <w:rPr>
          <w:rFonts w:ascii="Times New Roman" w:hAnsi="Times New Roman" w:cs="Times New Roman"/>
          <w:sz w:val="24"/>
          <w:szCs w:val="24"/>
        </w:rPr>
        <w:t xml:space="preserve"> has </w:t>
      </w:r>
      <w:r w:rsidRPr="00F66065">
        <w:rPr>
          <w:rFonts w:ascii="Times New Roman" w:hAnsi="Times New Roman" w:cs="Times New Roman"/>
          <w:sz w:val="24"/>
          <w:szCs w:val="24"/>
        </w:rPr>
        <w:t>not been</w:t>
      </w:r>
      <w:r w:rsidR="005E5101" w:rsidRPr="00F66065">
        <w:rPr>
          <w:rFonts w:ascii="Times New Roman" w:hAnsi="Times New Roman" w:cs="Times New Roman"/>
          <w:sz w:val="24"/>
          <w:szCs w:val="24"/>
        </w:rPr>
        <w:t xml:space="preserve"> primary </w:t>
      </w:r>
      <w:r w:rsidRPr="00F66065">
        <w:rPr>
          <w:rFonts w:ascii="Times New Roman" w:hAnsi="Times New Roman" w:cs="Times New Roman"/>
          <w:sz w:val="24"/>
          <w:szCs w:val="24"/>
        </w:rPr>
        <w:t xml:space="preserve">in </w:t>
      </w:r>
      <w:r w:rsidR="00CB3D81" w:rsidRPr="00F66065">
        <w:rPr>
          <w:rFonts w:ascii="Times New Roman" w:hAnsi="Times New Roman" w:cs="Times New Roman"/>
          <w:i/>
          <w:iCs/>
          <w:sz w:val="24"/>
          <w:szCs w:val="24"/>
        </w:rPr>
        <w:t xml:space="preserve">any </w:t>
      </w:r>
      <w:r w:rsidRPr="00F66065">
        <w:rPr>
          <w:rFonts w:ascii="Times New Roman" w:hAnsi="Times New Roman" w:cs="Times New Roman"/>
          <w:sz w:val="24"/>
          <w:szCs w:val="24"/>
        </w:rPr>
        <w:t xml:space="preserve">US environmental </w:t>
      </w:r>
      <w:r w:rsidR="00CB3D81" w:rsidRPr="00F66065">
        <w:rPr>
          <w:rFonts w:ascii="Times New Roman" w:hAnsi="Times New Roman" w:cs="Times New Roman"/>
          <w:sz w:val="24"/>
          <w:szCs w:val="24"/>
        </w:rPr>
        <w:t xml:space="preserve">law. </w:t>
      </w:r>
      <w:r w:rsidR="00B643F7" w:rsidRPr="00F66065">
        <w:rPr>
          <w:rFonts w:ascii="Times New Roman" w:hAnsi="Times New Roman" w:cs="Times New Roman"/>
          <w:sz w:val="24"/>
          <w:szCs w:val="24"/>
        </w:rPr>
        <w:t xml:space="preserve">All </w:t>
      </w:r>
      <w:r w:rsidR="00891F01" w:rsidRPr="00F66065">
        <w:rPr>
          <w:rFonts w:ascii="Times New Roman" w:hAnsi="Times New Roman" w:cs="Times New Roman"/>
          <w:sz w:val="24"/>
          <w:szCs w:val="24"/>
        </w:rPr>
        <w:t xml:space="preserve">remain rooted in the </w:t>
      </w:r>
      <w:r w:rsidRPr="00F66065">
        <w:rPr>
          <w:rFonts w:ascii="Times New Roman" w:hAnsi="Times New Roman" w:cs="Times New Roman"/>
          <w:sz w:val="24"/>
          <w:szCs w:val="24"/>
        </w:rPr>
        <w:t>Pigouvian</w:t>
      </w:r>
      <w:r w:rsidR="00891F01" w:rsidRPr="00F66065">
        <w:rPr>
          <w:rFonts w:ascii="Times New Roman" w:hAnsi="Times New Roman" w:cs="Times New Roman"/>
          <w:sz w:val="24"/>
          <w:szCs w:val="24"/>
        </w:rPr>
        <w:t xml:space="preserve"> </w:t>
      </w:r>
      <w:r w:rsidR="00101831">
        <w:rPr>
          <w:rFonts w:ascii="Times New Roman" w:hAnsi="Times New Roman" w:cs="Times New Roman"/>
          <w:sz w:val="24"/>
          <w:szCs w:val="24"/>
        </w:rPr>
        <w:t>tradition</w:t>
      </w:r>
      <w:r w:rsidRPr="00F66065">
        <w:rPr>
          <w:rFonts w:ascii="Times New Roman" w:hAnsi="Times New Roman" w:cs="Times New Roman"/>
          <w:sz w:val="24"/>
          <w:szCs w:val="24"/>
        </w:rPr>
        <w:t xml:space="preserve">. </w:t>
      </w:r>
      <w:r w:rsidR="00F66065" w:rsidRPr="00F66065">
        <w:rPr>
          <w:rFonts w:ascii="Times New Roman" w:hAnsi="Times New Roman" w:cs="Times New Roman"/>
          <w:sz w:val="24"/>
          <w:szCs w:val="24"/>
        </w:rPr>
        <w:t>As a result, the efficiency benefits, welfare improvements, and collaborative problem-solving envisioned by Coase have not been achieved. Instead, laws have led to excess</w:t>
      </w:r>
      <w:r w:rsidR="003847E6">
        <w:rPr>
          <w:rFonts w:ascii="Times New Roman" w:hAnsi="Times New Roman" w:cs="Times New Roman"/>
          <w:sz w:val="24"/>
          <w:szCs w:val="24"/>
        </w:rPr>
        <w:t>ive</w:t>
      </w:r>
      <w:r w:rsidR="00F66065" w:rsidRPr="00F66065">
        <w:rPr>
          <w:rFonts w:ascii="Times New Roman" w:hAnsi="Times New Roman" w:cs="Times New Roman"/>
          <w:sz w:val="24"/>
          <w:szCs w:val="24"/>
        </w:rPr>
        <w:t xml:space="preserve"> co</w:t>
      </w:r>
      <w:r w:rsidR="005456D9">
        <w:rPr>
          <w:rFonts w:ascii="Times New Roman" w:hAnsi="Times New Roman" w:cs="Times New Roman"/>
          <w:sz w:val="24"/>
          <w:szCs w:val="24"/>
        </w:rPr>
        <w:t xml:space="preserve">ntrols, </w:t>
      </w:r>
      <w:r w:rsidR="003847E6">
        <w:rPr>
          <w:rFonts w:ascii="Times New Roman" w:hAnsi="Times New Roman" w:cs="Times New Roman"/>
          <w:sz w:val="24"/>
          <w:szCs w:val="24"/>
        </w:rPr>
        <w:t>greater costs</w:t>
      </w:r>
      <w:r w:rsidR="000E62BF">
        <w:rPr>
          <w:rFonts w:ascii="Times New Roman" w:hAnsi="Times New Roman" w:cs="Times New Roman"/>
          <w:sz w:val="24"/>
          <w:szCs w:val="24"/>
        </w:rPr>
        <w:t>,</w:t>
      </w:r>
      <w:r w:rsidR="00984E67">
        <w:rPr>
          <w:rFonts w:ascii="Times New Roman" w:hAnsi="Times New Roman" w:cs="Times New Roman"/>
          <w:sz w:val="24"/>
          <w:szCs w:val="24"/>
        </w:rPr>
        <w:t xml:space="preserve"> and ambiguous welfare </w:t>
      </w:r>
      <w:r w:rsidR="00970424">
        <w:rPr>
          <w:rFonts w:ascii="Times New Roman" w:hAnsi="Times New Roman" w:cs="Times New Roman"/>
          <w:sz w:val="24"/>
          <w:szCs w:val="24"/>
        </w:rPr>
        <w:t>benefits</w:t>
      </w:r>
      <w:r w:rsidR="000E62BF">
        <w:rPr>
          <w:rFonts w:ascii="Times New Roman" w:hAnsi="Times New Roman" w:cs="Times New Roman"/>
          <w:sz w:val="24"/>
          <w:szCs w:val="24"/>
        </w:rPr>
        <w:t>. L</w:t>
      </w:r>
      <w:r w:rsidR="00F66065" w:rsidRPr="005D011C">
        <w:rPr>
          <w:rFonts w:ascii="Times New Roman" w:hAnsi="Times New Roman" w:cs="Times New Roman"/>
          <w:sz w:val="24"/>
          <w:szCs w:val="24"/>
        </w:rPr>
        <w:t xml:space="preserve">imited Coasean bargaining </w:t>
      </w:r>
      <w:r w:rsidR="000E62BF">
        <w:rPr>
          <w:rFonts w:ascii="Times New Roman" w:hAnsi="Times New Roman" w:cs="Times New Roman"/>
          <w:sz w:val="24"/>
          <w:szCs w:val="24"/>
        </w:rPr>
        <w:t xml:space="preserve">occurs </w:t>
      </w:r>
      <w:r w:rsidR="00F66065" w:rsidRPr="005D011C">
        <w:rPr>
          <w:rFonts w:ascii="Times New Roman" w:hAnsi="Times New Roman" w:cs="Times New Roman"/>
          <w:sz w:val="24"/>
          <w:szCs w:val="24"/>
        </w:rPr>
        <w:t>only late and around the edges of the law</w:t>
      </w:r>
      <w:r w:rsidR="00984E67" w:rsidRPr="005D011C">
        <w:rPr>
          <w:rFonts w:ascii="Times New Roman" w:hAnsi="Times New Roman" w:cs="Times New Roman"/>
          <w:sz w:val="24"/>
          <w:szCs w:val="24"/>
        </w:rPr>
        <w:t>s</w:t>
      </w:r>
      <w:r w:rsidR="00F66065" w:rsidRPr="005D011C">
        <w:rPr>
          <w:rFonts w:ascii="Times New Roman" w:hAnsi="Times New Roman" w:cs="Times New Roman"/>
          <w:sz w:val="24"/>
          <w:szCs w:val="24"/>
        </w:rPr>
        <w:t>.</w:t>
      </w:r>
      <w:r w:rsidR="005D011C">
        <w:rPr>
          <w:rFonts w:ascii="Times New Roman" w:hAnsi="Times New Roman" w:cs="Times New Roman"/>
          <w:sz w:val="24"/>
          <w:szCs w:val="24"/>
        </w:rPr>
        <w:t xml:space="preserve">  </w:t>
      </w:r>
      <w:r w:rsidR="005D011C" w:rsidRPr="005D011C">
        <w:rPr>
          <w:rFonts w:ascii="Times New Roman" w:hAnsi="Times New Roman" w:cs="Times New Roman"/>
          <w:sz w:val="24"/>
          <w:szCs w:val="24"/>
        </w:rPr>
        <w:t xml:space="preserve">In practice, transaction cost economics has played a lesser role in the political arena. </w:t>
      </w:r>
    </w:p>
    <w:p w14:paraId="483D7541" w14:textId="06C686C8" w:rsidR="00600DD1" w:rsidRDefault="005D011C" w:rsidP="00970424">
      <w:pPr>
        <w:jc w:val="both"/>
        <w:rPr>
          <w:rFonts w:ascii="Times New Roman" w:hAnsi="Times New Roman" w:cs="Times New Roman"/>
          <w:sz w:val="24"/>
          <w:szCs w:val="24"/>
        </w:rPr>
      </w:pPr>
      <w:r w:rsidRPr="005D011C">
        <w:rPr>
          <w:rFonts w:ascii="Times New Roman" w:hAnsi="Times New Roman" w:cs="Times New Roman"/>
          <w:sz w:val="24"/>
          <w:szCs w:val="24"/>
        </w:rPr>
        <w:t xml:space="preserve">In environmental legislation, rent-seeking behavior displaces economic property rights and </w:t>
      </w:r>
      <w:r w:rsidR="00970424">
        <w:rPr>
          <w:rFonts w:ascii="Times New Roman" w:hAnsi="Times New Roman" w:cs="Times New Roman"/>
          <w:sz w:val="24"/>
          <w:szCs w:val="24"/>
        </w:rPr>
        <w:t>molds</w:t>
      </w:r>
      <w:r w:rsidRPr="005D011C">
        <w:rPr>
          <w:rFonts w:ascii="Times New Roman" w:hAnsi="Times New Roman" w:cs="Times New Roman"/>
          <w:sz w:val="24"/>
          <w:szCs w:val="24"/>
        </w:rPr>
        <w:t xml:space="preserve"> broader patterns.  For example, the Clean Air Act of 1970 imposed uniform national air quality standards without accounting for the diverse economic conditions, populations, and topographies across the country. The Magnuson-Stevens Fishery Act of 1976 relied on Pigouvian control</w:t>
      </w:r>
      <w:r w:rsidR="00890EDC">
        <w:rPr>
          <w:rFonts w:ascii="Times New Roman" w:hAnsi="Times New Roman" w:cs="Times New Roman"/>
          <w:sz w:val="24"/>
          <w:szCs w:val="24"/>
        </w:rPr>
        <w:t>s</w:t>
      </w:r>
      <w:r w:rsidRPr="005D011C">
        <w:rPr>
          <w:rFonts w:ascii="Times New Roman" w:hAnsi="Times New Roman" w:cs="Times New Roman"/>
          <w:sz w:val="24"/>
          <w:szCs w:val="24"/>
        </w:rPr>
        <w:t xml:space="preserve"> for 25 years until the</w:t>
      </w:r>
      <w:r w:rsidR="00890EDC">
        <w:rPr>
          <w:rFonts w:ascii="Times New Roman" w:hAnsi="Times New Roman" w:cs="Times New Roman"/>
          <w:sz w:val="24"/>
          <w:szCs w:val="24"/>
        </w:rPr>
        <w:t>y</w:t>
      </w:r>
      <w:r w:rsidRPr="005D011C">
        <w:rPr>
          <w:rFonts w:ascii="Times New Roman" w:hAnsi="Times New Roman" w:cs="Times New Roman"/>
          <w:sz w:val="24"/>
          <w:szCs w:val="24"/>
        </w:rPr>
        <w:t xml:space="preserve"> failed; the Act then shifted to limited property rights for </w:t>
      </w:r>
      <w:r w:rsidR="00F45F35" w:rsidRPr="005D011C">
        <w:rPr>
          <w:rFonts w:ascii="Times New Roman" w:hAnsi="Times New Roman" w:cs="Times New Roman"/>
          <w:sz w:val="24"/>
          <w:szCs w:val="24"/>
        </w:rPr>
        <w:t>politically</w:t>
      </w:r>
      <w:r w:rsidR="00F45F35">
        <w:rPr>
          <w:rFonts w:ascii="Times New Roman" w:hAnsi="Times New Roman" w:cs="Times New Roman"/>
          <w:sz w:val="24"/>
          <w:szCs w:val="24"/>
        </w:rPr>
        <w:t xml:space="preserve"> favored</w:t>
      </w:r>
      <w:r w:rsidRPr="005D011C">
        <w:rPr>
          <w:rFonts w:ascii="Times New Roman" w:hAnsi="Times New Roman" w:cs="Times New Roman"/>
          <w:sz w:val="24"/>
          <w:szCs w:val="24"/>
        </w:rPr>
        <w:t xml:space="preserve"> groups. Similarly, the Endangered Species Act of 1973 placed uncompensated Pigouvian regulatory burdens on private landowners, leading to resistance and low recovery rate</w:t>
      </w:r>
      <w:r w:rsidR="00970424">
        <w:rPr>
          <w:rFonts w:ascii="Times New Roman" w:hAnsi="Times New Roman" w:cs="Times New Roman"/>
          <w:sz w:val="24"/>
          <w:szCs w:val="24"/>
        </w:rPr>
        <w:t>s</w:t>
      </w:r>
      <w:r w:rsidRPr="005D011C">
        <w:rPr>
          <w:rFonts w:ascii="Times New Roman" w:hAnsi="Times New Roman" w:cs="Times New Roman"/>
          <w:sz w:val="24"/>
          <w:szCs w:val="24"/>
        </w:rPr>
        <w:t>: only 3% of the listed species have recovered.</w:t>
      </w:r>
      <w:r w:rsidR="000E62BF">
        <w:rPr>
          <w:rFonts w:ascii="Times New Roman" w:hAnsi="Times New Roman" w:cs="Times New Roman"/>
          <w:sz w:val="24"/>
          <w:szCs w:val="24"/>
        </w:rPr>
        <w:t xml:space="preserve"> Despite ostensibly aimed at providing public goods, US environmental legislation is mired in </w:t>
      </w:r>
      <w:r w:rsidR="00C62253">
        <w:rPr>
          <w:rFonts w:ascii="Times New Roman" w:hAnsi="Times New Roman" w:cs="Times New Roman"/>
          <w:sz w:val="24"/>
          <w:szCs w:val="24"/>
        </w:rPr>
        <w:t xml:space="preserve">political </w:t>
      </w:r>
      <w:r w:rsidR="000E62BF">
        <w:rPr>
          <w:rFonts w:ascii="Times New Roman" w:hAnsi="Times New Roman" w:cs="Times New Roman"/>
          <w:sz w:val="24"/>
          <w:szCs w:val="24"/>
        </w:rPr>
        <w:t>controversy</w:t>
      </w:r>
      <w:r w:rsidR="00970424">
        <w:rPr>
          <w:rFonts w:ascii="Times New Roman" w:hAnsi="Times New Roman" w:cs="Times New Roman"/>
          <w:sz w:val="24"/>
          <w:szCs w:val="24"/>
        </w:rPr>
        <w:t>.</w:t>
      </w:r>
      <w:r w:rsidR="00C62253">
        <w:rPr>
          <w:rFonts w:ascii="Times New Roman" w:hAnsi="Times New Roman" w:cs="Times New Roman"/>
          <w:sz w:val="24"/>
          <w:szCs w:val="24"/>
        </w:rPr>
        <w:t xml:space="preserve"> </w:t>
      </w:r>
      <w:r w:rsidR="000E62BF" w:rsidRPr="000E62BF">
        <w:rPr>
          <w:rFonts w:ascii="Times New Roman" w:hAnsi="Times New Roman" w:cs="Times New Roman"/>
          <w:sz w:val="24"/>
          <w:szCs w:val="24"/>
        </w:rPr>
        <w:t xml:space="preserve">There is no evidence that lawmakers </w:t>
      </w:r>
      <w:r w:rsidR="005D6910">
        <w:rPr>
          <w:rFonts w:ascii="Times New Roman" w:hAnsi="Times New Roman" w:cs="Times New Roman"/>
          <w:sz w:val="24"/>
          <w:szCs w:val="24"/>
        </w:rPr>
        <w:t xml:space="preserve">compared </w:t>
      </w:r>
      <w:r w:rsidR="000E62BF" w:rsidRPr="000E62BF">
        <w:rPr>
          <w:rFonts w:ascii="Times New Roman" w:hAnsi="Times New Roman" w:cs="Times New Roman"/>
          <w:sz w:val="24"/>
          <w:szCs w:val="24"/>
        </w:rPr>
        <w:t xml:space="preserve">transaction costs of Coasean versus Pigouvian approaches in crafting regulations. Had Coasean structures been the aim, they could have been implemented. </w:t>
      </w:r>
      <w:r w:rsidR="000E62BF">
        <w:rPr>
          <w:rFonts w:ascii="Times New Roman" w:hAnsi="Times New Roman" w:cs="Times New Roman"/>
          <w:sz w:val="24"/>
          <w:szCs w:val="24"/>
        </w:rPr>
        <w:t xml:space="preserve">There were successful templates.  </w:t>
      </w:r>
      <w:r w:rsidR="000E62BF" w:rsidRPr="000E62BF">
        <w:rPr>
          <w:rFonts w:ascii="Times New Roman" w:hAnsi="Times New Roman" w:cs="Times New Roman"/>
          <w:sz w:val="24"/>
          <w:szCs w:val="24"/>
        </w:rPr>
        <w:t xml:space="preserve">Instead, political rent-seeking by interest groups, politicians, and agency officials has largely driven regulation. </w:t>
      </w:r>
      <w:r w:rsidR="002901E0">
        <w:rPr>
          <w:rFonts w:ascii="Times New Roman" w:hAnsi="Times New Roman" w:cs="Times New Roman"/>
          <w:sz w:val="24"/>
          <w:szCs w:val="24"/>
        </w:rPr>
        <w:t xml:space="preserve"> </w:t>
      </w:r>
      <w:r w:rsidR="00012C24">
        <w:rPr>
          <w:rFonts w:ascii="Times New Roman" w:hAnsi="Times New Roman" w:cs="Times New Roman"/>
          <w:sz w:val="24"/>
          <w:szCs w:val="24"/>
        </w:rPr>
        <w:t xml:space="preserve">The </w:t>
      </w:r>
      <w:r w:rsidR="001F30EC">
        <w:rPr>
          <w:rFonts w:ascii="Times New Roman" w:hAnsi="Times New Roman" w:cs="Times New Roman"/>
          <w:sz w:val="24"/>
          <w:szCs w:val="24"/>
        </w:rPr>
        <w:t>prevalence of rent</w:t>
      </w:r>
      <w:r w:rsidR="00970424">
        <w:rPr>
          <w:rFonts w:ascii="Times New Roman" w:hAnsi="Times New Roman" w:cs="Times New Roman"/>
          <w:sz w:val="24"/>
          <w:szCs w:val="24"/>
        </w:rPr>
        <w:t>-</w:t>
      </w:r>
      <w:r w:rsidR="001F30EC">
        <w:rPr>
          <w:rFonts w:ascii="Times New Roman" w:hAnsi="Times New Roman" w:cs="Times New Roman"/>
          <w:sz w:val="24"/>
          <w:szCs w:val="24"/>
        </w:rPr>
        <w:t xml:space="preserve">seeking </w:t>
      </w:r>
      <w:r w:rsidR="00012C24">
        <w:rPr>
          <w:rFonts w:ascii="Times New Roman" w:hAnsi="Times New Roman" w:cs="Times New Roman"/>
          <w:sz w:val="24"/>
          <w:szCs w:val="24"/>
        </w:rPr>
        <w:t xml:space="preserve">in environmental legislation suggests why economic property rights and markets have had more limited </w:t>
      </w:r>
      <w:r w:rsidR="002901E0">
        <w:rPr>
          <w:rFonts w:ascii="Times New Roman" w:hAnsi="Times New Roman" w:cs="Times New Roman"/>
          <w:sz w:val="24"/>
          <w:szCs w:val="24"/>
        </w:rPr>
        <w:t xml:space="preserve">global </w:t>
      </w:r>
      <w:r w:rsidR="00012C24">
        <w:rPr>
          <w:rFonts w:ascii="Times New Roman" w:hAnsi="Times New Roman" w:cs="Times New Roman"/>
          <w:sz w:val="24"/>
          <w:szCs w:val="24"/>
        </w:rPr>
        <w:t xml:space="preserve">adoption </w:t>
      </w:r>
      <w:r w:rsidR="00FE7649">
        <w:rPr>
          <w:rFonts w:ascii="Times New Roman" w:hAnsi="Times New Roman" w:cs="Times New Roman"/>
          <w:sz w:val="24"/>
          <w:szCs w:val="24"/>
        </w:rPr>
        <w:t xml:space="preserve">than </w:t>
      </w:r>
      <w:r w:rsidR="002901E0">
        <w:rPr>
          <w:rFonts w:ascii="Times New Roman" w:hAnsi="Times New Roman" w:cs="Times New Roman"/>
          <w:sz w:val="24"/>
          <w:szCs w:val="24"/>
        </w:rPr>
        <w:t xml:space="preserve">their </w:t>
      </w:r>
      <w:r w:rsidR="001F30EC">
        <w:rPr>
          <w:rFonts w:ascii="Times New Roman" w:hAnsi="Times New Roman" w:cs="Times New Roman"/>
          <w:sz w:val="24"/>
          <w:szCs w:val="24"/>
        </w:rPr>
        <w:t>transaction cost efficiencies</w:t>
      </w:r>
      <w:r w:rsidR="00F45F35">
        <w:rPr>
          <w:rFonts w:ascii="Times New Roman" w:hAnsi="Times New Roman" w:cs="Times New Roman"/>
          <w:sz w:val="24"/>
          <w:szCs w:val="24"/>
        </w:rPr>
        <w:t xml:space="preserve"> and beneficial welfare potentials</w:t>
      </w:r>
      <w:r w:rsidR="002901E0">
        <w:rPr>
          <w:rFonts w:ascii="Times New Roman" w:hAnsi="Times New Roman" w:cs="Times New Roman"/>
          <w:sz w:val="24"/>
          <w:szCs w:val="24"/>
        </w:rPr>
        <w:t xml:space="preserve"> suggest</w:t>
      </w:r>
      <w:r w:rsidR="00012C24">
        <w:rPr>
          <w:rFonts w:ascii="Times New Roman" w:hAnsi="Times New Roman" w:cs="Times New Roman"/>
          <w:sz w:val="24"/>
          <w:szCs w:val="24"/>
        </w:rPr>
        <w:t>.</w:t>
      </w:r>
      <w:r w:rsidR="002901E0">
        <w:rPr>
          <w:rFonts w:ascii="Times New Roman" w:hAnsi="Times New Roman" w:cs="Times New Roman"/>
          <w:sz w:val="24"/>
          <w:szCs w:val="24"/>
        </w:rPr>
        <w:t xml:space="preserve"> </w:t>
      </w:r>
    </w:p>
    <w:p w14:paraId="25343495" w14:textId="77777777" w:rsidR="00E62FA9" w:rsidRDefault="00E62FA9" w:rsidP="00891F01">
      <w:pPr>
        <w:rPr>
          <w:rFonts w:ascii="Times New Roman" w:hAnsi="Times New Roman" w:cs="Times New Roman"/>
          <w:sz w:val="24"/>
          <w:szCs w:val="24"/>
        </w:rPr>
      </w:pPr>
    </w:p>
    <w:p w14:paraId="2639D93B" w14:textId="77777777" w:rsidR="00755E6A" w:rsidRDefault="00755E6A" w:rsidP="001564B3">
      <w:pPr>
        <w:shd w:val="clear" w:color="auto" w:fill="FFFFFF"/>
        <w:spacing w:after="0" w:line="360" w:lineRule="auto"/>
        <w:jc w:val="both"/>
        <w:rPr>
          <w:rFonts w:ascii="Times New Roman" w:hAnsi="Times New Roman" w:cs="Times New Roman"/>
          <w:sz w:val="24"/>
          <w:szCs w:val="24"/>
        </w:rPr>
      </w:pPr>
    </w:p>
    <w:p w14:paraId="6E491356" w14:textId="6C5A1009" w:rsidR="001C3C29" w:rsidRDefault="001C3C29" w:rsidP="00755E6A">
      <w:pPr>
        <w:shd w:val="clear" w:color="auto" w:fill="FFFFFF"/>
        <w:spacing w:after="0" w:line="240" w:lineRule="auto"/>
        <w:jc w:val="both"/>
        <w:rPr>
          <w:rStyle w:val="oypena"/>
          <w:rFonts w:ascii="Times New Roman" w:hAnsi="Times New Roman" w:cs="Times New Roman"/>
          <w:color w:val="000000"/>
        </w:rPr>
      </w:pPr>
      <w:r w:rsidRPr="00755E6A">
        <w:rPr>
          <w:rStyle w:val="oypena"/>
          <w:rFonts w:ascii="Times New Roman" w:hAnsi="Times New Roman" w:cs="Times New Roman"/>
          <w:b/>
          <w:bCs/>
          <w:color w:val="000000"/>
        </w:rPr>
        <w:t>Keywords</w:t>
      </w:r>
      <w:r w:rsidRPr="00755E6A">
        <w:rPr>
          <w:rStyle w:val="oypena"/>
          <w:rFonts w:ascii="Times New Roman" w:hAnsi="Times New Roman" w:cs="Times New Roman"/>
          <w:color w:val="000000"/>
        </w:rPr>
        <w:t>: Williamson; Coase; Institutional Economics; Law and Economics; Organization; Transaction Cost; Management; Environmental Economics</w:t>
      </w:r>
      <w:r w:rsidR="00B97542" w:rsidRPr="00755E6A">
        <w:rPr>
          <w:rStyle w:val="oypena"/>
          <w:rFonts w:ascii="Times New Roman" w:hAnsi="Times New Roman" w:cs="Times New Roman"/>
          <w:color w:val="000000"/>
        </w:rPr>
        <w:t>; Rent-Seeking.</w:t>
      </w:r>
    </w:p>
    <w:p w14:paraId="3C6B631A" w14:textId="77777777" w:rsidR="00C7502B" w:rsidRDefault="00C7502B" w:rsidP="00755E6A">
      <w:pPr>
        <w:shd w:val="clear" w:color="auto" w:fill="FFFFFF"/>
        <w:spacing w:after="0" w:line="240" w:lineRule="auto"/>
        <w:jc w:val="both"/>
        <w:rPr>
          <w:rStyle w:val="oypena"/>
          <w:rFonts w:ascii="Times New Roman" w:hAnsi="Times New Roman" w:cs="Times New Roman"/>
          <w:color w:val="000000"/>
        </w:rPr>
      </w:pPr>
    </w:p>
    <w:p w14:paraId="293DD36C" w14:textId="77777777" w:rsidR="00C7502B" w:rsidRPr="007C629F" w:rsidRDefault="00C7502B" w:rsidP="00C7502B">
      <w:pPr>
        <w:spacing w:after="268" w:line="251" w:lineRule="auto"/>
        <w:ind w:left="-5" w:hanging="10"/>
        <w:jc w:val="both"/>
        <w:rPr>
          <w:rFonts w:ascii="Times New Roman" w:eastAsia="Times New Roman" w:hAnsi="Times New Roman" w:cs="Times New Roman"/>
          <w:color w:val="000000"/>
          <w:sz w:val="24"/>
          <w:lang w:val="es-ES"/>
        </w:rPr>
      </w:pPr>
      <w:r w:rsidRPr="007C629F">
        <w:rPr>
          <w:rFonts w:ascii="Times New Roman" w:eastAsia="Times New Roman" w:hAnsi="Times New Roman" w:cs="Times New Roman"/>
          <w:color w:val="000000"/>
          <w:sz w:val="24"/>
          <w:lang w:val="es-ES"/>
        </w:rPr>
        <w:t>JEL No. K11, K32, N42, N5, N52, N92, Q52, Q53, Q57, Q58</w:t>
      </w:r>
    </w:p>
    <w:p w14:paraId="1A9C63C9" w14:textId="7CACCC57" w:rsidR="00BC2548" w:rsidRPr="007C629F" w:rsidRDefault="00BC2548">
      <w:pPr>
        <w:rPr>
          <w:rStyle w:val="oypena"/>
          <w:rFonts w:ascii="Times New Roman" w:hAnsi="Times New Roman" w:cs="Times New Roman"/>
          <w:color w:val="000000"/>
          <w:lang w:val="es-ES"/>
        </w:rPr>
      </w:pPr>
      <w:r w:rsidRPr="007C629F">
        <w:rPr>
          <w:rStyle w:val="oypena"/>
          <w:rFonts w:ascii="Times New Roman" w:hAnsi="Times New Roman" w:cs="Times New Roman"/>
          <w:color w:val="000000"/>
          <w:lang w:val="es-ES"/>
        </w:rPr>
        <w:br w:type="page"/>
      </w:r>
    </w:p>
    <w:p w14:paraId="3B2DCDFB" w14:textId="49039206" w:rsidR="008C0BF1" w:rsidRPr="008C0BF1" w:rsidRDefault="0088180B" w:rsidP="008C0BF1">
      <w:pPr>
        <w:pStyle w:val="ListParagraph"/>
        <w:numPr>
          <w:ilvl w:val="0"/>
          <w:numId w:val="20"/>
        </w:numPr>
        <w:spacing w:after="0" w:line="240" w:lineRule="auto"/>
        <w:ind w:left="720"/>
        <w:rPr>
          <w:rFonts w:ascii="Times New Roman" w:hAnsi="Times New Roman" w:cs="Times New Roman"/>
          <w:sz w:val="24"/>
          <w:szCs w:val="24"/>
        </w:rPr>
      </w:pPr>
      <w:r w:rsidRPr="008C0BF1">
        <w:rPr>
          <w:rFonts w:ascii="Times New Roman" w:hAnsi="Times New Roman" w:cs="Times New Roman"/>
          <w:b/>
          <w:bCs/>
          <w:sz w:val="24"/>
          <w:szCs w:val="24"/>
        </w:rPr>
        <w:lastRenderedPageBreak/>
        <w:t xml:space="preserve">Economizing on </w:t>
      </w:r>
      <w:r w:rsidR="00330002" w:rsidRPr="008C0BF1">
        <w:rPr>
          <w:rFonts w:ascii="Times New Roman" w:hAnsi="Times New Roman" w:cs="Times New Roman"/>
          <w:b/>
          <w:bCs/>
          <w:sz w:val="24"/>
          <w:szCs w:val="24"/>
        </w:rPr>
        <w:t>Transaction Costs</w:t>
      </w:r>
      <w:r w:rsidR="002E729D" w:rsidRPr="008C0BF1">
        <w:rPr>
          <w:rFonts w:ascii="Times New Roman" w:hAnsi="Times New Roman" w:cs="Times New Roman"/>
          <w:b/>
          <w:bCs/>
          <w:sz w:val="24"/>
          <w:szCs w:val="24"/>
        </w:rPr>
        <w:t xml:space="preserve"> and Rent-Seeking</w:t>
      </w:r>
      <w:r w:rsidR="00330002" w:rsidRPr="008C0BF1">
        <w:rPr>
          <w:rFonts w:ascii="Times New Roman" w:hAnsi="Times New Roman" w:cs="Times New Roman"/>
          <w:b/>
          <w:bCs/>
          <w:sz w:val="24"/>
          <w:szCs w:val="24"/>
        </w:rPr>
        <w:t xml:space="preserve">: </w:t>
      </w:r>
      <w:r w:rsidR="002E729D" w:rsidRPr="008C0BF1">
        <w:rPr>
          <w:rFonts w:ascii="Times New Roman" w:hAnsi="Times New Roman" w:cs="Times New Roman"/>
          <w:b/>
          <w:bCs/>
          <w:sz w:val="24"/>
          <w:szCs w:val="24"/>
        </w:rPr>
        <w:t xml:space="preserve"> W</w:t>
      </w:r>
      <w:r w:rsidR="00330002" w:rsidRPr="008C0BF1">
        <w:rPr>
          <w:rFonts w:ascii="Times New Roman" w:hAnsi="Times New Roman" w:cs="Times New Roman"/>
          <w:b/>
          <w:bCs/>
          <w:sz w:val="24"/>
          <w:szCs w:val="24"/>
        </w:rPr>
        <w:t>illiamson and Coase</w:t>
      </w:r>
      <w:r w:rsidR="00EB0664" w:rsidRPr="008C0BF1">
        <w:rPr>
          <w:rFonts w:ascii="Times New Roman" w:hAnsi="Times New Roman" w:cs="Times New Roman"/>
          <w:b/>
          <w:bCs/>
          <w:sz w:val="24"/>
          <w:szCs w:val="24"/>
        </w:rPr>
        <w:t>.</w:t>
      </w:r>
    </w:p>
    <w:p w14:paraId="43473EA2" w14:textId="77777777" w:rsidR="008C0BF1" w:rsidRPr="008C0BF1" w:rsidRDefault="008C0BF1" w:rsidP="008C0BF1">
      <w:pPr>
        <w:pStyle w:val="ListParagraph"/>
        <w:spacing w:after="0" w:line="240" w:lineRule="auto"/>
        <w:rPr>
          <w:rFonts w:ascii="Times New Roman" w:hAnsi="Times New Roman" w:cs="Times New Roman"/>
          <w:sz w:val="24"/>
          <w:szCs w:val="24"/>
        </w:rPr>
      </w:pPr>
    </w:p>
    <w:p w14:paraId="089D7445" w14:textId="1E619E96" w:rsidR="00D95CBB" w:rsidRDefault="007A661A" w:rsidP="00D95CB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Efficient t</w:t>
      </w:r>
      <w:r w:rsidR="002E729D">
        <w:rPr>
          <w:rFonts w:ascii="Times New Roman" w:hAnsi="Times New Roman" w:cs="Times New Roman"/>
          <w:sz w:val="24"/>
          <w:szCs w:val="24"/>
        </w:rPr>
        <w:t xml:space="preserve">ransaction costs </w:t>
      </w:r>
      <w:r>
        <w:rPr>
          <w:rFonts w:ascii="Times New Roman" w:hAnsi="Times New Roman" w:cs="Times New Roman"/>
          <w:sz w:val="24"/>
          <w:szCs w:val="24"/>
        </w:rPr>
        <w:t xml:space="preserve">adjustments </w:t>
      </w:r>
      <w:r w:rsidR="00D95CBB">
        <w:rPr>
          <w:rFonts w:ascii="Times New Roman" w:hAnsi="Times New Roman" w:cs="Times New Roman"/>
          <w:sz w:val="24"/>
          <w:szCs w:val="24"/>
        </w:rPr>
        <w:t xml:space="preserve">are the bases for </w:t>
      </w:r>
      <w:r w:rsidR="002E729D">
        <w:rPr>
          <w:rFonts w:ascii="Times New Roman" w:hAnsi="Times New Roman" w:cs="Times New Roman"/>
          <w:sz w:val="24"/>
          <w:szCs w:val="24"/>
        </w:rPr>
        <w:t>Coase</w:t>
      </w:r>
      <w:r w:rsidR="004E2469">
        <w:rPr>
          <w:rFonts w:ascii="Times New Roman" w:hAnsi="Times New Roman" w:cs="Times New Roman"/>
          <w:sz w:val="24"/>
          <w:szCs w:val="24"/>
        </w:rPr>
        <w:t>’s</w:t>
      </w:r>
      <w:r w:rsidR="002E729D">
        <w:rPr>
          <w:rFonts w:ascii="Times New Roman" w:hAnsi="Times New Roman" w:cs="Times New Roman"/>
          <w:sz w:val="24"/>
          <w:szCs w:val="24"/>
        </w:rPr>
        <w:t xml:space="preserve"> (1937, 199</w:t>
      </w:r>
      <w:r w:rsidR="00233859">
        <w:rPr>
          <w:rFonts w:ascii="Times New Roman" w:hAnsi="Times New Roman" w:cs="Times New Roman"/>
          <w:sz w:val="24"/>
          <w:szCs w:val="24"/>
        </w:rPr>
        <w:t>2</w:t>
      </w:r>
      <w:r w:rsidR="002E729D">
        <w:rPr>
          <w:rFonts w:ascii="Times New Roman" w:hAnsi="Times New Roman" w:cs="Times New Roman"/>
          <w:sz w:val="24"/>
          <w:szCs w:val="24"/>
        </w:rPr>
        <w:t>) and Williamson</w:t>
      </w:r>
      <w:r w:rsidR="004E2469">
        <w:rPr>
          <w:rFonts w:ascii="Times New Roman" w:hAnsi="Times New Roman" w:cs="Times New Roman"/>
          <w:sz w:val="24"/>
          <w:szCs w:val="24"/>
        </w:rPr>
        <w:t>’s</w:t>
      </w:r>
      <w:r w:rsidR="002E729D">
        <w:rPr>
          <w:rFonts w:ascii="Times New Roman" w:hAnsi="Times New Roman" w:cs="Times New Roman"/>
          <w:sz w:val="24"/>
          <w:szCs w:val="24"/>
        </w:rPr>
        <w:t xml:space="preserve"> (1975, 1985, 1996, 2010) </w:t>
      </w:r>
      <w:r>
        <w:rPr>
          <w:rFonts w:ascii="Times New Roman" w:hAnsi="Times New Roman" w:cs="Times New Roman"/>
          <w:sz w:val="24"/>
          <w:szCs w:val="24"/>
        </w:rPr>
        <w:t xml:space="preserve">explanations for </w:t>
      </w:r>
      <w:r w:rsidR="002E729D">
        <w:rPr>
          <w:rFonts w:ascii="Times New Roman" w:hAnsi="Times New Roman" w:cs="Times New Roman"/>
          <w:sz w:val="24"/>
          <w:szCs w:val="24"/>
        </w:rPr>
        <w:t>firm boundaries, governance, hierarchies, and contract</w:t>
      </w:r>
      <w:r w:rsidR="00863F6F">
        <w:rPr>
          <w:rFonts w:ascii="Times New Roman" w:hAnsi="Times New Roman" w:cs="Times New Roman"/>
          <w:sz w:val="24"/>
          <w:szCs w:val="24"/>
        </w:rPr>
        <w:t>s</w:t>
      </w:r>
      <w:r w:rsidR="002E729D">
        <w:rPr>
          <w:rFonts w:ascii="Times New Roman" w:hAnsi="Times New Roman" w:cs="Times New Roman"/>
          <w:sz w:val="24"/>
          <w:szCs w:val="24"/>
        </w:rPr>
        <w:t>.</w:t>
      </w:r>
      <w:r w:rsidR="00561868">
        <w:rPr>
          <w:rStyle w:val="FootnoteReference"/>
          <w:rFonts w:ascii="Times New Roman" w:hAnsi="Times New Roman" w:cs="Times New Roman"/>
          <w:sz w:val="24"/>
          <w:szCs w:val="24"/>
        </w:rPr>
        <w:footnoteReference w:id="2"/>
      </w:r>
      <w:r w:rsidR="002E729D">
        <w:rPr>
          <w:rFonts w:ascii="Times New Roman" w:hAnsi="Times New Roman" w:cs="Times New Roman"/>
          <w:sz w:val="24"/>
          <w:szCs w:val="24"/>
        </w:rPr>
        <w:t xml:space="preserve"> </w:t>
      </w:r>
      <w:r w:rsidR="004E2469">
        <w:rPr>
          <w:rFonts w:ascii="Times New Roman" w:hAnsi="Times New Roman" w:cs="Times New Roman"/>
          <w:sz w:val="24"/>
          <w:szCs w:val="24"/>
        </w:rPr>
        <w:t xml:space="preserve">Their </w:t>
      </w:r>
      <w:r w:rsidR="00EE7E7A">
        <w:rPr>
          <w:rFonts w:ascii="Times New Roman" w:hAnsi="Times New Roman" w:cs="Times New Roman"/>
          <w:sz w:val="24"/>
          <w:szCs w:val="24"/>
        </w:rPr>
        <w:t>c</w:t>
      </w:r>
      <w:r>
        <w:rPr>
          <w:rFonts w:ascii="Times New Roman" w:hAnsi="Times New Roman" w:cs="Times New Roman"/>
          <w:sz w:val="24"/>
          <w:szCs w:val="24"/>
        </w:rPr>
        <w:t>ritical i</w:t>
      </w:r>
      <w:r w:rsidR="002E729D">
        <w:rPr>
          <w:rFonts w:ascii="Times New Roman" w:hAnsi="Times New Roman" w:cs="Times New Roman"/>
          <w:sz w:val="24"/>
          <w:szCs w:val="24"/>
        </w:rPr>
        <w:t xml:space="preserve">nsights </w:t>
      </w:r>
      <w:r>
        <w:rPr>
          <w:rFonts w:ascii="Times New Roman" w:hAnsi="Times New Roman" w:cs="Times New Roman"/>
          <w:sz w:val="24"/>
          <w:szCs w:val="24"/>
        </w:rPr>
        <w:t xml:space="preserve">influence </w:t>
      </w:r>
      <w:r w:rsidR="002E729D">
        <w:rPr>
          <w:rFonts w:ascii="Times New Roman" w:hAnsi="Times New Roman" w:cs="Times New Roman"/>
          <w:sz w:val="24"/>
          <w:szCs w:val="24"/>
        </w:rPr>
        <w:t xml:space="preserve">understanding of </w:t>
      </w:r>
      <w:r w:rsidR="00970424">
        <w:rPr>
          <w:rFonts w:ascii="Times New Roman" w:hAnsi="Times New Roman" w:cs="Times New Roman"/>
          <w:sz w:val="24"/>
          <w:szCs w:val="24"/>
        </w:rPr>
        <w:t xml:space="preserve">organizational </w:t>
      </w:r>
      <w:r w:rsidR="00820F93">
        <w:rPr>
          <w:rFonts w:ascii="Times New Roman" w:hAnsi="Times New Roman" w:cs="Times New Roman"/>
          <w:sz w:val="24"/>
          <w:szCs w:val="24"/>
        </w:rPr>
        <w:t>s</w:t>
      </w:r>
      <w:r w:rsidR="00343C18">
        <w:rPr>
          <w:rFonts w:ascii="Times New Roman" w:hAnsi="Times New Roman" w:cs="Times New Roman"/>
          <w:sz w:val="24"/>
          <w:szCs w:val="24"/>
        </w:rPr>
        <w:t>tructure</w:t>
      </w:r>
      <w:r w:rsidR="00970424">
        <w:rPr>
          <w:rFonts w:ascii="Times New Roman" w:hAnsi="Times New Roman" w:cs="Times New Roman"/>
          <w:sz w:val="24"/>
          <w:szCs w:val="24"/>
        </w:rPr>
        <w:t xml:space="preserve">s and </w:t>
      </w:r>
      <w:r w:rsidR="00D95CBB">
        <w:rPr>
          <w:rFonts w:ascii="Times New Roman" w:hAnsi="Times New Roman" w:cs="Times New Roman"/>
          <w:sz w:val="24"/>
          <w:szCs w:val="24"/>
        </w:rPr>
        <w:t>strateg</w:t>
      </w:r>
      <w:r w:rsidR="00970424">
        <w:rPr>
          <w:rFonts w:ascii="Times New Roman" w:hAnsi="Times New Roman" w:cs="Times New Roman"/>
          <w:sz w:val="24"/>
          <w:szCs w:val="24"/>
        </w:rPr>
        <w:t>ies</w:t>
      </w:r>
      <w:r w:rsidR="00343C18">
        <w:rPr>
          <w:rFonts w:ascii="Times New Roman" w:hAnsi="Times New Roman" w:cs="Times New Roman"/>
          <w:sz w:val="24"/>
          <w:szCs w:val="24"/>
        </w:rPr>
        <w:t>; management, boards of directors, and team</w:t>
      </w:r>
      <w:r w:rsidR="000F6712">
        <w:rPr>
          <w:rFonts w:ascii="Times New Roman" w:hAnsi="Times New Roman" w:cs="Times New Roman"/>
          <w:sz w:val="24"/>
          <w:szCs w:val="24"/>
        </w:rPr>
        <w:t xml:space="preserve"> production</w:t>
      </w:r>
      <w:r w:rsidR="00343C18">
        <w:rPr>
          <w:rFonts w:ascii="Times New Roman" w:hAnsi="Times New Roman" w:cs="Times New Roman"/>
          <w:sz w:val="24"/>
          <w:szCs w:val="24"/>
        </w:rPr>
        <w:t>;</w:t>
      </w:r>
      <w:r w:rsidR="00BB046C">
        <w:rPr>
          <w:rFonts w:ascii="Times New Roman" w:hAnsi="Times New Roman" w:cs="Times New Roman"/>
          <w:sz w:val="24"/>
          <w:szCs w:val="24"/>
        </w:rPr>
        <w:t xml:space="preserve"> </w:t>
      </w:r>
      <w:r w:rsidR="00343C18">
        <w:rPr>
          <w:rFonts w:ascii="Times New Roman" w:hAnsi="Times New Roman" w:cs="Times New Roman"/>
          <w:sz w:val="24"/>
          <w:szCs w:val="24"/>
        </w:rPr>
        <w:t>specific</w:t>
      </w:r>
      <w:r w:rsidR="000F6712">
        <w:rPr>
          <w:rFonts w:ascii="Times New Roman" w:hAnsi="Times New Roman" w:cs="Times New Roman"/>
          <w:sz w:val="24"/>
          <w:szCs w:val="24"/>
        </w:rPr>
        <w:t>,</w:t>
      </w:r>
      <w:r w:rsidR="00343C18">
        <w:rPr>
          <w:rFonts w:ascii="Times New Roman" w:hAnsi="Times New Roman" w:cs="Times New Roman"/>
          <w:sz w:val="24"/>
          <w:szCs w:val="24"/>
        </w:rPr>
        <w:t xml:space="preserve"> non-</w:t>
      </w:r>
      <w:r w:rsidR="000F6712">
        <w:rPr>
          <w:rFonts w:ascii="Times New Roman" w:hAnsi="Times New Roman" w:cs="Times New Roman"/>
          <w:sz w:val="24"/>
          <w:szCs w:val="24"/>
        </w:rPr>
        <w:t>d</w:t>
      </w:r>
      <w:r w:rsidR="00343C18">
        <w:rPr>
          <w:rFonts w:ascii="Times New Roman" w:hAnsi="Times New Roman" w:cs="Times New Roman"/>
          <w:sz w:val="24"/>
          <w:szCs w:val="24"/>
        </w:rPr>
        <w:t>eployable capital</w:t>
      </w:r>
      <w:r w:rsidR="00820F93">
        <w:rPr>
          <w:rFonts w:ascii="Times New Roman" w:hAnsi="Times New Roman" w:cs="Times New Roman"/>
          <w:sz w:val="24"/>
          <w:szCs w:val="24"/>
        </w:rPr>
        <w:t xml:space="preserve"> </w:t>
      </w:r>
      <w:r w:rsidR="00101831">
        <w:rPr>
          <w:rFonts w:ascii="Times New Roman" w:hAnsi="Times New Roman" w:cs="Times New Roman"/>
          <w:sz w:val="24"/>
          <w:szCs w:val="24"/>
        </w:rPr>
        <w:t>and</w:t>
      </w:r>
      <w:r w:rsidR="00820F93">
        <w:rPr>
          <w:rFonts w:ascii="Times New Roman" w:hAnsi="Times New Roman" w:cs="Times New Roman"/>
          <w:sz w:val="24"/>
          <w:szCs w:val="24"/>
        </w:rPr>
        <w:t xml:space="preserve"> </w:t>
      </w:r>
      <w:r w:rsidR="00101831">
        <w:rPr>
          <w:rFonts w:ascii="Times New Roman" w:hAnsi="Times New Roman" w:cs="Times New Roman"/>
          <w:sz w:val="24"/>
          <w:szCs w:val="24"/>
        </w:rPr>
        <w:t xml:space="preserve">information </w:t>
      </w:r>
      <w:r w:rsidR="00820F93">
        <w:rPr>
          <w:rFonts w:ascii="Times New Roman" w:hAnsi="Times New Roman" w:cs="Times New Roman"/>
          <w:sz w:val="24"/>
          <w:szCs w:val="24"/>
        </w:rPr>
        <w:t>impactedness</w:t>
      </w:r>
      <w:r w:rsidR="000F6712">
        <w:rPr>
          <w:rFonts w:ascii="Times New Roman" w:hAnsi="Times New Roman" w:cs="Times New Roman"/>
          <w:sz w:val="24"/>
          <w:szCs w:val="24"/>
        </w:rPr>
        <w:t xml:space="preserve">; as well as </w:t>
      </w:r>
      <w:r w:rsidR="00343C18">
        <w:rPr>
          <w:rFonts w:ascii="Times New Roman" w:hAnsi="Times New Roman" w:cs="Times New Roman"/>
          <w:sz w:val="24"/>
          <w:szCs w:val="24"/>
        </w:rPr>
        <w:t>market</w:t>
      </w:r>
      <w:r>
        <w:rPr>
          <w:rFonts w:ascii="Times New Roman" w:hAnsi="Times New Roman" w:cs="Times New Roman"/>
          <w:sz w:val="24"/>
          <w:szCs w:val="24"/>
        </w:rPr>
        <w:t>s</w:t>
      </w:r>
      <w:r w:rsidR="00343C18">
        <w:rPr>
          <w:rFonts w:ascii="Times New Roman" w:hAnsi="Times New Roman" w:cs="Times New Roman"/>
          <w:sz w:val="24"/>
          <w:szCs w:val="24"/>
        </w:rPr>
        <w:t xml:space="preserve"> and anti-trust</w:t>
      </w:r>
      <w:r w:rsidR="000F6712">
        <w:rPr>
          <w:rFonts w:ascii="Times New Roman" w:hAnsi="Times New Roman" w:cs="Times New Roman"/>
          <w:sz w:val="24"/>
          <w:szCs w:val="24"/>
        </w:rPr>
        <w:t xml:space="preserve">. </w:t>
      </w:r>
      <w:r w:rsidR="00343C18">
        <w:rPr>
          <w:rFonts w:ascii="Times New Roman" w:hAnsi="Times New Roman" w:cs="Times New Roman"/>
          <w:sz w:val="24"/>
          <w:szCs w:val="24"/>
        </w:rPr>
        <w:t xml:space="preserve"> </w:t>
      </w:r>
      <w:r w:rsidR="00D919E2">
        <w:rPr>
          <w:rFonts w:ascii="Times New Roman" w:hAnsi="Times New Roman" w:cs="Times New Roman"/>
          <w:sz w:val="24"/>
          <w:szCs w:val="24"/>
        </w:rPr>
        <w:t>Because transaction costs constrain potentially</w:t>
      </w:r>
      <w:r w:rsidR="00970424">
        <w:rPr>
          <w:rFonts w:ascii="Times New Roman" w:hAnsi="Times New Roman" w:cs="Times New Roman"/>
          <w:sz w:val="24"/>
          <w:szCs w:val="24"/>
        </w:rPr>
        <w:t xml:space="preserve"> </w:t>
      </w:r>
      <w:r w:rsidR="00D919E2">
        <w:rPr>
          <w:rFonts w:ascii="Times New Roman" w:hAnsi="Times New Roman" w:cs="Times New Roman"/>
          <w:sz w:val="24"/>
          <w:szCs w:val="24"/>
        </w:rPr>
        <w:t xml:space="preserve">profitable exchange, agents </w:t>
      </w:r>
      <w:r w:rsidR="00BB046C">
        <w:rPr>
          <w:rFonts w:ascii="Times New Roman" w:hAnsi="Times New Roman" w:cs="Times New Roman"/>
          <w:sz w:val="24"/>
          <w:szCs w:val="24"/>
        </w:rPr>
        <w:t>economize with institutional innovation</w:t>
      </w:r>
      <w:r w:rsidR="00D919E2">
        <w:rPr>
          <w:rFonts w:ascii="Times New Roman" w:hAnsi="Times New Roman" w:cs="Times New Roman"/>
          <w:sz w:val="24"/>
          <w:szCs w:val="24"/>
        </w:rPr>
        <w:t>,</w:t>
      </w:r>
      <w:r w:rsidR="004E2469">
        <w:rPr>
          <w:rFonts w:ascii="Times New Roman" w:hAnsi="Times New Roman" w:cs="Times New Roman"/>
          <w:sz w:val="24"/>
          <w:szCs w:val="24"/>
        </w:rPr>
        <w:t xml:space="preserve"> such as</w:t>
      </w:r>
      <w:r w:rsidR="00D919E2">
        <w:rPr>
          <w:rFonts w:ascii="Times New Roman" w:hAnsi="Times New Roman" w:cs="Times New Roman"/>
          <w:sz w:val="24"/>
          <w:szCs w:val="24"/>
        </w:rPr>
        <w:t xml:space="preserve"> vertical integration, </w:t>
      </w:r>
      <w:r w:rsidR="00BB046C">
        <w:rPr>
          <w:rFonts w:ascii="Times New Roman" w:hAnsi="Times New Roman" w:cs="Times New Roman"/>
          <w:sz w:val="24"/>
          <w:szCs w:val="24"/>
        </w:rPr>
        <w:t xml:space="preserve">relational contracts, </w:t>
      </w:r>
      <w:r w:rsidR="00D919E2">
        <w:rPr>
          <w:rFonts w:ascii="Times New Roman" w:hAnsi="Times New Roman" w:cs="Times New Roman"/>
          <w:sz w:val="24"/>
          <w:szCs w:val="24"/>
        </w:rPr>
        <w:t>and partitioning production within and outside firms.</w:t>
      </w:r>
      <w:r w:rsidR="00915E01">
        <w:rPr>
          <w:rStyle w:val="FootnoteReference"/>
          <w:rFonts w:ascii="Times New Roman" w:hAnsi="Times New Roman" w:cs="Times New Roman"/>
          <w:sz w:val="24"/>
          <w:szCs w:val="24"/>
        </w:rPr>
        <w:footnoteReference w:id="3"/>
      </w:r>
      <w:r w:rsidR="00D919E2">
        <w:rPr>
          <w:rFonts w:ascii="Times New Roman" w:hAnsi="Times New Roman" w:cs="Times New Roman"/>
          <w:sz w:val="24"/>
          <w:szCs w:val="24"/>
        </w:rPr>
        <w:t xml:space="preserve"> </w:t>
      </w:r>
      <w:r w:rsidR="009625BE">
        <w:rPr>
          <w:rFonts w:ascii="Times New Roman" w:hAnsi="Times New Roman" w:cs="Times New Roman"/>
          <w:sz w:val="24"/>
          <w:szCs w:val="24"/>
        </w:rPr>
        <w:t>S</w:t>
      </w:r>
      <w:r w:rsidR="00D305FA">
        <w:rPr>
          <w:rFonts w:ascii="Times New Roman" w:hAnsi="Times New Roman" w:cs="Times New Roman"/>
          <w:sz w:val="24"/>
          <w:szCs w:val="24"/>
        </w:rPr>
        <w:t>cholarship</w:t>
      </w:r>
      <w:r w:rsidR="009625BE">
        <w:rPr>
          <w:rFonts w:ascii="Times New Roman" w:hAnsi="Times New Roman" w:cs="Times New Roman"/>
          <w:sz w:val="24"/>
          <w:szCs w:val="24"/>
        </w:rPr>
        <w:t xml:space="preserve">, </w:t>
      </w:r>
      <w:r w:rsidR="00D95CBB">
        <w:rPr>
          <w:rFonts w:ascii="Times New Roman" w:hAnsi="Times New Roman" w:cs="Times New Roman"/>
          <w:sz w:val="24"/>
          <w:szCs w:val="24"/>
        </w:rPr>
        <w:t xml:space="preserve">anti-trust </w:t>
      </w:r>
      <w:r w:rsidR="009625BE">
        <w:rPr>
          <w:rFonts w:ascii="Times New Roman" w:hAnsi="Times New Roman" w:cs="Times New Roman"/>
          <w:sz w:val="24"/>
          <w:szCs w:val="24"/>
        </w:rPr>
        <w:t xml:space="preserve">policies, and the auctioning of the spectrum </w:t>
      </w:r>
      <w:r w:rsidR="007E5208">
        <w:rPr>
          <w:rFonts w:ascii="Times New Roman" w:hAnsi="Times New Roman" w:cs="Times New Roman"/>
          <w:sz w:val="24"/>
          <w:szCs w:val="24"/>
        </w:rPr>
        <w:t xml:space="preserve">have </w:t>
      </w:r>
      <w:r w:rsidR="009625BE">
        <w:rPr>
          <w:rFonts w:ascii="Times New Roman" w:hAnsi="Times New Roman" w:cs="Times New Roman"/>
          <w:sz w:val="24"/>
          <w:szCs w:val="24"/>
        </w:rPr>
        <w:t xml:space="preserve">been </w:t>
      </w:r>
      <w:r w:rsidR="0022447B">
        <w:rPr>
          <w:rFonts w:ascii="Times New Roman" w:hAnsi="Times New Roman" w:cs="Times New Roman"/>
          <w:sz w:val="24"/>
          <w:szCs w:val="24"/>
        </w:rPr>
        <w:t>stimulated by these arguments.</w:t>
      </w:r>
      <w:r w:rsidR="00D95CBB">
        <w:rPr>
          <w:rStyle w:val="FootnoteReference"/>
          <w:rFonts w:ascii="Times New Roman" w:hAnsi="Times New Roman" w:cs="Times New Roman"/>
          <w:sz w:val="24"/>
          <w:szCs w:val="24"/>
        </w:rPr>
        <w:footnoteReference w:id="4"/>
      </w:r>
      <w:r w:rsidR="00D95CBB">
        <w:rPr>
          <w:rFonts w:ascii="Times New Roman" w:hAnsi="Times New Roman" w:cs="Times New Roman"/>
          <w:sz w:val="24"/>
          <w:szCs w:val="24"/>
        </w:rPr>
        <w:t xml:space="preserve"> </w:t>
      </w:r>
    </w:p>
    <w:p w14:paraId="32DC9349" w14:textId="77777777" w:rsidR="00BC0C17" w:rsidRDefault="00D305FA" w:rsidP="00BA3DB6">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Coase’s other stream of analysis in </w:t>
      </w:r>
      <w:r w:rsidR="00330002" w:rsidRPr="005E4A89">
        <w:rPr>
          <w:rFonts w:ascii="Times New Roman" w:hAnsi="Times New Roman" w:cs="Times New Roman"/>
          <w:i/>
          <w:iCs/>
          <w:sz w:val="24"/>
          <w:szCs w:val="24"/>
        </w:rPr>
        <w:t xml:space="preserve">The Problem of Social Cost </w:t>
      </w:r>
      <w:r w:rsidR="005E5101">
        <w:rPr>
          <w:rFonts w:ascii="Times New Roman" w:hAnsi="Times New Roman" w:cs="Times New Roman"/>
          <w:sz w:val="24"/>
          <w:szCs w:val="24"/>
        </w:rPr>
        <w:t>(</w:t>
      </w:r>
      <w:r w:rsidR="00D05615">
        <w:rPr>
          <w:rFonts w:ascii="Times New Roman" w:hAnsi="Times New Roman" w:cs="Times New Roman"/>
          <w:sz w:val="24"/>
          <w:szCs w:val="24"/>
        </w:rPr>
        <w:t>1960</w:t>
      </w:r>
      <w:r w:rsidR="005E5101">
        <w:rPr>
          <w:rFonts w:ascii="Times New Roman" w:hAnsi="Times New Roman" w:cs="Times New Roman"/>
          <w:sz w:val="24"/>
          <w:szCs w:val="24"/>
        </w:rPr>
        <w:t>)</w:t>
      </w:r>
      <w:r>
        <w:rPr>
          <w:rFonts w:ascii="Times New Roman" w:hAnsi="Times New Roman" w:cs="Times New Roman"/>
          <w:sz w:val="24"/>
          <w:szCs w:val="24"/>
        </w:rPr>
        <w:t xml:space="preserve"> has not </w:t>
      </w:r>
      <w:r w:rsidR="00294F3D">
        <w:rPr>
          <w:rFonts w:ascii="Times New Roman" w:hAnsi="Times New Roman" w:cs="Times New Roman"/>
          <w:sz w:val="24"/>
          <w:szCs w:val="24"/>
        </w:rPr>
        <w:t xml:space="preserve">fared </w:t>
      </w:r>
      <w:r>
        <w:rPr>
          <w:rFonts w:ascii="Times New Roman" w:hAnsi="Times New Roman" w:cs="Times New Roman"/>
          <w:sz w:val="24"/>
          <w:szCs w:val="24"/>
        </w:rPr>
        <w:t xml:space="preserve">so </w:t>
      </w:r>
      <w:r w:rsidR="00294F3D">
        <w:rPr>
          <w:rFonts w:ascii="Times New Roman" w:hAnsi="Times New Roman" w:cs="Times New Roman"/>
          <w:sz w:val="24"/>
          <w:szCs w:val="24"/>
        </w:rPr>
        <w:t xml:space="preserve">well. </w:t>
      </w:r>
      <w:r w:rsidR="00E06A4C">
        <w:rPr>
          <w:rFonts w:ascii="Times New Roman" w:hAnsi="Times New Roman" w:cs="Times New Roman"/>
          <w:sz w:val="24"/>
          <w:szCs w:val="24"/>
        </w:rPr>
        <w:t>T</w:t>
      </w:r>
      <w:r>
        <w:rPr>
          <w:rFonts w:ascii="Times New Roman" w:hAnsi="Times New Roman" w:cs="Times New Roman"/>
          <w:sz w:val="24"/>
          <w:szCs w:val="24"/>
        </w:rPr>
        <w:t>he article</w:t>
      </w:r>
      <w:r w:rsidR="00D05615">
        <w:rPr>
          <w:rFonts w:ascii="Times New Roman" w:hAnsi="Times New Roman" w:cs="Times New Roman"/>
          <w:sz w:val="24"/>
          <w:szCs w:val="24"/>
        </w:rPr>
        <w:t xml:space="preserve"> is among the most cited in economics</w:t>
      </w:r>
      <w:r w:rsidR="00C6720E">
        <w:rPr>
          <w:rFonts w:ascii="Times New Roman" w:hAnsi="Times New Roman" w:cs="Times New Roman"/>
          <w:sz w:val="24"/>
          <w:szCs w:val="24"/>
        </w:rPr>
        <w:t xml:space="preserve"> and has stimulated extensive academic </w:t>
      </w:r>
      <w:r w:rsidR="009625BE">
        <w:rPr>
          <w:rFonts w:ascii="Times New Roman" w:hAnsi="Times New Roman" w:cs="Times New Roman"/>
          <w:sz w:val="24"/>
          <w:szCs w:val="24"/>
        </w:rPr>
        <w:t>discussion</w:t>
      </w:r>
      <w:r w:rsidR="00C6720E">
        <w:rPr>
          <w:rFonts w:ascii="Times New Roman" w:hAnsi="Times New Roman" w:cs="Times New Roman"/>
          <w:sz w:val="24"/>
          <w:szCs w:val="24"/>
        </w:rPr>
        <w:t xml:space="preserve"> (Medema 2020)</w:t>
      </w:r>
      <w:r w:rsidR="00E06A4C">
        <w:rPr>
          <w:rFonts w:ascii="Times New Roman" w:hAnsi="Times New Roman" w:cs="Times New Roman"/>
          <w:sz w:val="24"/>
          <w:szCs w:val="24"/>
        </w:rPr>
        <w:t xml:space="preserve">. </w:t>
      </w:r>
      <w:r w:rsidR="00C6720E">
        <w:rPr>
          <w:rFonts w:ascii="Times New Roman" w:hAnsi="Times New Roman" w:cs="Times New Roman"/>
          <w:sz w:val="24"/>
          <w:szCs w:val="24"/>
        </w:rPr>
        <w:t>Coase</w:t>
      </w:r>
      <w:r w:rsidR="00905603">
        <w:rPr>
          <w:rFonts w:ascii="Times New Roman" w:hAnsi="Times New Roman" w:cs="Times New Roman"/>
          <w:sz w:val="24"/>
          <w:szCs w:val="24"/>
        </w:rPr>
        <w:t xml:space="preserve"> conceptually illustrated </w:t>
      </w:r>
      <w:r w:rsidR="0009066D">
        <w:rPr>
          <w:rFonts w:ascii="Times New Roman" w:hAnsi="Times New Roman" w:cs="Times New Roman"/>
          <w:sz w:val="24"/>
          <w:szCs w:val="24"/>
        </w:rPr>
        <w:t xml:space="preserve">transaction cost efficiencies </w:t>
      </w:r>
      <w:r w:rsidR="0042636B">
        <w:rPr>
          <w:rFonts w:ascii="Times New Roman" w:hAnsi="Times New Roman" w:cs="Times New Roman"/>
          <w:sz w:val="24"/>
          <w:szCs w:val="24"/>
        </w:rPr>
        <w:t xml:space="preserve">in addressing externalities, </w:t>
      </w:r>
      <w:r w:rsidR="00905603">
        <w:rPr>
          <w:rFonts w:ascii="Times New Roman" w:hAnsi="Times New Roman" w:cs="Times New Roman"/>
          <w:sz w:val="24"/>
          <w:szCs w:val="24"/>
        </w:rPr>
        <w:t xml:space="preserve">an archetypal </w:t>
      </w:r>
      <w:r w:rsidR="0042636B">
        <w:rPr>
          <w:rFonts w:ascii="Times New Roman" w:hAnsi="Times New Roman" w:cs="Times New Roman"/>
          <w:sz w:val="24"/>
          <w:szCs w:val="24"/>
        </w:rPr>
        <w:t>example of market failure. He described how t</w:t>
      </w:r>
      <w:r w:rsidR="00CC0218">
        <w:rPr>
          <w:rFonts w:ascii="Times New Roman" w:hAnsi="Times New Roman" w:cs="Times New Roman"/>
          <w:sz w:val="24"/>
          <w:szCs w:val="24"/>
        </w:rPr>
        <w:t>he assignment of property rights and negotiation</w:t>
      </w:r>
      <w:r w:rsidR="0042636B">
        <w:rPr>
          <w:rFonts w:ascii="Times New Roman" w:hAnsi="Times New Roman" w:cs="Times New Roman"/>
          <w:sz w:val="24"/>
          <w:szCs w:val="24"/>
        </w:rPr>
        <w:t xml:space="preserve"> could mitigate externalities more efficiently than standard Pigouvian approaches. Even so, his framework </w:t>
      </w:r>
      <w:r w:rsidR="004D59A0">
        <w:rPr>
          <w:rFonts w:ascii="Times New Roman" w:hAnsi="Times New Roman" w:cs="Times New Roman"/>
          <w:sz w:val="24"/>
          <w:szCs w:val="24"/>
        </w:rPr>
        <w:t>is</w:t>
      </w:r>
      <w:r w:rsidR="00C6720E">
        <w:rPr>
          <w:rFonts w:ascii="Times New Roman" w:hAnsi="Times New Roman" w:cs="Times New Roman"/>
          <w:sz w:val="24"/>
          <w:szCs w:val="24"/>
        </w:rPr>
        <w:t xml:space="preserve"> </w:t>
      </w:r>
      <w:r w:rsidR="004E2469">
        <w:rPr>
          <w:rFonts w:ascii="Times New Roman" w:hAnsi="Times New Roman" w:cs="Times New Roman"/>
          <w:sz w:val="24"/>
          <w:szCs w:val="24"/>
        </w:rPr>
        <w:t>not</w:t>
      </w:r>
      <w:r w:rsidR="00FB00E1">
        <w:rPr>
          <w:rFonts w:ascii="Times New Roman" w:hAnsi="Times New Roman" w:cs="Times New Roman"/>
          <w:sz w:val="24"/>
          <w:szCs w:val="24"/>
        </w:rPr>
        <w:t xml:space="preserve"> primary </w:t>
      </w:r>
      <w:r w:rsidR="00C6720E">
        <w:rPr>
          <w:rFonts w:ascii="Times New Roman" w:hAnsi="Times New Roman" w:cs="Times New Roman"/>
          <w:sz w:val="24"/>
          <w:szCs w:val="24"/>
        </w:rPr>
        <w:t xml:space="preserve">in </w:t>
      </w:r>
      <w:r w:rsidR="004E2469">
        <w:rPr>
          <w:rFonts w:ascii="Times New Roman" w:hAnsi="Times New Roman" w:cs="Times New Roman"/>
          <w:i/>
          <w:iCs/>
          <w:sz w:val="24"/>
          <w:szCs w:val="24"/>
        </w:rPr>
        <w:t>any</w:t>
      </w:r>
      <w:r w:rsidR="00C6720E">
        <w:rPr>
          <w:rFonts w:ascii="Times New Roman" w:hAnsi="Times New Roman" w:cs="Times New Roman"/>
          <w:sz w:val="24"/>
          <w:szCs w:val="24"/>
        </w:rPr>
        <w:t xml:space="preserve"> US environmental and natural resource legislation enacted since 1970</w:t>
      </w:r>
      <w:r w:rsidR="00FB00E1">
        <w:rPr>
          <w:rFonts w:ascii="Times New Roman" w:hAnsi="Times New Roman" w:cs="Times New Roman"/>
          <w:sz w:val="24"/>
          <w:szCs w:val="24"/>
        </w:rPr>
        <w:t>.</w:t>
      </w:r>
      <w:r w:rsidR="00FB00E1">
        <w:rPr>
          <w:rStyle w:val="FootnoteReference"/>
          <w:rFonts w:ascii="Times New Roman" w:hAnsi="Times New Roman" w:cs="Times New Roman"/>
          <w:sz w:val="24"/>
          <w:szCs w:val="24"/>
        </w:rPr>
        <w:footnoteReference w:id="5"/>
      </w:r>
      <w:r w:rsidR="00FB00E1">
        <w:rPr>
          <w:rFonts w:ascii="Times New Roman" w:hAnsi="Times New Roman" w:cs="Times New Roman"/>
          <w:sz w:val="24"/>
          <w:szCs w:val="24"/>
        </w:rPr>
        <w:t xml:space="preserve"> </w:t>
      </w:r>
      <w:r w:rsidR="00294F3D">
        <w:rPr>
          <w:rFonts w:ascii="Times New Roman" w:hAnsi="Times New Roman" w:cs="Times New Roman"/>
          <w:sz w:val="24"/>
          <w:szCs w:val="24"/>
        </w:rPr>
        <w:t>While t</w:t>
      </w:r>
      <w:r w:rsidR="00FB00E1">
        <w:rPr>
          <w:rFonts w:ascii="Times New Roman" w:hAnsi="Times New Roman" w:cs="Times New Roman"/>
          <w:sz w:val="24"/>
          <w:szCs w:val="24"/>
        </w:rPr>
        <w:t xml:space="preserve">here </w:t>
      </w:r>
      <w:r w:rsidR="004E2469">
        <w:rPr>
          <w:rFonts w:ascii="Times New Roman" w:hAnsi="Times New Roman" w:cs="Times New Roman"/>
          <w:sz w:val="24"/>
          <w:szCs w:val="24"/>
        </w:rPr>
        <w:t>has been</w:t>
      </w:r>
      <w:r w:rsidR="00FB00E1">
        <w:rPr>
          <w:rFonts w:ascii="Times New Roman" w:hAnsi="Times New Roman" w:cs="Times New Roman"/>
          <w:sz w:val="24"/>
          <w:szCs w:val="24"/>
        </w:rPr>
        <w:t xml:space="preserve"> </w:t>
      </w:r>
      <w:r w:rsidR="00C6720E">
        <w:rPr>
          <w:rFonts w:ascii="Times New Roman" w:hAnsi="Times New Roman" w:cs="Times New Roman"/>
          <w:sz w:val="24"/>
          <w:szCs w:val="24"/>
        </w:rPr>
        <w:t xml:space="preserve">plenty of time for </w:t>
      </w:r>
      <w:r w:rsidR="00FE5B48">
        <w:rPr>
          <w:rFonts w:ascii="Times New Roman" w:hAnsi="Times New Roman" w:cs="Times New Roman"/>
          <w:sz w:val="24"/>
          <w:szCs w:val="24"/>
        </w:rPr>
        <w:t>his</w:t>
      </w:r>
      <w:r w:rsidR="009078F5">
        <w:rPr>
          <w:rFonts w:ascii="Times New Roman" w:hAnsi="Times New Roman" w:cs="Times New Roman"/>
          <w:sz w:val="24"/>
          <w:szCs w:val="24"/>
        </w:rPr>
        <w:t xml:space="preserve"> </w:t>
      </w:r>
      <w:r w:rsidR="00C6720E">
        <w:rPr>
          <w:rFonts w:ascii="Times New Roman" w:hAnsi="Times New Roman" w:cs="Times New Roman"/>
          <w:sz w:val="24"/>
          <w:szCs w:val="24"/>
        </w:rPr>
        <w:t>arguments to be incorporated</w:t>
      </w:r>
      <w:r w:rsidR="00294F3D">
        <w:rPr>
          <w:rFonts w:ascii="Times New Roman" w:hAnsi="Times New Roman" w:cs="Times New Roman"/>
          <w:sz w:val="24"/>
          <w:szCs w:val="24"/>
        </w:rPr>
        <w:t xml:space="preserve">, that </w:t>
      </w:r>
      <w:r w:rsidR="004E2469">
        <w:rPr>
          <w:rFonts w:ascii="Times New Roman" w:hAnsi="Times New Roman" w:cs="Times New Roman"/>
          <w:sz w:val="24"/>
          <w:szCs w:val="24"/>
        </w:rPr>
        <w:t>has</w:t>
      </w:r>
      <w:r w:rsidR="00294F3D">
        <w:rPr>
          <w:rFonts w:ascii="Times New Roman" w:hAnsi="Times New Roman" w:cs="Times New Roman"/>
          <w:sz w:val="24"/>
          <w:szCs w:val="24"/>
        </w:rPr>
        <w:t xml:space="preserve"> not </w:t>
      </w:r>
      <w:r w:rsidR="007E5208">
        <w:rPr>
          <w:rFonts w:ascii="Times New Roman" w:hAnsi="Times New Roman" w:cs="Times New Roman"/>
          <w:sz w:val="24"/>
          <w:szCs w:val="24"/>
        </w:rPr>
        <w:t>occurred</w:t>
      </w:r>
      <w:r w:rsidR="00E40ECE">
        <w:rPr>
          <w:rFonts w:ascii="Times New Roman" w:hAnsi="Times New Roman" w:cs="Times New Roman"/>
          <w:sz w:val="24"/>
          <w:szCs w:val="24"/>
        </w:rPr>
        <w:t xml:space="preserve">. </w:t>
      </w:r>
      <w:r w:rsidR="00294F3D">
        <w:rPr>
          <w:rFonts w:ascii="Times New Roman" w:hAnsi="Times New Roman" w:cs="Times New Roman"/>
          <w:sz w:val="24"/>
          <w:szCs w:val="24"/>
        </w:rPr>
        <w:t>Pigou</w:t>
      </w:r>
      <w:r w:rsidR="00905603">
        <w:rPr>
          <w:rFonts w:ascii="Times New Roman" w:hAnsi="Times New Roman" w:cs="Times New Roman"/>
          <w:sz w:val="24"/>
          <w:szCs w:val="24"/>
        </w:rPr>
        <w:t>vian</w:t>
      </w:r>
      <w:r w:rsidR="0042636B">
        <w:rPr>
          <w:rFonts w:ascii="Times New Roman" w:hAnsi="Times New Roman" w:cs="Times New Roman"/>
          <w:sz w:val="24"/>
          <w:szCs w:val="24"/>
        </w:rPr>
        <w:t xml:space="preserve"> regulation has </w:t>
      </w:r>
      <w:r w:rsidR="00294F3D">
        <w:rPr>
          <w:rFonts w:ascii="Times New Roman" w:hAnsi="Times New Roman" w:cs="Times New Roman"/>
          <w:sz w:val="24"/>
          <w:szCs w:val="24"/>
        </w:rPr>
        <w:t xml:space="preserve">remained </w:t>
      </w:r>
      <w:r w:rsidR="00BE307A">
        <w:rPr>
          <w:rFonts w:ascii="Times New Roman" w:hAnsi="Times New Roman" w:cs="Times New Roman"/>
          <w:sz w:val="24"/>
          <w:szCs w:val="24"/>
        </w:rPr>
        <w:t>dominant</w:t>
      </w:r>
      <w:r w:rsidR="00294F3D">
        <w:rPr>
          <w:rFonts w:ascii="Times New Roman" w:hAnsi="Times New Roman" w:cs="Times New Roman"/>
          <w:sz w:val="24"/>
          <w:szCs w:val="24"/>
        </w:rPr>
        <w:t xml:space="preserve">.  </w:t>
      </w:r>
    </w:p>
    <w:p w14:paraId="26413026" w14:textId="0B36DF1D" w:rsidR="00BA3DB6" w:rsidRDefault="00BA3DB6" w:rsidP="00BA3DB6">
      <w:pPr>
        <w:spacing w:after="0" w:line="360" w:lineRule="auto"/>
        <w:ind w:firstLine="720"/>
        <w:rPr>
          <w:rFonts w:ascii="Times New Roman" w:eastAsia="Times New Roman" w:hAnsi="Times New Roman" w:cs="Times New Roman"/>
          <w:color w:val="000000"/>
          <w:sz w:val="24"/>
        </w:rPr>
      </w:pPr>
      <w:r w:rsidRPr="00C7502B">
        <w:rPr>
          <w:rFonts w:ascii="Times New Roman" w:eastAsia="Times New Roman" w:hAnsi="Times New Roman" w:cs="Times New Roman"/>
          <w:color w:val="000000"/>
          <w:sz w:val="24"/>
        </w:rPr>
        <w:t>The objective</w:t>
      </w:r>
      <w:r>
        <w:rPr>
          <w:rFonts w:ascii="Times New Roman" w:eastAsia="Times New Roman" w:hAnsi="Times New Roman" w:cs="Times New Roman"/>
          <w:color w:val="000000"/>
          <w:sz w:val="24"/>
        </w:rPr>
        <w:t xml:space="preserve"> of</w:t>
      </w:r>
      <w:r w:rsidRPr="00C7502B">
        <w:rPr>
          <w:rFonts w:ascii="Times New Roman" w:eastAsia="Times New Roman" w:hAnsi="Times New Roman" w:cs="Times New Roman"/>
          <w:color w:val="000000"/>
          <w:sz w:val="24"/>
        </w:rPr>
        <w:t xml:space="preserve"> this paper is to explain why th</w:t>
      </w:r>
      <w:r>
        <w:rPr>
          <w:rFonts w:ascii="Times New Roman" w:eastAsia="Times New Roman" w:hAnsi="Times New Roman" w:cs="Times New Roman"/>
          <w:color w:val="000000"/>
          <w:sz w:val="24"/>
        </w:rPr>
        <w:t>is</w:t>
      </w:r>
      <w:r w:rsidRPr="00C7502B">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is the case</w:t>
      </w:r>
      <w:r w:rsidRPr="00C7502B">
        <w:rPr>
          <w:rFonts w:ascii="Times New Roman" w:eastAsia="Times New Roman" w:hAnsi="Times New Roman" w:cs="Times New Roman"/>
          <w:color w:val="000000"/>
          <w:sz w:val="24"/>
        </w:rPr>
        <w:t xml:space="preserve">, not to suggest a process for </w:t>
      </w:r>
      <w:r w:rsidR="00BE23D7" w:rsidRPr="00C7502B">
        <w:rPr>
          <w:rFonts w:ascii="Times New Roman" w:eastAsia="Times New Roman" w:hAnsi="Times New Roman" w:cs="Times New Roman"/>
          <w:color w:val="000000"/>
          <w:sz w:val="24"/>
        </w:rPr>
        <w:t>adopti</w:t>
      </w:r>
      <w:r w:rsidR="00BE23D7">
        <w:rPr>
          <w:rFonts w:ascii="Times New Roman" w:eastAsia="Times New Roman" w:hAnsi="Times New Roman" w:cs="Times New Roman"/>
          <w:color w:val="000000"/>
          <w:sz w:val="24"/>
        </w:rPr>
        <w:t>on which</w:t>
      </w:r>
      <w:r>
        <w:rPr>
          <w:rFonts w:ascii="Times New Roman" w:eastAsia="Times New Roman" w:hAnsi="Times New Roman" w:cs="Times New Roman"/>
          <w:color w:val="000000"/>
          <w:sz w:val="24"/>
        </w:rPr>
        <w:t xml:space="preserve"> Coase did not provide</w:t>
      </w:r>
      <w:r w:rsidRPr="00C7502B">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w:t>
      </w:r>
      <w:r w:rsidR="00101831">
        <w:rPr>
          <w:rFonts w:ascii="Times New Roman" w:eastAsia="Times New Roman" w:hAnsi="Times New Roman" w:cs="Times New Roman"/>
          <w:color w:val="000000"/>
          <w:sz w:val="24"/>
        </w:rPr>
        <w:t xml:space="preserve">The analysis also </w:t>
      </w:r>
      <w:r w:rsidR="00BC0C17">
        <w:rPr>
          <w:rFonts w:ascii="Times New Roman" w:eastAsia="Times New Roman" w:hAnsi="Times New Roman" w:cs="Times New Roman"/>
          <w:color w:val="000000"/>
          <w:sz w:val="24"/>
        </w:rPr>
        <w:t xml:space="preserve">concludes </w:t>
      </w:r>
      <w:r w:rsidR="00101831">
        <w:rPr>
          <w:rFonts w:ascii="Times New Roman" w:eastAsia="Times New Roman" w:hAnsi="Times New Roman" w:cs="Times New Roman"/>
          <w:color w:val="000000"/>
          <w:sz w:val="24"/>
        </w:rPr>
        <w:t xml:space="preserve">that rent-seeking in the political arena leads environmental regulation to be too extensive and too costly with ambiguous welfare implications. </w:t>
      </w:r>
      <w:r w:rsidR="00BC0C17">
        <w:rPr>
          <w:rFonts w:ascii="Times New Roman" w:eastAsia="Times New Roman" w:hAnsi="Times New Roman" w:cs="Times New Roman"/>
          <w:color w:val="000000"/>
          <w:sz w:val="24"/>
        </w:rPr>
        <w:t xml:space="preserve">By contrast, Coase’s framework was aimed unambiguously at transaction cost efficiencies for effectively confronting externalities.  </w:t>
      </w:r>
      <w:r w:rsidR="00101831">
        <w:rPr>
          <w:rFonts w:ascii="Times New Roman" w:eastAsia="Times New Roman" w:hAnsi="Times New Roman" w:cs="Times New Roman"/>
          <w:color w:val="000000"/>
          <w:sz w:val="24"/>
        </w:rPr>
        <w:t xml:space="preserve"> </w:t>
      </w:r>
    </w:p>
    <w:p w14:paraId="3B684070" w14:textId="69812835" w:rsidR="00B904D4" w:rsidRDefault="00454AAD" w:rsidP="00B904D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Transaction costs influence economic behavior and organizational innovation when they constrain pecuniary net returns or profitability. Efficient, albeit second-best, arrangements are the outcomes of agent efforts to mitigate their effects.  In the firm-level </w:t>
      </w:r>
      <w:r w:rsidR="00BE307A">
        <w:rPr>
          <w:rFonts w:ascii="Times New Roman" w:hAnsi="Times New Roman" w:cs="Times New Roman"/>
          <w:sz w:val="24"/>
          <w:szCs w:val="24"/>
        </w:rPr>
        <w:t>analysis</w:t>
      </w:r>
      <w:r>
        <w:rPr>
          <w:rFonts w:ascii="Times New Roman" w:hAnsi="Times New Roman" w:cs="Times New Roman"/>
          <w:sz w:val="24"/>
          <w:szCs w:val="24"/>
        </w:rPr>
        <w:t xml:space="preserve"> of Coase (1937, 1992) and Williamson (1975, 1986, 1996), there is less opportunity for partisan rent-seeking via government intervention than exists in Coase’s (1960) externality policy arena.</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w:t>
      </w:r>
      <w:r w:rsidR="00B904D4">
        <w:rPr>
          <w:rFonts w:ascii="Times New Roman" w:hAnsi="Times New Roman" w:cs="Times New Roman"/>
          <w:sz w:val="24"/>
          <w:szCs w:val="24"/>
        </w:rPr>
        <w:t xml:space="preserve">Indeed, economizing on transaction costs plays little or no apparent role in underlying environmental policies. </w:t>
      </w:r>
      <w:r w:rsidR="00BA3DB6" w:rsidRPr="00861AA7">
        <w:rPr>
          <w:rFonts w:ascii="Times New Roman" w:eastAsia="Times New Roman" w:hAnsi="Times New Roman" w:cs="Times New Roman"/>
          <w:color w:val="222222"/>
          <w:kern w:val="0"/>
          <w:sz w:val="24"/>
          <w:szCs w:val="24"/>
          <w14:ligatures w14:val="none"/>
        </w:rPr>
        <w:t>So then, why not Coase?</w:t>
      </w:r>
    </w:p>
    <w:p w14:paraId="43DB89C4" w14:textId="47539B11" w:rsidR="0031219B" w:rsidRDefault="004332F7" w:rsidP="0031219B">
      <w:pPr>
        <w:spacing w:after="0" w:line="360" w:lineRule="auto"/>
        <w:ind w:firstLine="720"/>
        <w:rPr>
          <w:rFonts w:ascii="Times New Roman" w:eastAsia="Times New Roman" w:hAnsi="Times New Roman" w:cs="Times New Roman"/>
          <w:kern w:val="0"/>
          <w:sz w:val="24"/>
          <w:szCs w:val="24"/>
          <w14:ligatures w14:val="none"/>
        </w:rPr>
      </w:pPr>
      <w:r w:rsidRPr="00861AA7">
        <w:rPr>
          <w:rFonts w:ascii="Times New Roman" w:eastAsia="Times New Roman" w:hAnsi="Times New Roman" w:cs="Times New Roman"/>
          <w:color w:val="222222"/>
          <w:kern w:val="0"/>
          <w:sz w:val="24"/>
          <w:szCs w:val="24"/>
          <w14:ligatures w14:val="none"/>
        </w:rPr>
        <w:t xml:space="preserve">The answer is the attraction of rents to politicians, agency officials, environmental NGO members, and natural scientists (not economists who have no clear record in early </w:t>
      </w:r>
      <w:r w:rsidR="0031219B">
        <w:rPr>
          <w:rFonts w:ascii="Times New Roman" w:eastAsia="Times New Roman" w:hAnsi="Times New Roman" w:cs="Times New Roman"/>
          <w:color w:val="222222"/>
          <w:kern w:val="0"/>
          <w:sz w:val="24"/>
          <w:szCs w:val="24"/>
          <w14:ligatures w14:val="none"/>
        </w:rPr>
        <w:t>policy drafting</w:t>
      </w:r>
      <w:r w:rsidRPr="00861AA7">
        <w:rPr>
          <w:rFonts w:ascii="Times New Roman" w:eastAsia="Times New Roman" w:hAnsi="Times New Roman" w:cs="Times New Roman"/>
          <w:color w:val="222222"/>
          <w:kern w:val="0"/>
          <w:sz w:val="24"/>
          <w:szCs w:val="24"/>
          <w14:ligatures w14:val="none"/>
        </w:rPr>
        <w:t xml:space="preserve">), </w:t>
      </w:r>
      <w:r>
        <w:rPr>
          <w:rFonts w:ascii="Times New Roman" w:eastAsia="Times New Roman" w:hAnsi="Times New Roman" w:cs="Times New Roman"/>
          <w:color w:val="222222"/>
          <w:kern w:val="0"/>
          <w:sz w:val="24"/>
          <w:szCs w:val="24"/>
          <w14:ligatures w14:val="none"/>
        </w:rPr>
        <w:t xml:space="preserve">that </w:t>
      </w:r>
      <w:r w:rsidRPr="00861AA7">
        <w:rPr>
          <w:rFonts w:ascii="Times New Roman" w:eastAsia="Times New Roman" w:hAnsi="Times New Roman" w:cs="Times New Roman"/>
          <w:color w:val="222222"/>
          <w:kern w:val="0"/>
          <w:sz w:val="24"/>
          <w:szCs w:val="24"/>
          <w14:ligatures w14:val="none"/>
        </w:rPr>
        <w:t>displace</w:t>
      </w:r>
      <w:r>
        <w:rPr>
          <w:rFonts w:ascii="Times New Roman" w:eastAsia="Times New Roman" w:hAnsi="Times New Roman" w:cs="Times New Roman"/>
          <w:color w:val="222222"/>
          <w:kern w:val="0"/>
          <w:sz w:val="24"/>
          <w:szCs w:val="24"/>
          <w14:ligatures w14:val="none"/>
        </w:rPr>
        <w:t>s</w:t>
      </w:r>
      <w:r w:rsidRPr="00861AA7">
        <w:rPr>
          <w:rFonts w:ascii="Times New Roman" w:eastAsia="Times New Roman" w:hAnsi="Times New Roman" w:cs="Times New Roman"/>
          <w:color w:val="222222"/>
          <w:kern w:val="0"/>
          <w:sz w:val="24"/>
          <w:szCs w:val="24"/>
          <w14:ligatures w14:val="none"/>
        </w:rPr>
        <w:t xml:space="preserve"> demand for economic property rights</w:t>
      </w:r>
      <w:r>
        <w:rPr>
          <w:rFonts w:ascii="Times New Roman" w:eastAsia="Times New Roman" w:hAnsi="Times New Roman" w:cs="Times New Roman"/>
          <w:color w:val="222222"/>
          <w:kern w:val="0"/>
          <w:sz w:val="24"/>
          <w:szCs w:val="24"/>
          <w14:ligatures w14:val="none"/>
        </w:rPr>
        <w:t xml:space="preserve"> and markets</w:t>
      </w:r>
      <w:r w:rsidRPr="00861AA7">
        <w:rPr>
          <w:rFonts w:ascii="Times New Roman" w:eastAsia="Times New Roman" w:hAnsi="Times New Roman" w:cs="Times New Roman"/>
          <w:color w:val="222222"/>
          <w:kern w:val="0"/>
          <w:sz w:val="24"/>
          <w:szCs w:val="24"/>
          <w14:ligatures w14:val="none"/>
        </w:rPr>
        <w:t xml:space="preserve">. </w:t>
      </w:r>
      <w:r>
        <w:rPr>
          <w:rFonts w:ascii="Times New Roman" w:eastAsia="Times New Roman" w:hAnsi="Times New Roman" w:cs="Times New Roman"/>
          <w:color w:val="222222"/>
          <w:kern w:val="0"/>
          <w:sz w:val="24"/>
          <w:szCs w:val="24"/>
          <w14:ligatures w14:val="none"/>
        </w:rPr>
        <w:t xml:space="preserve">These agents receive </w:t>
      </w:r>
      <w:r w:rsidRPr="00861AA7">
        <w:rPr>
          <w:rFonts w:ascii="Times New Roman" w:eastAsia="Times New Roman" w:hAnsi="Times New Roman" w:cs="Times New Roman"/>
          <w:color w:val="222222"/>
          <w:kern w:val="0"/>
          <w:sz w:val="24"/>
          <w:szCs w:val="24"/>
          <w14:ligatures w14:val="none"/>
        </w:rPr>
        <w:t xml:space="preserve">politically- and </w:t>
      </w:r>
      <w:r w:rsidR="00BE307A" w:rsidRPr="00861AA7">
        <w:rPr>
          <w:rFonts w:ascii="Times New Roman" w:eastAsia="Times New Roman" w:hAnsi="Times New Roman" w:cs="Times New Roman"/>
          <w:color w:val="222222"/>
          <w:kern w:val="0"/>
          <w:sz w:val="24"/>
          <w:szCs w:val="24"/>
          <w14:ligatures w14:val="none"/>
        </w:rPr>
        <w:t>philosophically</w:t>
      </w:r>
      <w:r w:rsidR="00BE307A">
        <w:rPr>
          <w:rFonts w:ascii="Times New Roman" w:eastAsia="Times New Roman" w:hAnsi="Times New Roman" w:cs="Times New Roman"/>
          <w:color w:val="222222"/>
          <w:kern w:val="0"/>
          <w:sz w:val="24"/>
          <w:szCs w:val="24"/>
          <w14:ligatures w14:val="none"/>
        </w:rPr>
        <w:t xml:space="preserve"> desired</w:t>
      </w:r>
      <w:r w:rsidRPr="00861AA7">
        <w:rPr>
          <w:rFonts w:ascii="Times New Roman" w:eastAsia="Times New Roman" w:hAnsi="Times New Roman" w:cs="Times New Roman"/>
          <w:color w:val="222222"/>
          <w:kern w:val="0"/>
          <w:sz w:val="24"/>
          <w:szCs w:val="24"/>
          <w14:ligatures w14:val="none"/>
        </w:rPr>
        <w:t xml:space="preserve"> programs</w:t>
      </w:r>
      <w:r>
        <w:rPr>
          <w:rFonts w:ascii="Times New Roman" w:eastAsia="Times New Roman" w:hAnsi="Times New Roman" w:cs="Times New Roman"/>
          <w:color w:val="222222"/>
          <w:kern w:val="0"/>
          <w:sz w:val="24"/>
          <w:szCs w:val="24"/>
          <w14:ligatures w14:val="none"/>
        </w:rPr>
        <w:t xml:space="preserve">, advanced commercial positions, and </w:t>
      </w:r>
      <w:r w:rsidRPr="00861AA7">
        <w:rPr>
          <w:rFonts w:ascii="Times New Roman" w:eastAsia="Times New Roman" w:hAnsi="Times New Roman" w:cs="Times New Roman"/>
          <w:color w:val="222222"/>
          <w:kern w:val="0"/>
          <w:sz w:val="24"/>
          <w:szCs w:val="24"/>
          <w14:ligatures w14:val="none"/>
        </w:rPr>
        <w:t xml:space="preserve">the certainty of government regulatory mandates at low direct cost. </w:t>
      </w:r>
      <w:r>
        <w:rPr>
          <w:rFonts w:ascii="Times New Roman" w:eastAsia="Times New Roman" w:hAnsi="Times New Roman" w:cs="Times New Roman"/>
          <w:kern w:val="0"/>
          <w:sz w:val="24"/>
          <w:szCs w:val="24"/>
          <w14:ligatures w14:val="none"/>
        </w:rPr>
        <w:t>P</w:t>
      </w:r>
      <w:r w:rsidRPr="00DC7E1D">
        <w:rPr>
          <w:rFonts w:ascii="Times New Roman" w:eastAsia="Times New Roman" w:hAnsi="Times New Roman" w:cs="Times New Roman"/>
          <w:kern w:val="0"/>
          <w:sz w:val="24"/>
          <w:szCs w:val="24"/>
          <w14:ligatures w14:val="none"/>
        </w:rPr>
        <w:t xml:space="preserve">ublic goods </w:t>
      </w:r>
      <w:r w:rsidR="00BE307A">
        <w:rPr>
          <w:rFonts w:ascii="Times New Roman" w:eastAsia="Times New Roman" w:hAnsi="Times New Roman" w:cs="Times New Roman"/>
          <w:kern w:val="0"/>
          <w:sz w:val="24"/>
          <w:szCs w:val="24"/>
          <w14:ligatures w14:val="none"/>
        </w:rPr>
        <w:t>often</w:t>
      </w:r>
      <w:r w:rsidRPr="00DC7E1D">
        <w:rPr>
          <w:rFonts w:ascii="Times New Roman" w:eastAsia="Times New Roman" w:hAnsi="Times New Roman" w:cs="Times New Roman"/>
          <w:kern w:val="0"/>
          <w:sz w:val="24"/>
          <w:szCs w:val="24"/>
          <w14:ligatures w14:val="none"/>
        </w:rPr>
        <w:t xml:space="preserve"> </w:t>
      </w:r>
      <w:r w:rsidR="000C1BE4">
        <w:rPr>
          <w:rFonts w:ascii="Times New Roman" w:eastAsia="Times New Roman" w:hAnsi="Times New Roman" w:cs="Times New Roman"/>
          <w:kern w:val="0"/>
          <w:sz w:val="24"/>
          <w:szCs w:val="24"/>
          <w14:ligatures w14:val="none"/>
        </w:rPr>
        <w:t xml:space="preserve">are </w:t>
      </w:r>
      <w:r w:rsidRPr="00DC7E1D">
        <w:rPr>
          <w:rFonts w:ascii="Times New Roman" w:eastAsia="Times New Roman" w:hAnsi="Times New Roman" w:cs="Times New Roman"/>
          <w:kern w:val="0"/>
          <w:sz w:val="24"/>
          <w:szCs w:val="24"/>
          <w14:ligatures w14:val="none"/>
        </w:rPr>
        <w:t>provided, but at high</w:t>
      </w:r>
      <w:r>
        <w:rPr>
          <w:rFonts w:ascii="Times New Roman" w:eastAsia="Times New Roman" w:hAnsi="Times New Roman" w:cs="Times New Roman"/>
          <w:kern w:val="0"/>
          <w:sz w:val="24"/>
          <w:szCs w:val="24"/>
          <w14:ligatures w14:val="none"/>
        </w:rPr>
        <w:t>er</w:t>
      </w:r>
      <w:r w:rsidRPr="00DC7E1D">
        <w:rPr>
          <w:rFonts w:ascii="Times New Roman" w:eastAsia="Times New Roman" w:hAnsi="Times New Roman" w:cs="Times New Roman"/>
          <w:kern w:val="0"/>
          <w:sz w:val="24"/>
          <w:szCs w:val="24"/>
          <w14:ligatures w14:val="none"/>
        </w:rPr>
        <w:t xml:space="preserve"> </w:t>
      </w:r>
      <w:r w:rsidR="00CE70D2">
        <w:rPr>
          <w:rFonts w:ascii="Times New Roman" w:eastAsia="Times New Roman" w:hAnsi="Times New Roman" w:cs="Times New Roman"/>
          <w:kern w:val="0"/>
          <w:sz w:val="24"/>
          <w:szCs w:val="24"/>
          <w14:ligatures w14:val="none"/>
        </w:rPr>
        <w:t xml:space="preserve">total </w:t>
      </w:r>
      <w:r w:rsidRPr="00DC7E1D">
        <w:rPr>
          <w:rFonts w:ascii="Times New Roman" w:eastAsia="Times New Roman" w:hAnsi="Times New Roman" w:cs="Times New Roman"/>
          <w:kern w:val="0"/>
          <w:sz w:val="24"/>
          <w:szCs w:val="24"/>
          <w14:ligatures w14:val="none"/>
        </w:rPr>
        <w:t xml:space="preserve">cost </w:t>
      </w:r>
      <w:r>
        <w:rPr>
          <w:rFonts w:ascii="Times New Roman" w:eastAsia="Times New Roman" w:hAnsi="Times New Roman" w:cs="Times New Roman"/>
          <w:kern w:val="0"/>
          <w:sz w:val="24"/>
          <w:szCs w:val="24"/>
          <w14:ligatures w14:val="none"/>
        </w:rPr>
        <w:t xml:space="preserve">and with significant distributional impacts.  </w:t>
      </w:r>
      <w:r w:rsidR="0031219B">
        <w:rPr>
          <w:rFonts w:ascii="Times New Roman" w:eastAsia="Times New Roman" w:hAnsi="Times New Roman" w:cs="Times New Roman"/>
          <w:kern w:val="0"/>
          <w:sz w:val="24"/>
          <w:szCs w:val="24"/>
          <w14:ligatures w14:val="none"/>
        </w:rPr>
        <w:t xml:space="preserve">There is no inherent </w:t>
      </w:r>
      <w:r w:rsidR="00BE307A">
        <w:rPr>
          <w:rFonts w:ascii="Times New Roman" w:eastAsia="Times New Roman" w:hAnsi="Times New Roman" w:cs="Times New Roman"/>
          <w:kern w:val="0"/>
          <w:sz w:val="24"/>
          <w:szCs w:val="24"/>
          <w14:ligatures w14:val="none"/>
        </w:rPr>
        <w:t>balance</w:t>
      </w:r>
      <w:r w:rsidR="0031219B">
        <w:rPr>
          <w:rFonts w:ascii="Times New Roman" w:eastAsia="Times New Roman" w:hAnsi="Times New Roman" w:cs="Times New Roman"/>
          <w:kern w:val="0"/>
          <w:sz w:val="24"/>
          <w:szCs w:val="24"/>
          <w14:ligatures w14:val="none"/>
        </w:rPr>
        <w:t xml:space="preserve"> </w:t>
      </w:r>
      <w:r w:rsidR="0031219B">
        <w:rPr>
          <w:rFonts w:ascii="Times New Roman" w:eastAsia="Times New Roman" w:hAnsi="Times New Roman" w:cs="Times New Roman"/>
          <w:kern w:val="0"/>
          <w:sz w:val="24"/>
          <w:szCs w:val="24"/>
          <w14:ligatures w14:val="none"/>
        </w:rPr>
        <w:lastRenderedPageBreak/>
        <w:t>of marginal costs and benefits</w:t>
      </w:r>
      <w:r w:rsidR="00CE70D2">
        <w:rPr>
          <w:rFonts w:ascii="Times New Roman" w:eastAsia="Times New Roman" w:hAnsi="Times New Roman" w:cs="Times New Roman"/>
          <w:kern w:val="0"/>
          <w:sz w:val="24"/>
          <w:szCs w:val="24"/>
          <w14:ligatures w14:val="none"/>
        </w:rPr>
        <w:t xml:space="preserve">.  </w:t>
      </w:r>
      <w:r w:rsidR="00AA67CE">
        <w:rPr>
          <w:rFonts w:ascii="Times New Roman" w:eastAsia="Times New Roman" w:hAnsi="Times New Roman" w:cs="Times New Roman"/>
          <w:kern w:val="0"/>
          <w:sz w:val="24"/>
          <w:szCs w:val="24"/>
          <w14:ligatures w14:val="none"/>
        </w:rPr>
        <w:t>Accordingly, e</w:t>
      </w:r>
      <w:r w:rsidR="00AF4359">
        <w:rPr>
          <w:rFonts w:ascii="Times New Roman" w:eastAsia="Times New Roman" w:hAnsi="Times New Roman" w:cs="Times New Roman"/>
          <w:kern w:val="0"/>
          <w:sz w:val="24"/>
          <w:szCs w:val="24"/>
          <w14:ligatures w14:val="none"/>
        </w:rPr>
        <w:t>ven where aggregate benefits exceed aggregate costs, b</w:t>
      </w:r>
      <w:r w:rsidR="00AF4359">
        <w:rPr>
          <w:rFonts w:ascii="Times New Roman" w:hAnsi="Times New Roman" w:cs="Times New Roman"/>
          <w:sz w:val="24"/>
          <w:szCs w:val="24"/>
        </w:rPr>
        <w:t xml:space="preserve">road welfare </w:t>
      </w:r>
      <w:r w:rsidR="00B904D4">
        <w:rPr>
          <w:rFonts w:ascii="Times New Roman" w:hAnsi="Times New Roman" w:cs="Times New Roman"/>
          <w:sz w:val="24"/>
          <w:szCs w:val="24"/>
        </w:rPr>
        <w:t xml:space="preserve">net </w:t>
      </w:r>
      <w:r w:rsidR="00AF4359">
        <w:rPr>
          <w:rFonts w:ascii="Times New Roman" w:hAnsi="Times New Roman" w:cs="Times New Roman"/>
          <w:sz w:val="24"/>
          <w:szCs w:val="24"/>
        </w:rPr>
        <w:t>benefits are ambiguous.</w:t>
      </w:r>
      <w:r w:rsidR="00B904D4">
        <w:rPr>
          <w:rFonts w:ascii="Times New Roman" w:hAnsi="Times New Roman" w:cs="Times New Roman"/>
          <w:sz w:val="24"/>
          <w:szCs w:val="24"/>
        </w:rPr>
        <w:t xml:space="preserve"> </w:t>
      </w:r>
      <w:r w:rsidR="00CE70D2">
        <w:rPr>
          <w:rFonts w:ascii="Times New Roman" w:eastAsia="Times New Roman" w:hAnsi="Times New Roman" w:cs="Times New Roman"/>
          <w:kern w:val="0"/>
          <w:sz w:val="24"/>
          <w:szCs w:val="24"/>
          <w14:ligatures w14:val="none"/>
        </w:rPr>
        <w:t>W</w:t>
      </w:r>
      <w:r w:rsidR="0031219B">
        <w:rPr>
          <w:rFonts w:ascii="Times New Roman" w:eastAsia="Times New Roman" w:hAnsi="Times New Roman" w:cs="Times New Roman"/>
          <w:kern w:val="0"/>
          <w:sz w:val="24"/>
          <w:szCs w:val="24"/>
          <w14:ligatures w14:val="none"/>
        </w:rPr>
        <w:t xml:space="preserve">ith </w:t>
      </w:r>
      <w:r w:rsidR="00CE70D2">
        <w:rPr>
          <w:rFonts w:ascii="Times New Roman" w:eastAsia="Times New Roman" w:hAnsi="Times New Roman" w:cs="Times New Roman"/>
          <w:kern w:val="0"/>
          <w:sz w:val="24"/>
          <w:szCs w:val="24"/>
          <w14:ligatures w14:val="none"/>
        </w:rPr>
        <w:t xml:space="preserve">proponent </w:t>
      </w:r>
      <w:r w:rsidR="0031219B">
        <w:rPr>
          <w:rFonts w:ascii="Times New Roman" w:eastAsia="Times New Roman" w:hAnsi="Times New Roman" w:cs="Times New Roman"/>
          <w:kern w:val="0"/>
          <w:sz w:val="24"/>
          <w:szCs w:val="24"/>
          <w14:ligatures w14:val="none"/>
        </w:rPr>
        <w:t>rent</w:t>
      </w:r>
      <w:r w:rsidR="00B904D4">
        <w:rPr>
          <w:rFonts w:ascii="Times New Roman" w:eastAsia="Times New Roman" w:hAnsi="Times New Roman" w:cs="Times New Roman"/>
          <w:kern w:val="0"/>
          <w:sz w:val="24"/>
          <w:szCs w:val="24"/>
          <w14:ligatures w14:val="none"/>
        </w:rPr>
        <w:t>-</w:t>
      </w:r>
      <w:r w:rsidR="0031219B">
        <w:rPr>
          <w:rFonts w:ascii="Times New Roman" w:eastAsia="Times New Roman" w:hAnsi="Times New Roman" w:cs="Times New Roman"/>
          <w:kern w:val="0"/>
          <w:sz w:val="24"/>
          <w:szCs w:val="24"/>
          <w14:ligatures w14:val="none"/>
        </w:rPr>
        <w:t xml:space="preserve">seeking </w:t>
      </w:r>
      <w:r w:rsidR="00BC6650">
        <w:rPr>
          <w:rFonts w:ascii="Times New Roman" w:eastAsia="Times New Roman" w:hAnsi="Times New Roman" w:cs="Times New Roman"/>
          <w:kern w:val="0"/>
          <w:sz w:val="24"/>
          <w:szCs w:val="24"/>
          <w14:ligatures w14:val="none"/>
        </w:rPr>
        <w:t>incentives</w:t>
      </w:r>
      <w:r w:rsidR="0031219B">
        <w:rPr>
          <w:rFonts w:ascii="Times New Roman" w:eastAsia="Times New Roman" w:hAnsi="Times New Roman" w:cs="Times New Roman"/>
          <w:kern w:val="0"/>
          <w:sz w:val="24"/>
          <w:szCs w:val="24"/>
          <w14:ligatures w14:val="none"/>
        </w:rPr>
        <w:t xml:space="preserve">, environmental legislation is likely too extensive and costly than under a Coasean framework. </w:t>
      </w:r>
    </w:p>
    <w:p w14:paraId="0FB77A54" w14:textId="2D2AF88D" w:rsidR="00AB6B2D" w:rsidRPr="00692DD8" w:rsidRDefault="00CE70D2" w:rsidP="00AB6B2D">
      <w:pPr>
        <w:spacing w:after="0" w:line="360" w:lineRule="auto"/>
        <w:ind w:firstLine="720"/>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 xml:space="preserve">In </w:t>
      </w:r>
      <w:r w:rsidR="00BC6650">
        <w:rPr>
          <w:rFonts w:ascii="Times New Roman" w:eastAsia="Times New Roman" w:hAnsi="Times New Roman" w:cs="Times New Roman"/>
          <w:kern w:val="0"/>
          <w:sz w:val="24"/>
          <w:szCs w:val="24"/>
          <w14:ligatures w14:val="none"/>
        </w:rPr>
        <w:t>counter</w:t>
      </w:r>
      <w:r>
        <w:rPr>
          <w:rFonts w:ascii="Times New Roman" w:eastAsia="Times New Roman" w:hAnsi="Times New Roman" w:cs="Times New Roman"/>
          <w:kern w:val="0"/>
          <w:sz w:val="24"/>
          <w:szCs w:val="24"/>
          <w14:ligatures w14:val="none"/>
        </w:rPr>
        <w:t xml:space="preserve">ing </w:t>
      </w:r>
      <w:r w:rsidR="00AF4359">
        <w:rPr>
          <w:rFonts w:ascii="Times New Roman" w:eastAsia="Times New Roman" w:hAnsi="Times New Roman" w:cs="Times New Roman"/>
          <w:kern w:val="0"/>
          <w:sz w:val="24"/>
          <w:szCs w:val="24"/>
          <w14:ligatures w14:val="none"/>
        </w:rPr>
        <w:t>partisan rent seeking</w:t>
      </w:r>
      <w:r w:rsidR="00BC6650">
        <w:rPr>
          <w:rFonts w:ascii="Times New Roman" w:eastAsia="Times New Roman" w:hAnsi="Times New Roman" w:cs="Times New Roman"/>
          <w:kern w:val="0"/>
          <w:sz w:val="24"/>
          <w:szCs w:val="24"/>
          <w14:ligatures w14:val="none"/>
        </w:rPr>
        <w:t>, g</w:t>
      </w:r>
      <w:r w:rsidR="0031219B">
        <w:rPr>
          <w:rFonts w:ascii="Times New Roman" w:eastAsia="Times New Roman" w:hAnsi="Times New Roman" w:cs="Times New Roman"/>
          <w:kern w:val="0"/>
          <w:sz w:val="24"/>
          <w:szCs w:val="24"/>
          <w14:ligatures w14:val="none"/>
        </w:rPr>
        <w:t>eneral citizens are at a disadvantage because</w:t>
      </w:r>
      <w:r>
        <w:rPr>
          <w:rFonts w:ascii="Times New Roman" w:eastAsia="Times New Roman" w:hAnsi="Times New Roman" w:cs="Times New Roman"/>
          <w:kern w:val="0"/>
          <w:sz w:val="24"/>
          <w:szCs w:val="24"/>
          <w14:ligatures w14:val="none"/>
        </w:rPr>
        <w:t xml:space="preserve"> they </w:t>
      </w:r>
      <w:r w:rsidR="0031219B" w:rsidRPr="00DC7E1D">
        <w:rPr>
          <w:rFonts w:ascii="Times New Roman" w:eastAsia="Times New Roman" w:hAnsi="Times New Roman" w:cs="Times New Roman"/>
          <w:kern w:val="0"/>
          <w:sz w:val="24"/>
          <w:szCs w:val="24"/>
          <w14:ligatures w14:val="none"/>
        </w:rPr>
        <w:t xml:space="preserve">lack sufficient information to disentangle private and public </w:t>
      </w:r>
      <w:r>
        <w:rPr>
          <w:rFonts w:ascii="Times New Roman" w:eastAsia="Times New Roman" w:hAnsi="Times New Roman" w:cs="Times New Roman"/>
          <w:kern w:val="0"/>
          <w:sz w:val="24"/>
          <w:szCs w:val="24"/>
          <w14:ligatures w14:val="none"/>
        </w:rPr>
        <w:t xml:space="preserve">net </w:t>
      </w:r>
      <w:r w:rsidR="0031219B" w:rsidRPr="00DC7E1D">
        <w:rPr>
          <w:rFonts w:ascii="Times New Roman" w:eastAsia="Times New Roman" w:hAnsi="Times New Roman" w:cs="Times New Roman"/>
          <w:kern w:val="0"/>
          <w:sz w:val="24"/>
          <w:szCs w:val="24"/>
          <w14:ligatures w14:val="none"/>
        </w:rPr>
        <w:t xml:space="preserve">benefits as well as an ability to organize across multiple </w:t>
      </w:r>
      <w:r w:rsidR="00BA3DB6">
        <w:rPr>
          <w:rFonts w:ascii="Times New Roman" w:eastAsia="Times New Roman" w:hAnsi="Times New Roman" w:cs="Times New Roman"/>
          <w:kern w:val="0"/>
          <w:sz w:val="24"/>
          <w:szCs w:val="24"/>
          <w14:ligatures w14:val="none"/>
        </w:rPr>
        <w:t xml:space="preserve">group </w:t>
      </w:r>
      <w:r w:rsidR="0031219B" w:rsidRPr="00DC7E1D">
        <w:rPr>
          <w:rFonts w:ascii="Times New Roman" w:eastAsia="Times New Roman" w:hAnsi="Times New Roman" w:cs="Times New Roman"/>
          <w:kern w:val="0"/>
          <w:sz w:val="24"/>
          <w:szCs w:val="24"/>
          <w14:ligatures w14:val="none"/>
        </w:rPr>
        <w:t>heterogene</w:t>
      </w:r>
      <w:r w:rsidR="0031219B">
        <w:rPr>
          <w:rFonts w:ascii="Times New Roman" w:eastAsia="Times New Roman" w:hAnsi="Times New Roman" w:cs="Times New Roman"/>
          <w:kern w:val="0"/>
          <w:sz w:val="24"/>
          <w:szCs w:val="24"/>
          <w14:ligatures w14:val="none"/>
        </w:rPr>
        <w:t>ities</w:t>
      </w:r>
      <w:r>
        <w:rPr>
          <w:rFonts w:ascii="Times New Roman" w:eastAsia="Times New Roman" w:hAnsi="Times New Roman" w:cs="Times New Roman"/>
          <w:kern w:val="0"/>
          <w:sz w:val="24"/>
          <w:szCs w:val="24"/>
          <w14:ligatures w14:val="none"/>
        </w:rPr>
        <w:t xml:space="preserve">.  </w:t>
      </w:r>
      <w:r w:rsidR="0031219B" w:rsidRPr="00DC7E1D">
        <w:rPr>
          <w:rFonts w:ascii="Times New Roman" w:eastAsia="Times New Roman" w:hAnsi="Times New Roman" w:cs="Times New Roman"/>
          <w:kern w:val="0"/>
          <w:sz w:val="24"/>
          <w:szCs w:val="24"/>
          <w14:ligatures w14:val="none"/>
        </w:rPr>
        <w:t xml:space="preserve">As </w:t>
      </w:r>
      <w:r w:rsidR="0031219B">
        <w:rPr>
          <w:rFonts w:ascii="Times New Roman" w:eastAsia="Times New Roman" w:hAnsi="Times New Roman" w:cs="Times New Roman"/>
          <w:kern w:val="0"/>
          <w:sz w:val="24"/>
          <w:szCs w:val="24"/>
          <w14:ligatures w14:val="none"/>
        </w:rPr>
        <w:t xml:space="preserve">a result, </w:t>
      </w:r>
      <w:r w:rsidR="0031219B" w:rsidRPr="00DC7E1D">
        <w:rPr>
          <w:rFonts w:ascii="Times New Roman" w:eastAsia="Times New Roman" w:hAnsi="Times New Roman" w:cs="Times New Roman"/>
          <w:kern w:val="0"/>
          <w:sz w:val="24"/>
          <w:szCs w:val="24"/>
          <w14:ligatures w14:val="none"/>
        </w:rPr>
        <w:t xml:space="preserve">they receive some </w:t>
      </w:r>
      <w:r w:rsidR="00BE307A">
        <w:rPr>
          <w:rFonts w:ascii="Times New Roman" w:eastAsia="Times New Roman" w:hAnsi="Times New Roman" w:cs="Times New Roman"/>
          <w:kern w:val="0"/>
          <w:sz w:val="24"/>
          <w:szCs w:val="24"/>
          <w14:ligatures w14:val="none"/>
        </w:rPr>
        <w:t>public goods</w:t>
      </w:r>
      <w:r w:rsidR="0031219B" w:rsidRPr="00DC7E1D">
        <w:rPr>
          <w:rFonts w:ascii="Times New Roman" w:eastAsia="Times New Roman" w:hAnsi="Times New Roman" w:cs="Times New Roman"/>
          <w:kern w:val="0"/>
          <w:sz w:val="24"/>
          <w:szCs w:val="24"/>
          <w14:ligatures w14:val="none"/>
        </w:rPr>
        <w:t xml:space="preserve">, but at </w:t>
      </w:r>
      <w:r w:rsidR="0031219B">
        <w:rPr>
          <w:rFonts w:ascii="Times New Roman" w:eastAsia="Times New Roman" w:hAnsi="Times New Roman" w:cs="Times New Roman"/>
          <w:kern w:val="0"/>
          <w:sz w:val="24"/>
          <w:szCs w:val="24"/>
          <w14:ligatures w14:val="none"/>
        </w:rPr>
        <w:t xml:space="preserve">steeper </w:t>
      </w:r>
      <w:r w:rsidR="0031219B" w:rsidRPr="00DC7E1D">
        <w:rPr>
          <w:rFonts w:ascii="Times New Roman" w:eastAsia="Times New Roman" w:hAnsi="Times New Roman" w:cs="Times New Roman"/>
          <w:kern w:val="0"/>
          <w:sz w:val="24"/>
          <w:szCs w:val="24"/>
          <w14:ligatures w14:val="none"/>
        </w:rPr>
        <w:t>cost</w:t>
      </w:r>
      <w:r w:rsidR="0031219B">
        <w:rPr>
          <w:rFonts w:ascii="Times New Roman" w:eastAsia="Times New Roman" w:hAnsi="Times New Roman" w:cs="Times New Roman"/>
          <w:kern w:val="0"/>
          <w:sz w:val="24"/>
          <w:szCs w:val="24"/>
          <w14:ligatures w14:val="none"/>
        </w:rPr>
        <w:t xml:space="preserve">s.  </w:t>
      </w:r>
      <w:r w:rsidR="00AB6B2D">
        <w:rPr>
          <w:rFonts w:ascii="Times New Roman" w:eastAsia="Times New Roman" w:hAnsi="Times New Roman" w:cs="Times New Roman"/>
          <w:kern w:val="0"/>
          <w:sz w:val="24"/>
          <w:szCs w:val="24"/>
          <w14:ligatures w14:val="none"/>
        </w:rPr>
        <w:t>A</w:t>
      </w:r>
      <w:r w:rsidR="00AB6B2D">
        <w:rPr>
          <w:rFonts w:ascii="Times New Roman" w:hAnsi="Times New Roman" w:cs="Times New Roman"/>
          <w:sz w:val="24"/>
          <w:szCs w:val="24"/>
        </w:rPr>
        <w:t>ny negative welfare effects, unless very large, are difficult for citizens to discern and to oppose. Proponents have little interest in advertising such costs. Smaller, organized, and more homogeneous interests can promote desired programmatic outcomes, bearing primarily only lobby costs. In turn, they can promise political and bureaucratic supporters electoral and financial support. When there are competitive interest groups, politically</w:t>
      </w:r>
      <w:r w:rsidR="00BE307A">
        <w:rPr>
          <w:rFonts w:ascii="Times New Roman" w:hAnsi="Times New Roman" w:cs="Times New Roman"/>
          <w:sz w:val="24"/>
          <w:szCs w:val="24"/>
        </w:rPr>
        <w:t xml:space="preserve"> </w:t>
      </w:r>
      <w:r w:rsidR="00AB6B2D">
        <w:rPr>
          <w:rFonts w:ascii="Times New Roman" w:hAnsi="Times New Roman" w:cs="Times New Roman"/>
          <w:sz w:val="24"/>
          <w:szCs w:val="24"/>
        </w:rPr>
        <w:t xml:space="preserve">based rents are more limited, but when a single, prepared group dominates, </w:t>
      </w:r>
      <w:r w:rsidR="00AB6B2D" w:rsidRPr="00692DD8">
        <w:rPr>
          <w:rFonts w:ascii="Times New Roman" w:hAnsi="Times New Roman" w:cs="Times New Roman"/>
          <w:sz w:val="24"/>
          <w:szCs w:val="24"/>
        </w:rPr>
        <w:t>rent</w:t>
      </w:r>
      <w:r w:rsidR="00BE307A">
        <w:rPr>
          <w:rFonts w:ascii="Times New Roman" w:hAnsi="Times New Roman" w:cs="Times New Roman"/>
          <w:sz w:val="24"/>
          <w:szCs w:val="24"/>
        </w:rPr>
        <w:t xml:space="preserve"> </w:t>
      </w:r>
      <w:r w:rsidR="00AB6B2D" w:rsidRPr="00692DD8">
        <w:rPr>
          <w:rFonts w:ascii="Times New Roman" w:hAnsi="Times New Roman" w:cs="Times New Roman"/>
          <w:sz w:val="24"/>
          <w:szCs w:val="24"/>
        </w:rPr>
        <w:t xml:space="preserve">seeking </w:t>
      </w:r>
      <w:r w:rsidR="00B06C4F">
        <w:rPr>
          <w:rFonts w:ascii="Times New Roman" w:hAnsi="Times New Roman" w:cs="Times New Roman"/>
          <w:sz w:val="24"/>
          <w:szCs w:val="24"/>
        </w:rPr>
        <w:t xml:space="preserve">is </w:t>
      </w:r>
      <w:r w:rsidR="00AB6B2D" w:rsidRPr="00692DD8">
        <w:rPr>
          <w:rFonts w:ascii="Times New Roman" w:hAnsi="Times New Roman" w:cs="Times New Roman"/>
          <w:sz w:val="24"/>
          <w:szCs w:val="24"/>
        </w:rPr>
        <w:t>more extensive, costly, and secure across political cycles.</w:t>
      </w:r>
      <w:r w:rsidR="00AB6B2D" w:rsidRPr="00692DD8">
        <w:rPr>
          <w:rStyle w:val="FootnoteReference"/>
          <w:rFonts w:ascii="Times New Roman" w:hAnsi="Times New Roman" w:cs="Times New Roman"/>
          <w:sz w:val="24"/>
          <w:szCs w:val="24"/>
        </w:rPr>
        <w:footnoteReference w:id="7"/>
      </w:r>
      <w:r w:rsidR="00AB6B2D" w:rsidRPr="00692DD8">
        <w:rPr>
          <w:rFonts w:ascii="Times New Roman" w:hAnsi="Times New Roman" w:cs="Times New Roman"/>
          <w:sz w:val="24"/>
          <w:szCs w:val="24"/>
        </w:rPr>
        <w:t xml:space="preserve"> </w:t>
      </w:r>
    </w:p>
    <w:p w14:paraId="0BAF37E3" w14:textId="0F1C3194" w:rsidR="007C1042" w:rsidRPr="00692DD8" w:rsidRDefault="00AF6D62" w:rsidP="00AB6B2D">
      <w:pPr>
        <w:spacing w:after="0" w:line="360" w:lineRule="auto"/>
        <w:ind w:firstLine="720"/>
        <w:rPr>
          <w:rFonts w:ascii="Times New Roman" w:hAnsi="Times New Roman" w:cs="Times New Roman"/>
          <w:sz w:val="24"/>
          <w:szCs w:val="24"/>
        </w:rPr>
      </w:pPr>
      <w:r w:rsidRPr="00692DD8">
        <w:rPr>
          <w:rFonts w:ascii="Times New Roman" w:hAnsi="Times New Roman" w:cs="Times New Roman"/>
          <w:sz w:val="24"/>
          <w:szCs w:val="24"/>
        </w:rPr>
        <w:t xml:space="preserve">The conclusions </w:t>
      </w:r>
      <w:r w:rsidR="00692DD8" w:rsidRPr="00692DD8">
        <w:rPr>
          <w:rFonts w:ascii="Times New Roman" w:hAnsi="Times New Roman" w:cs="Times New Roman"/>
          <w:sz w:val="24"/>
          <w:szCs w:val="24"/>
        </w:rPr>
        <w:t xml:space="preserve">drawn </w:t>
      </w:r>
      <w:r w:rsidRPr="00692DD8">
        <w:rPr>
          <w:rFonts w:ascii="Times New Roman" w:hAnsi="Times New Roman" w:cs="Times New Roman"/>
          <w:sz w:val="24"/>
          <w:szCs w:val="24"/>
        </w:rPr>
        <w:t xml:space="preserve">are similar to </w:t>
      </w:r>
      <w:r w:rsidR="007C1042" w:rsidRPr="00692DD8">
        <w:rPr>
          <w:rFonts w:ascii="Times New Roman" w:hAnsi="Times New Roman" w:cs="Times New Roman"/>
          <w:sz w:val="24"/>
          <w:szCs w:val="24"/>
        </w:rPr>
        <w:t>Acemoglu</w:t>
      </w:r>
      <w:r w:rsidRPr="00692DD8">
        <w:rPr>
          <w:rFonts w:ascii="Times New Roman" w:hAnsi="Times New Roman" w:cs="Times New Roman"/>
          <w:sz w:val="24"/>
          <w:szCs w:val="24"/>
        </w:rPr>
        <w:t xml:space="preserve"> (2003)</w:t>
      </w:r>
      <w:r w:rsidR="00B904D4">
        <w:rPr>
          <w:rFonts w:ascii="Times New Roman" w:hAnsi="Times New Roman" w:cs="Times New Roman"/>
          <w:sz w:val="24"/>
          <w:szCs w:val="24"/>
        </w:rPr>
        <w:t>,</w:t>
      </w:r>
      <w:r w:rsidRPr="00692DD8">
        <w:rPr>
          <w:rFonts w:ascii="Times New Roman" w:hAnsi="Times New Roman" w:cs="Times New Roman"/>
          <w:sz w:val="24"/>
          <w:szCs w:val="24"/>
        </w:rPr>
        <w:t xml:space="preserve"> whereby </w:t>
      </w:r>
      <w:r w:rsidR="00692DD8" w:rsidRPr="00692DD8">
        <w:rPr>
          <w:rFonts w:ascii="Times New Roman" w:hAnsi="Times New Roman" w:cs="Times New Roman"/>
          <w:sz w:val="24"/>
          <w:szCs w:val="24"/>
        </w:rPr>
        <w:t>inefficient policies and institutions are prevalent</w:t>
      </w:r>
      <w:r w:rsidR="00692DD8">
        <w:rPr>
          <w:rFonts w:ascii="Times New Roman" w:hAnsi="Times New Roman" w:cs="Times New Roman"/>
          <w:sz w:val="24"/>
          <w:szCs w:val="24"/>
        </w:rPr>
        <w:t xml:space="preserve"> because </w:t>
      </w:r>
      <w:r w:rsidR="00692DD8" w:rsidRPr="00692DD8">
        <w:rPr>
          <w:rFonts w:ascii="Times New Roman" w:hAnsi="Times New Roman" w:cs="Times New Roman"/>
          <w:sz w:val="24"/>
          <w:szCs w:val="24"/>
        </w:rPr>
        <w:t xml:space="preserve">they serve the interests of politicians </w:t>
      </w:r>
      <w:r w:rsidR="00692DD8">
        <w:rPr>
          <w:rFonts w:ascii="Times New Roman" w:hAnsi="Times New Roman" w:cs="Times New Roman"/>
          <w:sz w:val="24"/>
          <w:szCs w:val="24"/>
        </w:rPr>
        <w:t xml:space="preserve">and influential </w:t>
      </w:r>
      <w:r w:rsidR="00020F78">
        <w:rPr>
          <w:rFonts w:ascii="Times New Roman" w:hAnsi="Times New Roman" w:cs="Times New Roman"/>
          <w:sz w:val="24"/>
          <w:szCs w:val="24"/>
        </w:rPr>
        <w:t xml:space="preserve">political </w:t>
      </w:r>
      <w:r w:rsidR="00B904D4">
        <w:rPr>
          <w:rFonts w:ascii="Times New Roman" w:hAnsi="Times New Roman" w:cs="Times New Roman"/>
          <w:sz w:val="24"/>
          <w:szCs w:val="24"/>
        </w:rPr>
        <w:t>parties</w:t>
      </w:r>
      <w:r w:rsidR="00692DD8">
        <w:rPr>
          <w:rFonts w:ascii="Times New Roman" w:hAnsi="Times New Roman" w:cs="Times New Roman"/>
          <w:sz w:val="24"/>
          <w:szCs w:val="24"/>
        </w:rPr>
        <w:t xml:space="preserve">. These institutions endure because of </w:t>
      </w:r>
      <w:r w:rsidR="00BE307A">
        <w:rPr>
          <w:rFonts w:ascii="Times New Roman" w:hAnsi="Times New Roman" w:cs="Times New Roman"/>
          <w:sz w:val="24"/>
          <w:szCs w:val="24"/>
        </w:rPr>
        <w:t xml:space="preserve">limited </w:t>
      </w:r>
      <w:r w:rsidR="00692DD8" w:rsidRPr="00692DD8">
        <w:rPr>
          <w:rFonts w:ascii="Times New Roman" w:hAnsi="Times New Roman" w:cs="Times New Roman"/>
          <w:sz w:val="24"/>
          <w:szCs w:val="24"/>
        </w:rPr>
        <w:t>commitment</w:t>
      </w:r>
      <w:r w:rsidR="00692DD8">
        <w:rPr>
          <w:rFonts w:ascii="Times New Roman" w:hAnsi="Times New Roman" w:cs="Times New Roman"/>
          <w:sz w:val="24"/>
          <w:szCs w:val="24"/>
        </w:rPr>
        <w:t xml:space="preserve"> among agents to adopt efficient arrangements. Contracts cannot be written to bind future</w:t>
      </w:r>
      <w:r w:rsidR="00020F78">
        <w:rPr>
          <w:rFonts w:ascii="Times New Roman" w:hAnsi="Times New Roman" w:cs="Times New Roman"/>
          <w:sz w:val="24"/>
          <w:szCs w:val="24"/>
        </w:rPr>
        <w:t>,</w:t>
      </w:r>
      <w:r w:rsidR="00692DD8">
        <w:rPr>
          <w:rFonts w:ascii="Times New Roman" w:hAnsi="Times New Roman" w:cs="Times New Roman"/>
          <w:sz w:val="24"/>
          <w:szCs w:val="24"/>
        </w:rPr>
        <w:t xml:space="preserve"> more beneficial actions. Enforcement is not possible.</w:t>
      </w:r>
      <w:r w:rsidR="001C08FD" w:rsidRPr="00692DD8">
        <w:rPr>
          <w:rStyle w:val="FootnoteReference"/>
          <w:rFonts w:ascii="Times New Roman" w:hAnsi="Times New Roman" w:cs="Times New Roman"/>
          <w:sz w:val="24"/>
          <w:szCs w:val="24"/>
        </w:rPr>
        <w:footnoteReference w:id="8"/>
      </w:r>
      <w:r w:rsidR="00020F78">
        <w:rPr>
          <w:rFonts w:ascii="Times New Roman" w:hAnsi="Times New Roman" w:cs="Times New Roman"/>
          <w:sz w:val="24"/>
          <w:szCs w:val="24"/>
        </w:rPr>
        <w:t xml:space="preserve"> The conclusion here, however, points to asymmetric information and differential collective action costs that place citizens at a disadvantage relative to special interests, politicians, and agency officials</w:t>
      </w:r>
      <w:r w:rsidR="00B904D4">
        <w:rPr>
          <w:rFonts w:ascii="Times New Roman" w:hAnsi="Times New Roman" w:cs="Times New Roman"/>
          <w:sz w:val="24"/>
          <w:szCs w:val="24"/>
        </w:rPr>
        <w:t>,</w:t>
      </w:r>
      <w:r w:rsidR="00020F78">
        <w:rPr>
          <w:rFonts w:ascii="Times New Roman" w:hAnsi="Times New Roman" w:cs="Times New Roman"/>
          <w:sz w:val="24"/>
          <w:szCs w:val="24"/>
        </w:rPr>
        <w:t xml:space="preserve"> who can use the political process to capture rents.</w:t>
      </w:r>
      <w:r w:rsidR="002F7D47">
        <w:rPr>
          <w:rStyle w:val="FootnoteReference"/>
          <w:rFonts w:ascii="Times New Roman" w:hAnsi="Times New Roman" w:cs="Times New Roman"/>
          <w:sz w:val="24"/>
          <w:szCs w:val="24"/>
        </w:rPr>
        <w:footnoteReference w:id="9"/>
      </w:r>
    </w:p>
    <w:p w14:paraId="7BB4F887" w14:textId="2BD0477A" w:rsidR="0031219B" w:rsidRDefault="0031219B" w:rsidP="0031219B">
      <w:pPr>
        <w:spacing w:after="0" w:line="360" w:lineRule="auto"/>
        <w:ind w:firstLine="720"/>
        <w:rPr>
          <w:rFonts w:ascii="Times New Roman" w:hAnsi="Times New Roman" w:cs="Times New Roman"/>
          <w:sz w:val="24"/>
          <w:szCs w:val="24"/>
        </w:rPr>
      </w:pPr>
      <w:r>
        <w:rPr>
          <w:rFonts w:ascii="Times New Roman" w:eastAsia="Times New Roman" w:hAnsi="Times New Roman" w:cs="Times New Roman"/>
          <w:color w:val="222222"/>
          <w:kern w:val="0"/>
          <w:sz w:val="24"/>
          <w:szCs w:val="24"/>
          <w14:ligatures w14:val="none"/>
        </w:rPr>
        <w:lastRenderedPageBreak/>
        <w:t>The US legislation described as Pigouvian i</w:t>
      </w:r>
      <w:r w:rsidRPr="00C7502B">
        <w:rPr>
          <w:rFonts w:ascii="Times New Roman" w:eastAsia="Times New Roman" w:hAnsi="Times New Roman" w:cs="Times New Roman"/>
          <w:color w:val="222222"/>
          <w:sz w:val="24"/>
        </w:rPr>
        <w:t>s a catch</w:t>
      </w:r>
      <w:r>
        <w:rPr>
          <w:rFonts w:ascii="Times New Roman" w:eastAsia="Times New Roman" w:hAnsi="Times New Roman" w:cs="Times New Roman"/>
          <w:color w:val="222222"/>
          <w:sz w:val="24"/>
        </w:rPr>
        <w:t>-</w:t>
      </w:r>
      <w:r w:rsidRPr="00C7502B">
        <w:rPr>
          <w:rFonts w:ascii="Times New Roman" w:eastAsia="Times New Roman" w:hAnsi="Times New Roman" w:cs="Times New Roman"/>
          <w:color w:val="222222"/>
          <w:sz w:val="24"/>
        </w:rPr>
        <w:t xml:space="preserve">all </w:t>
      </w:r>
      <w:r>
        <w:rPr>
          <w:rFonts w:ascii="Times New Roman" w:eastAsia="Times New Roman" w:hAnsi="Times New Roman" w:cs="Times New Roman"/>
          <w:color w:val="222222"/>
          <w:sz w:val="24"/>
        </w:rPr>
        <w:t xml:space="preserve">term </w:t>
      </w:r>
      <w:r w:rsidRPr="00C7502B">
        <w:rPr>
          <w:rFonts w:ascii="Times New Roman" w:eastAsia="Times New Roman" w:hAnsi="Times New Roman" w:cs="Times New Roman"/>
          <w:color w:val="222222"/>
          <w:sz w:val="24"/>
        </w:rPr>
        <w:t xml:space="preserve">that includes </w:t>
      </w:r>
      <w:r>
        <w:rPr>
          <w:rFonts w:ascii="Times New Roman" w:eastAsia="Times New Roman" w:hAnsi="Times New Roman" w:cs="Times New Roman"/>
          <w:color w:val="222222"/>
          <w:sz w:val="24"/>
        </w:rPr>
        <w:t>government-</w:t>
      </w:r>
      <w:r w:rsidRPr="00C7502B">
        <w:rPr>
          <w:rFonts w:ascii="Times New Roman" w:eastAsia="Times New Roman" w:hAnsi="Times New Roman" w:cs="Times New Roman"/>
          <w:color w:val="222222"/>
          <w:sz w:val="24"/>
        </w:rPr>
        <w:t xml:space="preserve">imposed </w:t>
      </w:r>
      <w:r>
        <w:rPr>
          <w:rFonts w:ascii="Times New Roman" w:eastAsia="Times New Roman" w:hAnsi="Times New Roman" w:cs="Times New Roman"/>
          <w:color w:val="222222"/>
          <w:sz w:val="24"/>
        </w:rPr>
        <w:t xml:space="preserve">regulatory </w:t>
      </w:r>
      <w:r w:rsidRPr="00C7502B">
        <w:rPr>
          <w:rFonts w:ascii="Times New Roman" w:eastAsia="Times New Roman" w:hAnsi="Times New Roman" w:cs="Times New Roman"/>
          <w:color w:val="222222"/>
          <w:sz w:val="24"/>
        </w:rPr>
        <w:t>mandates</w:t>
      </w:r>
      <w:r>
        <w:rPr>
          <w:rFonts w:ascii="Times New Roman" w:eastAsia="Times New Roman" w:hAnsi="Times New Roman" w:cs="Times New Roman"/>
          <w:color w:val="222222"/>
          <w:sz w:val="24"/>
        </w:rPr>
        <w:t xml:space="preserve"> and </w:t>
      </w:r>
      <w:r w:rsidR="00C50CB7">
        <w:rPr>
          <w:rFonts w:ascii="Times New Roman" w:eastAsia="Times New Roman" w:hAnsi="Times New Roman" w:cs="Times New Roman"/>
          <w:color w:val="222222"/>
          <w:sz w:val="24"/>
        </w:rPr>
        <w:t>fines but</w:t>
      </w:r>
      <w:r w:rsidRPr="00C7502B">
        <w:rPr>
          <w:rFonts w:ascii="Times New Roman" w:eastAsia="Times New Roman" w:hAnsi="Times New Roman" w:cs="Times New Roman"/>
          <w:color w:val="222222"/>
          <w:sz w:val="24"/>
        </w:rPr>
        <w:t xml:space="preserve"> does not rely upon taxes</w:t>
      </w:r>
      <w:r w:rsidRPr="00C7502B">
        <w:rPr>
          <w:rFonts w:ascii="Times New Roman" w:eastAsia="Times New Roman" w:hAnsi="Times New Roman" w:cs="Times New Roman"/>
          <w:color w:val="222222"/>
          <w:sz w:val="24"/>
          <w:szCs w:val="24"/>
        </w:rPr>
        <w:t>.</w:t>
      </w:r>
      <w:r w:rsidRPr="00C7502B">
        <w:rPr>
          <w:rFonts w:ascii="Times New Roman" w:eastAsia="Times New Roman" w:hAnsi="Times New Roman" w:cs="Times New Roman"/>
          <w:color w:val="222222"/>
          <w:sz w:val="24"/>
          <w:szCs w:val="24"/>
          <w:vertAlign w:val="superscript"/>
        </w:rPr>
        <w:footnoteReference w:id="10"/>
      </w:r>
      <w:r w:rsidRPr="00C7502B">
        <w:rPr>
          <w:rFonts w:ascii="Times New Roman" w:eastAsia="Times New Roman" w:hAnsi="Times New Roman" w:cs="Times New Roman"/>
          <w:color w:val="222222"/>
          <w:sz w:val="24"/>
          <w:szCs w:val="24"/>
        </w:rPr>
        <w:t xml:space="preserve"> </w:t>
      </w:r>
      <w:r w:rsidRPr="00C7502B">
        <w:rPr>
          <w:rFonts w:ascii="Times New Roman" w:eastAsia="Times New Roman" w:hAnsi="Times New Roman" w:cs="Times New Roman"/>
          <w:color w:val="222222"/>
          <w:kern w:val="0"/>
          <w:sz w:val="24"/>
          <w:szCs w:val="24"/>
          <w14:ligatures w14:val="none"/>
        </w:rPr>
        <w:t xml:space="preserve"> </w:t>
      </w:r>
      <w:r>
        <w:rPr>
          <w:rFonts w:ascii="Times New Roman" w:eastAsia="Times New Roman" w:hAnsi="Times New Roman" w:cs="Times New Roman"/>
          <w:color w:val="222222"/>
          <w:kern w:val="0"/>
          <w:sz w:val="24"/>
          <w:szCs w:val="24"/>
          <w14:ligatures w14:val="none"/>
        </w:rPr>
        <w:t>The</w:t>
      </w:r>
      <w:r w:rsidR="00B904D4">
        <w:rPr>
          <w:rFonts w:ascii="Times New Roman" w:eastAsia="Times New Roman" w:hAnsi="Times New Roman" w:cs="Times New Roman"/>
          <w:color w:val="222222"/>
          <w:kern w:val="0"/>
          <w:sz w:val="24"/>
          <w:szCs w:val="24"/>
          <w14:ligatures w14:val="none"/>
        </w:rPr>
        <w:t xml:space="preserve"> legislation </w:t>
      </w:r>
      <w:r w:rsidRPr="00C7502B">
        <w:rPr>
          <w:rFonts w:ascii="Times New Roman" w:hAnsi="Times New Roman" w:cs="Times New Roman"/>
          <w:color w:val="222222"/>
          <w:sz w:val="24"/>
          <w:szCs w:val="24"/>
        </w:rPr>
        <w:t>prescribe</w:t>
      </w:r>
      <w:r w:rsidR="00B904D4">
        <w:rPr>
          <w:rFonts w:ascii="Times New Roman" w:hAnsi="Times New Roman" w:cs="Times New Roman"/>
          <w:color w:val="222222"/>
          <w:sz w:val="24"/>
          <w:szCs w:val="24"/>
        </w:rPr>
        <w:t>s</w:t>
      </w:r>
      <w:r w:rsidRPr="00C7502B">
        <w:rPr>
          <w:rFonts w:ascii="Times New Roman" w:hAnsi="Times New Roman" w:cs="Times New Roman"/>
          <w:color w:val="222222"/>
          <w:sz w:val="24"/>
          <w:szCs w:val="24"/>
        </w:rPr>
        <w:t xml:space="preserve"> emission, discharge, land use, or production standards without compensation.  </w:t>
      </w:r>
      <w:r>
        <w:rPr>
          <w:rFonts w:ascii="Times New Roman" w:hAnsi="Times New Roman" w:cs="Times New Roman"/>
          <w:color w:val="222222"/>
          <w:sz w:val="24"/>
          <w:szCs w:val="24"/>
        </w:rPr>
        <w:t>W</w:t>
      </w:r>
      <w:r>
        <w:rPr>
          <w:rFonts w:ascii="Times New Roman" w:hAnsi="Times New Roman" w:cs="Times New Roman"/>
          <w:sz w:val="24"/>
          <w:szCs w:val="24"/>
        </w:rPr>
        <w:t xml:space="preserve">hile theoretically aimed at equating marginal private and social costs, lobby benefits and political returns are paramount in legislative histories, not </w:t>
      </w:r>
      <w:r w:rsidR="00C66FE1">
        <w:rPr>
          <w:rFonts w:ascii="Times New Roman" w:hAnsi="Times New Roman" w:cs="Times New Roman"/>
          <w:sz w:val="24"/>
          <w:szCs w:val="24"/>
        </w:rPr>
        <w:t xml:space="preserve">balancing incremental </w:t>
      </w:r>
      <w:r>
        <w:rPr>
          <w:rFonts w:ascii="Times New Roman" w:hAnsi="Times New Roman" w:cs="Times New Roman"/>
          <w:sz w:val="24"/>
          <w:szCs w:val="24"/>
        </w:rPr>
        <w:t xml:space="preserve">costs and benefits as is inherent in Coase. Cost/benefit analysis is not central in </w:t>
      </w:r>
      <w:r w:rsidR="006B46FE">
        <w:rPr>
          <w:rFonts w:ascii="Times New Roman" w:hAnsi="Times New Roman" w:cs="Times New Roman"/>
          <w:sz w:val="24"/>
          <w:szCs w:val="24"/>
        </w:rPr>
        <w:t xml:space="preserve">any </w:t>
      </w:r>
      <w:r>
        <w:rPr>
          <w:rFonts w:ascii="Times New Roman" w:hAnsi="Times New Roman" w:cs="Times New Roman"/>
          <w:sz w:val="24"/>
          <w:szCs w:val="24"/>
        </w:rPr>
        <w:t>policy design</w:t>
      </w:r>
      <w:r w:rsidR="006B46FE">
        <w:rPr>
          <w:rFonts w:ascii="Times New Roman" w:hAnsi="Times New Roman" w:cs="Times New Roman"/>
          <w:sz w:val="24"/>
          <w:szCs w:val="24"/>
        </w:rPr>
        <w:t>, although some occurs well after program inauguration</w:t>
      </w:r>
      <w:r>
        <w:rPr>
          <w:rFonts w:ascii="Times New Roman" w:hAnsi="Times New Roman" w:cs="Times New Roman"/>
          <w:sz w:val="24"/>
          <w:szCs w:val="24"/>
        </w:rPr>
        <w:t>. Costs do not play a critical role</w:t>
      </w:r>
      <w:r w:rsidR="00414F04">
        <w:rPr>
          <w:rFonts w:ascii="Times New Roman" w:hAnsi="Times New Roman" w:cs="Times New Roman"/>
          <w:sz w:val="24"/>
          <w:szCs w:val="24"/>
        </w:rPr>
        <w:t>, and in some cases</w:t>
      </w:r>
      <w:r w:rsidR="00AA67CE">
        <w:rPr>
          <w:rFonts w:ascii="Times New Roman" w:hAnsi="Times New Roman" w:cs="Times New Roman"/>
          <w:sz w:val="24"/>
          <w:szCs w:val="24"/>
        </w:rPr>
        <w:t xml:space="preserve"> cost considerations</w:t>
      </w:r>
      <w:r w:rsidR="00414F04">
        <w:rPr>
          <w:rFonts w:ascii="Times New Roman" w:hAnsi="Times New Roman" w:cs="Times New Roman"/>
          <w:sz w:val="24"/>
          <w:szCs w:val="24"/>
        </w:rPr>
        <w:t xml:space="preserve"> </w:t>
      </w:r>
      <w:r w:rsidRPr="00AA67CE">
        <w:rPr>
          <w:rFonts w:ascii="Times New Roman" w:hAnsi="Times New Roman" w:cs="Times New Roman"/>
          <w:i/>
          <w:iCs/>
          <w:sz w:val="24"/>
          <w:szCs w:val="24"/>
        </w:rPr>
        <w:t>are prohibited</w:t>
      </w:r>
      <w:r>
        <w:rPr>
          <w:rFonts w:ascii="Times New Roman" w:hAnsi="Times New Roman" w:cs="Times New Roman"/>
          <w:sz w:val="24"/>
          <w:szCs w:val="24"/>
        </w:rPr>
        <w:t xml:space="preserve"> in </w:t>
      </w:r>
      <w:r w:rsidR="006B46FE">
        <w:rPr>
          <w:rFonts w:ascii="Times New Roman" w:hAnsi="Times New Roman" w:cs="Times New Roman"/>
          <w:sz w:val="24"/>
          <w:szCs w:val="24"/>
        </w:rPr>
        <w:t>administration</w:t>
      </w:r>
      <w:r w:rsidR="00414F04">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B3AD733" w14:textId="025750F1" w:rsidR="000F56F7" w:rsidRDefault="00861AA7" w:rsidP="00764F21">
      <w:pPr>
        <w:spacing w:after="0" w:line="360" w:lineRule="auto"/>
        <w:ind w:firstLine="720"/>
        <w:rPr>
          <w:rFonts w:ascii="Times New Roman" w:eastAsia="Times New Roman" w:hAnsi="Times New Roman" w:cs="Times New Roman"/>
          <w:color w:val="222222"/>
          <w:kern w:val="0"/>
          <w:sz w:val="24"/>
          <w:szCs w:val="24"/>
          <w14:ligatures w14:val="none"/>
        </w:rPr>
      </w:pPr>
      <w:r w:rsidRPr="00861AA7">
        <w:rPr>
          <w:rFonts w:ascii="Times New Roman" w:eastAsia="Times New Roman" w:hAnsi="Times New Roman" w:cs="Times New Roman"/>
          <w:color w:val="222222"/>
          <w:kern w:val="0"/>
          <w:sz w:val="24"/>
          <w:szCs w:val="24"/>
          <w14:ligatures w14:val="none"/>
        </w:rPr>
        <w:t xml:space="preserve">The summary of US environmental policies here is not a criticism of them nor a dismissal of their benefits. Instead, it is an overview of how and why they do not incorporate Coasean </w:t>
      </w:r>
      <w:r w:rsidR="00AA67CE">
        <w:rPr>
          <w:rFonts w:ascii="Times New Roman" w:eastAsia="Times New Roman" w:hAnsi="Times New Roman" w:cs="Times New Roman"/>
          <w:color w:val="222222"/>
          <w:kern w:val="0"/>
          <w:sz w:val="24"/>
          <w:szCs w:val="24"/>
          <w14:ligatures w14:val="none"/>
        </w:rPr>
        <w:t>efficiencies</w:t>
      </w:r>
      <w:r w:rsidRPr="00861AA7">
        <w:rPr>
          <w:rFonts w:ascii="Times New Roman" w:eastAsia="Times New Roman" w:hAnsi="Times New Roman" w:cs="Times New Roman"/>
          <w:color w:val="222222"/>
          <w:kern w:val="0"/>
          <w:sz w:val="24"/>
          <w:szCs w:val="24"/>
          <w14:ligatures w14:val="none"/>
        </w:rPr>
        <w:t xml:space="preserve"> as their </w:t>
      </w:r>
      <w:r w:rsidR="00190CEB">
        <w:rPr>
          <w:rFonts w:ascii="Times New Roman" w:eastAsia="Times New Roman" w:hAnsi="Times New Roman" w:cs="Times New Roman"/>
          <w:color w:val="222222"/>
          <w:kern w:val="0"/>
          <w:sz w:val="24"/>
          <w:szCs w:val="24"/>
          <w14:ligatures w14:val="none"/>
        </w:rPr>
        <w:t xml:space="preserve">principal </w:t>
      </w:r>
      <w:r w:rsidRPr="00861AA7">
        <w:rPr>
          <w:rFonts w:ascii="Times New Roman" w:eastAsia="Times New Roman" w:hAnsi="Times New Roman" w:cs="Times New Roman"/>
          <w:color w:val="222222"/>
          <w:kern w:val="0"/>
          <w:sz w:val="24"/>
          <w:szCs w:val="24"/>
          <w14:ligatures w14:val="none"/>
        </w:rPr>
        <w:t xml:space="preserve">framework and what is lost as a result. Limited cap-and-trade policies are added late in some </w:t>
      </w:r>
      <w:r w:rsidR="007D4EC8">
        <w:rPr>
          <w:rFonts w:ascii="Times New Roman" w:eastAsia="Times New Roman" w:hAnsi="Times New Roman" w:cs="Times New Roman"/>
          <w:color w:val="222222"/>
          <w:kern w:val="0"/>
          <w:sz w:val="24"/>
          <w:szCs w:val="24"/>
          <w14:ligatures w14:val="none"/>
        </w:rPr>
        <w:t>policies</w:t>
      </w:r>
      <w:r w:rsidRPr="00861AA7">
        <w:rPr>
          <w:rFonts w:ascii="Times New Roman" w:eastAsia="Times New Roman" w:hAnsi="Times New Roman" w:cs="Times New Roman"/>
          <w:color w:val="222222"/>
          <w:kern w:val="0"/>
          <w:sz w:val="24"/>
          <w:szCs w:val="24"/>
          <w14:ligatures w14:val="none"/>
        </w:rPr>
        <w:t>, but those do not represent a restructuring of US externality regulations</w:t>
      </w:r>
      <w:r w:rsidR="00C50CB7">
        <w:rPr>
          <w:rFonts w:ascii="Times New Roman" w:eastAsia="Times New Roman" w:hAnsi="Times New Roman" w:cs="Times New Roman"/>
          <w:color w:val="222222"/>
          <w:kern w:val="0"/>
          <w:sz w:val="24"/>
          <w:szCs w:val="24"/>
          <w14:ligatures w14:val="none"/>
        </w:rPr>
        <w:t xml:space="preserve">, </w:t>
      </w:r>
      <w:r w:rsidR="006D72FD">
        <w:rPr>
          <w:rFonts w:ascii="Times New Roman" w:eastAsia="Times New Roman" w:hAnsi="Times New Roman" w:cs="Times New Roman"/>
          <w:color w:val="222222"/>
          <w:sz w:val="24"/>
          <w:szCs w:val="24"/>
        </w:rPr>
        <w:t>except in a very complex manner in fisheries</w:t>
      </w:r>
      <w:r w:rsidR="006D72FD">
        <w:rPr>
          <w:rFonts w:ascii="Times New Roman" w:eastAsia="Times New Roman" w:hAnsi="Times New Roman" w:cs="Times New Roman"/>
          <w:color w:val="222222"/>
          <w:sz w:val="24"/>
          <w:szCs w:val="24"/>
        </w:rPr>
        <w:t xml:space="preserve">, where they are adopted broadly 20 years after </w:t>
      </w:r>
      <w:r w:rsidR="00BB146A">
        <w:rPr>
          <w:rFonts w:ascii="Times New Roman" w:eastAsia="Times New Roman" w:hAnsi="Times New Roman" w:cs="Times New Roman"/>
          <w:color w:val="222222"/>
          <w:sz w:val="24"/>
          <w:szCs w:val="24"/>
        </w:rPr>
        <w:t xml:space="preserve">Magnuson-Stevens was enacted and 36 years after. They include </w:t>
      </w:r>
      <w:r w:rsidR="006D72FD">
        <w:rPr>
          <w:rFonts w:ascii="Times New Roman" w:eastAsia="Times New Roman" w:hAnsi="Times New Roman" w:cs="Times New Roman"/>
          <w:color w:val="222222"/>
          <w:sz w:val="24"/>
          <w:szCs w:val="24"/>
        </w:rPr>
        <w:t xml:space="preserve">explicit restrictions on their legality as a property right, assignment, and exchange. Overall, Coasean approaches </w:t>
      </w:r>
      <w:r w:rsidRPr="00861AA7">
        <w:rPr>
          <w:rFonts w:ascii="Times New Roman" w:eastAsia="Times New Roman" w:hAnsi="Times New Roman" w:cs="Times New Roman"/>
          <w:color w:val="222222"/>
          <w:kern w:val="0"/>
          <w:sz w:val="24"/>
          <w:szCs w:val="24"/>
          <w14:ligatures w14:val="none"/>
        </w:rPr>
        <w:t xml:space="preserve">are segments of </w:t>
      </w:r>
      <w:r w:rsidR="006D72FD">
        <w:rPr>
          <w:rFonts w:ascii="Times New Roman" w:eastAsia="Times New Roman" w:hAnsi="Times New Roman" w:cs="Times New Roman"/>
          <w:color w:val="222222"/>
          <w:kern w:val="0"/>
          <w:sz w:val="24"/>
          <w:szCs w:val="24"/>
          <w14:ligatures w14:val="none"/>
        </w:rPr>
        <w:t xml:space="preserve">primary </w:t>
      </w:r>
      <w:r w:rsidRPr="00861AA7">
        <w:rPr>
          <w:rFonts w:ascii="Times New Roman" w:eastAsia="Times New Roman" w:hAnsi="Times New Roman" w:cs="Times New Roman"/>
          <w:color w:val="222222"/>
          <w:kern w:val="0"/>
          <w:sz w:val="24"/>
          <w:szCs w:val="24"/>
          <w14:ligatures w14:val="none"/>
        </w:rPr>
        <w:t>regulation, along their peripheries, and do not represent a major shift in mitigation efforts</w:t>
      </w:r>
      <w:r w:rsidR="007D4EC8">
        <w:rPr>
          <w:rFonts w:ascii="Times New Roman" w:eastAsia="Times New Roman" w:hAnsi="Times New Roman" w:cs="Times New Roman"/>
          <w:color w:val="222222"/>
          <w:kern w:val="0"/>
          <w:sz w:val="24"/>
          <w:szCs w:val="24"/>
          <w14:ligatures w14:val="none"/>
        </w:rPr>
        <w:t>.</w:t>
      </w:r>
      <w:r w:rsidR="006D72FD">
        <w:rPr>
          <w:rStyle w:val="FootnoteReference"/>
          <w:rFonts w:ascii="Times New Roman" w:eastAsia="Times New Roman" w:hAnsi="Times New Roman" w:cs="Times New Roman"/>
          <w:color w:val="222222"/>
          <w:kern w:val="0"/>
          <w:sz w:val="24"/>
          <w:szCs w:val="24"/>
          <w14:ligatures w14:val="none"/>
        </w:rPr>
        <w:footnoteReference w:id="11"/>
      </w:r>
      <w:r w:rsidR="007D4EC8">
        <w:rPr>
          <w:rFonts w:ascii="Times New Roman" w:eastAsia="Times New Roman" w:hAnsi="Times New Roman" w:cs="Times New Roman"/>
          <w:color w:val="222222"/>
          <w:kern w:val="0"/>
          <w:sz w:val="24"/>
          <w:szCs w:val="24"/>
          <w14:ligatures w14:val="none"/>
        </w:rPr>
        <w:t xml:space="preserve"> </w:t>
      </w:r>
    </w:p>
    <w:p w14:paraId="0C9A8D1F" w14:textId="4AD47397" w:rsidR="005E0671" w:rsidRDefault="00414F04" w:rsidP="00764F21">
      <w:pPr>
        <w:spacing w:after="0" w:line="360" w:lineRule="auto"/>
        <w:ind w:firstLine="720"/>
        <w:rPr>
          <w:rFonts w:ascii="Times New Roman" w:eastAsia="Calibri" w:hAnsi="Times New Roman" w:cs="Times New Roman"/>
          <w:kern w:val="0"/>
          <w:sz w:val="24"/>
          <w:szCs w:val="24"/>
          <w14:ligatures w14:val="none"/>
        </w:rPr>
      </w:pPr>
      <w:r>
        <w:rPr>
          <w:rFonts w:ascii="Times New Roman" w:eastAsia="Times New Roman" w:hAnsi="Times New Roman" w:cs="Times New Roman"/>
          <w:color w:val="222222"/>
          <w:kern w:val="0"/>
          <w:sz w:val="24"/>
          <w:szCs w:val="24"/>
          <w14:ligatures w14:val="none"/>
        </w:rPr>
        <w:t>E</w:t>
      </w:r>
      <w:r w:rsidR="00222DBD">
        <w:rPr>
          <w:rFonts w:ascii="Times New Roman" w:eastAsia="Times New Roman" w:hAnsi="Times New Roman" w:cs="Times New Roman"/>
          <w:color w:val="222222"/>
          <w:kern w:val="0"/>
          <w:sz w:val="24"/>
          <w:szCs w:val="24"/>
          <w14:ligatures w14:val="none"/>
        </w:rPr>
        <w:t>xternalities arise when property rights are incomplete (Coase 1960</w:t>
      </w:r>
      <w:r>
        <w:rPr>
          <w:rFonts w:ascii="Times New Roman" w:eastAsia="Times New Roman" w:hAnsi="Times New Roman" w:cs="Times New Roman"/>
          <w:color w:val="222222"/>
          <w:kern w:val="0"/>
          <w:sz w:val="24"/>
          <w:szCs w:val="24"/>
          <w14:ligatures w14:val="none"/>
        </w:rPr>
        <w:t>;</w:t>
      </w:r>
      <w:r w:rsidR="00222DBD">
        <w:rPr>
          <w:rFonts w:ascii="Times New Roman" w:eastAsia="Times New Roman" w:hAnsi="Times New Roman" w:cs="Times New Roman"/>
          <w:color w:val="222222"/>
          <w:kern w:val="0"/>
          <w:sz w:val="24"/>
          <w:szCs w:val="24"/>
          <w14:ligatures w14:val="none"/>
        </w:rPr>
        <w:t xml:space="preserve"> Demsetz</w:t>
      </w:r>
      <w:r w:rsidR="00FE7103">
        <w:rPr>
          <w:rFonts w:ascii="Times New Roman" w:eastAsia="Times New Roman" w:hAnsi="Times New Roman" w:cs="Times New Roman"/>
          <w:color w:val="222222"/>
          <w:kern w:val="0"/>
          <w:sz w:val="24"/>
          <w:szCs w:val="24"/>
          <w14:ligatures w14:val="none"/>
        </w:rPr>
        <w:t xml:space="preserve"> 1964, 1967</w:t>
      </w:r>
      <w:r w:rsidR="00222DBD">
        <w:rPr>
          <w:rFonts w:ascii="Times New Roman" w:eastAsia="Times New Roman" w:hAnsi="Times New Roman" w:cs="Times New Roman"/>
          <w:color w:val="222222"/>
          <w:kern w:val="0"/>
          <w:sz w:val="24"/>
          <w:szCs w:val="24"/>
          <w14:ligatures w14:val="none"/>
        </w:rPr>
        <w:t xml:space="preserve">, </w:t>
      </w:r>
      <w:r w:rsidR="00FE7103">
        <w:rPr>
          <w:rFonts w:ascii="Times New Roman" w:eastAsia="Times New Roman" w:hAnsi="Times New Roman" w:cs="Times New Roman"/>
          <w:color w:val="222222"/>
          <w:kern w:val="0"/>
          <w:sz w:val="24"/>
          <w:szCs w:val="24"/>
          <w14:ligatures w14:val="none"/>
        </w:rPr>
        <w:t>1996</w:t>
      </w:r>
      <w:r>
        <w:rPr>
          <w:rFonts w:ascii="Times New Roman" w:eastAsia="Times New Roman" w:hAnsi="Times New Roman" w:cs="Times New Roman"/>
          <w:color w:val="222222"/>
          <w:kern w:val="0"/>
          <w:sz w:val="24"/>
          <w:szCs w:val="24"/>
          <w14:ligatures w14:val="none"/>
        </w:rPr>
        <w:t>;</w:t>
      </w:r>
      <w:r w:rsidR="00FE7103">
        <w:rPr>
          <w:rFonts w:ascii="Times New Roman" w:eastAsia="Times New Roman" w:hAnsi="Times New Roman" w:cs="Times New Roman"/>
          <w:color w:val="222222"/>
          <w:kern w:val="0"/>
          <w:sz w:val="24"/>
          <w:szCs w:val="24"/>
          <w14:ligatures w14:val="none"/>
        </w:rPr>
        <w:t xml:space="preserve"> </w:t>
      </w:r>
      <w:r w:rsidR="00222DBD">
        <w:rPr>
          <w:rFonts w:ascii="Times New Roman" w:eastAsia="Times New Roman" w:hAnsi="Times New Roman" w:cs="Times New Roman"/>
          <w:color w:val="222222"/>
          <w:kern w:val="0"/>
          <w:sz w:val="24"/>
          <w:szCs w:val="24"/>
          <w14:ligatures w14:val="none"/>
        </w:rPr>
        <w:t>and Cheung 1970.</w:t>
      </w:r>
      <w:r w:rsidR="00FE7103">
        <w:rPr>
          <w:rStyle w:val="FootnoteReference"/>
          <w:rFonts w:ascii="Times New Roman" w:eastAsia="Times New Roman" w:hAnsi="Times New Roman" w:cs="Times New Roman"/>
          <w:color w:val="222222"/>
          <w:kern w:val="0"/>
          <w:sz w:val="24"/>
          <w:szCs w:val="24"/>
          <w14:ligatures w14:val="none"/>
        </w:rPr>
        <w:footnoteReference w:id="12"/>
      </w:r>
      <w:r w:rsidR="00222DBD">
        <w:rPr>
          <w:rFonts w:ascii="Times New Roman" w:eastAsia="Times New Roman" w:hAnsi="Times New Roman" w:cs="Times New Roman"/>
          <w:color w:val="222222"/>
          <w:kern w:val="0"/>
          <w:sz w:val="24"/>
          <w:szCs w:val="24"/>
          <w14:ligatures w14:val="none"/>
        </w:rPr>
        <w:t xml:space="preserve"> </w:t>
      </w:r>
      <w:r>
        <w:rPr>
          <w:rFonts w:ascii="Times New Roman" w:eastAsia="Times New Roman" w:hAnsi="Times New Roman" w:cs="Times New Roman"/>
          <w:color w:val="222222"/>
          <w:kern w:val="0"/>
          <w:sz w:val="24"/>
          <w:szCs w:val="24"/>
          <w14:ligatures w14:val="none"/>
        </w:rPr>
        <w:t>E</w:t>
      </w:r>
      <w:r w:rsidR="001D732E">
        <w:rPr>
          <w:rFonts w:ascii="Times New Roman" w:eastAsia="Times New Roman" w:hAnsi="Times New Roman" w:cs="Times New Roman"/>
          <w:color w:val="222222"/>
          <w:kern w:val="0"/>
          <w:sz w:val="24"/>
          <w:szCs w:val="24"/>
          <w14:ligatures w14:val="none"/>
        </w:rPr>
        <w:t xml:space="preserve">fficient externality </w:t>
      </w:r>
      <w:r w:rsidR="00222DBD" w:rsidRPr="003C732E">
        <w:rPr>
          <w:rFonts w:ascii="Times New Roman" w:eastAsia="Calibri" w:hAnsi="Times New Roman" w:cs="Times New Roman"/>
          <w:kern w:val="0"/>
          <w:sz w:val="24"/>
          <w:szCs w:val="24"/>
          <w14:ligatures w14:val="none"/>
        </w:rPr>
        <w:t xml:space="preserve">control </w:t>
      </w:r>
      <w:r>
        <w:rPr>
          <w:rFonts w:ascii="Times New Roman" w:eastAsia="Calibri" w:hAnsi="Times New Roman" w:cs="Times New Roman"/>
          <w:kern w:val="0"/>
          <w:sz w:val="24"/>
          <w:szCs w:val="24"/>
          <w14:ligatures w14:val="none"/>
        </w:rPr>
        <w:t xml:space="preserve">would be </w:t>
      </w:r>
      <w:r w:rsidR="00222DBD" w:rsidRPr="003C732E">
        <w:rPr>
          <w:rFonts w:ascii="Times New Roman" w:eastAsia="Calibri" w:hAnsi="Times New Roman" w:cs="Times New Roman"/>
          <w:kern w:val="0"/>
          <w:sz w:val="24"/>
          <w:szCs w:val="24"/>
          <w14:ligatures w14:val="none"/>
        </w:rPr>
        <w:t xml:space="preserve">based upon the </w:t>
      </w:r>
      <w:r>
        <w:rPr>
          <w:rFonts w:ascii="Times New Roman" w:eastAsia="Calibri" w:hAnsi="Times New Roman" w:cs="Times New Roman"/>
          <w:kern w:val="0"/>
          <w:sz w:val="24"/>
          <w:szCs w:val="24"/>
          <w14:ligatures w14:val="none"/>
        </w:rPr>
        <w:t>definition a</w:t>
      </w:r>
      <w:r w:rsidR="00222DBD" w:rsidRPr="003C732E">
        <w:rPr>
          <w:rFonts w:ascii="Times New Roman" w:eastAsia="Calibri" w:hAnsi="Times New Roman" w:cs="Times New Roman"/>
          <w:kern w:val="0"/>
          <w:sz w:val="24"/>
          <w:szCs w:val="24"/>
          <w14:ligatures w14:val="none"/>
        </w:rPr>
        <w:t xml:space="preserve">nd exchange of property rights, not </w:t>
      </w:r>
      <w:r>
        <w:rPr>
          <w:rFonts w:ascii="Times New Roman" w:eastAsia="Calibri" w:hAnsi="Times New Roman" w:cs="Times New Roman"/>
          <w:kern w:val="0"/>
          <w:sz w:val="24"/>
          <w:szCs w:val="24"/>
          <w14:ligatures w14:val="none"/>
        </w:rPr>
        <w:t xml:space="preserve">obviously upon </w:t>
      </w:r>
      <w:r w:rsidR="00222DBD" w:rsidRPr="003C732E">
        <w:rPr>
          <w:rFonts w:ascii="Times New Roman" w:eastAsia="Calibri" w:hAnsi="Times New Roman" w:cs="Times New Roman"/>
          <w:kern w:val="0"/>
          <w:sz w:val="24"/>
          <w:szCs w:val="24"/>
          <w14:ligatures w14:val="none"/>
        </w:rPr>
        <w:t xml:space="preserve">a </w:t>
      </w:r>
      <w:r w:rsidR="001D732E">
        <w:rPr>
          <w:rFonts w:ascii="Times New Roman" w:eastAsia="Calibri" w:hAnsi="Times New Roman" w:cs="Times New Roman"/>
          <w:kern w:val="0"/>
          <w:sz w:val="24"/>
          <w:szCs w:val="24"/>
          <w14:ligatures w14:val="none"/>
        </w:rPr>
        <w:t xml:space="preserve">Pigouvian </w:t>
      </w:r>
      <w:r w:rsidR="00222DBD" w:rsidRPr="003C732E">
        <w:rPr>
          <w:rFonts w:ascii="Times New Roman" w:eastAsia="Calibri" w:hAnsi="Times New Roman" w:cs="Times New Roman"/>
          <w:kern w:val="0"/>
          <w:sz w:val="24"/>
          <w:szCs w:val="24"/>
          <w14:ligatures w14:val="none"/>
        </w:rPr>
        <w:t xml:space="preserve">regulatory regime.  </w:t>
      </w:r>
      <w:r>
        <w:rPr>
          <w:rFonts w:ascii="Times New Roman" w:eastAsia="Calibri" w:hAnsi="Times New Roman" w:cs="Times New Roman"/>
          <w:kern w:val="0"/>
          <w:sz w:val="24"/>
          <w:szCs w:val="24"/>
          <w14:ligatures w14:val="none"/>
        </w:rPr>
        <w:t>A</w:t>
      </w:r>
      <w:r w:rsidR="001D732E">
        <w:rPr>
          <w:rFonts w:ascii="Times New Roman" w:eastAsia="Calibri" w:hAnsi="Times New Roman" w:cs="Times New Roman"/>
          <w:kern w:val="0"/>
          <w:sz w:val="24"/>
          <w:szCs w:val="24"/>
          <w14:ligatures w14:val="none"/>
        </w:rPr>
        <w:t xml:space="preserve"> </w:t>
      </w:r>
      <w:r w:rsidR="00764F21">
        <w:rPr>
          <w:rFonts w:ascii="Times New Roman" w:eastAsia="Times New Roman" w:hAnsi="Times New Roman" w:cs="Times New Roman"/>
          <w:color w:val="222222"/>
          <w:kern w:val="0"/>
          <w:sz w:val="24"/>
          <w:szCs w:val="24"/>
          <w14:ligatures w14:val="none"/>
        </w:rPr>
        <w:t xml:space="preserve">common explanation for the absence of Coasean approaches is the </w:t>
      </w:r>
      <w:r w:rsidR="001B1100">
        <w:rPr>
          <w:rFonts w:ascii="Times New Roman" w:eastAsia="Times New Roman" w:hAnsi="Times New Roman" w:cs="Times New Roman"/>
          <w:color w:val="222222"/>
          <w:kern w:val="0"/>
          <w:sz w:val="24"/>
          <w:szCs w:val="24"/>
          <w14:ligatures w14:val="none"/>
        </w:rPr>
        <w:t xml:space="preserve">asserted </w:t>
      </w:r>
      <w:r w:rsidR="00764F21">
        <w:rPr>
          <w:rFonts w:ascii="Times New Roman" w:eastAsia="Times New Roman" w:hAnsi="Times New Roman" w:cs="Times New Roman"/>
          <w:color w:val="222222"/>
          <w:kern w:val="0"/>
          <w:sz w:val="24"/>
          <w:szCs w:val="24"/>
          <w14:ligatures w14:val="none"/>
        </w:rPr>
        <w:t>high cost of assigning property rights</w:t>
      </w:r>
      <w:r w:rsidR="005E0671">
        <w:rPr>
          <w:rFonts w:ascii="Times New Roman" w:eastAsia="Times New Roman" w:hAnsi="Times New Roman" w:cs="Times New Roman"/>
          <w:color w:val="222222"/>
          <w:kern w:val="0"/>
          <w:sz w:val="24"/>
          <w:szCs w:val="24"/>
          <w14:ligatures w14:val="none"/>
        </w:rPr>
        <w:t xml:space="preserve"> (Medema 2020)</w:t>
      </w:r>
      <w:r w:rsidR="00764F21">
        <w:rPr>
          <w:rFonts w:ascii="Times New Roman" w:eastAsia="Times New Roman" w:hAnsi="Times New Roman" w:cs="Times New Roman"/>
          <w:color w:val="222222"/>
          <w:kern w:val="0"/>
          <w:sz w:val="24"/>
          <w:szCs w:val="24"/>
          <w14:ligatures w14:val="none"/>
        </w:rPr>
        <w:t>.</w:t>
      </w:r>
      <w:r w:rsidR="005E0671">
        <w:rPr>
          <w:rStyle w:val="FootnoteReference"/>
          <w:rFonts w:ascii="Times New Roman" w:eastAsia="Times New Roman" w:hAnsi="Times New Roman" w:cs="Times New Roman"/>
          <w:color w:val="222222"/>
          <w:kern w:val="0"/>
          <w:sz w:val="24"/>
          <w:szCs w:val="24"/>
          <w14:ligatures w14:val="none"/>
        </w:rPr>
        <w:footnoteReference w:id="13"/>
      </w:r>
      <w:r w:rsidR="00764F21">
        <w:rPr>
          <w:rFonts w:ascii="Times New Roman" w:eastAsia="Times New Roman" w:hAnsi="Times New Roman" w:cs="Times New Roman"/>
          <w:color w:val="222222"/>
          <w:kern w:val="0"/>
          <w:sz w:val="24"/>
          <w:szCs w:val="24"/>
          <w14:ligatures w14:val="none"/>
        </w:rPr>
        <w:t xml:space="preserve"> For example,</w:t>
      </w:r>
      <w:r w:rsidR="00764F21" w:rsidRPr="003C732E">
        <w:rPr>
          <w:rFonts w:ascii="Times New Roman" w:eastAsia="Calibri" w:hAnsi="Times New Roman" w:cs="Times New Roman"/>
          <w:kern w:val="0"/>
          <w:sz w:val="24"/>
          <w:szCs w:val="24"/>
          <w14:ligatures w14:val="none"/>
        </w:rPr>
        <w:t xml:space="preserve"> Schmalensee and Stavins (2019, 33) conclude</w:t>
      </w:r>
      <w:r w:rsidR="005E0671">
        <w:rPr>
          <w:rFonts w:ascii="Times New Roman" w:eastAsia="Calibri" w:hAnsi="Times New Roman" w:cs="Times New Roman"/>
          <w:kern w:val="0"/>
          <w:sz w:val="24"/>
          <w:szCs w:val="24"/>
          <w14:ligatures w14:val="none"/>
        </w:rPr>
        <w:t>:</w:t>
      </w:r>
      <w:r w:rsidR="00764F21" w:rsidRPr="003C732E">
        <w:rPr>
          <w:rFonts w:ascii="Times New Roman" w:eastAsia="Calibri" w:hAnsi="Times New Roman" w:cs="Times New Roman"/>
          <w:kern w:val="0"/>
          <w:sz w:val="24"/>
          <w:szCs w:val="24"/>
          <w14:ligatures w14:val="none"/>
        </w:rPr>
        <w:t xml:space="preserve"> “If </w:t>
      </w:r>
      <w:r w:rsidR="00764F21" w:rsidRPr="003C732E">
        <w:rPr>
          <w:rFonts w:ascii="Times New Roman" w:eastAsia="Calibri" w:hAnsi="Times New Roman" w:cs="Times New Roman"/>
          <w:kern w:val="0"/>
          <w:sz w:val="24"/>
          <w:szCs w:val="24"/>
          <w14:ligatures w14:val="none"/>
        </w:rPr>
        <w:lastRenderedPageBreak/>
        <w:t>resources such as clean air could be recognized as a form of property, with corresponding rights that could be traded in a market, private actors could allocate the use of this property in a cost-effective way.”</w:t>
      </w:r>
      <w:r w:rsidR="005E0671">
        <w:rPr>
          <w:rStyle w:val="FootnoteReference"/>
          <w:rFonts w:ascii="Times New Roman" w:eastAsia="Calibri" w:hAnsi="Times New Roman" w:cs="Times New Roman"/>
          <w:kern w:val="0"/>
          <w:sz w:val="24"/>
          <w:szCs w:val="24"/>
          <w14:ligatures w14:val="none"/>
        </w:rPr>
        <w:footnoteReference w:id="14"/>
      </w:r>
      <w:r w:rsidR="00764F21" w:rsidRPr="003C732E">
        <w:rPr>
          <w:rFonts w:ascii="Times New Roman" w:eastAsia="Calibri" w:hAnsi="Times New Roman" w:cs="Times New Roman"/>
          <w:kern w:val="0"/>
          <w:sz w:val="24"/>
          <w:szCs w:val="24"/>
          <w14:ligatures w14:val="none"/>
        </w:rPr>
        <w:t xml:space="preserve"> </w:t>
      </w:r>
      <w:r w:rsidR="00F75E4D">
        <w:rPr>
          <w:rFonts w:ascii="Times New Roman" w:eastAsia="Calibri" w:hAnsi="Times New Roman" w:cs="Times New Roman"/>
          <w:kern w:val="0"/>
          <w:sz w:val="24"/>
          <w:szCs w:val="24"/>
          <w14:ligatures w14:val="none"/>
        </w:rPr>
        <w:t xml:space="preserve">The </w:t>
      </w:r>
      <w:r w:rsidR="005E0671">
        <w:rPr>
          <w:rFonts w:ascii="Times New Roman" w:eastAsia="Calibri" w:hAnsi="Times New Roman" w:cs="Times New Roman"/>
          <w:kern w:val="0"/>
          <w:sz w:val="24"/>
          <w:szCs w:val="24"/>
          <w14:ligatures w14:val="none"/>
        </w:rPr>
        <w:t>assignment and exchange of property rights to mobile</w:t>
      </w:r>
      <w:r>
        <w:rPr>
          <w:rFonts w:ascii="Times New Roman" w:eastAsia="Calibri" w:hAnsi="Times New Roman" w:cs="Times New Roman"/>
          <w:kern w:val="0"/>
          <w:sz w:val="24"/>
          <w:szCs w:val="24"/>
          <w14:ligatures w14:val="none"/>
        </w:rPr>
        <w:t>, unobservable</w:t>
      </w:r>
      <w:r w:rsidR="005E0671">
        <w:rPr>
          <w:rFonts w:ascii="Times New Roman" w:eastAsia="Calibri" w:hAnsi="Times New Roman" w:cs="Times New Roman"/>
          <w:kern w:val="0"/>
          <w:sz w:val="24"/>
          <w:szCs w:val="24"/>
          <w14:ligatures w14:val="none"/>
        </w:rPr>
        <w:t xml:space="preserve"> resources</w:t>
      </w:r>
      <w:r w:rsidR="009126A2">
        <w:rPr>
          <w:rFonts w:ascii="Times New Roman" w:eastAsia="Calibri" w:hAnsi="Times New Roman" w:cs="Times New Roman"/>
          <w:kern w:val="0"/>
          <w:sz w:val="24"/>
          <w:szCs w:val="24"/>
          <w14:ligatures w14:val="none"/>
        </w:rPr>
        <w:t>, however,</w:t>
      </w:r>
      <w:r w:rsidR="005E0671">
        <w:rPr>
          <w:rFonts w:ascii="Times New Roman" w:eastAsia="Calibri" w:hAnsi="Times New Roman" w:cs="Times New Roman"/>
          <w:kern w:val="0"/>
          <w:sz w:val="24"/>
          <w:szCs w:val="24"/>
          <w14:ligatures w14:val="none"/>
        </w:rPr>
        <w:t xml:space="preserve"> </w:t>
      </w:r>
      <w:r w:rsidR="005E0671" w:rsidRPr="00F75E4D">
        <w:rPr>
          <w:rFonts w:ascii="Times New Roman" w:eastAsia="Calibri" w:hAnsi="Times New Roman" w:cs="Times New Roman"/>
          <w:i/>
          <w:iCs/>
          <w:kern w:val="0"/>
          <w:sz w:val="24"/>
          <w:szCs w:val="24"/>
          <w14:ligatures w14:val="none"/>
        </w:rPr>
        <w:t>occurred</w:t>
      </w:r>
      <w:r w:rsidR="005E0671">
        <w:rPr>
          <w:rFonts w:ascii="Times New Roman" w:eastAsia="Calibri" w:hAnsi="Times New Roman" w:cs="Times New Roman"/>
          <w:kern w:val="0"/>
          <w:sz w:val="24"/>
          <w:szCs w:val="24"/>
          <w14:ligatures w14:val="none"/>
        </w:rPr>
        <w:t xml:space="preserve"> in the right to fish as individual transferable quotas and in </w:t>
      </w:r>
      <w:r w:rsidR="00764F21" w:rsidRPr="003C732E">
        <w:rPr>
          <w:rFonts w:ascii="Times New Roman" w:eastAsia="Calibri" w:hAnsi="Times New Roman" w:cs="Times New Roman"/>
          <w:kern w:val="0"/>
          <w:sz w:val="24"/>
          <w:szCs w:val="24"/>
          <w14:ligatures w14:val="none"/>
        </w:rPr>
        <w:t xml:space="preserve">the right to pollute </w:t>
      </w:r>
      <w:r w:rsidR="00E51D00">
        <w:rPr>
          <w:rFonts w:ascii="Times New Roman" w:eastAsia="Calibri" w:hAnsi="Times New Roman" w:cs="Times New Roman"/>
          <w:kern w:val="0"/>
          <w:sz w:val="24"/>
          <w:szCs w:val="24"/>
          <w14:ligatures w14:val="none"/>
        </w:rPr>
        <w:t xml:space="preserve">as tradable emission allowances </w:t>
      </w:r>
      <w:r w:rsidR="00764F21" w:rsidRPr="003C732E">
        <w:rPr>
          <w:rFonts w:ascii="Times New Roman" w:eastAsia="Calibri" w:hAnsi="Times New Roman" w:cs="Times New Roman"/>
          <w:kern w:val="0"/>
          <w:sz w:val="24"/>
          <w:szCs w:val="24"/>
          <w14:ligatures w14:val="none"/>
        </w:rPr>
        <w:t xml:space="preserve">in regional GHG abatement schemes, the </w:t>
      </w:r>
      <w:r w:rsidR="005E0671">
        <w:rPr>
          <w:rFonts w:ascii="Times New Roman" w:eastAsia="Calibri" w:hAnsi="Times New Roman" w:cs="Times New Roman"/>
          <w:kern w:val="0"/>
          <w:sz w:val="24"/>
          <w:szCs w:val="24"/>
          <w14:ligatures w14:val="none"/>
        </w:rPr>
        <w:t xml:space="preserve">national </w:t>
      </w:r>
      <w:r w:rsidR="00764F21" w:rsidRPr="003C732E">
        <w:rPr>
          <w:rFonts w:ascii="Times New Roman" w:eastAsia="Calibri" w:hAnsi="Times New Roman" w:cs="Times New Roman"/>
          <w:kern w:val="0"/>
          <w:sz w:val="24"/>
          <w:szCs w:val="24"/>
          <w14:ligatures w14:val="none"/>
        </w:rPr>
        <w:t>SO</w:t>
      </w:r>
      <w:r w:rsidR="00764F21" w:rsidRPr="003C732E">
        <w:rPr>
          <w:rFonts w:ascii="Times New Roman" w:eastAsia="Calibri" w:hAnsi="Times New Roman" w:cs="Times New Roman"/>
          <w:kern w:val="0"/>
          <w:sz w:val="24"/>
          <w:szCs w:val="24"/>
          <w:vertAlign w:val="subscript"/>
          <w14:ligatures w14:val="none"/>
        </w:rPr>
        <w:t>2</w:t>
      </w:r>
      <w:r w:rsidR="00764F21" w:rsidRPr="003C732E">
        <w:rPr>
          <w:rFonts w:ascii="Times New Roman" w:eastAsia="Calibri" w:hAnsi="Times New Roman" w:cs="Times New Roman"/>
          <w:kern w:val="0"/>
          <w:sz w:val="24"/>
          <w:szCs w:val="24"/>
          <w14:ligatures w14:val="none"/>
        </w:rPr>
        <w:t xml:space="preserve"> auction market, and the southern California smog reduction </w:t>
      </w:r>
      <w:r w:rsidR="007E41A9">
        <w:rPr>
          <w:rFonts w:ascii="Times New Roman" w:eastAsia="Calibri" w:hAnsi="Times New Roman" w:cs="Times New Roman"/>
          <w:kern w:val="0"/>
          <w:sz w:val="24"/>
          <w:szCs w:val="24"/>
          <w14:ligatures w14:val="none"/>
        </w:rPr>
        <w:t>program</w:t>
      </w:r>
      <w:r w:rsidR="00764F21" w:rsidRPr="003C732E">
        <w:rPr>
          <w:rFonts w:ascii="Times New Roman" w:eastAsia="Calibri" w:hAnsi="Times New Roman" w:cs="Times New Roman"/>
          <w:kern w:val="0"/>
          <w:sz w:val="24"/>
          <w:szCs w:val="24"/>
          <w14:ligatures w14:val="none"/>
        </w:rPr>
        <w:t xml:space="preserve">, RECLAIM. Accordingly, the absence of Coase does not appear to </w:t>
      </w:r>
      <w:r w:rsidR="007E41A9">
        <w:rPr>
          <w:rFonts w:ascii="Times New Roman" w:eastAsia="Calibri" w:hAnsi="Times New Roman" w:cs="Times New Roman"/>
          <w:kern w:val="0"/>
          <w:sz w:val="24"/>
          <w:szCs w:val="24"/>
          <w14:ligatures w14:val="none"/>
        </w:rPr>
        <w:t xml:space="preserve">have </w:t>
      </w:r>
      <w:r w:rsidR="00764F21" w:rsidRPr="003C732E">
        <w:rPr>
          <w:rFonts w:ascii="Times New Roman" w:eastAsia="Calibri" w:hAnsi="Times New Roman" w:cs="Times New Roman"/>
          <w:kern w:val="0"/>
          <w:sz w:val="24"/>
          <w:szCs w:val="24"/>
          <w14:ligatures w14:val="none"/>
        </w:rPr>
        <w:t>be</w:t>
      </w:r>
      <w:r w:rsidR="007E41A9">
        <w:rPr>
          <w:rFonts w:ascii="Times New Roman" w:eastAsia="Calibri" w:hAnsi="Times New Roman" w:cs="Times New Roman"/>
          <w:kern w:val="0"/>
          <w:sz w:val="24"/>
          <w:szCs w:val="24"/>
          <w14:ligatures w14:val="none"/>
        </w:rPr>
        <w:t>en</w:t>
      </w:r>
      <w:r w:rsidR="00764F21" w:rsidRPr="003C732E">
        <w:rPr>
          <w:rFonts w:ascii="Times New Roman" w:eastAsia="Calibri" w:hAnsi="Times New Roman" w:cs="Times New Roman"/>
          <w:kern w:val="0"/>
          <w:sz w:val="24"/>
          <w:szCs w:val="24"/>
          <w14:ligatures w14:val="none"/>
        </w:rPr>
        <w:t xml:space="preserve"> </w:t>
      </w:r>
      <w:r w:rsidR="009126A2">
        <w:rPr>
          <w:rFonts w:ascii="Times New Roman" w:eastAsia="Calibri" w:hAnsi="Times New Roman" w:cs="Times New Roman"/>
          <w:kern w:val="0"/>
          <w:sz w:val="24"/>
          <w:szCs w:val="24"/>
          <w14:ligatures w14:val="none"/>
        </w:rPr>
        <w:t xml:space="preserve">due to </w:t>
      </w:r>
      <w:r w:rsidR="00764F21" w:rsidRPr="003C732E">
        <w:rPr>
          <w:rFonts w:ascii="Times New Roman" w:eastAsia="Calibri" w:hAnsi="Times New Roman" w:cs="Times New Roman"/>
          <w:kern w:val="0"/>
          <w:sz w:val="24"/>
          <w:szCs w:val="24"/>
          <w14:ligatures w14:val="none"/>
        </w:rPr>
        <w:t xml:space="preserve">the </w:t>
      </w:r>
      <w:r w:rsidR="00C66FE1">
        <w:rPr>
          <w:rFonts w:ascii="Times New Roman" w:eastAsia="Calibri" w:hAnsi="Times New Roman" w:cs="Times New Roman"/>
          <w:kern w:val="0"/>
          <w:sz w:val="24"/>
          <w:szCs w:val="24"/>
          <w14:ligatures w14:val="none"/>
        </w:rPr>
        <w:t xml:space="preserve">transaction </w:t>
      </w:r>
      <w:r w:rsidR="00764F21" w:rsidRPr="003C732E">
        <w:rPr>
          <w:rFonts w:ascii="Times New Roman" w:eastAsia="Calibri" w:hAnsi="Times New Roman" w:cs="Times New Roman"/>
          <w:kern w:val="0"/>
          <w:sz w:val="24"/>
          <w:szCs w:val="24"/>
          <w14:ligatures w14:val="none"/>
        </w:rPr>
        <w:t>costs of defining and trading property rights</w:t>
      </w:r>
      <w:r w:rsidR="005E0671">
        <w:rPr>
          <w:rFonts w:ascii="Times New Roman" w:eastAsia="Calibri" w:hAnsi="Times New Roman" w:cs="Times New Roman"/>
          <w:kern w:val="0"/>
          <w:sz w:val="24"/>
          <w:szCs w:val="24"/>
          <w14:ligatures w14:val="none"/>
        </w:rPr>
        <w:t>.</w:t>
      </w:r>
    </w:p>
    <w:p w14:paraId="59F0EEC8" w14:textId="60EA7ADB" w:rsidR="00DB6FE1" w:rsidRDefault="0074453F" w:rsidP="00DB6FE1">
      <w:pPr>
        <w:spacing w:after="0" w:line="360" w:lineRule="auto"/>
        <w:ind w:firstLine="720"/>
        <w:contextualSpacing/>
        <w:rPr>
          <w:rFonts w:ascii="Times New Roman" w:eastAsia="Calibri"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Moreover, i</w:t>
      </w:r>
      <w:r w:rsidR="005E0671" w:rsidRPr="000765F3">
        <w:rPr>
          <w:rFonts w:ascii="Times New Roman" w:eastAsia="Times New Roman" w:hAnsi="Times New Roman" w:cs="Times New Roman"/>
          <w:kern w:val="0"/>
          <w:sz w:val="24"/>
          <w:szCs w:val="24"/>
          <w14:ligatures w14:val="none"/>
        </w:rPr>
        <w:t xml:space="preserve">f property rights did not yet exist, </w:t>
      </w:r>
      <w:r w:rsidR="005E0671">
        <w:rPr>
          <w:rFonts w:ascii="Times New Roman" w:eastAsia="Times New Roman" w:hAnsi="Times New Roman" w:cs="Times New Roman"/>
          <w:kern w:val="0"/>
          <w:sz w:val="24"/>
          <w:szCs w:val="24"/>
          <w14:ligatures w14:val="none"/>
        </w:rPr>
        <w:t xml:space="preserve">federal, </w:t>
      </w:r>
      <w:r w:rsidR="005E0671" w:rsidRPr="000765F3">
        <w:rPr>
          <w:rFonts w:ascii="Times New Roman" w:eastAsia="Times New Roman" w:hAnsi="Times New Roman" w:cs="Times New Roman"/>
          <w:kern w:val="0"/>
          <w:sz w:val="24"/>
          <w:szCs w:val="24"/>
          <w14:ligatures w14:val="none"/>
        </w:rPr>
        <w:t>state</w:t>
      </w:r>
      <w:r w:rsidR="005E0671">
        <w:rPr>
          <w:rFonts w:ascii="Times New Roman" w:eastAsia="Times New Roman" w:hAnsi="Times New Roman" w:cs="Times New Roman"/>
          <w:kern w:val="0"/>
          <w:sz w:val="24"/>
          <w:szCs w:val="24"/>
          <w14:ligatures w14:val="none"/>
        </w:rPr>
        <w:t>,</w:t>
      </w:r>
      <w:r w:rsidR="005E0671" w:rsidRPr="000765F3">
        <w:rPr>
          <w:rFonts w:ascii="Times New Roman" w:eastAsia="Times New Roman" w:hAnsi="Times New Roman" w:cs="Times New Roman"/>
          <w:kern w:val="0"/>
          <w:sz w:val="24"/>
          <w:szCs w:val="24"/>
          <w14:ligatures w14:val="none"/>
        </w:rPr>
        <w:t xml:space="preserve"> and local governments could </w:t>
      </w:r>
      <w:r w:rsidR="007E41A9">
        <w:rPr>
          <w:rFonts w:ascii="Times New Roman" w:eastAsia="Times New Roman" w:hAnsi="Times New Roman" w:cs="Times New Roman"/>
          <w:kern w:val="0"/>
          <w:sz w:val="24"/>
          <w:szCs w:val="24"/>
          <w14:ligatures w14:val="none"/>
        </w:rPr>
        <w:t xml:space="preserve">have </w:t>
      </w:r>
      <w:r w:rsidR="005E0671" w:rsidRPr="000765F3">
        <w:rPr>
          <w:rFonts w:ascii="Times New Roman" w:eastAsia="Times New Roman" w:hAnsi="Times New Roman" w:cs="Times New Roman"/>
          <w:kern w:val="0"/>
          <w:sz w:val="24"/>
          <w:szCs w:val="24"/>
          <w14:ligatures w14:val="none"/>
        </w:rPr>
        <w:t>provide</w:t>
      </w:r>
      <w:r w:rsidR="007E41A9">
        <w:rPr>
          <w:rFonts w:ascii="Times New Roman" w:eastAsia="Times New Roman" w:hAnsi="Times New Roman" w:cs="Times New Roman"/>
          <w:kern w:val="0"/>
          <w:sz w:val="24"/>
          <w:szCs w:val="24"/>
          <w14:ligatures w14:val="none"/>
        </w:rPr>
        <w:t>d</w:t>
      </w:r>
      <w:r w:rsidR="005E0671" w:rsidRPr="000765F3">
        <w:rPr>
          <w:rFonts w:ascii="Times New Roman" w:eastAsia="Times New Roman" w:hAnsi="Times New Roman" w:cs="Times New Roman"/>
          <w:kern w:val="0"/>
          <w:sz w:val="24"/>
          <w:szCs w:val="24"/>
          <w14:ligatures w14:val="none"/>
        </w:rPr>
        <w:t xml:space="preserve"> a framework for establishing them</w:t>
      </w:r>
      <w:r w:rsidR="00DB6FE1">
        <w:rPr>
          <w:rFonts w:ascii="Times New Roman" w:eastAsia="Times New Roman" w:hAnsi="Times New Roman" w:cs="Times New Roman"/>
          <w:kern w:val="0"/>
          <w:sz w:val="24"/>
          <w:szCs w:val="24"/>
          <w14:ligatures w14:val="none"/>
        </w:rPr>
        <w:t>,</w:t>
      </w:r>
      <w:r w:rsidR="007E41A9">
        <w:rPr>
          <w:rFonts w:ascii="Times New Roman" w:eastAsia="Times New Roman" w:hAnsi="Times New Roman" w:cs="Times New Roman"/>
          <w:kern w:val="0"/>
          <w:sz w:val="24"/>
          <w:szCs w:val="24"/>
          <w14:ligatures w14:val="none"/>
        </w:rPr>
        <w:t xml:space="preserve"> based on first possession or other criteria</w:t>
      </w:r>
      <w:r w:rsidR="005E0671" w:rsidRPr="000765F3">
        <w:rPr>
          <w:rFonts w:ascii="Times New Roman" w:eastAsia="Times New Roman" w:hAnsi="Times New Roman" w:cs="Times New Roman"/>
          <w:kern w:val="0"/>
          <w:sz w:val="24"/>
          <w:szCs w:val="24"/>
          <w14:ligatures w14:val="none"/>
        </w:rPr>
        <w:t>.</w:t>
      </w:r>
      <w:r w:rsidR="005E0671" w:rsidRPr="000765F3">
        <w:rPr>
          <w:rFonts w:ascii="Times New Roman" w:eastAsia="Times New Roman" w:hAnsi="Times New Roman" w:cs="Times New Roman"/>
          <w:kern w:val="0"/>
          <w:sz w:val="24"/>
          <w:szCs w:val="24"/>
          <w:vertAlign w:val="superscript"/>
          <w14:ligatures w14:val="none"/>
        </w:rPr>
        <w:footnoteReference w:id="15"/>
      </w:r>
      <w:r w:rsidR="005E0671" w:rsidRPr="000765F3">
        <w:rPr>
          <w:rFonts w:ascii="Times New Roman" w:eastAsia="Times New Roman" w:hAnsi="Times New Roman" w:cs="Times New Roman"/>
          <w:kern w:val="0"/>
          <w:sz w:val="24"/>
          <w:szCs w:val="24"/>
          <w14:ligatures w14:val="none"/>
        </w:rPr>
        <w:t xml:space="preserve"> All government levels and agencies could </w:t>
      </w:r>
      <w:r w:rsidR="007E41A9">
        <w:rPr>
          <w:rFonts w:ascii="Times New Roman" w:eastAsia="Times New Roman" w:hAnsi="Times New Roman" w:cs="Times New Roman"/>
          <w:kern w:val="0"/>
          <w:sz w:val="24"/>
          <w:szCs w:val="24"/>
          <w14:ligatures w14:val="none"/>
        </w:rPr>
        <w:t xml:space="preserve">have </w:t>
      </w:r>
      <w:r w:rsidR="005E0671" w:rsidRPr="000765F3">
        <w:rPr>
          <w:rFonts w:ascii="Times New Roman" w:eastAsia="Times New Roman" w:hAnsi="Times New Roman" w:cs="Times New Roman"/>
          <w:kern w:val="0"/>
          <w:sz w:val="24"/>
          <w:szCs w:val="24"/>
          <w14:ligatures w14:val="none"/>
        </w:rPr>
        <w:t>support</w:t>
      </w:r>
      <w:r w:rsidR="007E41A9">
        <w:rPr>
          <w:rFonts w:ascii="Times New Roman" w:eastAsia="Times New Roman" w:hAnsi="Times New Roman" w:cs="Times New Roman"/>
          <w:kern w:val="0"/>
          <w:sz w:val="24"/>
          <w:szCs w:val="24"/>
          <w14:ligatures w14:val="none"/>
        </w:rPr>
        <w:t>ed</w:t>
      </w:r>
      <w:r w:rsidR="005E0671" w:rsidRPr="000765F3">
        <w:rPr>
          <w:rFonts w:ascii="Times New Roman" w:eastAsia="Times New Roman" w:hAnsi="Times New Roman" w:cs="Times New Roman"/>
          <w:kern w:val="0"/>
          <w:sz w:val="24"/>
          <w:szCs w:val="24"/>
          <w14:ligatures w14:val="none"/>
        </w:rPr>
        <w:t xml:space="preserve"> basic research on externalit</w:t>
      </w:r>
      <w:r w:rsidR="00DB6FE1">
        <w:rPr>
          <w:rFonts w:ascii="Times New Roman" w:eastAsia="Times New Roman" w:hAnsi="Times New Roman" w:cs="Times New Roman"/>
          <w:kern w:val="0"/>
          <w:sz w:val="24"/>
          <w:szCs w:val="24"/>
          <w14:ligatures w14:val="none"/>
        </w:rPr>
        <w:t>ies</w:t>
      </w:r>
      <w:r w:rsidR="005E0671" w:rsidRPr="000765F3">
        <w:rPr>
          <w:rFonts w:ascii="Times New Roman" w:eastAsia="Times New Roman" w:hAnsi="Times New Roman" w:cs="Times New Roman"/>
          <w:kern w:val="0"/>
          <w:sz w:val="24"/>
          <w:szCs w:val="24"/>
          <w14:ligatures w14:val="none"/>
        </w:rPr>
        <w:t xml:space="preserve"> and the costs of addressing them.  The legal system could </w:t>
      </w:r>
      <w:r w:rsidR="007E41A9">
        <w:rPr>
          <w:rFonts w:ascii="Times New Roman" w:eastAsia="Times New Roman" w:hAnsi="Times New Roman" w:cs="Times New Roman"/>
          <w:kern w:val="0"/>
          <w:sz w:val="24"/>
          <w:szCs w:val="24"/>
          <w14:ligatures w14:val="none"/>
        </w:rPr>
        <w:t xml:space="preserve">have </w:t>
      </w:r>
      <w:r w:rsidR="005E0671" w:rsidRPr="000765F3">
        <w:rPr>
          <w:rFonts w:ascii="Times New Roman" w:eastAsia="Times New Roman" w:hAnsi="Times New Roman" w:cs="Times New Roman"/>
          <w:kern w:val="0"/>
          <w:sz w:val="24"/>
          <w:szCs w:val="24"/>
          <w14:ligatures w14:val="none"/>
        </w:rPr>
        <w:t>enforce</w:t>
      </w:r>
      <w:r w:rsidR="007E41A9">
        <w:rPr>
          <w:rFonts w:ascii="Times New Roman" w:eastAsia="Times New Roman" w:hAnsi="Times New Roman" w:cs="Times New Roman"/>
          <w:kern w:val="0"/>
          <w:sz w:val="24"/>
          <w:szCs w:val="24"/>
          <w14:ligatures w14:val="none"/>
        </w:rPr>
        <w:t>d</w:t>
      </w:r>
      <w:r w:rsidR="005E0671" w:rsidRPr="000765F3">
        <w:rPr>
          <w:rFonts w:ascii="Times New Roman" w:eastAsia="Times New Roman" w:hAnsi="Times New Roman" w:cs="Times New Roman"/>
          <w:kern w:val="0"/>
          <w:sz w:val="24"/>
          <w:szCs w:val="24"/>
          <w14:ligatures w14:val="none"/>
        </w:rPr>
        <w:t xml:space="preserve"> contracts and </w:t>
      </w:r>
      <w:r w:rsidR="00DB6FE1">
        <w:rPr>
          <w:rFonts w:ascii="Times New Roman" w:eastAsia="Times New Roman" w:hAnsi="Times New Roman" w:cs="Times New Roman"/>
          <w:kern w:val="0"/>
          <w:sz w:val="24"/>
          <w:szCs w:val="24"/>
          <w14:ligatures w14:val="none"/>
        </w:rPr>
        <w:t xml:space="preserve">provided </w:t>
      </w:r>
      <w:r w:rsidR="005E0671" w:rsidRPr="000765F3">
        <w:rPr>
          <w:rFonts w:ascii="Times New Roman" w:eastAsia="Times New Roman" w:hAnsi="Times New Roman" w:cs="Times New Roman"/>
          <w:kern w:val="0"/>
          <w:sz w:val="24"/>
          <w:szCs w:val="24"/>
          <w14:ligatures w14:val="none"/>
        </w:rPr>
        <w:t>compliance</w:t>
      </w:r>
      <w:r w:rsidR="00DB6FE1">
        <w:rPr>
          <w:rFonts w:ascii="Times New Roman" w:eastAsia="Times New Roman" w:hAnsi="Times New Roman" w:cs="Times New Roman"/>
          <w:kern w:val="0"/>
          <w:sz w:val="24"/>
          <w:szCs w:val="24"/>
          <w14:ligatures w14:val="none"/>
        </w:rPr>
        <w:t>.</w:t>
      </w:r>
      <w:r w:rsidR="005E0671" w:rsidRPr="000765F3">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Finally, </w:t>
      </w:r>
      <w:r w:rsidR="007E41A9">
        <w:rPr>
          <w:rFonts w:ascii="Times New Roman" w:eastAsia="Times New Roman" w:hAnsi="Times New Roman" w:cs="Times New Roman"/>
          <w:kern w:val="0"/>
          <w:sz w:val="24"/>
          <w:szCs w:val="24"/>
          <w14:ligatures w14:val="none"/>
        </w:rPr>
        <w:t>t</w:t>
      </w:r>
      <w:r w:rsidR="005E0671" w:rsidRPr="000765F3">
        <w:rPr>
          <w:rFonts w:ascii="Times New Roman" w:eastAsia="Calibri" w:hAnsi="Times New Roman" w:cs="Times New Roman"/>
          <w:kern w:val="0"/>
          <w:sz w:val="24"/>
          <w:szCs w:val="24"/>
          <w14:ligatures w14:val="none"/>
        </w:rPr>
        <w:t xml:space="preserve">here </w:t>
      </w:r>
      <w:r w:rsidR="007E41A9">
        <w:rPr>
          <w:rFonts w:ascii="Times New Roman" w:eastAsia="Calibri" w:hAnsi="Times New Roman" w:cs="Times New Roman"/>
          <w:kern w:val="0"/>
          <w:sz w:val="24"/>
          <w:szCs w:val="24"/>
          <w14:ligatures w14:val="none"/>
        </w:rPr>
        <w:t xml:space="preserve">were </w:t>
      </w:r>
      <w:r w:rsidR="00E51D00">
        <w:rPr>
          <w:rFonts w:ascii="Times New Roman" w:eastAsia="Calibri" w:hAnsi="Times New Roman" w:cs="Times New Roman"/>
          <w:kern w:val="0"/>
          <w:sz w:val="24"/>
          <w:szCs w:val="24"/>
          <w14:ligatures w14:val="none"/>
        </w:rPr>
        <w:t xml:space="preserve">incumbent </w:t>
      </w:r>
      <w:r w:rsidR="005E0671" w:rsidRPr="000765F3">
        <w:rPr>
          <w:rFonts w:ascii="Times New Roman" w:eastAsia="Calibri" w:hAnsi="Times New Roman" w:cs="Times New Roman"/>
          <w:kern w:val="0"/>
          <w:sz w:val="24"/>
          <w:szCs w:val="24"/>
          <w14:ligatures w14:val="none"/>
        </w:rPr>
        <w:t xml:space="preserve">institutional </w:t>
      </w:r>
      <w:r w:rsidR="00F75E4D">
        <w:rPr>
          <w:rFonts w:ascii="Times New Roman" w:eastAsia="Calibri" w:hAnsi="Times New Roman" w:cs="Times New Roman"/>
          <w:kern w:val="0"/>
          <w:sz w:val="24"/>
          <w:szCs w:val="24"/>
          <w14:ligatures w14:val="none"/>
        </w:rPr>
        <w:t xml:space="preserve">property </w:t>
      </w:r>
      <w:r w:rsidR="005E0671" w:rsidRPr="000765F3">
        <w:rPr>
          <w:rFonts w:ascii="Times New Roman" w:eastAsia="Calibri" w:hAnsi="Times New Roman" w:cs="Times New Roman"/>
          <w:kern w:val="0"/>
          <w:sz w:val="24"/>
          <w:szCs w:val="24"/>
          <w14:ligatures w14:val="none"/>
        </w:rPr>
        <w:t>options for addressing externalities</w:t>
      </w:r>
      <w:r w:rsidR="007E41A9">
        <w:rPr>
          <w:rFonts w:ascii="Times New Roman" w:eastAsia="Calibri" w:hAnsi="Times New Roman" w:cs="Times New Roman"/>
          <w:kern w:val="0"/>
          <w:sz w:val="24"/>
          <w:szCs w:val="24"/>
          <w14:ligatures w14:val="none"/>
        </w:rPr>
        <w:t xml:space="preserve"> other than Pigouvian controls</w:t>
      </w:r>
      <w:r w:rsidR="005E0671" w:rsidRPr="000765F3">
        <w:rPr>
          <w:rFonts w:ascii="Times New Roman" w:eastAsia="Calibri" w:hAnsi="Times New Roman" w:cs="Times New Roman"/>
          <w:kern w:val="0"/>
          <w:sz w:val="24"/>
          <w:szCs w:val="24"/>
          <w14:ligatures w14:val="none"/>
        </w:rPr>
        <w:t xml:space="preserve">, had that been the objective, which it was not.  </w:t>
      </w:r>
      <w:r w:rsidR="00F358B7">
        <w:rPr>
          <w:rFonts w:ascii="Times New Roman" w:eastAsia="Calibri" w:hAnsi="Times New Roman" w:cs="Times New Roman"/>
          <w:kern w:val="0"/>
          <w:sz w:val="24"/>
          <w:szCs w:val="24"/>
          <w14:ligatures w14:val="none"/>
        </w:rPr>
        <w:t xml:space="preserve">Following </w:t>
      </w:r>
      <w:r w:rsidR="005E0671" w:rsidRPr="000765F3">
        <w:rPr>
          <w:rFonts w:ascii="Times New Roman" w:eastAsia="Calibri" w:hAnsi="Times New Roman" w:cs="Times New Roman"/>
          <w:kern w:val="0"/>
          <w:sz w:val="24"/>
          <w:szCs w:val="24"/>
          <w14:ligatures w14:val="none"/>
        </w:rPr>
        <w:t>Coase (1937)</w:t>
      </w:r>
      <w:r w:rsidR="00F358B7">
        <w:rPr>
          <w:rFonts w:ascii="Times New Roman" w:eastAsia="Calibri" w:hAnsi="Times New Roman" w:cs="Times New Roman"/>
          <w:kern w:val="0"/>
          <w:sz w:val="24"/>
          <w:szCs w:val="24"/>
          <w14:ligatures w14:val="none"/>
        </w:rPr>
        <w:t xml:space="preserve">, </w:t>
      </w:r>
      <w:r w:rsidR="005E0671" w:rsidRPr="000765F3">
        <w:rPr>
          <w:rFonts w:ascii="Times New Roman" w:eastAsia="Calibri" w:hAnsi="Times New Roman" w:cs="Times New Roman"/>
          <w:kern w:val="0"/>
          <w:sz w:val="24"/>
          <w:szCs w:val="24"/>
          <w14:ligatures w14:val="none"/>
        </w:rPr>
        <w:t>Williamson (1975, 1985)</w:t>
      </w:r>
      <w:r w:rsidR="00F358B7">
        <w:rPr>
          <w:rFonts w:ascii="Times New Roman" w:eastAsia="Calibri" w:hAnsi="Times New Roman" w:cs="Times New Roman"/>
          <w:kern w:val="0"/>
          <w:sz w:val="24"/>
          <w:szCs w:val="24"/>
          <w14:ligatures w14:val="none"/>
        </w:rPr>
        <w:t>, and Ellickson (1982, 1993)</w:t>
      </w:r>
      <w:r w:rsidR="00DB6FE1">
        <w:rPr>
          <w:rFonts w:ascii="Times New Roman" w:eastAsia="Calibri" w:hAnsi="Times New Roman" w:cs="Times New Roman"/>
          <w:kern w:val="0"/>
          <w:sz w:val="24"/>
          <w:szCs w:val="24"/>
          <w14:ligatures w14:val="none"/>
        </w:rPr>
        <w:t>,</w:t>
      </w:r>
      <w:r w:rsidR="00F358B7">
        <w:rPr>
          <w:rFonts w:ascii="Times New Roman" w:eastAsia="Calibri" w:hAnsi="Times New Roman" w:cs="Times New Roman"/>
          <w:kern w:val="0"/>
          <w:sz w:val="24"/>
          <w:szCs w:val="24"/>
          <w14:ligatures w14:val="none"/>
        </w:rPr>
        <w:t xml:space="preserve"> </w:t>
      </w:r>
      <w:r w:rsidR="005E0671" w:rsidRPr="000765F3">
        <w:rPr>
          <w:rFonts w:ascii="Times New Roman" w:eastAsia="Calibri" w:hAnsi="Times New Roman" w:cs="Times New Roman"/>
          <w:kern w:val="0"/>
          <w:sz w:val="24"/>
          <w:szCs w:val="24"/>
          <w14:ligatures w14:val="none"/>
        </w:rPr>
        <w:t>local or regional organization</w:t>
      </w:r>
      <w:r w:rsidR="00414F04">
        <w:rPr>
          <w:rFonts w:ascii="Times New Roman" w:eastAsia="Calibri" w:hAnsi="Times New Roman" w:cs="Times New Roman"/>
          <w:kern w:val="0"/>
          <w:sz w:val="24"/>
          <w:szCs w:val="24"/>
          <w14:ligatures w14:val="none"/>
        </w:rPr>
        <w:t>s</w:t>
      </w:r>
      <w:r w:rsidR="005E0671" w:rsidRPr="000765F3">
        <w:rPr>
          <w:rFonts w:ascii="Times New Roman" w:eastAsia="Calibri" w:hAnsi="Times New Roman" w:cs="Times New Roman"/>
          <w:kern w:val="0"/>
          <w:sz w:val="24"/>
          <w:szCs w:val="24"/>
          <w14:ligatures w14:val="none"/>
        </w:rPr>
        <w:t xml:space="preserve"> might have </w:t>
      </w:r>
      <w:r w:rsidR="00414F04">
        <w:rPr>
          <w:rFonts w:ascii="Times New Roman" w:eastAsia="Calibri" w:hAnsi="Times New Roman" w:cs="Times New Roman"/>
          <w:kern w:val="0"/>
          <w:sz w:val="24"/>
          <w:szCs w:val="24"/>
          <w14:ligatures w14:val="none"/>
        </w:rPr>
        <w:t xml:space="preserve">been </w:t>
      </w:r>
      <w:r w:rsidR="005E0671" w:rsidRPr="000765F3">
        <w:rPr>
          <w:rFonts w:ascii="Times New Roman" w:eastAsia="Calibri" w:hAnsi="Times New Roman" w:cs="Times New Roman"/>
          <w:kern w:val="0"/>
          <w:sz w:val="24"/>
          <w:szCs w:val="24"/>
          <w14:ligatures w14:val="none"/>
        </w:rPr>
        <w:t xml:space="preserve">formed, </w:t>
      </w:r>
      <w:r w:rsidR="00F358B7">
        <w:rPr>
          <w:rFonts w:ascii="Times New Roman" w:eastAsia="Calibri" w:hAnsi="Times New Roman" w:cs="Times New Roman"/>
          <w:kern w:val="0"/>
          <w:sz w:val="24"/>
          <w:szCs w:val="24"/>
          <w14:ligatures w14:val="none"/>
        </w:rPr>
        <w:t xml:space="preserve">similar to </w:t>
      </w:r>
      <w:r w:rsidR="005E0671" w:rsidRPr="000765F3">
        <w:rPr>
          <w:rFonts w:ascii="Times New Roman" w:eastAsia="Calibri" w:hAnsi="Times New Roman" w:cs="Times New Roman"/>
          <w:kern w:val="0"/>
          <w:sz w:val="24"/>
          <w:szCs w:val="24"/>
          <w14:ligatures w14:val="none"/>
        </w:rPr>
        <w:t>a homeowners’ association or groundwater conservation district</w:t>
      </w:r>
      <w:r w:rsidR="00DB6FE1">
        <w:rPr>
          <w:rFonts w:ascii="Times New Roman" w:eastAsia="Calibri" w:hAnsi="Times New Roman" w:cs="Times New Roman"/>
          <w:kern w:val="0"/>
          <w:sz w:val="24"/>
          <w:szCs w:val="24"/>
          <w14:ligatures w14:val="none"/>
        </w:rPr>
        <w:t xml:space="preserve"> (Edwards 2016)</w:t>
      </w:r>
      <w:r w:rsidR="005E0671" w:rsidRPr="000765F3">
        <w:rPr>
          <w:rFonts w:ascii="Times New Roman" w:eastAsia="Calibri" w:hAnsi="Times New Roman" w:cs="Times New Roman"/>
          <w:kern w:val="0"/>
          <w:sz w:val="24"/>
          <w:szCs w:val="24"/>
          <w14:ligatures w14:val="none"/>
        </w:rPr>
        <w:t xml:space="preserve">, to provide a stage for identifying externalities, </w:t>
      </w:r>
      <w:r w:rsidR="00DB6FE1">
        <w:rPr>
          <w:rFonts w:ascii="Times New Roman" w:eastAsia="Calibri" w:hAnsi="Times New Roman" w:cs="Times New Roman"/>
          <w:kern w:val="0"/>
          <w:sz w:val="24"/>
          <w:szCs w:val="24"/>
          <w14:ligatures w14:val="none"/>
        </w:rPr>
        <w:t xml:space="preserve">negotiating </w:t>
      </w:r>
      <w:r w:rsidR="005E0671" w:rsidRPr="000765F3">
        <w:rPr>
          <w:rFonts w:ascii="Times New Roman" w:eastAsia="Calibri" w:hAnsi="Times New Roman" w:cs="Times New Roman"/>
          <w:kern w:val="0"/>
          <w:sz w:val="24"/>
          <w:szCs w:val="24"/>
          <w14:ligatures w14:val="none"/>
        </w:rPr>
        <w:t>abatement</w:t>
      </w:r>
      <w:r w:rsidR="00DB6FE1">
        <w:rPr>
          <w:rFonts w:ascii="Times New Roman" w:eastAsia="Calibri" w:hAnsi="Times New Roman" w:cs="Times New Roman"/>
          <w:kern w:val="0"/>
          <w:sz w:val="24"/>
          <w:szCs w:val="24"/>
          <w14:ligatures w14:val="none"/>
        </w:rPr>
        <w:t xml:space="preserve">, </w:t>
      </w:r>
      <w:r w:rsidR="005E0671" w:rsidRPr="000765F3">
        <w:rPr>
          <w:rFonts w:ascii="Times New Roman" w:eastAsia="Calibri" w:hAnsi="Times New Roman" w:cs="Times New Roman"/>
          <w:kern w:val="0"/>
          <w:sz w:val="24"/>
          <w:szCs w:val="24"/>
          <w14:ligatures w14:val="none"/>
        </w:rPr>
        <w:t xml:space="preserve">and </w:t>
      </w:r>
      <w:r w:rsidR="00DB6FE1">
        <w:rPr>
          <w:rFonts w:ascii="Times New Roman" w:eastAsia="Calibri" w:hAnsi="Times New Roman" w:cs="Times New Roman"/>
          <w:kern w:val="0"/>
          <w:sz w:val="24"/>
          <w:szCs w:val="24"/>
          <w14:ligatures w14:val="none"/>
        </w:rPr>
        <w:t xml:space="preserve">defining </w:t>
      </w:r>
      <w:r w:rsidR="005E0671" w:rsidRPr="000765F3">
        <w:rPr>
          <w:rFonts w:ascii="Times New Roman" w:eastAsia="Calibri" w:hAnsi="Times New Roman" w:cs="Times New Roman"/>
          <w:kern w:val="0"/>
          <w:sz w:val="24"/>
          <w:szCs w:val="24"/>
          <w14:ligatures w14:val="none"/>
        </w:rPr>
        <w:t xml:space="preserve">enforcement </w:t>
      </w:r>
      <w:r w:rsidR="00DB6FE1">
        <w:rPr>
          <w:rFonts w:ascii="Times New Roman" w:eastAsia="Calibri" w:hAnsi="Times New Roman" w:cs="Times New Roman"/>
          <w:kern w:val="0"/>
          <w:sz w:val="24"/>
          <w:szCs w:val="24"/>
          <w14:ligatures w14:val="none"/>
        </w:rPr>
        <w:t>(</w:t>
      </w:r>
      <w:r w:rsidR="005E0671" w:rsidRPr="000765F3">
        <w:rPr>
          <w:rFonts w:ascii="Times New Roman" w:eastAsia="Calibri" w:hAnsi="Times New Roman" w:cs="Times New Roman"/>
          <w:kern w:val="0"/>
          <w:sz w:val="24"/>
          <w:szCs w:val="24"/>
          <w14:ligatures w14:val="none"/>
        </w:rPr>
        <w:t>Mulligan 2023).</w:t>
      </w:r>
      <w:r w:rsidR="00DB6FE1">
        <w:rPr>
          <w:rStyle w:val="FootnoteReference"/>
          <w:rFonts w:ascii="Times New Roman" w:eastAsia="Calibri" w:hAnsi="Times New Roman" w:cs="Times New Roman"/>
          <w:kern w:val="0"/>
          <w:sz w:val="24"/>
          <w:szCs w:val="24"/>
          <w14:ligatures w14:val="none"/>
        </w:rPr>
        <w:footnoteReference w:id="16"/>
      </w:r>
      <w:r w:rsidR="00FF4E4E">
        <w:rPr>
          <w:rFonts w:ascii="Times New Roman" w:eastAsia="Calibri" w:hAnsi="Times New Roman" w:cs="Times New Roman"/>
          <w:kern w:val="0"/>
          <w:sz w:val="24"/>
          <w:szCs w:val="24"/>
          <w14:ligatures w14:val="none"/>
        </w:rPr>
        <w:t xml:space="preserve"> </w:t>
      </w:r>
      <w:r w:rsidR="005E0671" w:rsidRPr="000765F3">
        <w:rPr>
          <w:rFonts w:ascii="Times New Roman" w:eastAsia="Calibri" w:hAnsi="Times New Roman" w:cs="Times New Roman"/>
          <w:kern w:val="0"/>
          <w:sz w:val="24"/>
          <w:szCs w:val="24"/>
          <w14:ligatures w14:val="none"/>
        </w:rPr>
        <w:t xml:space="preserve">Negotiations would </w:t>
      </w:r>
      <w:r w:rsidR="00DB6FE1">
        <w:rPr>
          <w:rFonts w:ascii="Times New Roman" w:eastAsia="Calibri" w:hAnsi="Times New Roman" w:cs="Times New Roman"/>
          <w:kern w:val="0"/>
          <w:sz w:val="24"/>
          <w:szCs w:val="24"/>
          <w14:ligatures w14:val="none"/>
        </w:rPr>
        <w:t xml:space="preserve">have included </w:t>
      </w:r>
      <w:r w:rsidR="005E0671" w:rsidRPr="000765F3">
        <w:rPr>
          <w:rFonts w:ascii="Times New Roman" w:eastAsia="Calibri" w:hAnsi="Times New Roman" w:cs="Times New Roman"/>
          <w:kern w:val="0"/>
          <w:sz w:val="24"/>
          <w:szCs w:val="24"/>
          <w14:ligatures w14:val="none"/>
        </w:rPr>
        <w:t xml:space="preserve">distributing property rights among polluters and pollutees, </w:t>
      </w:r>
      <w:r w:rsidR="00A0736D" w:rsidRPr="000765F3">
        <w:rPr>
          <w:rFonts w:ascii="Times New Roman" w:eastAsia="Calibri" w:hAnsi="Times New Roman" w:cs="Times New Roman"/>
          <w:kern w:val="0"/>
          <w:sz w:val="24"/>
          <w:szCs w:val="24"/>
          <w14:ligatures w14:val="none"/>
        </w:rPr>
        <w:t xml:space="preserve">setting the pollution cap, </w:t>
      </w:r>
      <w:r w:rsidR="005E0671" w:rsidRPr="000765F3">
        <w:rPr>
          <w:rFonts w:ascii="Times New Roman" w:eastAsia="Calibri" w:hAnsi="Times New Roman" w:cs="Times New Roman"/>
          <w:kern w:val="0"/>
          <w:sz w:val="24"/>
          <w:szCs w:val="24"/>
          <w14:ligatures w14:val="none"/>
        </w:rPr>
        <w:t>and creating a</w:t>
      </w:r>
      <w:r w:rsidR="00E51D00">
        <w:rPr>
          <w:rFonts w:ascii="Times New Roman" w:eastAsia="Calibri" w:hAnsi="Times New Roman" w:cs="Times New Roman"/>
          <w:kern w:val="0"/>
          <w:sz w:val="24"/>
          <w:szCs w:val="24"/>
          <w14:ligatures w14:val="none"/>
        </w:rPr>
        <w:t>n exchange</w:t>
      </w:r>
      <w:r w:rsidR="005E0671" w:rsidRPr="000765F3">
        <w:rPr>
          <w:rFonts w:ascii="Times New Roman" w:eastAsia="Calibri" w:hAnsi="Times New Roman" w:cs="Times New Roman"/>
          <w:kern w:val="0"/>
          <w:sz w:val="24"/>
          <w:szCs w:val="24"/>
          <w14:ligatures w14:val="none"/>
        </w:rPr>
        <w:t xml:space="preserve"> </w:t>
      </w:r>
      <w:r w:rsidR="00E51D00">
        <w:rPr>
          <w:rFonts w:ascii="Times New Roman" w:eastAsia="Calibri" w:hAnsi="Times New Roman" w:cs="Times New Roman"/>
          <w:kern w:val="0"/>
          <w:sz w:val="24"/>
          <w:szCs w:val="24"/>
          <w14:ligatures w14:val="none"/>
        </w:rPr>
        <w:t>structure. To be sure, d</w:t>
      </w:r>
      <w:r w:rsidR="005E0671" w:rsidRPr="000765F3">
        <w:rPr>
          <w:rFonts w:ascii="Times New Roman" w:eastAsia="Calibri" w:hAnsi="Times New Roman" w:cs="Times New Roman"/>
          <w:kern w:val="0"/>
          <w:sz w:val="24"/>
          <w:szCs w:val="24"/>
          <w14:ligatures w14:val="none"/>
        </w:rPr>
        <w:t>efining property rights, bargaining over controls, and monitoring compliance would involve costs. Even so, a more cooperative, flexible, and less costly structure than the observed Pigouvian approach might have been put into place and been welfare enhancing.</w:t>
      </w:r>
      <w:r w:rsidR="005E0671" w:rsidRPr="000765F3">
        <w:rPr>
          <w:rFonts w:ascii="Times New Roman" w:eastAsia="Calibri" w:hAnsi="Times New Roman" w:cs="Times New Roman"/>
          <w:kern w:val="0"/>
          <w:sz w:val="24"/>
          <w:szCs w:val="24"/>
          <w:vertAlign w:val="superscript"/>
          <w14:ligatures w14:val="none"/>
        </w:rPr>
        <w:footnoteReference w:id="17"/>
      </w:r>
    </w:p>
    <w:p w14:paraId="30F98401" w14:textId="242680F5" w:rsidR="005E0671" w:rsidRPr="000765F3" w:rsidRDefault="00DB6FE1" w:rsidP="00DB6FE1">
      <w:pPr>
        <w:spacing w:after="0" w:line="360" w:lineRule="auto"/>
        <w:ind w:firstLine="720"/>
        <w:contextualSpacing/>
        <w:rPr>
          <w:rFonts w:ascii="Times New Roman" w:eastAsia="Times New Roman" w:hAnsi="Times New Roman" w:cs="Times New Roman"/>
          <w:color w:val="222222"/>
          <w:kern w:val="0"/>
          <w:sz w:val="24"/>
          <w:szCs w:val="24"/>
          <w14:ligatures w14:val="none"/>
        </w:rPr>
      </w:pPr>
      <w:r>
        <w:rPr>
          <w:rFonts w:ascii="Times New Roman" w:eastAsia="Calibri" w:hAnsi="Times New Roman" w:cs="Times New Roman"/>
          <w:kern w:val="0"/>
          <w:sz w:val="24"/>
          <w:szCs w:val="24"/>
          <w14:ligatures w14:val="none"/>
        </w:rPr>
        <w:lastRenderedPageBreak/>
        <w:t>T</w:t>
      </w:r>
      <w:r w:rsidR="005E0671" w:rsidRPr="000765F3">
        <w:rPr>
          <w:rFonts w:ascii="Times New Roman" w:eastAsia="Calibri" w:hAnsi="Times New Roman" w:cs="Times New Roman"/>
          <w:kern w:val="0"/>
          <w:sz w:val="24"/>
          <w:szCs w:val="24"/>
          <w14:ligatures w14:val="none"/>
        </w:rPr>
        <w:t>here is no evidence</w:t>
      </w:r>
      <w:r>
        <w:rPr>
          <w:rFonts w:ascii="Times New Roman" w:eastAsia="Calibri" w:hAnsi="Times New Roman" w:cs="Times New Roman"/>
          <w:kern w:val="0"/>
          <w:sz w:val="24"/>
          <w:szCs w:val="24"/>
          <w14:ligatures w14:val="none"/>
        </w:rPr>
        <w:t xml:space="preserve"> </w:t>
      </w:r>
      <w:r w:rsidR="005E0671" w:rsidRPr="000765F3">
        <w:rPr>
          <w:rFonts w:ascii="Times New Roman" w:eastAsia="Calibri" w:hAnsi="Times New Roman" w:cs="Times New Roman"/>
          <w:kern w:val="0"/>
          <w:sz w:val="24"/>
          <w:szCs w:val="24"/>
          <w14:ligatures w14:val="none"/>
        </w:rPr>
        <w:t>that such Coasean considerations were contemplated</w:t>
      </w:r>
      <w:r>
        <w:rPr>
          <w:rFonts w:ascii="Times New Roman" w:eastAsia="Calibri" w:hAnsi="Times New Roman" w:cs="Times New Roman"/>
          <w:kern w:val="0"/>
          <w:sz w:val="24"/>
          <w:szCs w:val="24"/>
          <w14:ligatures w14:val="none"/>
        </w:rPr>
        <w:t>. M</w:t>
      </w:r>
      <w:r w:rsidR="005E0671" w:rsidRPr="000765F3">
        <w:rPr>
          <w:rFonts w:ascii="Times New Roman" w:eastAsia="Calibri" w:hAnsi="Times New Roman" w:cs="Times New Roman"/>
          <w:kern w:val="0"/>
          <w:sz w:val="24"/>
          <w:szCs w:val="24"/>
          <w14:ligatures w14:val="none"/>
        </w:rPr>
        <w:t xml:space="preserve">ore than just externality control seemingly was an important objective for advocates.  Indeed, </w:t>
      </w:r>
      <w:r w:rsidR="00F75E4D">
        <w:rPr>
          <w:rFonts w:ascii="Times New Roman" w:eastAsia="Calibri" w:hAnsi="Times New Roman" w:cs="Times New Roman"/>
          <w:kern w:val="0"/>
          <w:sz w:val="24"/>
          <w:szCs w:val="24"/>
          <w14:ligatures w14:val="none"/>
        </w:rPr>
        <w:t xml:space="preserve">legislative histories reveal </w:t>
      </w:r>
      <w:r w:rsidR="005E0671" w:rsidRPr="000765F3">
        <w:rPr>
          <w:rFonts w:ascii="Times New Roman" w:eastAsia="Times New Roman" w:hAnsi="Times New Roman" w:cs="Times New Roman"/>
          <w:color w:val="222222"/>
          <w:kern w:val="0"/>
          <w:sz w:val="24"/>
          <w:szCs w:val="24"/>
          <w14:ligatures w14:val="none"/>
        </w:rPr>
        <w:t>the aim of the statutes was to provide politically</w:t>
      </w:r>
      <w:r w:rsidR="00C66FE1">
        <w:rPr>
          <w:rFonts w:ascii="Times New Roman" w:eastAsia="Times New Roman" w:hAnsi="Times New Roman" w:cs="Times New Roman"/>
          <w:color w:val="222222"/>
          <w:kern w:val="0"/>
          <w:sz w:val="24"/>
          <w:szCs w:val="24"/>
          <w14:ligatures w14:val="none"/>
        </w:rPr>
        <w:t xml:space="preserve"> </w:t>
      </w:r>
      <w:r w:rsidR="005E0671" w:rsidRPr="000765F3">
        <w:rPr>
          <w:rFonts w:ascii="Times New Roman" w:eastAsia="Times New Roman" w:hAnsi="Times New Roman" w:cs="Times New Roman"/>
          <w:color w:val="222222"/>
          <w:kern w:val="0"/>
          <w:sz w:val="24"/>
          <w:szCs w:val="24"/>
          <w14:ligatures w14:val="none"/>
        </w:rPr>
        <w:t xml:space="preserve">popular public goods with rent-seeking opportunities.  </w:t>
      </w:r>
      <w:r w:rsidR="00E51D00">
        <w:rPr>
          <w:rFonts w:ascii="Times New Roman" w:eastAsia="Times New Roman" w:hAnsi="Times New Roman" w:cs="Times New Roman"/>
          <w:color w:val="222222"/>
          <w:kern w:val="0"/>
          <w:sz w:val="24"/>
          <w:szCs w:val="24"/>
          <w14:ligatures w14:val="none"/>
        </w:rPr>
        <w:t>The statutes de</w:t>
      </w:r>
      <w:r w:rsidR="00591AE8">
        <w:rPr>
          <w:rFonts w:ascii="Times New Roman" w:eastAsia="Times New Roman" w:hAnsi="Times New Roman" w:cs="Times New Roman"/>
          <w:color w:val="222222"/>
          <w:kern w:val="0"/>
          <w:sz w:val="24"/>
          <w:szCs w:val="24"/>
          <w14:ligatures w14:val="none"/>
        </w:rPr>
        <w:t xml:space="preserve">signated </w:t>
      </w:r>
      <w:r w:rsidR="00E51D00">
        <w:rPr>
          <w:rFonts w:ascii="Times New Roman" w:eastAsia="Times New Roman" w:hAnsi="Times New Roman" w:cs="Times New Roman"/>
          <w:color w:val="222222"/>
          <w:kern w:val="0"/>
          <w:sz w:val="24"/>
          <w:szCs w:val="24"/>
          <w14:ligatures w14:val="none"/>
        </w:rPr>
        <w:t>h</w:t>
      </w:r>
      <w:r w:rsidR="005E0671" w:rsidRPr="000765F3">
        <w:rPr>
          <w:rFonts w:ascii="Times New Roman" w:eastAsia="Times New Roman" w:hAnsi="Times New Roman" w:cs="Times New Roman"/>
          <w:color w:val="222222"/>
          <w:kern w:val="0"/>
          <w:sz w:val="24"/>
          <w:szCs w:val="24"/>
          <w14:ligatures w14:val="none"/>
        </w:rPr>
        <w:t>ow environmental public goods w</w:t>
      </w:r>
      <w:r w:rsidR="00E51D00">
        <w:rPr>
          <w:rFonts w:ascii="Times New Roman" w:eastAsia="Times New Roman" w:hAnsi="Times New Roman" w:cs="Times New Roman"/>
          <w:color w:val="222222"/>
          <w:kern w:val="0"/>
          <w:sz w:val="24"/>
          <w:szCs w:val="24"/>
          <w14:ligatures w14:val="none"/>
        </w:rPr>
        <w:t xml:space="preserve">ould </w:t>
      </w:r>
      <w:r>
        <w:rPr>
          <w:rFonts w:ascii="Times New Roman" w:eastAsia="Times New Roman" w:hAnsi="Times New Roman" w:cs="Times New Roman"/>
          <w:color w:val="222222"/>
          <w:kern w:val="0"/>
          <w:sz w:val="24"/>
          <w:szCs w:val="24"/>
          <w14:ligatures w14:val="none"/>
        </w:rPr>
        <w:t xml:space="preserve">be </w:t>
      </w:r>
      <w:r w:rsidR="005E0671" w:rsidRPr="000765F3">
        <w:rPr>
          <w:rFonts w:ascii="Times New Roman" w:eastAsia="Times New Roman" w:hAnsi="Times New Roman" w:cs="Times New Roman"/>
          <w:color w:val="222222"/>
          <w:kern w:val="0"/>
          <w:sz w:val="24"/>
          <w:szCs w:val="24"/>
          <w14:ligatures w14:val="none"/>
        </w:rPr>
        <w:t xml:space="preserve">provided </w:t>
      </w:r>
      <w:r w:rsidR="00414F04">
        <w:rPr>
          <w:rFonts w:ascii="Times New Roman" w:eastAsia="Times New Roman" w:hAnsi="Times New Roman" w:cs="Times New Roman"/>
          <w:color w:val="222222"/>
          <w:kern w:val="0"/>
          <w:sz w:val="24"/>
          <w:szCs w:val="24"/>
          <w14:ligatures w14:val="none"/>
        </w:rPr>
        <w:t xml:space="preserve">through regulation </w:t>
      </w:r>
      <w:r w:rsidR="00E51D00">
        <w:rPr>
          <w:rFonts w:ascii="Times New Roman" w:eastAsia="Times New Roman" w:hAnsi="Times New Roman" w:cs="Times New Roman"/>
          <w:color w:val="222222"/>
          <w:kern w:val="0"/>
          <w:sz w:val="24"/>
          <w:szCs w:val="24"/>
          <w14:ligatures w14:val="none"/>
        </w:rPr>
        <w:t xml:space="preserve">and </w:t>
      </w:r>
      <w:r w:rsidR="005E0671" w:rsidRPr="000765F3">
        <w:rPr>
          <w:rFonts w:ascii="Times New Roman" w:eastAsia="Times New Roman" w:hAnsi="Times New Roman" w:cs="Times New Roman"/>
          <w:color w:val="222222"/>
          <w:kern w:val="0"/>
          <w:sz w:val="24"/>
          <w:szCs w:val="24"/>
          <w14:ligatures w14:val="none"/>
        </w:rPr>
        <w:t>how rents would be d</w:t>
      </w:r>
      <w:r w:rsidR="00591AE8">
        <w:rPr>
          <w:rFonts w:ascii="Times New Roman" w:eastAsia="Times New Roman" w:hAnsi="Times New Roman" w:cs="Times New Roman"/>
          <w:color w:val="222222"/>
          <w:kern w:val="0"/>
          <w:sz w:val="24"/>
          <w:szCs w:val="24"/>
          <w14:ligatures w14:val="none"/>
        </w:rPr>
        <w:t>istributed</w:t>
      </w:r>
      <w:r w:rsidR="005E0671" w:rsidRPr="000765F3">
        <w:rPr>
          <w:rFonts w:ascii="Times New Roman" w:eastAsia="Times New Roman" w:hAnsi="Times New Roman" w:cs="Times New Roman"/>
          <w:color w:val="222222"/>
          <w:kern w:val="0"/>
          <w:sz w:val="24"/>
          <w:szCs w:val="24"/>
          <w14:ligatures w14:val="none"/>
        </w:rPr>
        <w:t xml:space="preserve">. </w:t>
      </w:r>
      <w:r w:rsidR="00F75E4D">
        <w:rPr>
          <w:rFonts w:ascii="Times New Roman" w:eastAsia="Times New Roman" w:hAnsi="Times New Roman" w:cs="Times New Roman"/>
          <w:color w:val="222222"/>
          <w:kern w:val="0"/>
          <w:sz w:val="24"/>
          <w:szCs w:val="24"/>
          <w14:ligatures w14:val="none"/>
        </w:rPr>
        <w:t xml:space="preserve"> Costs received little attention. </w:t>
      </w:r>
      <w:r w:rsidR="005E0671" w:rsidRPr="000765F3">
        <w:rPr>
          <w:rFonts w:ascii="Times New Roman" w:eastAsia="Times New Roman" w:hAnsi="Times New Roman" w:cs="Times New Roman"/>
          <w:color w:val="222222"/>
          <w:kern w:val="0"/>
          <w:sz w:val="24"/>
          <w:szCs w:val="24"/>
          <w14:ligatures w14:val="none"/>
        </w:rPr>
        <w:t xml:space="preserve">The advantages for political proponents—politicians, agency officials, and lobby groups--of Pigouvian mandates versus Coasean negotiated outcomes lay in </w:t>
      </w:r>
      <w:r w:rsidR="0074453F">
        <w:rPr>
          <w:rFonts w:ascii="Times New Roman" w:eastAsia="Times New Roman" w:hAnsi="Times New Roman" w:cs="Times New Roman"/>
          <w:color w:val="222222"/>
          <w:kern w:val="0"/>
          <w:sz w:val="24"/>
          <w:szCs w:val="24"/>
          <w14:ligatures w14:val="none"/>
        </w:rPr>
        <w:t xml:space="preserve">the </w:t>
      </w:r>
      <w:r w:rsidR="005E0671" w:rsidRPr="000765F3">
        <w:rPr>
          <w:rFonts w:ascii="Times New Roman" w:eastAsia="Times New Roman" w:hAnsi="Times New Roman" w:cs="Times New Roman"/>
          <w:color w:val="222222"/>
          <w:kern w:val="0"/>
          <w:sz w:val="24"/>
          <w:szCs w:val="24"/>
          <w14:ligatures w14:val="none"/>
        </w:rPr>
        <w:t>reliability and direction of delivered costs and benefits. The political process and those proficient in it determined who would be regulated and by how much. The state would enforce those directives.</w:t>
      </w:r>
      <w:r w:rsidR="005E0671" w:rsidRPr="000765F3">
        <w:rPr>
          <w:rFonts w:ascii="Times New Roman" w:hAnsi="Times New Roman" w:cs="Times New Roman"/>
          <w:kern w:val="0"/>
          <w:sz w:val="24"/>
          <w:szCs w:val="24"/>
          <w:vertAlign w:val="superscript"/>
          <w14:ligatures w14:val="none"/>
        </w:rPr>
        <w:footnoteReference w:id="18"/>
      </w:r>
      <w:r w:rsidR="005E0671" w:rsidRPr="000765F3">
        <w:rPr>
          <w:rFonts w:ascii="Times New Roman" w:eastAsia="Times New Roman" w:hAnsi="Times New Roman" w:cs="Times New Roman"/>
          <w:color w:val="1B1B1B"/>
          <w:kern w:val="0"/>
          <w:sz w:val="24"/>
          <w:szCs w:val="24"/>
          <w14:ligatures w14:val="none"/>
        </w:rPr>
        <w:t xml:space="preserve"> </w:t>
      </w:r>
      <w:r w:rsidR="009C6564">
        <w:rPr>
          <w:rFonts w:ascii="Times New Roman" w:eastAsia="Times New Roman" w:hAnsi="Times New Roman" w:cs="Times New Roman"/>
          <w:color w:val="222222"/>
          <w:kern w:val="0"/>
          <w:sz w:val="24"/>
          <w:szCs w:val="24"/>
          <w14:ligatures w14:val="none"/>
        </w:rPr>
        <w:t xml:space="preserve">Advocates would </w:t>
      </w:r>
      <w:r w:rsidR="00591AE8">
        <w:rPr>
          <w:rFonts w:ascii="Times New Roman" w:eastAsia="Times New Roman" w:hAnsi="Times New Roman" w:cs="Times New Roman"/>
          <w:color w:val="222222"/>
          <w:kern w:val="0"/>
          <w:sz w:val="24"/>
          <w:szCs w:val="24"/>
          <w14:ligatures w14:val="none"/>
        </w:rPr>
        <w:t xml:space="preserve">receive benefits, along with generated public goods, while bearing </w:t>
      </w:r>
      <w:r w:rsidR="005F051A">
        <w:rPr>
          <w:rFonts w:ascii="Times New Roman" w:eastAsia="Times New Roman" w:hAnsi="Times New Roman" w:cs="Times New Roman"/>
          <w:color w:val="222222"/>
          <w:kern w:val="0"/>
          <w:sz w:val="24"/>
          <w:szCs w:val="24"/>
          <w14:ligatures w14:val="none"/>
        </w:rPr>
        <w:t xml:space="preserve">only </w:t>
      </w:r>
      <w:r w:rsidR="00591AE8">
        <w:rPr>
          <w:rFonts w:ascii="Times New Roman" w:eastAsia="Times New Roman" w:hAnsi="Times New Roman" w:cs="Times New Roman"/>
          <w:color w:val="222222"/>
          <w:kern w:val="0"/>
          <w:sz w:val="24"/>
          <w:szCs w:val="24"/>
          <w14:ligatures w14:val="none"/>
        </w:rPr>
        <w:t xml:space="preserve">direct </w:t>
      </w:r>
      <w:r w:rsidR="009C6564">
        <w:rPr>
          <w:rFonts w:ascii="Times New Roman" w:eastAsia="Times New Roman" w:hAnsi="Times New Roman" w:cs="Times New Roman"/>
          <w:color w:val="222222"/>
          <w:kern w:val="0"/>
          <w:sz w:val="24"/>
          <w:szCs w:val="24"/>
          <w14:ligatures w14:val="none"/>
        </w:rPr>
        <w:t xml:space="preserve">lobby </w:t>
      </w:r>
      <w:r w:rsidR="00591AE8">
        <w:rPr>
          <w:rFonts w:ascii="Times New Roman" w:eastAsia="Times New Roman" w:hAnsi="Times New Roman" w:cs="Times New Roman"/>
          <w:color w:val="222222"/>
          <w:kern w:val="0"/>
          <w:sz w:val="24"/>
          <w:szCs w:val="24"/>
          <w14:ligatures w14:val="none"/>
        </w:rPr>
        <w:t xml:space="preserve">costs with broader costs borne by regulated parties </w:t>
      </w:r>
      <w:r w:rsidR="009C6564">
        <w:rPr>
          <w:rFonts w:ascii="Times New Roman" w:eastAsia="Times New Roman" w:hAnsi="Times New Roman" w:cs="Times New Roman"/>
          <w:color w:val="222222"/>
          <w:kern w:val="0"/>
          <w:sz w:val="24"/>
          <w:szCs w:val="24"/>
          <w14:ligatures w14:val="none"/>
        </w:rPr>
        <w:t xml:space="preserve">and </w:t>
      </w:r>
      <w:r w:rsidR="00591AE8">
        <w:rPr>
          <w:rFonts w:ascii="Times New Roman" w:eastAsia="Times New Roman" w:hAnsi="Times New Roman" w:cs="Times New Roman"/>
          <w:color w:val="222222"/>
          <w:kern w:val="0"/>
          <w:sz w:val="24"/>
          <w:szCs w:val="24"/>
          <w14:ligatures w14:val="none"/>
        </w:rPr>
        <w:t>overall society, including any efficiency losses.</w:t>
      </w:r>
    </w:p>
    <w:p w14:paraId="0B8B1988" w14:textId="1ADF6278" w:rsidR="00591AE8" w:rsidRDefault="00591AE8" w:rsidP="00591AE8">
      <w:pPr>
        <w:spacing w:after="0" w:line="360" w:lineRule="auto"/>
        <w:ind w:firstLine="720"/>
        <w:rPr>
          <w:rFonts w:ascii="Times New Roman" w:eastAsia="Times New Roman" w:hAnsi="Times New Roman" w:cs="Times New Roman"/>
          <w:color w:val="000000"/>
          <w:sz w:val="24"/>
        </w:rPr>
      </w:pPr>
      <w:r>
        <w:rPr>
          <w:rFonts w:ascii="Times New Roman" w:hAnsi="Times New Roman" w:cs="Times New Roman"/>
          <w:sz w:val="24"/>
          <w:szCs w:val="24"/>
        </w:rPr>
        <w:t xml:space="preserve">Although there may be generalized benefits to citizens, the adopted Pigouvian approaches </w:t>
      </w:r>
      <w:r w:rsidR="00F75E4D">
        <w:rPr>
          <w:rFonts w:ascii="Times New Roman" w:hAnsi="Times New Roman" w:cs="Times New Roman"/>
          <w:sz w:val="24"/>
          <w:szCs w:val="24"/>
        </w:rPr>
        <w:t xml:space="preserve">are unlikely to be </w:t>
      </w:r>
      <w:r>
        <w:rPr>
          <w:rFonts w:ascii="Times New Roman" w:hAnsi="Times New Roman" w:cs="Times New Roman"/>
          <w:sz w:val="24"/>
          <w:szCs w:val="24"/>
        </w:rPr>
        <w:t>the low-cost or general welfare-improving ones (Sallee 2019).</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Important beneficiaries of Pigouvian controls are politicians, seeking reelection; agency officials, seeking regulatory roles and budgets; and successful lobby groups, seeking favored and at least partially self-serving policies.</w:t>
      </w:r>
      <w:r>
        <w:rPr>
          <w:rStyle w:val="FootnoteReference"/>
          <w:rFonts w:ascii="Times New Roman" w:hAnsi="Times New Roman" w:cs="Times New Roman"/>
          <w:sz w:val="24"/>
          <w:szCs w:val="24"/>
        </w:rPr>
        <w:footnoteReference w:id="20"/>
      </w:r>
      <w:r w:rsidR="0074453F">
        <w:rPr>
          <w:rFonts w:ascii="Times New Roman" w:hAnsi="Times New Roman" w:cs="Times New Roman"/>
          <w:sz w:val="24"/>
          <w:szCs w:val="24"/>
        </w:rPr>
        <w:t xml:space="preserve"> </w:t>
      </w:r>
      <w:r w:rsidRPr="000E4264">
        <w:rPr>
          <w:rFonts w:ascii="Times New Roman" w:eastAsia="Times New Roman" w:hAnsi="Times New Roman" w:cs="Times New Roman"/>
          <w:color w:val="000000"/>
          <w:sz w:val="24"/>
        </w:rPr>
        <w:t xml:space="preserve">The returns provided those parties through the political process, would be limited in the more decentralized, market-oriented abatement regime described by Coase that tacitly balanced </w:t>
      </w:r>
      <w:r w:rsidR="00FF4E4E">
        <w:rPr>
          <w:rFonts w:ascii="Times New Roman" w:eastAsia="Times New Roman" w:hAnsi="Times New Roman" w:cs="Times New Roman"/>
          <w:color w:val="000000"/>
          <w:sz w:val="24"/>
        </w:rPr>
        <w:t xml:space="preserve">marginal </w:t>
      </w:r>
      <w:r w:rsidRPr="000E4264">
        <w:rPr>
          <w:rFonts w:ascii="Times New Roman" w:eastAsia="Times New Roman" w:hAnsi="Times New Roman" w:cs="Times New Roman"/>
          <w:color w:val="000000"/>
          <w:sz w:val="24"/>
        </w:rPr>
        <w:t xml:space="preserve">costs and benefits, and hence, </w:t>
      </w:r>
      <w:r>
        <w:rPr>
          <w:rFonts w:ascii="Times New Roman" w:eastAsia="Times New Roman" w:hAnsi="Times New Roman" w:cs="Times New Roman"/>
          <w:color w:val="000000"/>
          <w:sz w:val="24"/>
        </w:rPr>
        <w:t xml:space="preserve">would </w:t>
      </w:r>
      <w:r w:rsidRPr="000E4264">
        <w:rPr>
          <w:rFonts w:ascii="Times New Roman" w:eastAsia="Times New Roman" w:hAnsi="Times New Roman" w:cs="Times New Roman"/>
          <w:color w:val="000000"/>
          <w:sz w:val="24"/>
        </w:rPr>
        <w:t xml:space="preserve">be total welfare improving. </w:t>
      </w:r>
    </w:p>
    <w:p w14:paraId="05A068C5" w14:textId="22EE790D" w:rsidR="000765F3" w:rsidRPr="000765F3" w:rsidRDefault="000F56F7" w:rsidP="000765F3">
      <w:pPr>
        <w:spacing w:after="0" w:line="360" w:lineRule="auto"/>
        <w:ind w:firstLine="72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w:t>
      </w:r>
      <w:r w:rsidR="000765F3" w:rsidRPr="000765F3">
        <w:rPr>
          <w:rFonts w:ascii="Times New Roman" w:eastAsia="Calibri" w:hAnsi="Times New Roman" w:cs="Times New Roman"/>
          <w:kern w:val="0"/>
          <w:sz w:val="24"/>
          <w:szCs w:val="24"/>
          <w14:ligatures w14:val="none"/>
        </w:rPr>
        <w:t xml:space="preserve">s an indication of </w:t>
      </w:r>
      <w:r w:rsidR="000765F3" w:rsidRPr="000765F3">
        <w:rPr>
          <w:rFonts w:ascii="Times New Roman" w:eastAsia="Times New Roman" w:hAnsi="Times New Roman" w:cs="Times New Roman"/>
          <w:color w:val="222222"/>
          <w:kern w:val="0"/>
          <w:sz w:val="24"/>
          <w:szCs w:val="24"/>
          <w14:ligatures w14:val="none"/>
        </w:rPr>
        <w:t xml:space="preserve">rent seeking and </w:t>
      </w:r>
      <w:r w:rsidR="00A0736D">
        <w:rPr>
          <w:rFonts w:ascii="Times New Roman" w:eastAsia="Times New Roman" w:hAnsi="Times New Roman" w:cs="Times New Roman"/>
          <w:color w:val="222222"/>
          <w:kern w:val="0"/>
          <w:sz w:val="24"/>
          <w:szCs w:val="24"/>
          <w14:ligatures w14:val="none"/>
        </w:rPr>
        <w:t xml:space="preserve">unbalanced </w:t>
      </w:r>
      <w:r w:rsidR="000765F3" w:rsidRPr="000765F3">
        <w:rPr>
          <w:rFonts w:ascii="Times New Roman" w:eastAsia="Times New Roman" w:hAnsi="Times New Roman" w:cs="Times New Roman"/>
          <w:color w:val="222222"/>
          <w:kern w:val="0"/>
          <w:sz w:val="24"/>
          <w:szCs w:val="24"/>
          <w14:ligatures w14:val="none"/>
        </w:rPr>
        <w:t>distributions of costs and benefits</w:t>
      </w:r>
      <w:r w:rsidR="00D24E7C">
        <w:rPr>
          <w:rFonts w:ascii="Times New Roman" w:eastAsia="Times New Roman" w:hAnsi="Times New Roman" w:cs="Times New Roman"/>
          <w:color w:val="222222"/>
          <w:kern w:val="0"/>
          <w:sz w:val="24"/>
          <w:szCs w:val="24"/>
          <w14:ligatures w14:val="none"/>
        </w:rPr>
        <w:t>,</w:t>
      </w:r>
      <w:r w:rsidR="000765F3" w:rsidRPr="000765F3">
        <w:rPr>
          <w:rFonts w:ascii="Times New Roman" w:eastAsia="Times New Roman" w:hAnsi="Times New Roman" w:cs="Times New Roman"/>
          <w:color w:val="222222"/>
          <w:kern w:val="0"/>
          <w:sz w:val="24"/>
          <w:szCs w:val="24"/>
          <w14:ligatures w14:val="none"/>
        </w:rPr>
        <w:t xml:space="preserve"> virtually all the legislation</w:t>
      </w:r>
      <w:r>
        <w:rPr>
          <w:rFonts w:ascii="Times New Roman" w:eastAsia="Times New Roman" w:hAnsi="Times New Roman" w:cs="Times New Roman"/>
          <w:color w:val="222222"/>
          <w:kern w:val="0"/>
          <w:sz w:val="24"/>
          <w:szCs w:val="24"/>
          <w14:ligatures w14:val="none"/>
        </w:rPr>
        <w:t xml:space="preserve"> in Table 1</w:t>
      </w:r>
      <w:r w:rsidR="000765F3" w:rsidRPr="000765F3">
        <w:rPr>
          <w:rFonts w:ascii="Times New Roman" w:eastAsia="Times New Roman" w:hAnsi="Times New Roman" w:cs="Times New Roman"/>
          <w:color w:val="222222"/>
          <w:kern w:val="0"/>
          <w:sz w:val="24"/>
          <w:szCs w:val="24"/>
          <w14:ligatures w14:val="none"/>
        </w:rPr>
        <w:t xml:space="preserve"> is mired in controversy, with changes stalemated in Congress (Reitze 1999, 729; Schmalensee and Stavins 2019, 45-46 for the Clean Air Act).</w:t>
      </w:r>
      <w:r w:rsidR="000765F3" w:rsidRPr="000765F3">
        <w:rPr>
          <w:rFonts w:ascii="Times New Roman" w:eastAsia="Times New Roman" w:hAnsi="Times New Roman" w:cs="Times New Roman"/>
          <w:color w:val="222222"/>
          <w:kern w:val="0"/>
          <w:sz w:val="24"/>
          <w:szCs w:val="24"/>
          <w:vertAlign w:val="superscript"/>
          <w14:ligatures w14:val="none"/>
        </w:rPr>
        <w:footnoteReference w:id="21"/>
      </w:r>
      <w:r w:rsidR="005F051A">
        <w:rPr>
          <w:rFonts w:ascii="Times New Roman" w:eastAsia="Times New Roman" w:hAnsi="Times New Roman" w:cs="Times New Roman"/>
          <w:color w:val="222222"/>
          <w:kern w:val="0"/>
          <w:sz w:val="24"/>
          <w:szCs w:val="24"/>
          <w14:ligatures w14:val="none"/>
        </w:rPr>
        <w:t xml:space="preserve"> </w:t>
      </w:r>
      <w:r w:rsidR="000765F3" w:rsidRPr="000765F3">
        <w:rPr>
          <w:rFonts w:ascii="Times New Roman" w:eastAsia="Times New Roman" w:hAnsi="Times New Roman" w:cs="Times New Roman"/>
          <w:color w:val="222222"/>
          <w:kern w:val="0"/>
          <w:sz w:val="24"/>
          <w:szCs w:val="24"/>
          <w14:ligatures w14:val="none"/>
        </w:rPr>
        <w:t xml:space="preserve">If </w:t>
      </w:r>
      <w:r w:rsidR="000765F3" w:rsidRPr="000765F3">
        <w:rPr>
          <w:rFonts w:ascii="Times New Roman" w:eastAsia="Times New Roman" w:hAnsi="Times New Roman" w:cs="Times New Roman"/>
          <w:color w:val="222222"/>
          <w:kern w:val="0"/>
          <w:sz w:val="24"/>
          <w:szCs w:val="24"/>
          <w14:ligatures w14:val="none"/>
        </w:rPr>
        <w:lastRenderedPageBreak/>
        <w:t xml:space="preserve">there were so many general benefits of environmental policies, then why would this </w:t>
      </w:r>
      <w:r w:rsidR="00A33C87" w:rsidRPr="000765F3">
        <w:rPr>
          <w:rFonts w:ascii="Times New Roman" w:eastAsia="Times New Roman" w:hAnsi="Times New Roman" w:cs="Times New Roman"/>
          <w:color w:val="222222"/>
          <w:kern w:val="0"/>
          <w:sz w:val="24"/>
          <w:szCs w:val="24"/>
          <w14:ligatures w14:val="none"/>
        </w:rPr>
        <w:t>impasse</w:t>
      </w:r>
      <w:r w:rsidR="000765F3" w:rsidRPr="000765F3">
        <w:rPr>
          <w:rFonts w:ascii="Times New Roman" w:eastAsia="Times New Roman" w:hAnsi="Times New Roman" w:cs="Times New Roman"/>
          <w:color w:val="222222"/>
          <w:kern w:val="0"/>
          <w:sz w:val="24"/>
          <w:szCs w:val="24"/>
          <w14:ligatures w14:val="none"/>
        </w:rPr>
        <w:t xml:space="preserve"> exist? </w:t>
      </w:r>
      <w:r w:rsidR="005F051A">
        <w:rPr>
          <w:rFonts w:ascii="Times New Roman" w:eastAsia="Times New Roman" w:hAnsi="Times New Roman" w:cs="Times New Roman"/>
          <w:color w:val="222222"/>
          <w:kern w:val="0"/>
          <w:sz w:val="24"/>
          <w:szCs w:val="24"/>
          <w14:ligatures w14:val="none"/>
        </w:rPr>
        <w:t xml:space="preserve">One </w:t>
      </w:r>
      <w:r w:rsidR="00C66FE1">
        <w:rPr>
          <w:rFonts w:ascii="Times New Roman" w:eastAsia="Times New Roman" w:hAnsi="Times New Roman" w:cs="Times New Roman"/>
          <w:color w:val="222222"/>
          <w:kern w:val="0"/>
          <w:sz w:val="24"/>
          <w:szCs w:val="24"/>
          <w14:ligatures w14:val="none"/>
        </w:rPr>
        <w:t xml:space="preserve">common </w:t>
      </w:r>
      <w:r w:rsidR="000765F3" w:rsidRPr="000765F3">
        <w:rPr>
          <w:rFonts w:ascii="Times New Roman" w:eastAsia="Times New Roman" w:hAnsi="Times New Roman" w:cs="Times New Roman"/>
          <w:color w:val="222222"/>
          <w:kern w:val="0"/>
          <w:sz w:val="24"/>
          <w:szCs w:val="24"/>
          <w14:ligatures w14:val="none"/>
        </w:rPr>
        <w:t>response is partisan resistance to the public good.</w:t>
      </w:r>
      <w:r w:rsidR="000765F3" w:rsidRPr="000765F3">
        <w:rPr>
          <w:rFonts w:ascii="Times New Roman" w:eastAsia="Times New Roman" w:hAnsi="Times New Roman" w:cs="Times New Roman"/>
          <w:color w:val="222222"/>
          <w:kern w:val="0"/>
          <w:sz w:val="24"/>
          <w:szCs w:val="24"/>
          <w:vertAlign w:val="superscript"/>
          <w14:ligatures w14:val="none"/>
        </w:rPr>
        <w:footnoteReference w:id="22"/>
      </w:r>
      <w:r w:rsidR="000765F3" w:rsidRPr="000765F3">
        <w:rPr>
          <w:rFonts w:ascii="Times New Roman" w:eastAsia="Times New Roman" w:hAnsi="Times New Roman" w:cs="Times New Roman"/>
          <w:color w:val="222222"/>
          <w:kern w:val="0"/>
          <w:sz w:val="24"/>
          <w:szCs w:val="24"/>
          <w14:ligatures w14:val="none"/>
        </w:rPr>
        <w:t xml:space="preserve"> A more likely explanation lies in </w:t>
      </w:r>
      <w:r w:rsidR="007C1042">
        <w:rPr>
          <w:rFonts w:ascii="Times New Roman" w:eastAsia="Times New Roman" w:hAnsi="Times New Roman" w:cs="Times New Roman"/>
          <w:color w:val="222222"/>
          <w:kern w:val="0"/>
          <w:sz w:val="24"/>
          <w:szCs w:val="24"/>
          <w14:ligatures w14:val="none"/>
        </w:rPr>
        <w:t>the</w:t>
      </w:r>
      <w:r w:rsidR="000765F3" w:rsidRPr="000765F3">
        <w:rPr>
          <w:rFonts w:ascii="Times New Roman" w:eastAsia="Times New Roman" w:hAnsi="Times New Roman" w:cs="Times New Roman"/>
          <w:color w:val="222222"/>
          <w:kern w:val="0"/>
          <w:sz w:val="24"/>
          <w:szCs w:val="24"/>
          <w14:ligatures w14:val="none"/>
        </w:rPr>
        <w:t xml:space="preserve"> </w:t>
      </w:r>
      <w:r w:rsidR="00A0736D">
        <w:rPr>
          <w:rFonts w:ascii="Times New Roman" w:eastAsia="Times New Roman" w:hAnsi="Times New Roman" w:cs="Times New Roman"/>
          <w:color w:val="222222"/>
          <w:kern w:val="0"/>
          <w:sz w:val="24"/>
          <w:szCs w:val="24"/>
          <w14:ligatures w14:val="none"/>
        </w:rPr>
        <w:t xml:space="preserve">disproportionate </w:t>
      </w:r>
      <w:r w:rsidR="000765F3" w:rsidRPr="000765F3">
        <w:rPr>
          <w:rFonts w:ascii="Times New Roman" w:eastAsia="Times New Roman" w:hAnsi="Times New Roman" w:cs="Times New Roman"/>
          <w:color w:val="222222"/>
          <w:kern w:val="0"/>
          <w:sz w:val="24"/>
          <w:szCs w:val="24"/>
          <w14:ligatures w14:val="none"/>
        </w:rPr>
        <w:t>dis</w:t>
      </w:r>
      <w:r>
        <w:rPr>
          <w:rFonts w:ascii="Times New Roman" w:eastAsia="Times New Roman" w:hAnsi="Times New Roman" w:cs="Times New Roman"/>
          <w:color w:val="222222"/>
          <w:kern w:val="0"/>
          <w:sz w:val="24"/>
          <w:szCs w:val="24"/>
          <w14:ligatures w14:val="none"/>
        </w:rPr>
        <w:t>tribution of</w:t>
      </w:r>
      <w:r w:rsidR="000765F3" w:rsidRPr="000765F3">
        <w:rPr>
          <w:rFonts w:ascii="Times New Roman" w:eastAsia="Times New Roman" w:hAnsi="Times New Roman" w:cs="Times New Roman"/>
          <w:color w:val="222222"/>
          <w:kern w:val="0"/>
          <w:sz w:val="24"/>
          <w:szCs w:val="24"/>
          <w14:ligatures w14:val="none"/>
        </w:rPr>
        <w:t xml:space="preserve"> policy costs and benefits across regions and populations and the difficulty of redress once legislation is put into place. Some constituencies would be loath to give up existing benefits, and absent a market, cannot be paid to do so.  Other constituencies would demand adjustments, generating observed political </w:t>
      </w:r>
      <w:r w:rsidR="004473EA" w:rsidRPr="000765F3">
        <w:rPr>
          <w:rFonts w:ascii="Times New Roman" w:eastAsia="Times New Roman" w:hAnsi="Times New Roman" w:cs="Times New Roman"/>
          <w:color w:val="222222"/>
          <w:kern w:val="0"/>
          <w:sz w:val="24"/>
          <w:szCs w:val="24"/>
          <w14:ligatures w14:val="none"/>
        </w:rPr>
        <w:t>deadlock</w:t>
      </w:r>
      <w:r w:rsidR="000765F3" w:rsidRPr="000765F3">
        <w:rPr>
          <w:rFonts w:ascii="Times New Roman" w:eastAsia="Times New Roman" w:hAnsi="Times New Roman" w:cs="Times New Roman"/>
          <w:color w:val="222222"/>
          <w:kern w:val="0"/>
          <w:sz w:val="24"/>
          <w:szCs w:val="24"/>
          <w14:ligatures w14:val="none"/>
        </w:rPr>
        <w:t xml:space="preserve">. </w:t>
      </w:r>
    </w:p>
    <w:p w14:paraId="4A30D746" w14:textId="62D051B3" w:rsidR="00434481" w:rsidRDefault="00D914BF" w:rsidP="00434481">
      <w:pPr>
        <w:spacing w:after="0" w:line="360" w:lineRule="auto"/>
        <w:ind w:firstLine="720"/>
        <w:rPr>
          <w:rFonts w:ascii="Times New Roman" w:hAnsi="Times New Roman" w:cs="Times New Roman"/>
          <w:sz w:val="24"/>
          <w:szCs w:val="24"/>
        </w:rPr>
      </w:pPr>
      <w:r w:rsidRPr="00511683">
        <w:rPr>
          <w:rFonts w:ascii="Times New Roman" w:hAnsi="Times New Roman" w:cs="Times New Roman"/>
          <w:kern w:val="0"/>
          <w:sz w:val="24"/>
          <w:szCs w:val="24"/>
          <w14:ligatures w14:val="none"/>
        </w:rPr>
        <w:t xml:space="preserve">Coasean </w:t>
      </w:r>
      <w:r>
        <w:rPr>
          <w:rFonts w:ascii="Times New Roman" w:hAnsi="Times New Roman" w:cs="Times New Roman"/>
          <w:kern w:val="0"/>
          <w:sz w:val="24"/>
          <w:szCs w:val="24"/>
          <w14:ligatures w14:val="none"/>
        </w:rPr>
        <w:t xml:space="preserve">bargaining is observed in </w:t>
      </w:r>
      <w:r w:rsidRPr="00511683">
        <w:rPr>
          <w:rFonts w:ascii="Times New Roman" w:hAnsi="Times New Roman" w:cs="Times New Roman"/>
          <w:kern w:val="0"/>
          <w:sz w:val="24"/>
          <w:szCs w:val="24"/>
          <w14:ligatures w14:val="none"/>
        </w:rPr>
        <w:t>smaller-scale, local settings (Ellickson 1991).</w:t>
      </w:r>
      <w:r w:rsidRPr="00511683">
        <w:rPr>
          <w:rFonts w:ascii="Times New Roman" w:hAnsi="Times New Roman" w:cs="Times New Roman"/>
          <w:kern w:val="0"/>
          <w:sz w:val="24"/>
          <w:szCs w:val="24"/>
          <w:vertAlign w:val="superscript"/>
          <w14:ligatures w14:val="none"/>
        </w:rPr>
        <w:footnoteReference w:id="23"/>
      </w:r>
      <w:r w:rsidRPr="00511683">
        <w:rPr>
          <w:rFonts w:ascii="Times New Roman" w:hAnsi="Times New Roman" w:cs="Times New Roman"/>
          <w:kern w:val="0"/>
          <w:sz w:val="24"/>
          <w:szCs w:val="24"/>
          <w14:ligatures w14:val="none"/>
        </w:rPr>
        <w:t xml:space="preserve"> </w:t>
      </w:r>
      <w:r w:rsidR="00434481">
        <w:rPr>
          <w:rFonts w:ascii="Times New Roman" w:hAnsi="Times New Roman" w:cs="Times New Roman"/>
          <w:sz w:val="24"/>
          <w:szCs w:val="24"/>
        </w:rPr>
        <w:t xml:space="preserve">There are </w:t>
      </w:r>
      <w:r w:rsidR="00E86EE1">
        <w:rPr>
          <w:rFonts w:ascii="Times New Roman" w:hAnsi="Times New Roman" w:cs="Times New Roman"/>
          <w:sz w:val="24"/>
          <w:szCs w:val="24"/>
        </w:rPr>
        <w:t xml:space="preserve">pecuniary </w:t>
      </w:r>
      <w:r w:rsidR="00434481">
        <w:rPr>
          <w:rFonts w:ascii="Times New Roman" w:hAnsi="Times New Roman" w:cs="Times New Roman"/>
          <w:sz w:val="24"/>
          <w:szCs w:val="24"/>
        </w:rPr>
        <w:t xml:space="preserve">benefits </w:t>
      </w:r>
      <w:r w:rsidR="00801B4D">
        <w:rPr>
          <w:rFonts w:ascii="Times New Roman" w:hAnsi="Times New Roman" w:cs="Times New Roman"/>
          <w:sz w:val="24"/>
          <w:szCs w:val="24"/>
        </w:rPr>
        <w:t xml:space="preserve">to agents </w:t>
      </w:r>
      <w:r w:rsidR="00E86EE1">
        <w:rPr>
          <w:rFonts w:ascii="Times New Roman" w:hAnsi="Times New Roman" w:cs="Times New Roman"/>
          <w:sz w:val="24"/>
          <w:szCs w:val="24"/>
        </w:rPr>
        <w:t xml:space="preserve">in </w:t>
      </w:r>
      <w:r w:rsidR="005F2299">
        <w:rPr>
          <w:rFonts w:ascii="Times New Roman" w:hAnsi="Times New Roman" w:cs="Times New Roman"/>
          <w:sz w:val="24"/>
          <w:szCs w:val="24"/>
        </w:rPr>
        <w:t xml:space="preserve">negotiating </w:t>
      </w:r>
      <w:r w:rsidR="00434481">
        <w:rPr>
          <w:rFonts w:ascii="Times New Roman" w:hAnsi="Times New Roman" w:cs="Times New Roman"/>
          <w:sz w:val="24"/>
          <w:szCs w:val="24"/>
        </w:rPr>
        <w:t xml:space="preserve">agreements to avoid </w:t>
      </w:r>
      <w:r w:rsidR="0013682A">
        <w:rPr>
          <w:rFonts w:ascii="Times New Roman" w:hAnsi="Times New Roman" w:cs="Times New Roman"/>
          <w:sz w:val="24"/>
          <w:szCs w:val="24"/>
        </w:rPr>
        <w:t>neighboring</w:t>
      </w:r>
      <w:r w:rsidR="00434481">
        <w:rPr>
          <w:rFonts w:ascii="Times New Roman" w:hAnsi="Times New Roman" w:cs="Times New Roman"/>
          <w:sz w:val="24"/>
          <w:szCs w:val="24"/>
        </w:rPr>
        <w:t xml:space="preserve"> trespass, compliance with homeowners</w:t>
      </w:r>
      <w:r w:rsidR="009118B6">
        <w:rPr>
          <w:rFonts w:ascii="Times New Roman" w:hAnsi="Times New Roman" w:cs="Times New Roman"/>
          <w:sz w:val="24"/>
          <w:szCs w:val="24"/>
        </w:rPr>
        <w:t>’</w:t>
      </w:r>
      <w:r w:rsidR="00434481">
        <w:rPr>
          <w:rFonts w:ascii="Times New Roman" w:hAnsi="Times New Roman" w:cs="Times New Roman"/>
          <w:sz w:val="24"/>
          <w:szCs w:val="24"/>
        </w:rPr>
        <w:t xml:space="preserve"> association rules, securing environmental easements, or the purchase and set aside of local ecologically</w:t>
      </w:r>
      <w:r w:rsidR="001163C9">
        <w:rPr>
          <w:rFonts w:ascii="Times New Roman" w:hAnsi="Times New Roman" w:cs="Times New Roman"/>
          <w:sz w:val="24"/>
          <w:szCs w:val="24"/>
        </w:rPr>
        <w:t xml:space="preserve"> </w:t>
      </w:r>
      <w:r w:rsidR="00434481">
        <w:rPr>
          <w:rFonts w:ascii="Times New Roman" w:hAnsi="Times New Roman" w:cs="Times New Roman"/>
          <w:sz w:val="24"/>
          <w:szCs w:val="24"/>
        </w:rPr>
        <w:t>valuable terrain. The</w:t>
      </w:r>
      <w:r w:rsidR="00E86EE1">
        <w:rPr>
          <w:rFonts w:ascii="Times New Roman" w:hAnsi="Times New Roman" w:cs="Times New Roman"/>
          <w:sz w:val="24"/>
          <w:szCs w:val="24"/>
        </w:rPr>
        <w:t xml:space="preserve">se arrangements </w:t>
      </w:r>
      <w:r w:rsidR="00434481">
        <w:rPr>
          <w:rFonts w:ascii="Times New Roman" w:hAnsi="Times New Roman" w:cs="Times New Roman"/>
          <w:sz w:val="24"/>
          <w:szCs w:val="24"/>
        </w:rPr>
        <w:t xml:space="preserve">are subject </w:t>
      </w:r>
      <w:r w:rsidR="00743FEE">
        <w:rPr>
          <w:rFonts w:ascii="Times New Roman" w:hAnsi="Times New Roman" w:cs="Times New Roman"/>
          <w:sz w:val="24"/>
          <w:szCs w:val="24"/>
        </w:rPr>
        <w:t>t</w:t>
      </w:r>
      <w:r w:rsidR="00434481">
        <w:rPr>
          <w:rFonts w:ascii="Times New Roman" w:hAnsi="Times New Roman" w:cs="Times New Roman"/>
          <w:sz w:val="24"/>
          <w:szCs w:val="24"/>
        </w:rPr>
        <w:t>o transaction cost constrain</w:t>
      </w:r>
      <w:r w:rsidR="00743FEE">
        <w:rPr>
          <w:rFonts w:ascii="Times New Roman" w:hAnsi="Times New Roman" w:cs="Times New Roman"/>
          <w:sz w:val="24"/>
          <w:szCs w:val="24"/>
        </w:rPr>
        <w:t>t</w:t>
      </w:r>
      <w:r w:rsidR="00434481">
        <w:rPr>
          <w:rFonts w:ascii="Times New Roman" w:hAnsi="Times New Roman" w:cs="Times New Roman"/>
          <w:sz w:val="24"/>
          <w:szCs w:val="24"/>
        </w:rPr>
        <w:t xml:space="preserve">s </w:t>
      </w:r>
      <w:r w:rsidR="00EB6E02">
        <w:rPr>
          <w:rFonts w:ascii="Times New Roman" w:hAnsi="Times New Roman" w:cs="Times New Roman"/>
          <w:sz w:val="24"/>
          <w:szCs w:val="24"/>
        </w:rPr>
        <w:t xml:space="preserve">as </w:t>
      </w:r>
      <w:r w:rsidR="00434481">
        <w:rPr>
          <w:rFonts w:ascii="Times New Roman" w:hAnsi="Times New Roman" w:cs="Times New Roman"/>
          <w:sz w:val="24"/>
          <w:szCs w:val="24"/>
        </w:rPr>
        <w:t>examined by Mulligan (</w:t>
      </w:r>
      <w:r w:rsidR="001C29C8">
        <w:rPr>
          <w:rFonts w:ascii="Times New Roman" w:hAnsi="Times New Roman" w:cs="Times New Roman"/>
          <w:sz w:val="24"/>
          <w:szCs w:val="24"/>
        </w:rPr>
        <w:t>2023</w:t>
      </w:r>
      <w:r w:rsidR="00434481">
        <w:rPr>
          <w:rFonts w:ascii="Times New Roman" w:hAnsi="Times New Roman" w:cs="Times New Roman"/>
          <w:sz w:val="24"/>
          <w:szCs w:val="24"/>
        </w:rPr>
        <w:t>).</w:t>
      </w:r>
      <w:r w:rsidR="001C29C8" w:rsidRPr="001C29C8">
        <w:rPr>
          <w:rStyle w:val="FootnoteReference"/>
          <w:rFonts w:ascii="Times New Roman" w:hAnsi="Times New Roman" w:cs="Times New Roman"/>
          <w:sz w:val="24"/>
          <w:szCs w:val="24"/>
        </w:rPr>
        <w:t xml:space="preserve"> </w:t>
      </w:r>
      <w:r w:rsidR="001C29C8">
        <w:rPr>
          <w:rStyle w:val="FootnoteReference"/>
          <w:rFonts w:ascii="Times New Roman" w:hAnsi="Times New Roman" w:cs="Times New Roman"/>
          <w:sz w:val="24"/>
          <w:szCs w:val="24"/>
        </w:rPr>
        <w:footnoteReference w:id="24"/>
      </w:r>
      <w:r w:rsidR="00434481">
        <w:rPr>
          <w:rFonts w:ascii="Times New Roman" w:hAnsi="Times New Roman" w:cs="Times New Roman"/>
          <w:sz w:val="24"/>
          <w:szCs w:val="24"/>
        </w:rPr>
        <w:t xml:space="preserve">  </w:t>
      </w:r>
    </w:p>
    <w:p w14:paraId="077C8041" w14:textId="08A3F756" w:rsidR="00434481" w:rsidRDefault="005F2299" w:rsidP="00434481">
      <w:pPr>
        <w:spacing w:after="0" w:line="360" w:lineRule="auto"/>
        <w:ind w:firstLine="720"/>
        <w:rPr>
          <w:rFonts w:ascii="Times New Roman" w:hAnsi="Times New Roman" w:cs="Times New Roman"/>
          <w:sz w:val="24"/>
          <w:szCs w:val="24"/>
        </w:rPr>
      </w:pPr>
      <w:r>
        <w:rPr>
          <w:rFonts w:ascii="Times New Roman" w:hAnsi="Times New Roman" w:cs="Times New Roman"/>
          <w:kern w:val="0"/>
          <w:sz w:val="24"/>
          <w:szCs w:val="24"/>
          <w14:ligatures w14:val="none"/>
        </w:rPr>
        <w:t xml:space="preserve">Coasean bargaining also is observed </w:t>
      </w:r>
      <w:r w:rsidR="00E86EE1">
        <w:rPr>
          <w:rFonts w:ascii="Times New Roman" w:hAnsi="Times New Roman" w:cs="Times New Roman"/>
          <w:kern w:val="0"/>
          <w:sz w:val="24"/>
          <w:szCs w:val="24"/>
          <w14:ligatures w14:val="none"/>
        </w:rPr>
        <w:t xml:space="preserve">to lower the compliance costs with </w:t>
      </w:r>
      <w:r w:rsidR="00CE6F11">
        <w:rPr>
          <w:rFonts w:ascii="Times New Roman" w:hAnsi="Times New Roman" w:cs="Times New Roman"/>
          <w:kern w:val="0"/>
          <w:sz w:val="24"/>
          <w:szCs w:val="24"/>
          <w14:ligatures w14:val="none"/>
        </w:rPr>
        <w:t xml:space="preserve">prior Pigouvian controls.  </w:t>
      </w:r>
      <w:r w:rsidR="00D914BF" w:rsidRPr="00511683">
        <w:rPr>
          <w:rFonts w:ascii="Times New Roman" w:hAnsi="Times New Roman" w:cs="Times New Roman"/>
          <w:kern w:val="0"/>
          <w:sz w:val="24"/>
          <w:szCs w:val="24"/>
          <w14:ligatures w14:val="none"/>
        </w:rPr>
        <w:t>Deryugina et al (2021) provide examples of polluters purchasing nearby lands as offsets, payments by consumers and government agencies for ecosystem services, and land acquisitions by government bodies and environmental NGOs to protect the supply of drinking water.</w:t>
      </w:r>
      <w:r w:rsidR="00D914BF" w:rsidRPr="00511683">
        <w:rPr>
          <w:rFonts w:ascii="Times New Roman" w:hAnsi="Times New Roman" w:cs="Times New Roman"/>
          <w:kern w:val="0"/>
          <w:sz w:val="24"/>
          <w:szCs w:val="24"/>
          <w:vertAlign w:val="superscript"/>
          <w14:ligatures w14:val="none"/>
        </w:rPr>
        <w:t xml:space="preserve"> </w:t>
      </w:r>
      <w:r w:rsidR="00D914BF" w:rsidRPr="00511683">
        <w:rPr>
          <w:rFonts w:ascii="Times New Roman" w:hAnsi="Times New Roman" w:cs="Times New Roman"/>
          <w:kern w:val="0"/>
          <w:sz w:val="24"/>
          <w:szCs w:val="24"/>
          <w:vertAlign w:val="superscript"/>
          <w14:ligatures w14:val="none"/>
        </w:rPr>
        <w:footnoteReference w:id="25"/>
      </w:r>
      <w:r w:rsidR="00D914BF" w:rsidRPr="00511683">
        <w:rPr>
          <w:rFonts w:ascii="Times New Roman" w:hAnsi="Times New Roman" w:cs="Times New Roman"/>
          <w:kern w:val="0"/>
          <w:sz w:val="24"/>
          <w:szCs w:val="24"/>
          <w14:ligatures w14:val="none"/>
        </w:rPr>
        <w:t xml:space="preserve"> Costello and Kotchen (2022) examine Coasean </w:t>
      </w:r>
      <w:r w:rsidR="00B06FDE">
        <w:rPr>
          <w:rFonts w:ascii="Times New Roman" w:hAnsi="Times New Roman" w:cs="Times New Roman"/>
          <w:kern w:val="0"/>
          <w:sz w:val="24"/>
          <w:szCs w:val="24"/>
          <w14:ligatures w14:val="none"/>
        </w:rPr>
        <w:t xml:space="preserve">exchange </w:t>
      </w:r>
      <w:r w:rsidR="00D914BF" w:rsidRPr="00511683">
        <w:rPr>
          <w:rFonts w:ascii="Times New Roman" w:hAnsi="Times New Roman" w:cs="Times New Roman"/>
          <w:kern w:val="0"/>
          <w:sz w:val="24"/>
          <w:szCs w:val="24"/>
          <w14:ligatures w14:val="none"/>
        </w:rPr>
        <w:t xml:space="preserve">alongside centralized government </w:t>
      </w:r>
      <w:r w:rsidR="00BB7558">
        <w:rPr>
          <w:rFonts w:ascii="Times New Roman" w:hAnsi="Times New Roman" w:cs="Times New Roman"/>
          <w:kern w:val="0"/>
          <w:sz w:val="24"/>
          <w:szCs w:val="24"/>
          <w14:ligatures w14:val="none"/>
        </w:rPr>
        <w:t xml:space="preserve">restrictions </w:t>
      </w:r>
      <w:r w:rsidR="00D914BF" w:rsidRPr="00511683">
        <w:rPr>
          <w:rFonts w:ascii="Times New Roman" w:hAnsi="Times New Roman" w:cs="Times New Roman"/>
          <w:kern w:val="0"/>
          <w:sz w:val="24"/>
          <w:szCs w:val="24"/>
          <w14:ligatures w14:val="none"/>
        </w:rPr>
        <w:t>to control externalities.</w:t>
      </w:r>
      <w:r w:rsidR="00D914BF" w:rsidRPr="00511683">
        <w:rPr>
          <w:rFonts w:ascii="Times New Roman" w:hAnsi="Times New Roman" w:cs="Times New Roman"/>
          <w:kern w:val="0"/>
          <w:sz w:val="24"/>
          <w:szCs w:val="24"/>
          <w:vertAlign w:val="superscript"/>
          <w14:ligatures w14:val="none"/>
        </w:rPr>
        <w:footnoteReference w:id="26"/>
      </w:r>
      <w:r w:rsidR="00D914BF" w:rsidRPr="00511683">
        <w:rPr>
          <w:rFonts w:ascii="Times New Roman" w:hAnsi="Times New Roman" w:cs="Times New Roman"/>
          <w:kern w:val="0"/>
          <w:sz w:val="24"/>
          <w:szCs w:val="24"/>
          <w14:ligatures w14:val="none"/>
        </w:rPr>
        <w:t xml:space="preserve"> They argue that property rights of some type and related </w:t>
      </w:r>
      <w:r w:rsidR="00FE6F38">
        <w:rPr>
          <w:rFonts w:ascii="Times New Roman" w:hAnsi="Times New Roman" w:cs="Times New Roman"/>
          <w:kern w:val="0"/>
          <w:sz w:val="24"/>
          <w:szCs w:val="24"/>
          <w14:ligatures w14:val="none"/>
        </w:rPr>
        <w:t xml:space="preserve">trade </w:t>
      </w:r>
      <w:r w:rsidR="00E86EE1">
        <w:rPr>
          <w:rFonts w:ascii="Times New Roman" w:hAnsi="Times New Roman" w:cs="Times New Roman"/>
          <w:kern w:val="0"/>
          <w:sz w:val="24"/>
          <w:szCs w:val="24"/>
          <w14:ligatures w14:val="none"/>
        </w:rPr>
        <w:t xml:space="preserve">reduce </w:t>
      </w:r>
      <w:r w:rsidR="00D914BF" w:rsidRPr="00511683">
        <w:rPr>
          <w:rFonts w:ascii="Times New Roman" w:hAnsi="Times New Roman" w:cs="Times New Roman"/>
          <w:kern w:val="0"/>
          <w:sz w:val="24"/>
          <w:szCs w:val="24"/>
          <w14:ligatures w14:val="none"/>
        </w:rPr>
        <w:t>the costs of Pigouvian quantity regulations</w:t>
      </w:r>
      <w:r w:rsidR="00620F94">
        <w:rPr>
          <w:rFonts w:ascii="Times New Roman" w:hAnsi="Times New Roman" w:cs="Times New Roman"/>
          <w:kern w:val="0"/>
          <w:sz w:val="24"/>
          <w:szCs w:val="24"/>
          <w14:ligatures w14:val="none"/>
        </w:rPr>
        <w:t>. T</w:t>
      </w:r>
      <w:r w:rsidR="00C426D8">
        <w:rPr>
          <w:rFonts w:ascii="Times New Roman" w:hAnsi="Times New Roman" w:cs="Times New Roman"/>
          <w:kern w:val="0"/>
          <w:sz w:val="24"/>
          <w:szCs w:val="24"/>
          <w14:ligatures w14:val="none"/>
        </w:rPr>
        <w:t xml:space="preserve">hey </w:t>
      </w:r>
      <w:r w:rsidR="00D914BF" w:rsidRPr="00511683">
        <w:rPr>
          <w:rFonts w:ascii="Times New Roman" w:hAnsi="Times New Roman" w:cs="Times New Roman"/>
          <w:kern w:val="0"/>
          <w:sz w:val="24"/>
          <w:szCs w:val="24"/>
          <w14:ligatures w14:val="none"/>
        </w:rPr>
        <w:t xml:space="preserve">provide descriptive examples of </w:t>
      </w:r>
      <w:r w:rsidR="004C4396">
        <w:rPr>
          <w:rFonts w:ascii="Times New Roman" w:hAnsi="Times New Roman" w:cs="Times New Roman"/>
          <w:kern w:val="0"/>
          <w:sz w:val="24"/>
          <w:szCs w:val="24"/>
          <w14:ligatures w14:val="none"/>
        </w:rPr>
        <w:t xml:space="preserve">bargaining </w:t>
      </w:r>
      <w:r w:rsidR="00780036">
        <w:rPr>
          <w:rFonts w:ascii="Times New Roman" w:hAnsi="Times New Roman" w:cs="Times New Roman"/>
          <w:kern w:val="0"/>
          <w:sz w:val="24"/>
          <w:szCs w:val="24"/>
          <w14:ligatures w14:val="none"/>
        </w:rPr>
        <w:t>to p</w:t>
      </w:r>
      <w:r w:rsidR="00D914BF" w:rsidRPr="00511683">
        <w:rPr>
          <w:rFonts w:ascii="Times New Roman" w:hAnsi="Times New Roman" w:cs="Times New Roman"/>
          <w:kern w:val="0"/>
          <w:sz w:val="24"/>
          <w:szCs w:val="24"/>
          <w14:ligatures w14:val="none"/>
        </w:rPr>
        <w:t>romote public goods provision. They do not examine</w:t>
      </w:r>
      <w:r w:rsidR="00C426D8">
        <w:rPr>
          <w:rFonts w:ascii="Times New Roman" w:hAnsi="Times New Roman" w:cs="Times New Roman"/>
          <w:kern w:val="0"/>
          <w:sz w:val="24"/>
          <w:szCs w:val="24"/>
          <w14:ligatures w14:val="none"/>
        </w:rPr>
        <w:t xml:space="preserve">, however, </w:t>
      </w:r>
      <w:r w:rsidR="00D914BF" w:rsidRPr="00511683">
        <w:rPr>
          <w:rFonts w:ascii="Times New Roman" w:hAnsi="Times New Roman" w:cs="Times New Roman"/>
          <w:kern w:val="0"/>
          <w:sz w:val="24"/>
          <w:szCs w:val="24"/>
          <w14:ligatures w14:val="none"/>
        </w:rPr>
        <w:t xml:space="preserve">why </w:t>
      </w:r>
      <w:r w:rsidR="00C426D8">
        <w:rPr>
          <w:rFonts w:ascii="Times New Roman" w:hAnsi="Times New Roman" w:cs="Times New Roman"/>
          <w:kern w:val="0"/>
          <w:sz w:val="24"/>
          <w:szCs w:val="24"/>
          <w14:ligatures w14:val="none"/>
        </w:rPr>
        <w:t xml:space="preserve">mandates, rather than property rights and </w:t>
      </w:r>
      <w:r w:rsidR="00B06FDE">
        <w:rPr>
          <w:rFonts w:ascii="Times New Roman" w:hAnsi="Times New Roman" w:cs="Times New Roman"/>
          <w:kern w:val="0"/>
          <w:sz w:val="24"/>
          <w:szCs w:val="24"/>
          <w14:ligatures w14:val="none"/>
        </w:rPr>
        <w:t>trade</w:t>
      </w:r>
      <w:r w:rsidR="00C426D8">
        <w:rPr>
          <w:rFonts w:ascii="Times New Roman" w:hAnsi="Times New Roman" w:cs="Times New Roman"/>
          <w:kern w:val="0"/>
          <w:sz w:val="24"/>
          <w:szCs w:val="24"/>
          <w14:ligatures w14:val="none"/>
        </w:rPr>
        <w:t xml:space="preserve">, </w:t>
      </w:r>
      <w:r w:rsidR="00D914BF" w:rsidRPr="00511683">
        <w:rPr>
          <w:rFonts w:ascii="Times New Roman" w:hAnsi="Times New Roman" w:cs="Times New Roman"/>
          <w:kern w:val="0"/>
          <w:sz w:val="24"/>
          <w:szCs w:val="24"/>
          <w14:ligatures w14:val="none"/>
        </w:rPr>
        <w:t>were implemented in the first place.</w:t>
      </w:r>
      <w:r w:rsidR="00D914BF" w:rsidRPr="00772CD3">
        <w:rPr>
          <w:rFonts w:ascii="Times New Roman" w:hAnsi="Times New Roman" w:cs="Times New Roman"/>
          <w:kern w:val="0"/>
          <w:sz w:val="24"/>
          <w:szCs w:val="24"/>
          <w:vertAlign w:val="superscript"/>
          <w14:ligatures w14:val="none"/>
        </w:rPr>
        <w:t xml:space="preserve"> </w:t>
      </w:r>
      <w:r w:rsidR="00D914BF" w:rsidRPr="00511683">
        <w:rPr>
          <w:rFonts w:ascii="Times New Roman" w:hAnsi="Times New Roman" w:cs="Times New Roman"/>
          <w:kern w:val="0"/>
          <w:sz w:val="24"/>
          <w:szCs w:val="24"/>
          <w:vertAlign w:val="superscript"/>
          <w14:ligatures w14:val="none"/>
        </w:rPr>
        <w:footnoteReference w:id="27"/>
      </w:r>
      <w:r w:rsidR="00D914BF" w:rsidRPr="00511683">
        <w:rPr>
          <w:rFonts w:ascii="Times New Roman" w:hAnsi="Times New Roman" w:cs="Times New Roman"/>
          <w:kern w:val="0"/>
          <w:sz w:val="24"/>
          <w:szCs w:val="24"/>
          <w14:ligatures w14:val="none"/>
        </w:rPr>
        <w:t xml:space="preserve"> </w:t>
      </w:r>
    </w:p>
    <w:p w14:paraId="767BD216" w14:textId="3AE0687B" w:rsidR="00C32FBA" w:rsidRDefault="001C29C8" w:rsidP="005F051A">
      <w:pPr>
        <w:spacing w:after="0" w:line="360" w:lineRule="auto"/>
        <w:ind w:firstLine="720"/>
        <w:rPr>
          <w:rFonts w:ascii="Times New Roman" w:hAnsi="Times New Roman" w:cs="Times New Roman"/>
          <w:sz w:val="24"/>
          <w:szCs w:val="24"/>
        </w:rPr>
      </w:pPr>
      <w:r>
        <w:rPr>
          <w:rFonts w:ascii="Times New Roman" w:hAnsi="Times New Roman" w:cs="Times New Roman"/>
          <w:kern w:val="0"/>
          <w:sz w:val="24"/>
          <w:szCs w:val="24"/>
          <w14:ligatures w14:val="none"/>
        </w:rPr>
        <w:lastRenderedPageBreak/>
        <w:t xml:space="preserve">In broader settings, Coasean bargaining </w:t>
      </w:r>
      <w:r w:rsidRPr="00511683">
        <w:rPr>
          <w:rFonts w:ascii="Times New Roman" w:hAnsi="Times New Roman" w:cs="Times New Roman"/>
          <w:kern w:val="0"/>
          <w:sz w:val="24"/>
          <w:szCs w:val="24"/>
          <w14:ligatures w14:val="none"/>
        </w:rPr>
        <w:t>primarily remain</w:t>
      </w:r>
      <w:r>
        <w:rPr>
          <w:rFonts w:ascii="Times New Roman" w:hAnsi="Times New Roman" w:cs="Times New Roman"/>
          <w:kern w:val="0"/>
          <w:sz w:val="24"/>
          <w:szCs w:val="24"/>
          <w14:ligatures w14:val="none"/>
        </w:rPr>
        <w:t>s</w:t>
      </w:r>
      <w:r w:rsidRPr="00511683">
        <w:rPr>
          <w:rFonts w:ascii="Times New Roman" w:hAnsi="Times New Roman" w:cs="Times New Roman"/>
          <w:kern w:val="0"/>
          <w:sz w:val="24"/>
          <w:szCs w:val="24"/>
          <w14:ligatures w14:val="none"/>
        </w:rPr>
        <w:t xml:space="preserve"> around the edges of Pigouvian con</w:t>
      </w:r>
      <w:r>
        <w:rPr>
          <w:rFonts w:ascii="Times New Roman" w:hAnsi="Times New Roman" w:cs="Times New Roman"/>
          <w:kern w:val="0"/>
          <w:sz w:val="24"/>
          <w:szCs w:val="24"/>
          <w14:ligatures w14:val="none"/>
        </w:rPr>
        <w:t xml:space="preserve">trols. </w:t>
      </w:r>
      <w:r w:rsidR="00D914BF">
        <w:rPr>
          <w:rFonts w:ascii="Times New Roman" w:hAnsi="Times New Roman" w:cs="Times New Roman"/>
          <w:sz w:val="24"/>
          <w:szCs w:val="24"/>
        </w:rPr>
        <w:t xml:space="preserve">One might argue that this empirical </w:t>
      </w:r>
      <w:r w:rsidR="0004615C">
        <w:rPr>
          <w:rFonts w:ascii="Times New Roman" w:hAnsi="Times New Roman" w:cs="Times New Roman"/>
          <w:sz w:val="24"/>
          <w:szCs w:val="24"/>
        </w:rPr>
        <w:t xml:space="preserve">regularity </w:t>
      </w:r>
      <w:r w:rsidR="00D914BF">
        <w:rPr>
          <w:rFonts w:ascii="Times New Roman" w:hAnsi="Times New Roman" w:cs="Times New Roman"/>
          <w:sz w:val="24"/>
          <w:szCs w:val="24"/>
        </w:rPr>
        <w:t xml:space="preserve">is consistent with differences in transaction costs. </w:t>
      </w:r>
      <w:r w:rsidR="00780036">
        <w:rPr>
          <w:rFonts w:ascii="Times New Roman" w:hAnsi="Times New Roman" w:cs="Times New Roman"/>
          <w:sz w:val="24"/>
          <w:szCs w:val="24"/>
        </w:rPr>
        <w:t xml:space="preserve"> Indeed, Coase cautioned that transaction costs could affect when and how property rights could be assigned for his bargaining framework</w:t>
      </w:r>
      <w:r w:rsidR="009B3C95">
        <w:rPr>
          <w:rFonts w:ascii="Times New Roman" w:hAnsi="Times New Roman" w:cs="Times New Roman"/>
          <w:sz w:val="24"/>
          <w:szCs w:val="24"/>
        </w:rPr>
        <w:t xml:space="preserve"> (1960, 15)</w:t>
      </w:r>
      <w:r w:rsidR="00780036">
        <w:rPr>
          <w:rFonts w:ascii="Times New Roman" w:hAnsi="Times New Roman" w:cs="Times New Roman"/>
          <w:sz w:val="24"/>
          <w:szCs w:val="24"/>
        </w:rPr>
        <w:t>, a caution repeated by Demsetz (</w:t>
      </w:r>
      <w:r w:rsidR="00F35E36">
        <w:rPr>
          <w:rFonts w:ascii="Times New Roman" w:hAnsi="Times New Roman" w:cs="Times New Roman"/>
          <w:sz w:val="24"/>
          <w:szCs w:val="24"/>
        </w:rPr>
        <w:t>1964, 12</w:t>
      </w:r>
      <w:r w:rsidR="00780036">
        <w:rPr>
          <w:rFonts w:ascii="Times New Roman" w:hAnsi="Times New Roman" w:cs="Times New Roman"/>
          <w:sz w:val="24"/>
          <w:szCs w:val="24"/>
        </w:rPr>
        <w:t>).</w:t>
      </w:r>
      <w:r w:rsidR="00F35E36">
        <w:rPr>
          <w:rStyle w:val="FootnoteReference"/>
          <w:rFonts w:ascii="Times New Roman" w:hAnsi="Times New Roman" w:cs="Times New Roman"/>
          <w:sz w:val="24"/>
          <w:szCs w:val="24"/>
        </w:rPr>
        <w:footnoteReference w:id="28"/>
      </w:r>
      <w:r w:rsidR="00780036">
        <w:rPr>
          <w:rFonts w:ascii="Times New Roman" w:hAnsi="Times New Roman" w:cs="Times New Roman"/>
          <w:sz w:val="24"/>
          <w:szCs w:val="24"/>
        </w:rPr>
        <w:t xml:space="preserve"> </w:t>
      </w:r>
      <w:r w:rsidR="00D914BF">
        <w:rPr>
          <w:rFonts w:ascii="Times New Roman" w:hAnsi="Times New Roman" w:cs="Times New Roman"/>
          <w:sz w:val="24"/>
          <w:szCs w:val="24"/>
        </w:rPr>
        <w:t>In large</w:t>
      </w:r>
      <w:r w:rsidR="00CC3913">
        <w:rPr>
          <w:rFonts w:ascii="Times New Roman" w:hAnsi="Times New Roman" w:cs="Times New Roman"/>
          <w:sz w:val="24"/>
          <w:szCs w:val="24"/>
        </w:rPr>
        <w:t xml:space="preserve"> </w:t>
      </w:r>
      <w:r w:rsidR="00D914BF">
        <w:rPr>
          <w:rFonts w:ascii="Times New Roman" w:hAnsi="Times New Roman" w:cs="Times New Roman"/>
          <w:sz w:val="24"/>
          <w:szCs w:val="24"/>
        </w:rPr>
        <w:t>scale situations the costs of assigning rights and negotiating externality remedies could be high</w:t>
      </w:r>
      <w:r w:rsidR="00C426D8">
        <w:rPr>
          <w:rFonts w:ascii="Times New Roman" w:hAnsi="Times New Roman" w:cs="Times New Roman"/>
          <w:sz w:val="24"/>
          <w:szCs w:val="24"/>
        </w:rPr>
        <w:t xml:space="preserve">. </w:t>
      </w:r>
      <w:r w:rsidR="00D914BF">
        <w:rPr>
          <w:rFonts w:ascii="Times New Roman" w:hAnsi="Times New Roman" w:cs="Times New Roman"/>
          <w:sz w:val="24"/>
          <w:szCs w:val="24"/>
        </w:rPr>
        <w:t xml:space="preserve">Pigouvian approaches </w:t>
      </w:r>
      <w:r w:rsidR="00C426D8">
        <w:rPr>
          <w:rFonts w:ascii="Times New Roman" w:hAnsi="Times New Roman" w:cs="Times New Roman"/>
          <w:sz w:val="24"/>
          <w:szCs w:val="24"/>
        </w:rPr>
        <w:t xml:space="preserve">could be </w:t>
      </w:r>
      <w:r w:rsidR="00D914BF">
        <w:rPr>
          <w:rFonts w:ascii="Times New Roman" w:hAnsi="Times New Roman" w:cs="Times New Roman"/>
          <w:sz w:val="24"/>
          <w:szCs w:val="24"/>
        </w:rPr>
        <w:t>the low transaction</w:t>
      </w:r>
      <w:r w:rsidR="00CC3913">
        <w:rPr>
          <w:rFonts w:ascii="Times New Roman" w:hAnsi="Times New Roman" w:cs="Times New Roman"/>
          <w:sz w:val="24"/>
          <w:szCs w:val="24"/>
        </w:rPr>
        <w:t xml:space="preserve"> </w:t>
      </w:r>
      <w:r w:rsidR="00D914BF">
        <w:rPr>
          <w:rFonts w:ascii="Times New Roman" w:hAnsi="Times New Roman" w:cs="Times New Roman"/>
          <w:sz w:val="24"/>
          <w:szCs w:val="24"/>
        </w:rPr>
        <w:t>cost alternatives.</w:t>
      </w:r>
      <w:r w:rsidR="00270EB8">
        <w:rPr>
          <w:rFonts w:ascii="Times New Roman" w:hAnsi="Times New Roman" w:cs="Times New Roman"/>
          <w:sz w:val="24"/>
          <w:szCs w:val="24"/>
        </w:rPr>
        <w:t xml:space="preserve"> </w:t>
      </w:r>
      <w:r w:rsidR="005F051A">
        <w:rPr>
          <w:rFonts w:ascii="Times New Roman" w:hAnsi="Times New Roman" w:cs="Times New Roman"/>
          <w:sz w:val="24"/>
          <w:szCs w:val="24"/>
        </w:rPr>
        <w:t xml:space="preserve">As noted above, however, regional and national rights to pollute were adopted and exchanged. Moreover, </w:t>
      </w:r>
      <w:r w:rsidR="00D914BF">
        <w:rPr>
          <w:rFonts w:ascii="Times New Roman" w:hAnsi="Times New Roman" w:cs="Times New Roman"/>
          <w:sz w:val="24"/>
          <w:szCs w:val="24"/>
        </w:rPr>
        <w:t xml:space="preserve">the legislative histories of major US environmental and natural resource policies reveal </w:t>
      </w:r>
      <w:r w:rsidR="00D914BF" w:rsidRPr="0067131D">
        <w:rPr>
          <w:rFonts w:ascii="Times New Roman" w:hAnsi="Times New Roman" w:cs="Times New Roman"/>
          <w:i/>
          <w:iCs/>
          <w:sz w:val="24"/>
          <w:szCs w:val="24"/>
        </w:rPr>
        <w:t>no</w:t>
      </w:r>
      <w:r w:rsidR="00D914BF">
        <w:rPr>
          <w:rFonts w:ascii="Times New Roman" w:hAnsi="Times New Roman" w:cs="Times New Roman"/>
          <w:sz w:val="24"/>
          <w:szCs w:val="24"/>
        </w:rPr>
        <w:t xml:space="preserve"> comparison and selection of a welfare-improving, low</w:t>
      </w:r>
      <w:r w:rsidR="00CC3913">
        <w:rPr>
          <w:rFonts w:ascii="Times New Roman" w:hAnsi="Times New Roman" w:cs="Times New Roman"/>
          <w:sz w:val="24"/>
          <w:szCs w:val="24"/>
        </w:rPr>
        <w:t xml:space="preserve"> </w:t>
      </w:r>
      <w:r w:rsidR="00D914BF">
        <w:rPr>
          <w:rFonts w:ascii="Times New Roman" w:hAnsi="Times New Roman" w:cs="Times New Roman"/>
          <w:sz w:val="24"/>
          <w:szCs w:val="24"/>
        </w:rPr>
        <w:t xml:space="preserve">transaction cost remedy, Coasean or Pigouvian.  </w:t>
      </w:r>
      <w:r w:rsidR="006C5131">
        <w:rPr>
          <w:rFonts w:ascii="Times New Roman" w:hAnsi="Times New Roman" w:cs="Times New Roman"/>
          <w:sz w:val="24"/>
          <w:szCs w:val="24"/>
        </w:rPr>
        <w:t>T</w:t>
      </w:r>
      <w:r w:rsidR="00D914BF">
        <w:rPr>
          <w:rFonts w:ascii="Times New Roman" w:hAnsi="Times New Roman" w:cs="Times New Roman"/>
          <w:sz w:val="24"/>
          <w:szCs w:val="24"/>
        </w:rPr>
        <w:t>he choice of institutional forms as regulatory arrangements</w:t>
      </w:r>
      <w:r w:rsidR="005F051A">
        <w:rPr>
          <w:rFonts w:ascii="Times New Roman" w:hAnsi="Times New Roman" w:cs="Times New Roman"/>
          <w:sz w:val="24"/>
          <w:szCs w:val="24"/>
        </w:rPr>
        <w:t xml:space="preserve"> instead</w:t>
      </w:r>
      <w:r w:rsidR="00D914BF">
        <w:rPr>
          <w:rFonts w:ascii="Times New Roman" w:hAnsi="Times New Roman" w:cs="Times New Roman"/>
          <w:sz w:val="24"/>
          <w:szCs w:val="24"/>
        </w:rPr>
        <w:t xml:space="preserve"> </w:t>
      </w:r>
      <w:r w:rsidR="001163C9">
        <w:rPr>
          <w:rFonts w:ascii="Times New Roman" w:hAnsi="Times New Roman" w:cs="Times New Roman"/>
          <w:sz w:val="24"/>
          <w:szCs w:val="24"/>
        </w:rPr>
        <w:t xml:space="preserve">follows from </w:t>
      </w:r>
      <w:r w:rsidR="00C56764">
        <w:rPr>
          <w:rFonts w:ascii="Times New Roman" w:hAnsi="Times New Roman" w:cs="Times New Roman"/>
          <w:sz w:val="24"/>
          <w:szCs w:val="24"/>
        </w:rPr>
        <w:t xml:space="preserve">rent-seeking </w:t>
      </w:r>
      <w:r w:rsidR="00D914BF">
        <w:rPr>
          <w:rFonts w:ascii="Times New Roman" w:hAnsi="Times New Roman" w:cs="Times New Roman"/>
          <w:sz w:val="24"/>
          <w:szCs w:val="24"/>
        </w:rPr>
        <w:t>objectives</w:t>
      </w:r>
      <w:r w:rsidR="00C56764">
        <w:rPr>
          <w:rFonts w:ascii="Times New Roman" w:hAnsi="Times New Roman" w:cs="Times New Roman"/>
          <w:sz w:val="24"/>
          <w:szCs w:val="24"/>
        </w:rPr>
        <w:t xml:space="preserve"> (</w:t>
      </w:r>
      <w:r w:rsidR="006C5131">
        <w:rPr>
          <w:rFonts w:ascii="Times New Roman" w:hAnsi="Times New Roman" w:cs="Times New Roman"/>
          <w:sz w:val="24"/>
          <w:szCs w:val="24"/>
        </w:rPr>
        <w:t xml:space="preserve">Tullock 1967, </w:t>
      </w:r>
      <w:r w:rsidR="000E566F">
        <w:rPr>
          <w:rFonts w:ascii="Times New Roman" w:hAnsi="Times New Roman" w:cs="Times New Roman"/>
          <w:sz w:val="24"/>
          <w:szCs w:val="24"/>
        </w:rPr>
        <w:t xml:space="preserve">2005; </w:t>
      </w:r>
      <w:r w:rsidR="00C56764">
        <w:rPr>
          <w:rFonts w:ascii="Times New Roman" w:hAnsi="Times New Roman" w:cs="Times New Roman"/>
          <w:sz w:val="24"/>
          <w:szCs w:val="24"/>
        </w:rPr>
        <w:t>Krueger</w:t>
      </w:r>
      <w:r w:rsidR="0067131D">
        <w:rPr>
          <w:rFonts w:ascii="Times New Roman" w:hAnsi="Times New Roman" w:cs="Times New Roman"/>
          <w:sz w:val="24"/>
          <w:szCs w:val="24"/>
        </w:rPr>
        <w:t xml:space="preserve"> 1974</w:t>
      </w:r>
      <w:r w:rsidR="00C56764">
        <w:rPr>
          <w:rFonts w:ascii="Times New Roman" w:hAnsi="Times New Roman" w:cs="Times New Roman"/>
          <w:sz w:val="24"/>
          <w:szCs w:val="24"/>
        </w:rPr>
        <w:t>)</w:t>
      </w:r>
      <w:r w:rsidR="00D914BF">
        <w:rPr>
          <w:rFonts w:ascii="Times New Roman" w:hAnsi="Times New Roman" w:cs="Times New Roman"/>
          <w:sz w:val="24"/>
          <w:szCs w:val="24"/>
        </w:rPr>
        <w:t xml:space="preserve"> in the political arena, not </w:t>
      </w:r>
      <w:r w:rsidR="00C56764">
        <w:rPr>
          <w:rFonts w:ascii="Times New Roman" w:hAnsi="Times New Roman" w:cs="Times New Roman"/>
          <w:sz w:val="24"/>
          <w:szCs w:val="24"/>
        </w:rPr>
        <w:t xml:space="preserve">upon </w:t>
      </w:r>
      <w:r w:rsidR="00D914BF">
        <w:rPr>
          <w:rFonts w:ascii="Times New Roman" w:hAnsi="Times New Roman" w:cs="Times New Roman"/>
          <w:sz w:val="24"/>
          <w:szCs w:val="24"/>
        </w:rPr>
        <w:t>efforts to economize on transaction costs.</w:t>
      </w:r>
      <w:r w:rsidR="009E2F93">
        <w:rPr>
          <w:rStyle w:val="FootnoteReference"/>
          <w:rFonts w:ascii="Times New Roman" w:hAnsi="Times New Roman" w:cs="Times New Roman"/>
          <w:sz w:val="24"/>
          <w:szCs w:val="24"/>
        </w:rPr>
        <w:footnoteReference w:id="29"/>
      </w:r>
      <w:r w:rsidR="00A075DF">
        <w:rPr>
          <w:rFonts w:ascii="Times New Roman" w:hAnsi="Times New Roman" w:cs="Times New Roman"/>
          <w:sz w:val="24"/>
          <w:szCs w:val="24"/>
        </w:rPr>
        <w:t xml:space="preserve"> </w:t>
      </w:r>
      <w:r w:rsidR="00A0736D">
        <w:rPr>
          <w:rFonts w:ascii="Times New Roman" w:hAnsi="Times New Roman" w:cs="Times New Roman"/>
          <w:sz w:val="24"/>
          <w:szCs w:val="24"/>
        </w:rPr>
        <w:t>To illus</w:t>
      </w:r>
      <w:r w:rsidR="00456E80">
        <w:rPr>
          <w:rFonts w:ascii="Times New Roman" w:hAnsi="Times New Roman" w:cs="Times New Roman"/>
          <w:sz w:val="24"/>
          <w:szCs w:val="24"/>
        </w:rPr>
        <w:t>trate options, h</w:t>
      </w:r>
      <w:r w:rsidR="00B12E97">
        <w:rPr>
          <w:rFonts w:ascii="Times New Roman" w:hAnsi="Times New Roman" w:cs="Times New Roman"/>
          <w:sz w:val="24"/>
          <w:szCs w:val="24"/>
        </w:rPr>
        <w:t xml:space="preserve">ypothetical Coasean </w:t>
      </w:r>
      <w:r w:rsidR="00456E80">
        <w:rPr>
          <w:rFonts w:ascii="Times New Roman" w:hAnsi="Times New Roman" w:cs="Times New Roman"/>
          <w:sz w:val="24"/>
          <w:szCs w:val="24"/>
        </w:rPr>
        <w:t xml:space="preserve">approaches </w:t>
      </w:r>
      <w:r w:rsidR="00B12E97">
        <w:rPr>
          <w:rFonts w:ascii="Times New Roman" w:hAnsi="Times New Roman" w:cs="Times New Roman"/>
          <w:sz w:val="24"/>
          <w:szCs w:val="24"/>
        </w:rPr>
        <w:t>are compared to actual policies.</w:t>
      </w:r>
    </w:p>
    <w:p w14:paraId="79726702" w14:textId="4E927064" w:rsidR="00087588" w:rsidRDefault="00A075DF" w:rsidP="00087588">
      <w:pPr>
        <w:shd w:val="clear" w:color="auto" w:fill="FFFFFF"/>
        <w:spacing w:after="0" w:line="360" w:lineRule="auto"/>
        <w:ind w:firstLine="720"/>
        <w:rPr>
          <w:rFonts w:ascii="Times New Roman" w:hAnsi="Times New Roman" w:cs="Times New Roman"/>
          <w:color w:val="222222"/>
          <w:kern w:val="0"/>
          <w:sz w:val="24"/>
          <w:szCs w:val="24"/>
          <w14:ligatures w14:val="none"/>
        </w:rPr>
      </w:pPr>
      <w:r>
        <w:rPr>
          <w:rFonts w:ascii="Times New Roman" w:hAnsi="Times New Roman" w:cs="Times New Roman"/>
          <w:sz w:val="24"/>
          <w:szCs w:val="24"/>
        </w:rPr>
        <w:t xml:space="preserve">Political rents are </w:t>
      </w:r>
      <w:r w:rsidR="005C060B">
        <w:rPr>
          <w:rFonts w:ascii="Times New Roman" w:hAnsi="Times New Roman" w:cs="Times New Roman"/>
          <w:sz w:val="24"/>
          <w:szCs w:val="24"/>
        </w:rPr>
        <w:t>pecuniary</w:t>
      </w:r>
      <w:r>
        <w:rPr>
          <w:rFonts w:ascii="Times New Roman" w:hAnsi="Times New Roman" w:cs="Times New Roman"/>
          <w:sz w:val="24"/>
          <w:szCs w:val="24"/>
        </w:rPr>
        <w:t xml:space="preserve"> </w:t>
      </w:r>
      <w:r w:rsidR="00996F74">
        <w:rPr>
          <w:rFonts w:ascii="Times New Roman" w:hAnsi="Times New Roman" w:cs="Times New Roman"/>
          <w:sz w:val="24"/>
          <w:szCs w:val="24"/>
        </w:rPr>
        <w:t xml:space="preserve">net </w:t>
      </w:r>
      <w:r>
        <w:rPr>
          <w:rFonts w:ascii="Times New Roman" w:hAnsi="Times New Roman" w:cs="Times New Roman"/>
          <w:sz w:val="24"/>
          <w:szCs w:val="24"/>
        </w:rPr>
        <w:t xml:space="preserve">returns from partisan resource </w:t>
      </w:r>
      <w:r w:rsidR="001163C9">
        <w:rPr>
          <w:rFonts w:ascii="Times New Roman" w:hAnsi="Times New Roman" w:cs="Times New Roman"/>
          <w:sz w:val="24"/>
          <w:szCs w:val="24"/>
        </w:rPr>
        <w:t>assignments</w:t>
      </w:r>
      <w:r w:rsidR="004946FB">
        <w:rPr>
          <w:rFonts w:ascii="Times New Roman" w:hAnsi="Times New Roman" w:cs="Times New Roman"/>
          <w:sz w:val="24"/>
          <w:szCs w:val="24"/>
        </w:rPr>
        <w:t>, commercially</w:t>
      </w:r>
      <w:r w:rsidR="001163C9">
        <w:rPr>
          <w:rFonts w:ascii="Times New Roman" w:hAnsi="Times New Roman" w:cs="Times New Roman"/>
          <w:sz w:val="24"/>
          <w:szCs w:val="24"/>
        </w:rPr>
        <w:t xml:space="preserve"> </w:t>
      </w:r>
      <w:r w:rsidR="004946FB">
        <w:rPr>
          <w:rFonts w:ascii="Times New Roman" w:hAnsi="Times New Roman" w:cs="Times New Roman"/>
          <w:sz w:val="24"/>
          <w:szCs w:val="24"/>
        </w:rPr>
        <w:t>preferential regulations, and subsidies. They also include value-based or p</w:t>
      </w:r>
      <w:r w:rsidR="005F051A">
        <w:rPr>
          <w:rFonts w:ascii="Times New Roman" w:hAnsi="Times New Roman" w:cs="Times New Roman"/>
          <w:sz w:val="24"/>
          <w:szCs w:val="24"/>
        </w:rPr>
        <w:t xml:space="preserve">hilosophical </w:t>
      </w:r>
      <w:r w:rsidR="00BB7663">
        <w:rPr>
          <w:rFonts w:ascii="Times New Roman" w:hAnsi="Times New Roman" w:cs="Times New Roman"/>
          <w:sz w:val="24"/>
          <w:szCs w:val="24"/>
        </w:rPr>
        <w:t xml:space="preserve">non-pecuniary </w:t>
      </w:r>
      <w:r w:rsidR="004946FB">
        <w:rPr>
          <w:rFonts w:ascii="Times New Roman" w:hAnsi="Times New Roman" w:cs="Times New Roman"/>
          <w:sz w:val="24"/>
          <w:szCs w:val="24"/>
        </w:rPr>
        <w:t xml:space="preserve">returns from </w:t>
      </w:r>
      <w:r w:rsidR="00BB7663">
        <w:rPr>
          <w:rFonts w:ascii="Times New Roman" w:hAnsi="Times New Roman" w:cs="Times New Roman"/>
          <w:sz w:val="24"/>
          <w:szCs w:val="24"/>
        </w:rPr>
        <w:t>strongly</w:t>
      </w:r>
      <w:r w:rsidR="001163C9">
        <w:rPr>
          <w:rFonts w:ascii="Times New Roman" w:hAnsi="Times New Roman" w:cs="Times New Roman"/>
          <w:sz w:val="24"/>
          <w:szCs w:val="24"/>
        </w:rPr>
        <w:t xml:space="preserve"> </w:t>
      </w:r>
      <w:r w:rsidR="00BB7663">
        <w:rPr>
          <w:rFonts w:ascii="Times New Roman" w:hAnsi="Times New Roman" w:cs="Times New Roman"/>
          <w:sz w:val="24"/>
          <w:szCs w:val="24"/>
        </w:rPr>
        <w:t>desired policies</w:t>
      </w:r>
      <w:r w:rsidR="005F051A">
        <w:rPr>
          <w:rFonts w:ascii="Times New Roman" w:hAnsi="Times New Roman" w:cs="Times New Roman"/>
          <w:sz w:val="24"/>
          <w:szCs w:val="24"/>
        </w:rPr>
        <w:t>, even those ostensibly based on health, biological, and engineering assessments</w:t>
      </w:r>
      <w:r w:rsidR="00BB7663">
        <w:rPr>
          <w:rFonts w:ascii="Times New Roman" w:hAnsi="Times New Roman" w:cs="Times New Roman"/>
          <w:sz w:val="24"/>
          <w:szCs w:val="24"/>
        </w:rPr>
        <w:t xml:space="preserve">.  </w:t>
      </w:r>
      <w:r w:rsidR="00D40852">
        <w:rPr>
          <w:rFonts w:ascii="Times New Roman" w:hAnsi="Times New Roman" w:cs="Times New Roman"/>
          <w:sz w:val="24"/>
          <w:szCs w:val="24"/>
        </w:rPr>
        <w:t>These are prevalent for advocates of environmental programs. This type of rent</w:t>
      </w:r>
      <w:r w:rsidR="00CC3913">
        <w:rPr>
          <w:rFonts w:ascii="Times New Roman" w:hAnsi="Times New Roman" w:cs="Times New Roman"/>
          <w:sz w:val="24"/>
          <w:szCs w:val="24"/>
        </w:rPr>
        <w:t>-</w:t>
      </w:r>
      <w:r w:rsidR="00D40852">
        <w:rPr>
          <w:rFonts w:ascii="Times New Roman" w:hAnsi="Times New Roman" w:cs="Times New Roman"/>
          <w:sz w:val="24"/>
          <w:szCs w:val="24"/>
        </w:rPr>
        <w:t xml:space="preserve">seeking, however, </w:t>
      </w:r>
      <w:r w:rsidR="001163C9">
        <w:rPr>
          <w:rFonts w:ascii="Times New Roman" w:hAnsi="Times New Roman" w:cs="Times New Roman"/>
          <w:sz w:val="24"/>
          <w:szCs w:val="24"/>
        </w:rPr>
        <w:t xml:space="preserve">leads </w:t>
      </w:r>
      <w:r w:rsidR="00D40852">
        <w:rPr>
          <w:rFonts w:ascii="Times New Roman" w:hAnsi="Times New Roman" w:cs="Times New Roman"/>
          <w:sz w:val="24"/>
          <w:szCs w:val="24"/>
        </w:rPr>
        <w:t xml:space="preserve">policies to be implemented with little cost consideration, likely beyond where social marginal benefits equal marginal costs. </w:t>
      </w:r>
      <w:r w:rsidR="005F051A">
        <w:rPr>
          <w:rFonts w:ascii="Times New Roman" w:hAnsi="Times New Roman" w:cs="Times New Roman"/>
          <w:sz w:val="24"/>
          <w:szCs w:val="24"/>
        </w:rPr>
        <w:t>P</w:t>
      </w:r>
      <w:r w:rsidR="00BB7663">
        <w:rPr>
          <w:rFonts w:ascii="Times New Roman" w:hAnsi="Times New Roman" w:cs="Times New Roman"/>
          <w:sz w:val="24"/>
          <w:szCs w:val="24"/>
        </w:rPr>
        <w:t>olicy</w:t>
      </w:r>
      <w:r w:rsidR="00CC3913">
        <w:rPr>
          <w:rFonts w:ascii="Times New Roman" w:hAnsi="Times New Roman" w:cs="Times New Roman"/>
          <w:sz w:val="24"/>
          <w:szCs w:val="24"/>
        </w:rPr>
        <w:t xml:space="preserve"> </w:t>
      </w:r>
      <w:r w:rsidR="00BB7663">
        <w:rPr>
          <w:rFonts w:ascii="Times New Roman" w:hAnsi="Times New Roman" w:cs="Times New Roman"/>
          <w:sz w:val="24"/>
          <w:szCs w:val="24"/>
        </w:rPr>
        <w:t xml:space="preserve">linked rents are </w:t>
      </w:r>
      <w:r w:rsidR="005C060B">
        <w:rPr>
          <w:rFonts w:ascii="Times New Roman" w:hAnsi="Times New Roman" w:cs="Times New Roman"/>
          <w:sz w:val="24"/>
          <w:szCs w:val="24"/>
        </w:rPr>
        <w:t xml:space="preserve">provided </w:t>
      </w:r>
      <w:r w:rsidR="00BB7663">
        <w:rPr>
          <w:rFonts w:ascii="Times New Roman" w:hAnsi="Times New Roman" w:cs="Times New Roman"/>
          <w:sz w:val="24"/>
          <w:szCs w:val="24"/>
        </w:rPr>
        <w:t xml:space="preserve">to political agents </w:t>
      </w:r>
      <w:r w:rsidR="00996F74">
        <w:rPr>
          <w:rFonts w:ascii="Times New Roman" w:hAnsi="Times New Roman" w:cs="Times New Roman"/>
          <w:sz w:val="24"/>
          <w:szCs w:val="24"/>
        </w:rPr>
        <w:t xml:space="preserve">at lower direct cost and </w:t>
      </w:r>
      <w:r w:rsidR="00BB7663">
        <w:rPr>
          <w:rFonts w:ascii="Times New Roman" w:hAnsi="Times New Roman" w:cs="Times New Roman"/>
          <w:sz w:val="24"/>
          <w:szCs w:val="24"/>
        </w:rPr>
        <w:t xml:space="preserve">to </w:t>
      </w:r>
      <w:r w:rsidR="001163C9">
        <w:rPr>
          <w:rFonts w:ascii="Times New Roman" w:hAnsi="Times New Roman" w:cs="Times New Roman"/>
          <w:sz w:val="24"/>
          <w:szCs w:val="24"/>
        </w:rPr>
        <w:t>a greater</w:t>
      </w:r>
      <w:r w:rsidR="00996F74">
        <w:rPr>
          <w:rFonts w:ascii="Times New Roman" w:hAnsi="Times New Roman" w:cs="Times New Roman"/>
          <w:sz w:val="24"/>
          <w:szCs w:val="24"/>
        </w:rPr>
        <w:t xml:space="preserve"> extent than </w:t>
      </w:r>
      <w:r w:rsidR="00996F74" w:rsidRPr="00996F74">
        <w:rPr>
          <w:rFonts w:ascii="Times New Roman" w:hAnsi="Times New Roman" w:cs="Times New Roman"/>
          <w:i/>
          <w:iCs/>
          <w:sz w:val="24"/>
          <w:szCs w:val="24"/>
        </w:rPr>
        <w:t>ex-ante</w:t>
      </w:r>
      <w:r w:rsidR="00996F74">
        <w:rPr>
          <w:rFonts w:ascii="Times New Roman" w:hAnsi="Times New Roman" w:cs="Times New Roman"/>
          <w:sz w:val="24"/>
          <w:szCs w:val="24"/>
        </w:rPr>
        <w:t xml:space="preserve"> cost/benefit criteria would suggest.</w:t>
      </w:r>
      <w:r w:rsidR="00087588">
        <w:rPr>
          <w:rFonts w:ascii="Times New Roman" w:hAnsi="Times New Roman" w:cs="Times New Roman"/>
          <w:sz w:val="24"/>
          <w:szCs w:val="24"/>
        </w:rPr>
        <w:t xml:space="preserve"> </w:t>
      </w:r>
      <w:r w:rsidR="00087588">
        <w:rPr>
          <w:rFonts w:ascii="Times New Roman" w:hAnsi="Times New Roman" w:cs="Times New Roman"/>
          <w:color w:val="222222"/>
          <w:kern w:val="0"/>
          <w:sz w:val="24"/>
          <w:szCs w:val="24"/>
          <w14:ligatures w14:val="none"/>
        </w:rPr>
        <w:t xml:space="preserve">There is no evidence that transaction cost tradeoffs </w:t>
      </w:r>
      <w:r w:rsidR="00BB7663">
        <w:rPr>
          <w:rFonts w:ascii="Times New Roman" w:hAnsi="Times New Roman" w:cs="Times New Roman"/>
          <w:color w:val="222222"/>
          <w:kern w:val="0"/>
          <w:sz w:val="24"/>
          <w:szCs w:val="24"/>
          <w14:ligatures w14:val="none"/>
        </w:rPr>
        <w:t xml:space="preserve">from adoption of </w:t>
      </w:r>
      <w:r w:rsidR="00BC2548">
        <w:rPr>
          <w:rFonts w:ascii="Times New Roman" w:hAnsi="Times New Roman" w:cs="Times New Roman"/>
          <w:color w:val="222222"/>
          <w:kern w:val="0"/>
          <w:sz w:val="24"/>
          <w:szCs w:val="24"/>
          <w14:ligatures w14:val="none"/>
        </w:rPr>
        <w:t>Coase or Pigou</w:t>
      </w:r>
      <w:r w:rsidR="00BB7663">
        <w:rPr>
          <w:rFonts w:ascii="Times New Roman" w:hAnsi="Times New Roman" w:cs="Times New Roman"/>
          <w:color w:val="222222"/>
          <w:kern w:val="0"/>
          <w:sz w:val="24"/>
          <w:szCs w:val="24"/>
          <w14:ligatures w14:val="none"/>
        </w:rPr>
        <w:t xml:space="preserve"> </w:t>
      </w:r>
      <w:r w:rsidR="00087588">
        <w:rPr>
          <w:rFonts w:ascii="Times New Roman" w:hAnsi="Times New Roman" w:cs="Times New Roman"/>
          <w:color w:val="222222"/>
          <w:kern w:val="0"/>
          <w:sz w:val="24"/>
          <w:szCs w:val="24"/>
          <w14:ligatures w14:val="none"/>
        </w:rPr>
        <w:t>were presented to policy makers or weighed seriously at the time the legislation was considered</w:t>
      </w:r>
    </w:p>
    <w:p w14:paraId="4937BBAA" w14:textId="619A74C2" w:rsidR="006853E6" w:rsidRDefault="003F58B0" w:rsidP="0033000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Because Pigouvian policies </w:t>
      </w:r>
      <w:r w:rsidR="00C13B8A">
        <w:rPr>
          <w:rFonts w:ascii="Times New Roman" w:hAnsi="Times New Roman" w:cs="Times New Roman"/>
          <w:sz w:val="24"/>
          <w:szCs w:val="24"/>
        </w:rPr>
        <w:t>can</w:t>
      </w:r>
      <w:r w:rsidR="00B37A35">
        <w:rPr>
          <w:rFonts w:ascii="Times New Roman" w:hAnsi="Times New Roman" w:cs="Times New Roman"/>
          <w:sz w:val="24"/>
          <w:szCs w:val="24"/>
        </w:rPr>
        <w:t xml:space="preserve"> </w:t>
      </w:r>
      <w:r>
        <w:rPr>
          <w:rFonts w:ascii="Times New Roman" w:hAnsi="Times New Roman" w:cs="Times New Roman"/>
          <w:sz w:val="24"/>
          <w:szCs w:val="24"/>
        </w:rPr>
        <w:t>be suboptimal</w:t>
      </w:r>
      <w:r w:rsidR="00B3239C">
        <w:rPr>
          <w:rFonts w:ascii="Times New Roman" w:hAnsi="Times New Roman" w:cs="Times New Roman"/>
          <w:sz w:val="24"/>
          <w:szCs w:val="24"/>
        </w:rPr>
        <w:t xml:space="preserve">, there are profitable opportunities to correct them.  </w:t>
      </w:r>
      <w:r w:rsidR="00E75BE7">
        <w:rPr>
          <w:rFonts w:ascii="Times New Roman" w:hAnsi="Times New Roman" w:cs="Times New Roman"/>
          <w:sz w:val="24"/>
          <w:szCs w:val="24"/>
        </w:rPr>
        <w:t>Society as a whole and holders of economic property rights more narrowly would benefit from such exchange</w:t>
      </w:r>
      <w:r w:rsidR="00C518C3">
        <w:rPr>
          <w:rFonts w:ascii="Times New Roman" w:hAnsi="Times New Roman" w:cs="Times New Roman"/>
          <w:sz w:val="24"/>
          <w:szCs w:val="24"/>
        </w:rPr>
        <w:t>,</w:t>
      </w:r>
      <w:r w:rsidR="00E75BE7">
        <w:rPr>
          <w:rFonts w:ascii="Times New Roman" w:hAnsi="Times New Roman" w:cs="Times New Roman"/>
          <w:sz w:val="24"/>
          <w:szCs w:val="24"/>
        </w:rPr>
        <w:t xml:space="preserve"> as Coase argued.  </w:t>
      </w:r>
      <w:r w:rsidR="001B206B">
        <w:rPr>
          <w:rFonts w:ascii="Times New Roman" w:hAnsi="Times New Roman" w:cs="Times New Roman"/>
          <w:sz w:val="24"/>
          <w:szCs w:val="24"/>
        </w:rPr>
        <w:t xml:space="preserve">Those who receive </w:t>
      </w:r>
      <w:r w:rsidR="00AA2A57">
        <w:rPr>
          <w:rFonts w:ascii="Times New Roman" w:hAnsi="Times New Roman" w:cs="Times New Roman"/>
          <w:sz w:val="24"/>
          <w:szCs w:val="24"/>
        </w:rPr>
        <w:t xml:space="preserve">political </w:t>
      </w:r>
      <w:r w:rsidR="001B206B">
        <w:rPr>
          <w:rFonts w:ascii="Times New Roman" w:hAnsi="Times New Roman" w:cs="Times New Roman"/>
          <w:sz w:val="24"/>
          <w:szCs w:val="24"/>
        </w:rPr>
        <w:t>rents</w:t>
      </w:r>
      <w:r w:rsidR="00AA2A57">
        <w:rPr>
          <w:rFonts w:ascii="Times New Roman" w:hAnsi="Times New Roman" w:cs="Times New Roman"/>
          <w:sz w:val="24"/>
          <w:szCs w:val="24"/>
        </w:rPr>
        <w:t xml:space="preserve">, however, </w:t>
      </w:r>
      <w:r w:rsidR="00B37A35">
        <w:rPr>
          <w:rFonts w:ascii="Times New Roman" w:hAnsi="Times New Roman" w:cs="Times New Roman"/>
          <w:sz w:val="24"/>
          <w:szCs w:val="24"/>
        </w:rPr>
        <w:t xml:space="preserve">are </w:t>
      </w:r>
      <w:r w:rsidR="00B37A35">
        <w:rPr>
          <w:rFonts w:ascii="Times New Roman" w:hAnsi="Times New Roman" w:cs="Times New Roman"/>
          <w:sz w:val="24"/>
          <w:szCs w:val="24"/>
        </w:rPr>
        <w:lastRenderedPageBreak/>
        <w:t xml:space="preserve">unlikely to </w:t>
      </w:r>
      <w:r w:rsidR="00C518C3">
        <w:rPr>
          <w:rFonts w:ascii="Times New Roman" w:hAnsi="Times New Roman" w:cs="Times New Roman"/>
          <w:sz w:val="24"/>
          <w:szCs w:val="24"/>
        </w:rPr>
        <w:t>gain</w:t>
      </w:r>
      <w:r w:rsidR="006A1F63">
        <w:rPr>
          <w:rFonts w:ascii="Times New Roman" w:hAnsi="Times New Roman" w:cs="Times New Roman"/>
          <w:sz w:val="24"/>
          <w:szCs w:val="24"/>
        </w:rPr>
        <w:t xml:space="preserve">, and they </w:t>
      </w:r>
      <w:r w:rsidR="00694AEA">
        <w:rPr>
          <w:rFonts w:ascii="Times New Roman" w:hAnsi="Times New Roman" w:cs="Times New Roman"/>
          <w:sz w:val="24"/>
          <w:szCs w:val="24"/>
        </w:rPr>
        <w:t xml:space="preserve">would </w:t>
      </w:r>
      <w:r w:rsidR="006A1F63">
        <w:rPr>
          <w:rFonts w:ascii="Times New Roman" w:hAnsi="Times New Roman" w:cs="Times New Roman"/>
          <w:sz w:val="24"/>
          <w:szCs w:val="24"/>
        </w:rPr>
        <w:t>organize to oppose market exchange compared to policy mandates</w:t>
      </w:r>
      <w:r w:rsidR="00C518C3">
        <w:rPr>
          <w:rFonts w:ascii="Times New Roman" w:hAnsi="Times New Roman" w:cs="Times New Roman"/>
          <w:sz w:val="24"/>
          <w:szCs w:val="24"/>
        </w:rPr>
        <w:t xml:space="preserve">. </w:t>
      </w:r>
    </w:p>
    <w:p w14:paraId="18A1D5CB" w14:textId="0DB21592" w:rsidR="00330002" w:rsidRDefault="00330002" w:rsidP="0033000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paper proceeds as follows: Section II </w:t>
      </w:r>
      <w:r w:rsidR="00E74512">
        <w:rPr>
          <w:rFonts w:ascii="Times New Roman" w:hAnsi="Times New Roman" w:cs="Times New Roman"/>
          <w:sz w:val="24"/>
          <w:szCs w:val="24"/>
        </w:rPr>
        <w:t xml:space="preserve">summarizes economic property rights, Coase’s arguments, and the </w:t>
      </w:r>
      <w:r w:rsidR="00373078">
        <w:rPr>
          <w:rFonts w:ascii="Times New Roman" w:hAnsi="Times New Roman" w:cs="Times New Roman"/>
          <w:sz w:val="24"/>
          <w:szCs w:val="24"/>
        </w:rPr>
        <w:t xml:space="preserve">observed </w:t>
      </w:r>
      <w:r w:rsidR="00E74512">
        <w:rPr>
          <w:rFonts w:ascii="Times New Roman" w:hAnsi="Times New Roman" w:cs="Times New Roman"/>
          <w:sz w:val="24"/>
          <w:szCs w:val="24"/>
        </w:rPr>
        <w:t xml:space="preserve">role of rent-seeking in </w:t>
      </w:r>
      <w:r w:rsidR="00373078">
        <w:rPr>
          <w:rFonts w:ascii="Times New Roman" w:hAnsi="Times New Roman" w:cs="Times New Roman"/>
          <w:sz w:val="24"/>
          <w:szCs w:val="24"/>
        </w:rPr>
        <w:t xml:space="preserve">environmental policies. </w:t>
      </w:r>
      <w:r>
        <w:rPr>
          <w:rFonts w:ascii="Times New Roman" w:hAnsi="Times New Roman" w:cs="Times New Roman"/>
          <w:sz w:val="24"/>
          <w:szCs w:val="24"/>
        </w:rPr>
        <w:t>Section I</w:t>
      </w:r>
      <w:r w:rsidR="00237F2C">
        <w:rPr>
          <w:rFonts w:ascii="Times New Roman" w:hAnsi="Times New Roman" w:cs="Times New Roman"/>
          <w:sz w:val="24"/>
          <w:szCs w:val="24"/>
        </w:rPr>
        <w:t>II</w:t>
      </w:r>
      <w:r>
        <w:rPr>
          <w:rFonts w:ascii="Times New Roman" w:hAnsi="Times New Roman" w:cs="Times New Roman"/>
          <w:sz w:val="24"/>
          <w:szCs w:val="24"/>
        </w:rPr>
        <w:t xml:space="preserve"> </w:t>
      </w:r>
      <w:r w:rsidR="00610BFA">
        <w:rPr>
          <w:rFonts w:ascii="Times New Roman" w:hAnsi="Times New Roman" w:cs="Times New Roman"/>
          <w:sz w:val="24"/>
          <w:szCs w:val="24"/>
        </w:rPr>
        <w:t xml:space="preserve">summarizes </w:t>
      </w:r>
      <w:r>
        <w:rPr>
          <w:rFonts w:ascii="Times New Roman" w:hAnsi="Times New Roman" w:cs="Times New Roman"/>
          <w:sz w:val="24"/>
          <w:szCs w:val="24"/>
        </w:rPr>
        <w:t xml:space="preserve">US Environmental and Natural Resource policies from 1970. Section </w:t>
      </w:r>
      <w:r w:rsidR="00237F2C">
        <w:rPr>
          <w:rFonts w:ascii="Times New Roman" w:hAnsi="Times New Roman" w:cs="Times New Roman"/>
          <w:sz w:val="24"/>
          <w:szCs w:val="24"/>
        </w:rPr>
        <w:t>I</w:t>
      </w:r>
      <w:r>
        <w:rPr>
          <w:rFonts w:ascii="Times New Roman" w:hAnsi="Times New Roman" w:cs="Times New Roman"/>
          <w:sz w:val="24"/>
          <w:szCs w:val="24"/>
        </w:rPr>
        <w:t xml:space="preserve">V </w:t>
      </w:r>
      <w:r w:rsidR="007C1042">
        <w:rPr>
          <w:rFonts w:ascii="Times New Roman" w:hAnsi="Times New Roman" w:cs="Times New Roman"/>
          <w:sz w:val="24"/>
          <w:szCs w:val="24"/>
        </w:rPr>
        <w:t xml:space="preserve">reviews </w:t>
      </w:r>
      <w:r w:rsidR="00F1476C">
        <w:rPr>
          <w:rFonts w:ascii="Times New Roman" w:hAnsi="Times New Roman" w:cs="Times New Roman"/>
          <w:sz w:val="24"/>
          <w:szCs w:val="24"/>
        </w:rPr>
        <w:t xml:space="preserve">the Clean Air Act; Section V </w:t>
      </w:r>
      <w:r>
        <w:rPr>
          <w:rFonts w:ascii="Times New Roman" w:hAnsi="Times New Roman" w:cs="Times New Roman"/>
          <w:sz w:val="24"/>
          <w:szCs w:val="24"/>
        </w:rPr>
        <w:t xml:space="preserve">US </w:t>
      </w:r>
      <w:r w:rsidR="00802C30">
        <w:rPr>
          <w:rFonts w:ascii="Times New Roman" w:hAnsi="Times New Roman" w:cs="Times New Roman"/>
          <w:sz w:val="24"/>
          <w:szCs w:val="24"/>
        </w:rPr>
        <w:t>f</w:t>
      </w:r>
      <w:r>
        <w:rPr>
          <w:rFonts w:ascii="Times New Roman" w:hAnsi="Times New Roman" w:cs="Times New Roman"/>
          <w:sz w:val="24"/>
          <w:szCs w:val="24"/>
        </w:rPr>
        <w:t xml:space="preserve">ishery </w:t>
      </w:r>
      <w:r w:rsidR="00802C30">
        <w:rPr>
          <w:rFonts w:ascii="Times New Roman" w:hAnsi="Times New Roman" w:cs="Times New Roman"/>
          <w:sz w:val="24"/>
          <w:szCs w:val="24"/>
        </w:rPr>
        <w:t xml:space="preserve">regulation; </w:t>
      </w:r>
      <w:r w:rsidR="00237F2C">
        <w:rPr>
          <w:rFonts w:ascii="Times New Roman" w:hAnsi="Times New Roman" w:cs="Times New Roman"/>
          <w:sz w:val="24"/>
          <w:szCs w:val="24"/>
        </w:rPr>
        <w:t>and Section V</w:t>
      </w:r>
      <w:r w:rsidR="00F1476C">
        <w:rPr>
          <w:rFonts w:ascii="Times New Roman" w:hAnsi="Times New Roman" w:cs="Times New Roman"/>
          <w:sz w:val="24"/>
          <w:szCs w:val="24"/>
        </w:rPr>
        <w:t>I</w:t>
      </w:r>
      <w:r w:rsidR="00237F2C">
        <w:rPr>
          <w:rFonts w:ascii="Times New Roman" w:hAnsi="Times New Roman" w:cs="Times New Roman"/>
          <w:sz w:val="24"/>
          <w:szCs w:val="24"/>
        </w:rPr>
        <w:t xml:space="preserve"> </w:t>
      </w:r>
      <w:r>
        <w:rPr>
          <w:rFonts w:ascii="Times New Roman" w:hAnsi="Times New Roman" w:cs="Times New Roman"/>
          <w:sz w:val="24"/>
          <w:szCs w:val="24"/>
        </w:rPr>
        <w:t>the Endangered Species Act</w:t>
      </w:r>
      <w:r w:rsidR="00237F2C">
        <w:rPr>
          <w:rFonts w:ascii="Times New Roman" w:hAnsi="Times New Roman" w:cs="Times New Roman"/>
          <w:sz w:val="24"/>
          <w:szCs w:val="24"/>
        </w:rPr>
        <w:t xml:space="preserve">. </w:t>
      </w:r>
      <w:r>
        <w:rPr>
          <w:rFonts w:ascii="Times New Roman" w:hAnsi="Times New Roman" w:cs="Times New Roman"/>
          <w:sz w:val="24"/>
          <w:szCs w:val="24"/>
        </w:rPr>
        <w:t>Section VI</w:t>
      </w:r>
      <w:r w:rsidR="00F1476C">
        <w:rPr>
          <w:rFonts w:ascii="Times New Roman" w:hAnsi="Times New Roman" w:cs="Times New Roman"/>
          <w:sz w:val="24"/>
          <w:szCs w:val="24"/>
        </w:rPr>
        <w:t>I</w:t>
      </w:r>
      <w:r w:rsidR="003C4F8E">
        <w:rPr>
          <w:rFonts w:ascii="Times New Roman" w:hAnsi="Times New Roman" w:cs="Times New Roman"/>
          <w:sz w:val="24"/>
          <w:szCs w:val="24"/>
        </w:rPr>
        <w:t xml:space="preserve"> c</w:t>
      </w:r>
      <w:r>
        <w:rPr>
          <w:rFonts w:ascii="Times New Roman" w:hAnsi="Times New Roman" w:cs="Times New Roman"/>
          <w:sz w:val="24"/>
          <w:szCs w:val="24"/>
        </w:rPr>
        <w:t>oncludes.</w:t>
      </w:r>
    </w:p>
    <w:p w14:paraId="0779FE9C" w14:textId="77777777" w:rsidR="00610BFA" w:rsidRDefault="00610BFA" w:rsidP="00330002">
      <w:pPr>
        <w:spacing w:after="0" w:line="360" w:lineRule="auto"/>
        <w:ind w:firstLine="720"/>
        <w:rPr>
          <w:rFonts w:ascii="Times New Roman" w:hAnsi="Times New Roman" w:cs="Times New Roman"/>
          <w:sz w:val="24"/>
          <w:szCs w:val="24"/>
        </w:rPr>
      </w:pPr>
    </w:p>
    <w:p w14:paraId="58576963" w14:textId="77777777" w:rsidR="004C57BC" w:rsidRPr="004C57BC" w:rsidRDefault="004C57BC" w:rsidP="001B206B">
      <w:pPr>
        <w:pStyle w:val="ListParagraph"/>
        <w:numPr>
          <w:ilvl w:val="0"/>
          <w:numId w:val="19"/>
        </w:numPr>
        <w:spacing w:after="0" w:line="240" w:lineRule="auto"/>
        <w:ind w:left="0" w:firstLine="0"/>
        <w:rPr>
          <w:rFonts w:ascii="Times New Roman" w:hAnsi="Times New Roman" w:cs="Times New Roman"/>
          <w:sz w:val="24"/>
          <w:szCs w:val="24"/>
        </w:rPr>
      </w:pPr>
      <w:r>
        <w:rPr>
          <w:rFonts w:ascii="Times New Roman" w:hAnsi="Times New Roman" w:cs="Times New Roman"/>
          <w:b/>
          <w:bCs/>
          <w:sz w:val="24"/>
          <w:szCs w:val="24"/>
        </w:rPr>
        <w:t>Economic Property Rights or What is Lost When Coase is Not Used.</w:t>
      </w:r>
    </w:p>
    <w:p w14:paraId="496D3E7C" w14:textId="6863D10A" w:rsidR="002267EA" w:rsidRPr="007028AB" w:rsidRDefault="004C57BC" w:rsidP="001B206B">
      <w:pPr>
        <w:pStyle w:val="ListParagraph"/>
        <w:spacing w:after="0" w:line="240" w:lineRule="auto"/>
        <w:ind w:left="1080"/>
        <w:rPr>
          <w:rFonts w:ascii="Times New Roman" w:hAnsi="Times New Roman" w:cs="Times New Roman"/>
          <w:sz w:val="24"/>
          <w:szCs w:val="24"/>
        </w:rPr>
      </w:pPr>
      <w:r>
        <w:rPr>
          <w:rFonts w:ascii="Times New Roman" w:hAnsi="Times New Roman" w:cs="Times New Roman"/>
          <w:b/>
          <w:bCs/>
          <w:sz w:val="24"/>
          <w:szCs w:val="24"/>
        </w:rPr>
        <w:t xml:space="preserve"> </w:t>
      </w:r>
    </w:p>
    <w:p w14:paraId="40BCD3FC" w14:textId="40FA4714" w:rsidR="005C06F1" w:rsidRPr="006B407B" w:rsidRDefault="002267EA" w:rsidP="005C06F1">
      <w:pPr>
        <w:spacing w:after="0" w:line="360" w:lineRule="auto"/>
        <w:ind w:firstLine="720"/>
        <w:rPr>
          <w:rFonts w:ascii="Times New Roman" w:hAnsi="Times New Roman" w:cs="Times New Roman"/>
          <w:color w:val="222222"/>
          <w:kern w:val="0"/>
          <w:sz w:val="24"/>
          <w:szCs w:val="24"/>
          <w14:ligatures w14:val="none"/>
        </w:rPr>
      </w:pPr>
      <w:r>
        <w:rPr>
          <w:rFonts w:ascii="Times New Roman" w:hAnsi="Times New Roman" w:cs="Times New Roman"/>
          <w:color w:val="000000"/>
          <w:sz w:val="24"/>
          <w:szCs w:val="24"/>
        </w:rPr>
        <w:t xml:space="preserve">The pecuniary benefits </w:t>
      </w:r>
      <w:r w:rsidR="00931988">
        <w:rPr>
          <w:rFonts w:ascii="Times New Roman" w:hAnsi="Times New Roman" w:cs="Times New Roman"/>
          <w:color w:val="000000"/>
          <w:sz w:val="24"/>
          <w:szCs w:val="24"/>
        </w:rPr>
        <w:t xml:space="preserve">and efficiencies </w:t>
      </w:r>
      <w:r>
        <w:rPr>
          <w:rFonts w:ascii="Times New Roman" w:hAnsi="Times New Roman" w:cs="Times New Roman"/>
          <w:color w:val="000000"/>
          <w:sz w:val="24"/>
          <w:szCs w:val="24"/>
        </w:rPr>
        <w:t>of e</w:t>
      </w:r>
      <w:r w:rsidR="0087332C" w:rsidRPr="00A81722">
        <w:rPr>
          <w:rFonts w:ascii="Times New Roman" w:hAnsi="Times New Roman" w:cs="Times New Roman"/>
          <w:color w:val="000000"/>
          <w:sz w:val="24"/>
          <w:szCs w:val="24"/>
        </w:rPr>
        <w:t xml:space="preserve">conomic property rights </w:t>
      </w:r>
      <w:r w:rsidR="00127099">
        <w:rPr>
          <w:rFonts w:ascii="Times New Roman" w:hAnsi="Times New Roman" w:cs="Times New Roman"/>
          <w:color w:val="000000"/>
          <w:sz w:val="24"/>
          <w:szCs w:val="24"/>
        </w:rPr>
        <w:t xml:space="preserve">and the </w:t>
      </w:r>
      <w:r w:rsidR="00B71FDE">
        <w:rPr>
          <w:rFonts w:ascii="Times New Roman" w:hAnsi="Times New Roman" w:cs="Times New Roman"/>
          <w:color w:val="000000"/>
          <w:sz w:val="24"/>
          <w:szCs w:val="24"/>
        </w:rPr>
        <w:t>legal institutional framework</w:t>
      </w:r>
      <w:r w:rsidR="00127099">
        <w:rPr>
          <w:rFonts w:ascii="Times New Roman" w:hAnsi="Times New Roman" w:cs="Times New Roman"/>
          <w:color w:val="000000"/>
          <w:sz w:val="24"/>
          <w:szCs w:val="24"/>
        </w:rPr>
        <w:t xml:space="preserve"> they provide</w:t>
      </w:r>
      <w:r w:rsidR="00B71FDE">
        <w:rPr>
          <w:rFonts w:ascii="Times New Roman" w:hAnsi="Times New Roman" w:cs="Times New Roman"/>
          <w:color w:val="000000"/>
          <w:sz w:val="24"/>
          <w:szCs w:val="24"/>
        </w:rPr>
        <w:t xml:space="preserve"> </w:t>
      </w:r>
      <w:r w:rsidR="00E413B1">
        <w:rPr>
          <w:rFonts w:ascii="Times New Roman" w:hAnsi="Times New Roman" w:cs="Times New Roman"/>
          <w:color w:val="000000"/>
          <w:sz w:val="24"/>
          <w:szCs w:val="24"/>
        </w:rPr>
        <w:t>underl</w:t>
      </w:r>
      <w:r w:rsidR="0096236B">
        <w:rPr>
          <w:rFonts w:ascii="Times New Roman" w:hAnsi="Times New Roman" w:cs="Times New Roman"/>
          <w:color w:val="000000"/>
          <w:sz w:val="24"/>
          <w:szCs w:val="24"/>
        </w:rPr>
        <w:t>y</w:t>
      </w:r>
      <w:r w:rsidR="00E413B1">
        <w:rPr>
          <w:rFonts w:ascii="Times New Roman" w:hAnsi="Times New Roman" w:cs="Times New Roman"/>
          <w:color w:val="000000"/>
          <w:sz w:val="24"/>
          <w:szCs w:val="24"/>
        </w:rPr>
        <w:t xml:space="preserve"> the organizational </w:t>
      </w:r>
      <w:r w:rsidR="00127099">
        <w:rPr>
          <w:rFonts w:ascii="Times New Roman" w:hAnsi="Times New Roman" w:cs="Times New Roman"/>
          <w:color w:val="000000"/>
          <w:sz w:val="24"/>
          <w:szCs w:val="24"/>
        </w:rPr>
        <w:t>patterns an</w:t>
      </w:r>
      <w:r>
        <w:rPr>
          <w:rFonts w:ascii="Times New Roman" w:hAnsi="Times New Roman" w:cs="Times New Roman"/>
          <w:color w:val="000000"/>
          <w:sz w:val="24"/>
          <w:szCs w:val="24"/>
        </w:rPr>
        <w:t xml:space="preserve">alyzed by </w:t>
      </w:r>
      <w:r w:rsidR="00E413B1">
        <w:rPr>
          <w:rFonts w:ascii="Times New Roman" w:hAnsi="Times New Roman" w:cs="Times New Roman"/>
          <w:color w:val="000000"/>
          <w:sz w:val="24"/>
          <w:szCs w:val="24"/>
        </w:rPr>
        <w:t>Williamson (</w:t>
      </w:r>
      <w:r w:rsidR="00127099">
        <w:rPr>
          <w:rFonts w:ascii="Times New Roman" w:hAnsi="Times New Roman" w:cs="Times New Roman"/>
          <w:color w:val="000000"/>
          <w:sz w:val="24"/>
          <w:szCs w:val="24"/>
        </w:rPr>
        <w:t>1975, 1985, 1996</w:t>
      </w:r>
      <w:r w:rsidR="00E413B1">
        <w:rPr>
          <w:rFonts w:ascii="Times New Roman" w:hAnsi="Times New Roman" w:cs="Times New Roman"/>
          <w:color w:val="000000"/>
          <w:sz w:val="24"/>
          <w:szCs w:val="24"/>
        </w:rPr>
        <w:t>)</w:t>
      </w:r>
      <w:r w:rsidR="00127099">
        <w:rPr>
          <w:rFonts w:ascii="Times New Roman" w:hAnsi="Times New Roman" w:cs="Times New Roman"/>
          <w:color w:val="000000"/>
          <w:sz w:val="24"/>
          <w:szCs w:val="24"/>
        </w:rPr>
        <w:t xml:space="preserve"> </w:t>
      </w:r>
      <w:r w:rsidR="00E413B1">
        <w:rPr>
          <w:rFonts w:ascii="Times New Roman" w:hAnsi="Times New Roman" w:cs="Times New Roman"/>
          <w:color w:val="000000"/>
          <w:sz w:val="24"/>
          <w:szCs w:val="24"/>
        </w:rPr>
        <w:t>and Coase (1937</w:t>
      </w:r>
      <w:r w:rsidR="00127099">
        <w:rPr>
          <w:rFonts w:ascii="Times New Roman" w:hAnsi="Times New Roman" w:cs="Times New Roman"/>
          <w:color w:val="000000"/>
          <w:sz w:val="24"/>
          <w:szCs w:val="24"/>
        </w:rPr>
        <w:t>, 199</w:t>
      </w:r>
      <w:r w:rsidR="00FC0EE1">
        <w:rPr>
          <w:rFonts w:ascii="Times New Roman" w:hAnsi="Times New Roman" w:cs="Times New Roman"/>
          <w:color w:val="000000"/>
          <w:sz w:val="24"/>
          <w:szCs w:val="24"/>
        </w:rPr>
        <w:t>2</w:t>
      </w:r>
      <w:r w:rsidR="00E413B1">
        <w:rPr>
          <w:rFonts w:ascii="Times New Roman" w:hAnsi="Times New Roman" w:cs="Times New Roman"/>
          <w:color w:val="000000"/>
          <w:sz w:val="24"/>
          <w:szCs w:val="24"/>
        </w:rPr>
        <w:t xml:space="preserve">). </w:t>
      </w:r>
      <w:r w:rsidR="00127099">
        <w:rPr>
          <w:rFonts w:ascii="Times New Roman" w:hAnsi="Times New Roman" w:cs="Times New Roman"/>
          <w:color w:val="000000"/>
          <w:sz w:val="24"/>
          <w:szCs w:val="24"/>
        </w:rPr>
        <w:t xml:space="preserve"> Demsetz </w:t>
      </w:r>
      <w:r w:rsidR="00FC0EE1">
        <w:rPr>
          <w:rFonts w:ascii="Times New Roman" w:hAnsi="Times New Roman" w:cs="Times New Roman"/>
          <w:color w:val="000000"/>
          <w:sz w:val="24"/>
          <w:szCs w:val="24"/>
        </w:rPr>
        <w:t xml:space="preserve">(1996) </w:t>
      </w:r>
      <w:r w:rsidR="00DA2BE3">
        <w:rPr>
          <w:rFonts w:ascii="Times New Roman" w:hAnsi="Times New Roman" w:cs="Times New Roman"/>
          <w:color w:val="000000"/>
          <w:sz w:val="24"/>
          <w:szCs w:val="24"/>
        </w:rPr>
        <w:t>described th</w:t>
      </w:r>
      <w:r w:rsidR="00931988">
        <w:rPr>
          <w:rFonts w:ascii="Times New Roman" w:hAnsi="Times New Roman" w:cs="Times New Roman"/>
          <w:color w:val="000000"/>
          <w:sz w:val="24"/>
          <w:szCs w:val="24"/>
        </w:rPr>
        <w:t>e</w:t>
      </w:r>
      <w:r w:rsidR="00DA2BE3">
        <w:rPr>
          <w:rFonts w:ascii="Times New Roman" w:hAnsi="Times New Roman" w:cs="Times New Roman"/>
          <w:color w:val="000000"/>
          <w:sz w:val="24"/>
          <w:szCs w:val="24"/>
        </w:rPr>
        <w:t xml:space="preserve"> development</w:t>
      </w:r>
      <w:r w:rsidR="0096236B">
        <w:rPr>
          <w:rFonts w:ascii="Times New Roman" w:hAnsi="Times New Roman" w:cs="Times New Roman"/>
          <w:color w:val="000000"/>
          <w:sz w:val="24"/>
          <w:szCs w:val="24"/>
        </w:rPr>
        <w:t xml:space="preserve"> of property rights </w:t>
      </w:r>
      <w:r w:rsidR="00E413B1">
        <w:rPr>
          <w:rFonts w:ascii="Times New Roman" w:hAnsi="Times New Roman" w:cs="Times New Roman"/>
          <w:color w:val="000000"/>
          <w:sz w:val="24"/>
          <w:szCs w:val="24"/>
        </w:rPr>
        <w:t xml:space="preserve">as economic institutions </w:t>
      </w:r>
      <w:r w:rsidR="001163C9">
        <w:rPr>
          <w:rFonts w:ascii="Times New Roman" w:hAnsi="Times New Roman" w:cs="Times New Roman"/>
          <w:color w:val="000000"/>
          <w:sz w:val="24"/>
          <w:szCs w:val="24"/>
        </w:rPr>
        <w:t xml:space="preserve">by agents </w:t>
      </w:r>
      <w:r w:rsidR="00B71FDE">
        <w:rPr>
          <w:rFonts w:ascii="Times New Roman" w:hAnsi="Times New Roman" w:cs="Times New Roman"/>
          <w:color w:val="000000"/>
          <w:sz w:val="24"/>
          <w:szCs w:val="24"/>
        </w:rPr>
        <w:t xml:space="preserve">in response </w:t>
      </w:r>
      <w:r w:rsidR="00E413B1">
        <w:rPr>
          <w:rFonts w:ascii="Times New Roman" w:hAnsi="Times New Roman" w:cs="Times New Roman"/>
          <w:color w:val="000000"/>
          <w:sz w:val="24"/>
          <w:szCs w:val="24"/>
        </w:rPr>
        <w:t xml:space="preserve">to </w:t>
      </w:r>
      <w:r w:rsidR="00DA2BE3">
        <w:rPr>
          <w:rFonts w:ascii="Times New Roman" w:hAnsi="Times New Roman" w:cs="Times New Roman"/>
          <w:color w:val="000000"/>
          <w:sz w:val="24"/>
          <w:szCs w:val="24"/>
        </w:rPr>
        <w:t xml:space="preserve">changing </w:t>
      </w:r>
      <w:r w:rsidR="00E413B1">
        <w:rPr>
          <w:rFonts w:ascii="Times New Roman" w:hAnsi="Times New Roman" w:cs="Times New Roman"/>
          <w:color w:val="000000"/>
          <w:sz w:val="24"/>
          <w:szCs w:val="24"/>
        </w:rPr>
        <w:t xml:space="preserve">benefit/cost calculations. </w:t>
      </w:r>
      <w:r w:rsidR="00DA2BE3">
        <w:rPr>
          <w:rFonts w:ascii="Times New Roman" w:hAnsi="Times New Roman" w:cs="Times New Roman"/>
          <w:color w:val="000000"/>
          <w:sz w:val="24"/>
          <w:szCs w:val="24"/>
        </w:rPr>
        <w:t xml:space="preserve">His </w:t>
      </w:r>
      <w:r w:rsidR="00B71FDE">
        <w:rPr>
          <w:rFonts w:ascii="Times New Roman" w:hAnsi="Times New Roman" w:cs="Times New Roman"/>
          <w:color w:val="000000"/>
          <w:sz w:val="24"/>
          <w:szCs w:val="24"/>
        </w:rPr>
        <w:t xml:space="preserve">contractual adaptation </w:t>
      </w:r>
      <w:r w:rsidR="0096236B">
        <w:rPr>
          <w:rFonts w:ascii="Times New Roman" w:hAnsi="Times New Roman" w:cs="Times New Roman"/>
          <w:color w:val="000000"/>
          <w:sz w:val="24"/>
          <w:szCs w:val="24"/>
        </w:rPr>
        <w:t xml:space="preserve">to transaction costs </w:t>
      </w:r>
      <w:r w:rsidR="00DA2BE3">
        <w:rPr>
          <w:rFonts w:ascii="Times New Roman" w:hAnsi="Times New Roman" w:cs="Times New Roman"/>
          <w:color w:val="000000"/>
          <w:sz w:val="24"/>
          <w:szCs w:val="24"/>
        </w:rPr>
        <w:t xml:space="preserve">is </w:t>
      </w:r>
      <w:r w:rsidR="0096236B">
        <w:rPr>
          <w:rFonts w:ascii="Times New Roman" w:hAnsi="Times New Roman" w:cs="Times New Roman"/>
          <w:color w:val="000000"/>
          <w:sz w:val="24"/>
          <w:szCs w:val="24"/>
        </w:rPr>
        <w:t xml:space="preserve">like </w:t>
      </w:r>
      <w:r w:rsidR="00DA2BE3">
        <w:rPr>
          <w:rFonts w:ascii="Times New Roman" w:hAnsi="Times New Roman" w:cs="Times New Roman"/>
          <w:color w:val="000000"/>
          <w:sz w:val="24"/>
          <w:szCs w:val="24"/>
        </w:rPr>
        <w:t>Williamson</w:t>
      </w:r>
      <w:r w:rsidR="0096236B">
        <w:rPr>
          <w:rFonts w:ascii="Times New Roman" w:hAnsi="Times New Roman" w:cs="Times New Roman"/>
          <w:color w:val="000000"/>
          <w:sz w:val="24"/>
          <w:szCs w:val="24"/>
        </w:rPr>
        <w:t>’s</w:t>
      </w:r>
      <w:r w:rsidR="00B71FDE">
        <w:rPr>
          <w:rFonts w:ascii="Times New Roman" w:hAnsi="Times New Roman" w:cs="Times New Roman"/>
          <w:color w:val="000000"/>
          <w:sz w:val="24"/>
          <w:szCs w:val="24"/>
        </w:rPr>
        <w:t xml:space="preserve"> for </w:t>
      </w:r>
      <w:r w:rsidR="0096236B">
        <w:rPr>
          <w:rFonts w:ascii="Times New Roman" w:hAnsi="Times New Roman" w:cs="Times New Roman"/>
          <w:color w:val="000000"/>
          <w:sz w:val="24"/>
          <w:szCs w:val="24"/>
        </w:rPr>
        <w:t xml:space="preserve">firm </w:t>
      </w:r>
      <w:r w:rsidR="00B71FDE">
        <w:rPr>
          <w:rFonts w:ascii="Times New Roman" w:hAnsi="Times New Roman" w:cs="Times New Roman"/>
          <w:color w:val="000000"/>
          <w:sz w:val="24"/>
          <w:szCs w:val="24"/>
        </w:rPr>
        <w:t>governance</w:t>
      </w:r>
      <w:r w:rsidR="00DA2BE3">
        <w:rPr>
          <w:rFonts w:ascii="Times New Roman" w:hAnsi="Times New Roman" w:cs="Times New Roman"/>
          <w:color w:val="000000"/>
          <w:sz w:val="24"/>
          <w:szCs w:val="24"/>
        </w:rPr>
        <w:t xml:space="preserve">: Economic property rights </w:t>
      </w:r>
      <w:r w:rsidR="0096236B">
        <w:rPr>
          <w:rFonts w:ascii="Times New Roman" w:hAnsi="Times New Roman" w:cs="Times New Roman"/>
          <w:color w:val="000000"/>
          <w:sz w:val="24"/>
          <w:szCs w:val="24"/>
        </w:rPr>
        <w:t xml:space="preserve">are </w:t>
      </w:r>
      <w:r w:rsidR="00DA2BE3">
        <w:rPr>
          <w:rFonts w:ascii="Times New Roman" w:hAnsi="Times New Roman" w:cs="Times New Roman"/>
          <w:color w:val="000000"/>
          <w:sz w:val="24"/>
          <w:szCs w:val="24"/>
        </w:rPr>
        <w:t xml:space="preserve">created or adapted </w:t>
      </w:r>
      <w:r w:rsidR="00DA2BE3" w:rsidRPr="00027BC7">
        <w:rPr>
          <w:rFonts w:ascii="Times New Roman" w:eastAsia="Times New Roman" w:hAnsi="Times New Roman" w:cs="Times New Roman"/>
          <w:color w:val="222222"/>
          <w:kern w:val="0"/>
          <w:sz w:val="24"/>
          <w:szCs w:val="24"/>
          <w14:ligatures w14:val="none"/>
        </w:rPr>
        <w:t xml:space="preserve">(1967, 350): “in response to the desires of the interacting persons for adjustment to new benefit-cost possibilities.” </w:t>
      </w:r>
      <w:r w:rsidR="00F77622">
        <w:rPr>
          <w:rFonts w:ascii="Times New Roman" w:eastAsia="Times New Roman" w:hAnsi="Times New Roman" w:cs="Times New Roman"/>
          <w:color w:val="222222"/>
          <w:kern w:val="0"/>
          <w:sz w:val="24"/>
          <w:szCs w:val="24"/>
          <w14:ligatures w14:val="none"/>
        </w:rPr>
        <w:t>As with firm governance, p</w:t>
      </w:r>
      <w:r w:rsidR="00DA2BE3" w:rsidRPr="00027BC7">
        <w:rPr>
          <w:rFonts w:ascii="Times New Roman" w:eastAsia="Times New Roman" w:hAnsi="Times New Roman" w:cs="Times New Roman"/>
          <w:color w:val="222222"/>
          <w:kern w:val="0"/>
          <w:sz w:val="24"/>
          <w:szCs w:val="24"/>
          <w14:ligatures w14:val="none"/>
        </w:rPr>
        <w:t>roperty rights were dynamic institutions that varied in completeness and specificity across time and space</w:t>
      </w:r>
      <w:r w:rsidR="0096236B">
        <w:rPr>
          <w:rFonts w:ascii="Times New Roman" w:eastAsia="Times New Roman" w:hAnsi="Times New Roman" w:cs="Times New Roman"/>
          <w:color w:val="222222"/>
          <w:kern w:val="0"/>
          <w:sz w:val="24"/>
          <w:szCs w:val="24"/>
          <w14:ligatures w14:val="none"/>
        </w:rPr>
        <w:t xml:space="preserve">. </w:t>
      </w:r>
      <w:r w:rsidR="00DA2BE3">
        <w:rPr>
          <w:rFonts w:ascii="Times New Roman" w:eastAsia="Times New Roman" w:hAnsi="Times New Roman" w:cs="Times New Roman"/>
          <w:color w:val="222222"/>
          <w:kern w:val="0"/>
          <w:sz w:val="24"/>
          <w:szCs w:val="24"/>
          <w14:ligatures w14:val="none"/>
        </w:rPr>
        <w:t xml:space="preserve"> </w:t>
      </w:r>
      <w:r w:rsidR="00E035F5">
        <w:rPr>
          <w:rFonts w:ascii="Times New Roman" w:eastAsia="Times New Roman" w:hAnsi="Times New Roman" w:cs="Times New Roman"/>
          <w:color w:val="222222"/>
          <w:kern w:val="0"/>
          <w:sz w:val="24"/>
          <w:szCs w:val="24"/>
          <w14:ligatures w14:val="none"/>
        </w:rPr>
        <w:t xml:space="preserve">Agent </w:t>
      </w:r>
      <w:r w:rsidR="0096236B">
        <w:rPr>
          <w:rFonts w:ascii="Times New Roman" w:eastAsia="Times New Roman" w:hAnsi="Times New Roman" w:cs="Times New Roman"/>
          <w:color w:val="222222"/>
          <w:kern w:val="0"/>
          <w:sz w:val="24"/>
          <w:szCs w:val="24"/>
          <w14:ligatures w14:val="none"/>
        </w:rPr>
        <w:t xml:space="preserve">efforts </w:t>
      </w:r>
      <w:r w:rsidR="00DA2BE3">
        <w:rPr>
          <w:rFonts w:ascii="Times New Roman" w:eastAsia="Times New Roman" w:hAnsi="Times New Roman" w:cs="Times New Roman"/>
          <w:color w:val="222222"/>
          <w:kern w:val="0"/>
          <w:sz w:val="24"/>
          <w:szCs w:val="24"/>
          <w14:ligatures w14:val="none"/>
        </w:rPr>
        <w:t>not only advanced individual welfare, but through market expansion, generated broader economic gains.</w:t>
      </w:r>
      <w:r w:rsidR="005C06F1" w:rsidRPr="005C06F1">
        <w:rPr>
          <w:rFonts w:ascii="Times New Roman" w:hAnsi="Times New Roman" w:cs="Times New Roman"/>
          <w:color w:val="222222"/>
          <w:kern w:val="0"/>
          <w:sz w:val="24"/>
          <w:szCs w:val="24"/>
          <w:vertAlign w:val="superscript"/>
          <w14:ligatures w14:val="none"/>
        </w:rPr>
        <w:t xml:space="preserve"> </w:t>
      </w:r>
      <w:r w:rsidR="005C06F1" w:rsidRPr="00511683">
        <w:rPr>
          <w:rFonts w:ascii="Times New Roman" w:hAnsi="Times New Roman" w:cs="Times New Roman"/>
          <w:color w:val="222222"/>
          <w:kern w:val="0"/>
          <w:sz w:val="24"/>
          <w:szCs w:val="24"/>
          <w:vertAlign w:val="superscript"/>
          <w14:ligatures w14:val="none"/>
        </w:rPr>
        <w:footnoteReference w:id="30"/>
      </w:r>
      <w:r w:rsidR="006B407B">
        <w:rPr>
          <w:rFonts w:ascii="Times New Roman" w:hAnsi="Times New Roman" w:cs="Times New Roman"/>
          <w:color w:val="222222"/>
          <w:kern w:val="0"/>
          <w:sz w:val="24"/>
          <w:szCs w:val="24"/>
          <w:vertAlign w:val="superscript"/>
          <w14:ligatures w14:val="none"/>
        </w:rPr>
        <w:t xml:space="preserve">  </w:t>
      </w:r>
    </w:p>
    <w:p w14:paraId="23DD216E" w14:textId="789C68D6" w:rsidR="00CB22DA" w:rsidRDefault="00DA2BE3" w:rsidP="00CB22DA">
      <w:pPr>
        <w:spacing w:after="0" w:line="360" w:lineRule="auto"/>
        <w:ind w:firstLine="720"/>
        <w:contextualSpacing/>
        <w:rPr>
          <w:rFonts w:ascii="Times New Roman" w:hAnsi="Times New Roman" w:cs="Times New Roman"/>
          <w:color w:val="222222"/>
          <w:sz w:val="24"/>
          <w:szCs w:val="24"/>
        </w:rPr>
      </w:pPr>
      <w:r>
        <w:rPr>
          <w:rFonts w:ascii="Times New Roman" w:eastAsia="Times New Roman" w:hAnsi="Times New Roman" w:cs="Times New Roman"/>
          <w:color w:val="222222"/>
          <w:kern w:val="0"/>
          <w:sz w:val="24"/>
          <w:szCs w:val="24"/>
          <w14:ligatures w14:val="none"/>
        </w:rPr>
        <w:t xml:space="preserve"> </w:t>
      </w:r>
      <w:r w:rsidR="009C7480" w:rsidRPr="00A81722">
        <w:rPr>
          <w:rFonts w:ascii="Times New Roman" w:hAnsi="Times New Roman" w:cs="Times New Roman"/>
          <w:color w:val="222222"/>
          <w:kern w:val="0"/>
          <w:sz w:val="24"/>
          <w:szCs w:val="24"/>
          <w14:ligatures w14:val="none"/>
        </w:rPr>
        <w:t>Economic property rights defin</w:t>
      </w:r>
      <w:r w:rsidR="002267EA">
        <w:rPr>
          <w:rFonts w:ascii="Times New Roman" w:hAnsi="Times New Roman" w:cs="Times New Roman"/>
          <w:color w:val="222222"/>
          <w:kern w:val="0"/>
          <w:sz w:val="24"/>
          <w:szCs w:val="24"/>
          <w14:ligatures w14:val="none"/>
        </w:rPr>
        <w:t>e</w:t>
      </w:r>
      <w:r w:rsidR="009C7480" w:rsidRPr="00A81722">
        <w:rPr>
          <w:rFonts w:ascii="Times New Roman" w:hAnsi="Times New Roman" w:cs="Times New Roman"/>
          <w:color w:val="222222"/>
          <w:kern w:val="0"/>
          <w:sz w:val="24"/>
          <w:szCs w:val="24"/>
          <w14:ligatures w14:val="none"/>
        </w:rPr>
        <w:t xml:space="preserve"> asset ownership, </w:t>
      </w:r>
      <w:r w:rsidR="002267EA">
        <w:rPr>
          <w:rFonts w:ascii="Times New Roman" w:hAnsi="Times New Roman" w:cs="Times New Roman"/>
          <w:color w:val="222222"/>
          <w:kern w:val="0"/>
          <w:sz w:val="24"/>
          <w:szCs w:val="24"/>
          <w14:ligatures w14:val="none"/>
        </w:rPr>
        <w:t xml:space="preserve">support </w:t>
      </w:r>
      <w:r w:rsidR="00E035F5">
        <w:rPr>
          <w:rFonts w:ascii="Times New Roman" w:hAnsi="Times New Roman" w:cs="Times New Roman"/>
          <w:color w:val="222222"/>
          <w:kern w:val="0"/>
          <w:sz w:val="24"/>
          <w:szCs w:val="24"/>
          <w14:ligatures w14:val="none"/>
        </w:rPr>
        <w:t>trade</w:t>
      </w:r>
      <w:r w:rsidR="002267EA">
        <w:rPr>
          <w:rFonts w:ascii="Times New Roman" w:hAnsi="Times New Roman" w:cs="Times New Roman"/>
          <w:color w:val="222222"/>
          <w:kern w:val="0"/>
          <w:sz w:val="24"/>
          <w:szCs w:val="24"/>
          <w14:ligatures w14:val="none"/>
        </w:rPr>
        <w:t xml:space="preserve">, </w:t>
      </w:r>
      <w:r w:rsidR="009C7480" w:rsidRPr="00A81722">
        <w:rPr>
          <w:rFonts w:ascii="Times New Roman" w:hAnsi="Times New Roman" w:cs="Times New Roman"/>
          <w:color w:val="222222"/>
          <w:kern w:val="0"/>
          <w:sz w:val="24"/>
          <w:szCs w:val="24"/>
          <w14:ligatures w14:val="none"/>
        </w:rPr>
        <w:t xml:space="preserve">and </w:t>
      </w:r>
      <w:r w:rsidR="005A0D01">
        <w:rPr>
          <w:rFonts w:ascii="Times New Roman" w:hAnsi="Times New Roman" w:cs="Times New Roman"/>
          <w:color w:val="222222"/>
          <w:kern w:val="0"/>
          <w:sz w:val="24"/>
          <w:szCs w:val="24"/>
          <w14:ligatures w14:val="none"/>
        </w:rPr>
        <w:t xml:space="preserve">allow for contractual innovation. </w:t>
      </w:r>
      <w:r w:rsidR="00814A5C">
        <w:rPr>
          <w:rFonts w:ascii="Times New Roman" w:hAnsi="Times New Roman" w:cs="Times New Roman"/>
          <w:color w:val="222222"/>
          <w:kern w:val="0"/>
          <w:sz w:val="24"/>
          <w:szCs w:val="24"/>
          <w14:ligatures w14:val="none"/>
        </w:rPr>
        <w:t>T</w:t>
      </w:r>
      <w:r w:rsidR="00B22365" w:rsidRPr="00A81722">
        <w:rPr>
          <w:rFonts w:ascii="Times New Roman" w:hAnsi="Times New Roman" w:cs="Times New Roman"/>
          <w:color w:val="000000"/>
          <w:sz w:val="24"/>
          <w:szCs w:val="24"/>
        </w:rPr>
        <w:t>hey determine who ha</w:t>
      </w:r>
      <w:r w:rsidR="00E035F5">
        <w:rPr>
          <w:rFonts w:ascii="Times New Roman" w:hAnsi="Times New Roman" w:cs="Times New Roman"/>
          <w:color w:val="000000"/>
          <w:sz w:val="24"/>
          <w:szCs w:val="24"/>
        </w:rPr>
        <w:t>s</w:t>
      </w:r>
      <w:r w:rsidR="00B22365" w:rsidRPr="00A81722">
        <w:rPr>
          <w:rFonts w:ascii="Times New Roman" w:hAnsi="Times New Roman" w:cs="Times New Roman"/>
          <w:color w:val="000000"/>
          <w:sz w:val="24"/>
          <w:szCs w:val="24"/>
        </w:rPr>
        <w:t xml:space="preserve"> the recognized right to make decisions about asset use</w:t>
      </w:r>
      <w:r w:rsidR="005A0D01">
        <w:rPr>
          <w:rFonts w:ascii="Times New Roman" w:hAnsi="Times New Roman" w:cs="Times New Roman"/>
          <w:color w:val="000000"/>
          <w:sz w:val="24"/>
          <w:szCs w:val="24"/>
        </w:rPr>
        <w:t>, organizational and contractual forms,</w:t>
      </w:r>
      <w:r w:rsidR="00B22365" w:rsidRPr="00A81722">
        <w:rPr>
          <w:rFonts w:ascii="Times New Roman" w:hAnsi="Times New Roman" w:cs="Times New Roman"/>
          <w:color w:val="000000"/>
          <w:sz w:val="24"/>
          <w:szCs w:val="24"/>
        </w:rPr>
        <w:t xml:space="preserve"> and trade and who capture</w:t>
      </w:r>
      <w:r w:rsidR="0096236B">
        <w:rPr>
          <w:rFonts w:ascii="Times New Roman" w:hAnsi="Times New Roman" w:cs="Times New Roman"/>
          <w:color w:val="000000"/>
          <w:sz w:val="24"/>
          <w:szCs w:val="24"/>
        </w:rPr>
        <w:t>s</w:t>
      </w:r>
      <w:r w:rsidR="00B22365" w:rsidRPr="00A81722">
        <w:rPr>
          <w:rFonts w:ascii="Times New Roman" w:hAnsi="Times New Roman" w:cs="Times New Roman"/>
          <w:color w:val="000000"/>
          <w:sz w:val="24"/>
          <w:szCs w:val="24"/>
        </w:rPr>
        <w:t xml:space="preserve"> the </w:t>
      </w:r>
      <w:r w:rsidR="0096236B">
        <w:rPr>
          <w:rFonts w:ascii="Times New Roman" w:hAnsi="Times New Roman" w:cs="Times New Roman"/>
          <w:color w:val="000000"/>
          <w:sz w:val="24"/>
          <w:szCs w:val="24"/>
        </w:rPr>
        <w:t xml:space="preserve">resulting </w:t>
      </w:r>
      <w:r w:rsidR="00B22365" w:rsidRPr="00A81722">
        <w:rPr>
          <w:rFonts w:ascii="Times New Roman" w:hAnsi="Times New Roman" w:cs="Times New Roman"/>
          <w:color w:val="000000"/>
          <w:sz w:val="24"/>
          <w:szCs w:val="24"/>
        </w:rPr>
        <w:t xml:space="preserve">returns. </w:t>
      </w:r>
      <w:r w:rsidR="00814A5C">
        <w:rPr>
          <w:rFonts w:ascii="Times New Roman" w:hAnsi="Times New Roman" w:cs="Times New Roman"/>
          <w:color w:val="000000"/>
          <w:sz w:val="24"/>
          <w:szCs w:val="24"/>
        </w:rPr>
        <w:t xml:space="preserve"> </w:t>
      </w:r>
      <w:r w:rsidR="003E5514">
        <w:rPr>
          <w:rFonts w:ascii="Times New Roman" w:hAnsi="Times New Roman" w:cs="Times New Roman"/>
          <w:color w:val="000000"/>
          <w:sz w:val="24"/>
          <w:szCs w:val="24"/>
        </w:rPr>
        <w:t>To maximize</w:t>
      </w:r>
      <w:r w:rsidR="0096236B">
        <w:rPr>
          <w:rFonts w:ascii="Times New Roman" w:hAnsi="Times New Roman" w:cs="Times New Roman"/>
          <w:color w:val="000000"/>
          <w:sz w:val="24"/>
          <w:szCs w:val="24"/>
        </w:rPr>
        <w:t xml:space="preserve"> net </w:t>
      </w:r>
      <w:r w:rsidR="003E5514">
        <w:rPr>
          <w:rFonts w:ascii="Times New Roman" w:hAnsi="Times New Roman" w:cs="Times New Roman"/>
          <w:color w:val="000000"/>
          <w:sz w:val="24"/>
          <w:szCs w:val="24"/>
        </w:rPr>
        <w:t>returns, p</w:t>
      </w:r>
      <w:r w:rsidR="00814A5C" w:rsidRPr="00A81722">
        <w:rPr>
          <w:rFonts w:ascii="Times New Roman" w:hAnsi="Times New Roman" w:cs="Times New Roman"/>
          <w:color w:val="222222"/>
          <w:kern w:val="0"/>
          <w:sz w:val="24"/>
          <w:szCs w:val="24"/>
          <w14:ligatures w14:val="none"/>
        </w:rPr>
        <w:t xml:space="preserve">roperty rights </w:t>
      </w:r>
      <w:r w:rsidR="005A0D01">
        <w:rPr>
          <w:rFonts w:ascii="Times New Roman" w:hAnsi="Times New Roman" w:cs="Times New Roman"/>
          <w:color w:val="222222"/>
          <w:kern w:val="0"/>
          <w:sz w:val="24"/>
          <w:szCs w:val="24"/>
          <w14:ligatures w14:val="none"/>
        </w:rPr>
        <w:t xml:space="preserve">require </w:t>
      </w:r>
      <w:r w:rsidR="00814A5C" w:rsidRPr="00A81722">
        <w:rPr>
          <w:rFonts w:ascii="Times New Roman" w:hAnsi="Times New Roman" w:cs="Times New Roman"/>
          <w:color w:val="222222"/>
          <w:kern w:val="0"/>
          <w:sz w:val="24"/>
          <w:szCs w:val="24"/>
          <w14:ligatures w14:val="none"/>
        </w:rPr>
        <w:t>exclusivity</w:t>
      </w:r>
      <w:r w:rsidR="005A0D01">
        <w:rPr>
          <w:rFonts w:ascii="Times New Roman" w:hAnsi="Times New Roman" w:cs="Times New Roman"/>
          <w:color w:val="222222"/>
          <w:kern w:val="0"/>
          <w:sz w:val="24"/>
          <w:szCs w:val="24"/>
          <w14:ligatures w14:val="none"/>
        </w:rPr>
        <w:t>,</w:t>
      </w:r>
      <w:r w:rsidR="00814A5C" w:rsidRPr="00A81722">
        <w:rPr>
          <w:rFonts w:ascii="Times New Roman" w:hAnsi="Times New Roman" w:cs="Times New Roman"/>
          <w:color w:val="222222"/>
          <w:kern w:val="0"/>
          <w:sz w:val="24"/>
          <w:szCs w:val="24"/>
          <w14:ligatures w14:val="none"/>
        </w:rPr>
        <w:t xml:space="preserve"> stability</w:t>
      </w:r>
      <w:r w:rsidR="003E5514">
        <w:rPr>
          <w:rFonts w:ascii="Times New Roman" w:hAnsi="Times New Roman" w:cs="Times New Roman"/>
          <w:color w:val="222222"/>
          <w:kern w:val="0"/>
          <w:sz w:val="24"/>
          <w:szCs w:val="24"/>
          <w14:ligatures w14:val="none"/>
        </w:rPr>
        <w:t xml:space="preserve">, </w:t>
      </w:r>
      <w:r w:rsidR="00814A5C" w:rsidRPr="00A81722">
        <w:rPr>
          <w:rFonts w:ascii="Times New Roman" w:hAnsi="Times New Roman" w:cs="Times New Roman"/>
          <w:color w:val="222222"/>
          <w:kern w:val="0"/>
          <w:sz w:val="24"/>
          <w:szCs w:val="24"/>
          <w14:ligatures w14:val="none"/>
        </w:rPr>
        <w:t>durability</w:t>
      </w:r>
      <w:r w:rsidR="003E5514">
        <w:rPr>
          <w:rFonts w:ascii="Times New Roman" w:hAnsi="Times New Roman" w:cs="Times New Roman"/>
          <w:color w:val="222222"/>
          <w:kern w:val="0"/>
          <w:sz w:val="24"/>
          <w:szCs w:val="24"/>
          <w14:ligatures w14:val="none"/>
        </w:rPr>
        <w:t xml:space="preserve">, </w:t>
      </w:r>
      <w:r w:rsidR="00814A5C" w:rsidRPr="00A81722">
        <w:rPr>
          <w:rFonts w:ascii="Times New Roman" w:hAnsi="Times New Roman" w:cs="Times New Roman"/>
          <w:color w:val="222222"/>
          <w:kern w:val="0"/>
          <w:sz w:val="24"/>
          <w:szCs w:val="24"/>
          <w14:ligatures w14:val="none"/>
        </w:rPr>
        <w:t>and exchangeability.</w:t>
      </w:r>
      <w:r w:rsidR="00814A5C" w:rsidRPr="00A81722">
        <w:rPr>
          <w:rFonts w:ascii="Times New Roman" w:hAnsi="Times New Roman" w:cs="Times New Roman"/>
          <w:color w:val="222222"/>
          <w:kern w:val="0"/>
          <w:sz w:val="24"/>
          <w:szCs w:val="24"/>
          <w:vertAlign w:val="superscript"/>
          <w14:ligatures w14:val="none"/>
        </w:rPr>
        <w:footnoteReference w:id="31"/>
      </w:r>
      <w:r w:rsidR="00814A5C" w:rsidRPr="00A81722">
        <w:rPr>
          <w:rFonts w:ascii="Times New Roman" w:hAnsi="Times New Roman" w:cs="Times New Roman"/>
          <w:color w:val="222222"/>
          <w:kern w:val="0"/>
          <w:sz w:val="24"/>
          <w:szCs w:val="24"/>
          <w14:ligatures w14:val="none"/>
        </w:rPr>
        <w:t xml:space="preserve"> </w:t>
      </w:r>
      <w:r w:rsidR="003E5514">
        <w:rPr>
          <w:rFonts w:ascii="Times New Roman" w:hAnsi="Times New Roman" w:cs="Times New Roman"/>
          <w:color w:val="222222"/>
          <w:kern w:val="0"/>
          <w:sz w:val="24"/>
          <w:szCs w:val="24"/>
          <w14:ligatures w14:val="none"/>
        </w:rPr>
        <w:t>These characteristics</w:t>
      </w:r>
      <w:r w:rsidR="0096236B">
        <w:rPr>
          <w:rFonts w:ascii="Times New Roman" w:hAnsi="Times New Roman" w:cs="Times New Roman"/>
          <w:color w:val="222222"/>
          <w:kern w:val="0"/>
          <w:sz w:val="24"/>
          <w:szCs w:val="24"/>
          <w14:ligatures w14:val="none"/>
        </w:rPr>
        <w:t xml:space="preserve"> </w:t>
      </w:r>
      <w:r w:rsidR="003E5514">
        <w:rPr>
          <w:rFonts w:ascii="Times New Roman" w:hAnsi="Times New Roman" w:cs="Times New Roman"/>
          <w:color w:val="222222"/>
          <w:kern w:val="0"/>
          <w:sz w:val="24"/>
          <w:szCs w:val="24"/>
          <w14:ligatures w14:val="none"/>
        </w:rPr>
        <w:t xml:space="preserve">vary due to transaction costs and local assessments of </w:t>
      </w:r>
      <w:r w:rsidR="003E5514">
        <w:rPr>
          <w:rFonts w:ascii="Times New Roman" w:hAnsi="Times New Roman" w:cs="Times New Roman"/>
          <w:color w:val="222222"/>
          <w:kern w:val="0"/>
          <w:sz w:val="24"/>
          <w:szCs w:val="24"/>
          <w14:ligatures w14:val="none"/>
        </w:rPr>
        <w:lastRenderedPageBreak/>
        <w:t>fairness, openness, and morality.</w:t>
      </w:r>
      <w:r w:rsidR="00814A5C" w:rsidRPr="00A81722">
        <w:rPr>
          <w:rFonts w:ascii="Times New Roman" w:hAnsi="Times New Roman" w:cs="Times New Roman"/>
          <w:color w:val="000000"/>
          <w:sz w:val="24"/>
          <w:szCs w:val="24"/>
          <w:vertAlign w:val="superscript"/>
        </w:rPr>
        <w:footnoteReference w:id="32"/>
      </w:r>
      <w:r w:rsidR="006B407B">
        <w:rPr>
          <w:rFonts w:ascii="Times New Roman" w:hAnsi="Times New Roman" w:cs="Times New Roman"/>
          <w:color w:val="222222"/>
          <w:kern w:val="0"/>
          <w:sz w:val="24"/>
          <w:szCs w:val="24"/>
          <w14:ligatures w14:val="none"/>
        </w:rPr>
        <w:t xml:space="preserve"> For Demsetz, </w:t>
      </w:r>
      <w:r w:rsidR="007C13AE" w:rsidRPr="007C13AE">
        <w:rPr>
          <w:rFonts w:ascii="Times New Roman" w:hAnsi="Times New Roman" w:cs="Times New Roman"/>
          <w:color w:val="222222"/>
          <w:kern w:val="0"/>
          <w:sz w:val="24"/>
          <w:szCs w:val="24"/>
          <w14:ligatures w14:val="none"/>
        </w:rPr>
        <w:t>as with Williamson and Coase</w:t>
      </w:r>
      <w:r w:rsidR="007C13AE">
        <w:rPr>
          <w:rFonts w:ascii="Times New Roman" w:hAnsi="Times New Roman" w:cs="Times New Roman"/>
          <w:color w:val="222222"/>
          <w:kern w:val="0"/>
          <w:sz w:val="24"/>
          <w:szCs w:val="24"/>
          <w14:ligatures w14:val="none"/>
        </w:rPr>
        <w:t>,</w:t>
      </w:r>
      <w:r w:rsidR="007C13AE" w:rsidRPr="007C13AE">
        <w:rPr>
          <w:rFonts w:ascii="Times New Roman" w:hAnsi="Times New Roman" w:cs="Times New Roman"/>
          <w:color w:val="222222"/>
          <w:kern w:val="0"/>
          <w:sz w:val="24"/>
          <w:szCs w:val="24"/>
          <w14:ligatures w14:val="none"/>
        </w:rPr>
        <w:t xml:space="preserve"> </w:t>
      </w:r>
      <w:r w:rsidR="006B407B">
        <w:rPr>
          <w:rFonts w:ascii="Times New Roman" w:hAnsi="Times New Roman" w:cs="Times New Roman"/>
          <w:color w:val="222222"/>
          <w:kern w:val="0"/>
          <w:sz w:val="24"/>
          <w:szCs w:val="24"/>
          <w14:ligatures w14:val="none"/>
        </w:rPr>
        <w:t>property rights would not be idealized institutions, but ones that were adjusted to actual conditions</w:t>
      </w:r>
      <w:r w:rsidR="0096236B">
        <w:rPr>
          <w:rFonts w:ascii="Times New Roman" w:hAnsi="Times New Roman" w:cs="Times New Roman"/>
          <w:color w:val="222222"/>
          <w:kern w:val="0"/>
          <w:sz w:val="24"/>
          <w:szCs w:val="24"/>
          <w14:ligatures w14:val="none"/>
        </w:rPr>
        <w:t xml:space="preserve"> as second-best</w:t>
      </w:r>
      <w:r w:rsidR="006B407B">
        <w:rPr>
          <w:rFonts w:ascii="Times New Roman" w:hAnsi="Times New Roman" w:cs="Times New Roman"/>
          <w:color w:val="222222"/>
          <w:kern w:val="0"/>
          <w:sz w:val="24"/>
          <w:szCs w:val="24"/>
          <w14:ligatures w14:val="none"/>
        </w:rPr>
        <w:t xml:space="preserve">. He cautioned against </w:t>
      </w:r>
      <w:r w:rsidR="00673E51">
        <w:rPr>
          <w:rFonts w:ascii="Times New Roman" w:hAnsi="Times New Roman" w:cs="Times New Roman"/>
          <w:color w:val="222222"/>
          <w:kern w:val="0"/>
          <w:sz w:val="24"/>
          <w:szCs w:val="24"/>
          <w14:ligatures w14:val="none"/>
        </w:rPr>
        <w:t xml:space="preserve">nirvana comparisons of </w:t>
      </w:r>
      <w:r w:rsidR="00673E51">
        <w:rPr>
          <w:rFonts w:ascii="Times New Roman" w:eastAsia="Times New Roman" w:hAnsi="Times New Roman" w:cs="Times New Roman"/>
          <w:color w:val="222222"/>
          <w:kern w:val="0"/>
          <w:sz w:val="24"/>
          <w:szCs w:val="24"/>
          <w14:ligatures w14:val="none"/>
        </w:rPr>
        <w:t>transaction</w:t>
      </w:r>
      <w:r w:rsidR="000E2570">
        <w:rPr>
          <w:rFonts w:ascii="Times New Roman" w:eastAsia="Times New Roman" w:hAnsi="Times New Roman" w:cs="Times New Roman"/>
          <w:color w:val="222222"/>
          <w:kern w:val="0"/>
          <w:sz w:val="24"/>
          <w:szCs w:val="24"/>
          <w14:ligatures w14:val="none"/>
        </w:rPr>
        <w:t xml:space="preserve"> </w:t>
      </w:r>
      <w:r w:rsidR="00673E51">
        <w:rPr>
          <w:rFonts w:ascii="Times New Roman" w:eastAsia="Times New Roman" w:hAnsi="Times New Roman" w:cs="Times New Roman"/>
          <w:color w:val="222222"/>
          <w:kern w:val="0"/>
          <w:sz w:val="24"/>
          <w:szCs w:val="24"/>
          <w14:ligatures w14:val="none"/>
        </w:rPr>
        <w:t xml:space="preserve">cost free </w:t>
      </w:r>
      <w:r w:rsidR="00273BD8">
        <w:rPr>
          <w:rFonts w:ascii="Times New Roman" w:eastAsia="Times New Roman" w:hAnsi="Times New Roman" w:cs="Times New Roman"/>
          <w:color w:val="222222"/>
          <w:kern w:val="0"/>
          <w:sz w:val="24"/>
          <w:szCs w:val="24"/>
          <w14:ligatures w14:val="none"/>
        </w:rPr>
        <w:t xml:space="preserve">institutions </w:t>
      </w:r>
      <w:r w:rsidR="00673E51">
        <w:rPr>
          <w:rFonts w:ascii="Times New Roman" w:eastAsia="Times New Roman" w:hAnsi="Times New Roman" w:cs="Times New Roman"/>
          <w:color w:val="222222"/>
          <w:kern w:val="0"/>
          <w:sz w:val="24"/>
          <w:szCs w:val="24"/>
          <w14:ligatures w14:val="none"/>
        </w:rPr>
        <w:t xml:space="preserve">with </w:t>
      </w:r>
      <w:r w:rsidR="00FA63D3">
        <w:rPr>
          <w:rFonts w:ascii="Times New Roman" w:eastAsia="Times New Roman" w:hAnsi="Times New Roman" w:cs="Times New Roman"/>
          <w:color w:val="222222"/>
          <w:kern w:val="0"/>
          <w:sz w:val="24"/>
          <w:szCs w:val="24"/>
          <w14:ligatures w14:val="none"/>
        </w:rPr>
        <w:t xml:space="preserve">observed </w:t>
      </w:r>
      <w:r w:rsidR="00673E51">
        <w:rPr>
          <w:rFonts w:ascii="Times New Roman" w:eastAsia="Times New Roman" w:hAnsi="Times New Roman" w:cs="Times New Roman"/>
          <w:color w:val="222222"/>
          <w:kern w:val="0"/>
          <w:sz w:val="24"/>
          <w:szCs w:val="24"/>
          <w14:ligatures w14:val="none"/>
        </w:rPr>
        <w:t xml:space="preserve">ones. </w:t>
      </w:r>
      <w:r w:rsidR="00673E51">
        <w:rPr>
          <w:rFonts w:ascii="Times New Roman" w:hAnsi="Times New Roman" w:cs="Times New Roman"/>
          <w:color w:val="222222"/>
          <w:kern w:val="0"/>
          <w:sz w:val="24"/>
          <w:szCs w:val="24"/>
          <w14:ligatures w14:val="none"/>
        </w:rPr>
        <w:t xml:space="preserve"> </w:t>
      </w:r>
      <w:r w:rsidR="009C7480">
        <w:rPr>
          <w:rFonts w:ascii="Times New Roman" w:hAnsi="Times New Roman" w:cs="Times New Roman"/>
          <w:color w:val="222222"/>
          <w:sz w:val="24"/>
          <w:szCs w:val="24"/>
        </w:rPr>
        <w:t>The potential monetary gains</w:t>
      </w:r>
      <w:r w:rsidR="003E5514">
        <w:rPr>
          <w:rFonts w:ascii="Times New Roman" w:hAnsi="Times New Roman" w:cs="Times New Roman"/>
          <w:color w:val="222222"/>
          <w:sz w:val="24"/>
          <w:szCs w:val="24"/>
        </w:rPr>
        <w:t xml:space="preserve">, </w:t>
      </w:r>
      <w:r w:rsidR="003E7810">
        <w:rPr>
          <w:rFonts w:ascii="Times New Roman" w:hAnsi="Times New Roman" w:cs="Times New Roman"/>
          <w:color w:val="222222"/>
          <w:sz w:val="24"/>
          <w:szCs w:val="24"/>
        </w:rPr>
        <w:t>cost savings</w:t>
      </w:r>
      <w:r w:rsidR="003E5514">
        <w:rPr>
          <w:rFonts w:ascii="Times New Roman" w:hAnsi="Times New Roman" w:cs="Times New Roman"/>
          <w:color w:val="222222"/>
          <w:sz w:val="24"/>
          <w:szCs w:val="24"/>
        </w:rPr>
        <w:t>,</w:t>
      </w:r>
      <w:r w:rsidR="009C7480">
        <w:rPr>
          <w:rFonts w:ascii="Times New Roman" w:hAnsi="Times New Roman" w:cs="Times New Roman"/>
          <w:color w:val="222222"/>
          <w:sz w:val="24"/>
          <w:szCs w:val="24"/>
        </w:rPr>
        <w:t xml:space="preserve"> </w:t>
      </w:r>
      <w:r w:rsidR="003E5514">
        <w:rPr>
          <w:rFonts w:ascii="Times New Roman" w:hAnsi="Times New Roman" w:cs="Times New Roman"/>
          <w:color w:val="222222"/>
          <w:sz w:val="24"/>
          <w:szCs w:val="24"/>
        </w:rPr>
        <w:t xml:space="preserve">and efficiencies </w:t>
      </w:r>
      <w:r w:rsidR="009C7480">
        <w:rPr>
          <w:rFonts w:ascii="Times New Roman" w:hAnsi="Times New Roman" w:cs="Times New Roman"/>
          <w:color w:val="222222"/>
          <w:sz w:val="24"/>
          <w:szCs w:val="24"/>
        </w:rPr>
        <w:t xml:space="preserve">from </w:t>
      </w:r>
      <w:r w:rsidR="003E5514">
        <w:rPr>
          <w:rFonts w:ascii="Times New Roman" w:hAnsi="Times New Roman" w:cs="Times New Roman"/>
          <w:color w:val="222222"/>
          <w:sz w:val="24"/>
          <w:szCs w:val="24"/>
        </w:rPr>
        <w:t xml:space="preserve">property rights and exchange were </w:t>
      </w:r>
      <w:r w:rsidR="009C7480">
        <w:rPr>
          <w:rFonts w:ascii="Times New Roman" w:hAnsi="Times New Roman" w:cs="Times New Roman"/>
          <w:color w:val="222222"/>
          <w:sz w:val="24"/>
          <w:szCs w:val="24"/>
        </w:rPr>
        <w:t>the bas</w:t>
      </w:r>
      <w:r w:rsidR="003E5514">
        <w:rPr>
          <w:rFonts w:ascii="Times New Roman" w:hAnsi="Times New Roman" w:cs="Times New Roman"/>
          <w:color w:val="222222"/>
          <w:sz w:val="24"/>
          <w:szCs w:val="24"/>
        </w:rPr>
        <w:t>e</w:t>
      </w:r>
      <w:r w:rsidR="009C7480">
        <w:rPr>
          <w:rFonts w:ascii="Times New Roman" w:hAnsi="Times New Roman" w:cs="Times New Roman"/>
          <w:color w:val="222222"/>
          <w:sz w:val="24"/>
          <w:szCs w:val="24"/>
        </w:rPr>
        <w:t>s for Coase’s negotiated alternative to mandated Pigouvian constraints</w:t>
      </w:r>
      <w:r w:rsidR="003E5514">
        <w:rPr>
          <w:rFonts w:ascii="Times New Roman" w:hAnsi="Times New Roman" w:cs="Times New Roman"/>
          <w:color w:val="222222"/>
          <w:sz w:val="24"/>
          <w:szCs w:val="24"/>
        </w:rPr>
        <w:t>.</w:t>
      </w:r>
    </w:p>
    <w:p w14:paraId="3929E979" w14:textId="63CFDA03" w:rsidR="00CB22DA" w:rsidRDefault="00CB22DA" w:rsidP="00CB22DA">
      <w:pPr>
        <w:spacing w:after="0" w:line="360" w:lineRule="auto"/>
        <w:ind w:firstLine="720"/>
        <w:contextualSpacing/>
        <w:rPr>
          <w:rFonts w:ascii="Times New Roman" w:hAnsi="Times New Roman" w:cs="Times New Roman"/>
          <w:kern w:val="0"/>
          <w:sz w:val="24"/>
          <w:szCs w:val="24"/>
          <w14:ligatures w14:val="none"/>
        </w:rPr>
      </w:pPr>
      <w:r w:rsidRPr="00AD5513">
        <w:rPr>
          <w:rFonts w:ascii="Times New Roman" w:hAnsi="Times New Roman" w:cs="Times New Roman"/>
          <w:kern w:val="0"/>
          <w:sz w:val="24"/>
          <w:szCs w:val="24"/>
          <w14:ligatures w14:val="none"/>
        </w:rPr>
        <w:t>Coase (1960) criticized centralized government intervention to mitigate externalities.  He argued that automatic imposition of a Pigouvian “polluter pays” tax (Pigou 1920) to equate marginal social costs and benefits, placed all adjustment costs on the “polluter” and granted disproportionate benefits to the “pollutee.”</w:t>
      </w:r>
      <w:r w:rsidR="00AF151F">
        <w:rPr>
          <w:rStyle w:val="FootnoteReference"/>
          <w:rFonts w:ascii="Times New Roman" w:hAnsi="Times New Roman" w:cs="Times New Roman"/>
          <w:kern w:val="0"/>
          <w:sz w:val="24"/>
          <w:szCs w:val="24"/>
          <w14:ligatures w14:val="none"/>
        </w:rPr>
        <w:footnoteReference w:id="33"/>
      </w:r>
      <w:r w:rsidRPr="00AD5513">
        <w:rPr>
          <w:rFonts w:ascii="Times New Roman" w:hAnsi="Times New Roman" w:cs="Times New Roman"/>
          <w:kern w:val="0"/>
          <w:sz w:val="24"/>
          <w:szCs w:val="24"/>
          <w14:ligatures w14:val="none"/>
        </w:rPr>
        <w:t xml:space="preserve"> The resulting differential incentives led “pollutees” to seek unwarranted, nonoptimal outcomes, driving up costs and making marginal net social benefits </w:t>
      </w:r>
      <w:r w:rsidRPr="00AD5513">
        <w:rPr>
          <w:rFonts w:ascii="Times New Roman" w:hAnsi="Times New Roman" w:cs="Times New Roman"/>
          <w:i/>
          <w:iCs/>
          <w:kern w:val="0"/>
          <w:sz w:val="24"/>
          <w:szCs w:val="24"/>
          <w14:ligatures w14:val="none"/>
        </w:rPr>
        <w:t>negative</w:t>
      </w:r>
      <w:r w:rsidRPr="00AD5513">
        <w:rPr>
          <w:rFonts w:ascii="Times New Roman" w:hAnsi="Times New Roman" w:cs="Times New Roman"/>
          <w:kern w:val="0"/>
          <w:sz w:val="24"/>
          <w:szCs w:val="24"/>
          <w14:ligatures w14:val="none"/>
        </w:rPr>
        <w:t xml:space="preserve">, lowering aggregate welfare. Moreover, </w:t>
      </w:r>
      <w:r w:rsidR="00FA63D3">
        <w:rPr>
          <w:rFonts w:ascii="Times New Roman" w:hAnsi="Times New Roman" w:cs="Times New Roman"/>
          <w:kern w:val="0"/>
          <w:sz w:val="24"/>
          <w:szCs w:val="24"/>
          <w14:ligatures w14:val="none"/>
        </w:rPr>
        <w:t xml:space="preserve">because they did not provide </w:t>
      </w:r>
      <w:r w:rsidR="00507CC6">
        <w:rPr>
          <w:rFonts w:ascii="Times New Roman" w:hAnsi="Times New Roman" w:cs="Times New Roman"/>
          <w:kern w:val="0"/>
          <w:sz w:val="24"/>
          <w:szCs w:val="24"/>
          <w14:ligatures w14:val="none"/>
        </w:rPr>
        <w:t>property rights</w:t>
      </w:r>
      <w:r w:rsidR="00FA63D3">
        <w:rPr>
          <w:rFonts w:ascii="Times New Roman" w:hAnsi="Times New Roman" w:cs="Times New Roman"/>
          <w:kern w:val="0"/>
          <w:sz w:val="24"/>
          <w:szCs w:val="24"/>
          <w14:ligatures w14:val="none"/>
        </w:rPr>
        <w:t xml:space="preserve">, </w:t>
      </w:r>
      <w:r w:rsidRPr="00AD5513">
        <w:rPr>
          <w:rFonts w:ascii="Times New Roman" w:hAnsi="Times New Roman" w:cs="Times New Roman"/>
          <w:kern w:val="0"/>
          <w:sz w:val="24"/>
          <w:szCs w:val="24"/>
          <w14:ligatures w14:val="none"/>
        </w:rPr>
        <w:t>government policy mandates that inflict</w:t>
      </w:r>
      <w:r>
        <w:rPr>
          <w:rFonts w:ascii="Times New Roman" w:hAnsi="Times New Roman" w:cs="Times New Roman"/>
          <w:kern w:val="0"/>
          <w:sz w:val="24"/>
          <w:szCs w:val="24"/>
          <w14:ligatures w14:val="none"/>
        </w:rPr>
        <w:t>ed</w:t>
      </w:r>
      <w:r w:rsidRPr="00AD5513">
        <w:rPr>
          <w:rFonts w:ascii="Times New Roman" w:hAnsi="Times New Roman" w:cs="Times New Roman"/>
          <w:kern w:val="0"/>
          <w:sz w:val="24"/>
          <w:szCs w:val="24"/>
          <w14:ligatures w14:val="none"/>
        </w:rPr>
        <w:t xml:space="preserve"> differential costs and benefits were not tradable </w:t>
      </w:r>
      <w:r w:rsidR="00836320">
        <w:rPr>
          <w:rFonts w:ascii="Times New Roman" w:hAnsi="Times New Roman" w:cs="Times New Roman"/>
          <w:kern w:val="0"/>
          <w:sz w:val="24"/>
          <w:szCs w:val="24"/>
          <w14:ligatures w14:val="none"/>
        </w:rPr>
        <w:t>in res</w:t>
      </w:r>
      <w:r w:rsidR="00AF151F">
        <w:rPr>
          <w:rFonts w:ascii="Times New Roman" w:hAnsi="Times New Roman" w:cs="Times New Roman"/>
          <w:kern w:val="0"/>
          <w:sz w:val="24"/>
          <w:szCs w:val="24"/>
          <w14:ligatures w14:val="none"/>
        </w:rPr>
        <w:t>ponse to new information</w:t>
      </w:r>
      <w:r w:rsidRPr="00AD5513">
        <w:rPr>
          <w:rFonts w:ascii="Times New Roman" w:hAnsi="Times New Roman" w:cs="Times New Roman"/>
          <w:kern w:val="0"/>
          <w:sz w:val="24"/>
          <w:szCs w:val="24"/>
          <w14:ligatures w14:val="none"/>
        </w:rPr>
        <w:t xml:space="preserve">. </w:t>
      </w:r>
    </w:p>
    <w:p w14:paraId="5DD5C931" w14:textId="6531E91B" w:rsidR="00684D93" w:rsidRDefault="00CB22DA" w:rsidP="003E7810">
      <w:pPr>
        <w:spacing w:after="0" w:line="360" w:lineRule="auto"/>
        <w:ind w:firstLine="720"/>
        <w:rPr>
          <w:rFonts w:ascii="Times New Roman" w:hAnsi="Times New Roman" w:cs="Times New Roman"/>
          <w:color w:val="222222"/>
          <w:kern w:val="0"/>
          <w:sz w:val="24"/>
          <w:szCs w:val="24"/>
          <w14:ligatures w14:val="none"/>
        </w:rPr>
      </w:pPr>
      <w:r w:rsidRPr="00AD5513">
        <w:rPr>
          <w:rFonts w:ascii="Times New Roman" w:hAnsi="Times New Roman" w:cs="Times New Roman"/>
          <w:kern w:val="0"/>
          <w:sz w:val="24"/>
          <w:szCs w:val="24"/>
          <w14:ligatures w14:val="none"/>
        </w:rPr>
        <w:t>Coase (1960, 18, 27) contended that a</w:t>
      </w:r>
      <w:r w:rsidR="000D74B0">
        <w:rPr>
          <w:rFonts w:ascii="Times New Roman" w:hAnsi="Times New Roman" w:cs="Times New Roman"/>
          <w:kern w:val="0"/>
          <w:sz w:val="24"/>
          <w:szCs w:val="24"/>
          <w14:ligatures w14:val="none"/>
        </w:rPr>
        <w:t xml:space="preserve"> government</w:t>
      </w:r>
      <w:r w:rsidRPr="00AD5513">
        <w:rPr>
          <w:rFonts w:ascii="Times New Roman" w:hAnsi="Times New Roman" w:cs="Times New Roman"/>
          <w:kern w:val="0"/>
          <w:sz w:val="24"/>
          <w:szCs w:val="24"/>
          <w14:ligatures w14:val="none"/>
        </w:rPr>
        <w:t>-imposed remedy for externalities could be more costly than the problem. His counter was to acknowledge the reciprocal nature of externalities across polluters and pollutees, assign tradable property rights, and allow for bargaining for mitigation. With exchange, marginal willingness-to-pay would be equated with marginal willingness-to-accept among the trading partners</w:t>
      </w:r>
      <w:r w:rsidR="001561CE">
        <w:rPr>
          <w:rFonts w:ascii="Times New Roman" w:hAnsi="Times New Roman" w:cs="Times New Roman"/>
          <w:kern w:val="0"/>
          <w:sz w:val="24"/>
          <w:szCs w:val="24"/>
          <w14:ligatures w14:val="none"/>
        </w:rPr>
        <w:t xml:space="preserve">.  </w:t>
      </w:r>
      <w:r w:rsidRPr="00AD5513">
        <w:rPr>
          <w:rFonts w:ascii="Times New Roman" w:hAnsi="Times New Roman" w:cs="Times New Roman"/>
          <w:kern w:val="0"/>
          <w:sz w:val="24"/>
          <w:szCs w:val="24"/>
          <w14:ligatures w14:val="none"/>
        </w:rPr>
        <w:t xml:space="preserve">Through voluntary, open trade, private marginal costs and benefits </w:t>
      </w:r>
      <w:r w:rsidR="00781930">
        <w:rPr>
          <w:rFonts w:ascii="Times New Roman" w:hAnsi="Times New Roman" w:cs="Times New Roman"/>
          <w:kern w:val="0"/>
          <w:sz w:val="24"/>
          <w:szCs w:val="24"/>
          <w14:ligatures w14:val="none"/>
        </w:rPr>
        <w:t xml:space="preserve">would </w:t>
      </w:r>
      <w:r w:rsidRPr="00AD5513">
        <w:rPr>
          <w:rFonts w:ascii="Times New Roman" w:hAnsi="Times New Roman" w:cs="Times New Roman"/>
          <w:kern w:val="0"/>
          <w:sz w:val="24"/>
          <w:szCs w:val="24"/>
          <w14:ligatures w14:val="none"/>
        </w:rPr>
        <w:t xml:space="preserve">become equalized, </w:t>
      </w:r>
      <w:r w:rsidR="00813B26">
        <w:rPr>
          <w:rFonts w:ascii="Times New Roman" w:hAnsi="Times New Roman" w:cs="Times New Roman"/>
          <w:kern w:val="0"/>
          <w:sz w:val="24"/>
          <w:szCs w:val="24"/>
          <w14:ligatures w14:val="none"/>
        </w:rPr>
        <w:t xml:space="preserve">with </w:t>
      </w:r>
      <w:r w:rsidRPr="00AD5513">
        <w:rPr>
          <w:rFonts w:ascii="Times New Roman" w:hAnsi="Times New Roman" w:cs="Times New Roman"/>
          <w:kern w:val="0"/>
          <w:sz w:val="24"/>
          <w:szCs w:val="24"/>
          <w14:ligatures w14:val="none"/>
        </w:rPr>
        <w:t>serious imbalances in costs and benefits avoided.</w:t>
      </w:r>
      <w:r w:rsidRPr="006233AC">
        <w:rPr>
          <w:vertAlign w:val="superscript"/>
        </w:rPr>
        <w:footnoteReference w:id="34"/>
      </w:r>
      <w:r w:rsidRPr="00AD5513">
        <w:rPr>
          <w:rFonts w:ascii="Times New Roman" w:hAnsi="Times New Roman" w:cs="Times New Roman"/>
          <w:kern w:val="0"/>
          <w:sz w:val="24"/>
          <w:szCs w:val="24"/>
          <w14:ligatures w14:val="none"/>
        </w:rPr>
        <w:t xml:space="preserve"> </w:t>
      </w:r>
      <w:r w:rsidRPr="00A81722">
        <w:rPr>
          <w:rFonts w:ascii="Times New Roman" w:hAnsi="Times New Roman" w:cs="Times New Roman"/>
          <w:color w:val="222222"/>
          <w:kern w:val="0"/>
          <w:sz w:val="24"/>
          <w:szCs w:val="24"/>
          <w14:ligatures w14:val="none"/>
        </w:rPr>
        <w:t xml:space="preserve">A more optimal externality level would result (generally not zero) with all parties having a tie to negotiated outcomes. </w:t>
      </w:r>
    </w:p>
    <w:p w14:paraId="74F48423" w14:textId="19A66F82" w:rsidR="006A0B01" w:rsidRDefault="00623A01" w:rsidP="003E7810">
      <w:pPr>
        <w:spacing w:after="0" w:line="360" w:lineRule="auto"/>
        <w:ind w:firstLine="720"/>
        <w:rPr>
          <w:rFonts w:ascii="Times New Roman" w:hAnsi="Times New Roman" w:cs="Times New Roman"/>
          <w:kern w:val="0"/>
          <w:sz w:val="24"/>
          <w:szCs w:val="24"/>
          <w14:ligatures w14:val="none"/>
        </w:rPr>
      </w:pPr>
      <w:r>
        <w:rPr>
          <w:rFonts w:ascii="Times New Roman" w:hAnsi="Times New Roman" w:cs="Times New Roman"/>
          <w:color w:val="222222"/>
          <w:kern w:val="0"/>
          <w:sz w:val="24"/>
          <w:szCs w:val="24"/>
          <w14:ligatures w14:val="none"/>
        </w:rPr>
        <w:lastRenderedPageBreak/>
        <w:t>W</w:t>
      </w:r>
      <w:r w:rsidR="009C7480" w:rsidRPr="00A81722">
        <w:rPr>
          <w:rFonts w:ascii="Times New Roman" w:hAnsi="Times New Roman" w:cs="Times New Roman"/>
          <w:color w:val="222222"/>
          <w:kern w:val="0"/>
          <w:sz w:val="24"/>
          <w:szCs w:val="24"/>
          <w14:ligatures w14:val="none"/>
        </w:rPr>
        <w:t>elfare conclusions about Coasean exchange and Pigouvian regulation require</w:t>
      </w:r>
      <w:r w:rsidR="00781930">
        <w:rPr>
          <w:rFonts w:ascii="Times New Roman" w:hAnsi="Times New Roman" w:cs="Times New Roman"/>
          <w:color w:val="222222"/>
          <w:kern w:val="0"/>
          <w:sz w:val="24"/>
          <w:szCs w:val="24"/>
          <w14:ligatures w14:val="none"/>
        </w:rPr>
        <w:t>d</w:t>
      </w:r>
      <w:r w:rsidR="009C7480" w:rsidRPr="00A81722">
        <w:rPr>
          <w:rFonts w:ascii="Times New Roman" w:hAnsi="Times New Roman" w:cs="Times New Roman"/>
          <w:color w:val="222222"/>
          <w:kern w:val="0"/>
          <w:sz w:val="24"/>
          <w:szCs w:val="24"/>
          <w14:ligatures w14:val="none"/>
        </w:rPr>
        <w:t xml:space="preserve"> comparing the transaction costs and efficiency outcomes of each. It is not clear that </w:t>
      </w:r>
      <w:r w:rsidR="00781930">
        <w:rPr>
          <w:rFonts w:ascii="Times New Roman" w:hAnsi="Times New Roman" w:cs="Times New Roman"/>
          <w:color w:val="222222"/>
          <w:kern w:val="0"/>
          <w:sz w:val="24"/>
          <w:szCs w:val="24"/>
          <w14:ligatures w14:val="none"/>
        </w:rPr>
        <w:t xml:space="preserve">Pigouvian policies have lower transaction costs. </w:t>
      </w:r>
      <w:r w:rsidR="009C7480" w:rsidRPr="00A81722">
        <w:rPr>
          <w:rFonts w:ascii="Times New Roman" w:hAnsi="Times New Roman" w:cs="Times New Roman"/>
          <w:color w:val="222222"/>
          <w:kern w:val="0"/>
          <w:sz w:val="24"/>
          <w:szCs w:val="24"/>
          <w14:ligatures w14:val="none"/>
        </w:rPr>
        <w:t xml:space="preserve"> </w:t>
      </w:r>
      <w:r w:rsidR="00781930">
        <w:rPr>
          <w:rFonts w:ascii="Times New Roman" w:hAnsi="Times New Roman" w:cs="Times New Roman"/>
          <w:color w:val="222222"/>
          <w:kern w:val="0"/>
          <w:sz w:val="24"/>
          <w:szCs w:val="24"/>
          <w14:ligatures w14:val="none"/>
        </w:rPr>
        <w:t xml:space="preserve">Indeed, </w:t>
      </w:r>
      <w:r w:rsidR="009C7480" w:rsidRPr="00A81722">
        <w:rPr>
          <w:rFonts w:ascii="Times New Roman" w:hAnsi="Times New Roman" w:cs="Times New Roman"/>
          <w:color w:val="222222"/>
          <w:kern w:val="0"/>
          <w:sz w:val="24"/>
          <w:szCs w:val="24"/>
          <w14:ligatures w14:val="none"/>
        </w:rPr>
        <w:t xml:space="preserve">Coase (1960, 43) called for </w:t>
      </w:r>
      <w:r w:rsidR="00781930">
        <w:rPr>
          <w:rFonts w:ascii="Times New Roman" w:hAnsi="Times New Roman" w:cs="Times New Roman"/>
          <w:color w:val="222222"/>
          <w:kern w:val="0"/>
          <w:sz w:val="24"/>
          <w:szCs w:val="24"/>
          <w14:ligatures w14:val="none"/>
        </w:rPr>
        <w:t xml:space="preserve">comparisons </w:t>
      </w:r>
      <w:r w:rsidR="007C13AE">
        <w:rPr>
          <w:rFonts w:ascii="Times New Roman" w:hAnsi="Times New Roman" w:cs="Times New Roman"/>
          <w:color w:val="222222"/>
          <w:kern w:val="0"/>
          <w:sz w:val="24"/>
          <w:szCs w:val="24"/>
          <w14:ligatures w14:val="none"/>
        </w:rPr>
        <w:t xml:space="preserve">of </w:t>
      </w:r>
      <w:r w:rsidR="00926142">
        <w:rPr>
          <w:rFonts w:ascii="Times New Roman" w:hAnsi="Times New Roman" w:cs="Times New Roman"/>
          <w:color w:val="222222"/>
          <w:kern w:val="0"/>
          <w:sz w:val="24"/>
          <w:szCs w:val="24"/>
          <w14:ligatures w14:val="none"/>
        </w:rPr>
        <w:t xml:space="preserve">transaction costs across </w:t>
      </w:r>
      <w:r w:rsidR="007C13AE">
        <w:rPr>
          <w:rFonts w:ascii="Times New Roman" w:hAnsi="Times New Roman" w:cs="Times New Roman"/>
          <w:color w:val="222222"/>
          <w:kern w:val="0"/>
          <w:sz w:val="24"/>
          <w:szCs w:val="24"/>
          <w14:ligatures w14:val="none"/>
        </w:rPr>
        <w:t>different</w:t>
      </w:r>
      <w:r w:rsidR="005364BE">
        <w:rPr>
          <w:rFonts w:ascii="Times New Roman" w:hAnsi="Times New Roman" w:cs="Times New Roman"/>
          <w:color w:val="222222"/>
          <w:kern w:val="0"/>
          <w:sz w:val="24"/>
          <w:szCs w:val="24"/>
          <w14:ligatures w14:val="none"/>
        </w:rPr>
        <w:t xml:space="preserve"> </w:t>
      </w:r>
      <w:r w:rsidR="009C7480" w:rsidRPr="00A81722">
        <w:rPr>
          <w:rFonts w:ascii="Times New Roman" w:hAnsi="Times New Roman" w:cs="Times New Roman"/>
          <w:color w:val="222222"/>
          <w:kern w:val="0"/>
          <w:sz w:val="24"/>
          <w:szCs w:val="24"/>
          <w14:ligatures w14:val="none"/>
        </w:rPr>
        <w:t xml:space="preserve">policy recommendations.  There is no obvious setting, however, where </w:t>
      </w:r>
      <w:r w:rsidR="000D74B0">
        <w:rPr>
          <w:rFonts w:ascii="Times New Roman" w:hAnsi="Times New Roman" w:cs="Times New Roman"/>
          <w:color w:val="222222"/>
          <w:kern w:val="0"/>
          <w:sz w:val="24"/>
          <w:szCs w:val="24"/>
          <w14:ligatures w14:val="none"/>
        </w:rPr>
        <w:t xml:space="preserve">political </w:t>
      </w:r>
      <w:r w:rsidR="009C7480" w:rsidRPr="00A81722">
        <w:rPr>
          <w:rFonts w:ascii="Times New Roman" w:hAnsi="Times New Roman" w:cs="Times New Roman"/>
          <w:color w:val="222222"/>
          <w:kern w:val="0"/>
          <w:sz w:val="24"/>
          <w:szCs w:val="24"/>
          <w14:ligatures w14:val="none"/>
        </w:rPr>
        <w:t xml:space="preserve">agents engage in such </w:t>
      </w:r>
      <w:r w:rsidR="00781930">
        <w:rPr>
          <w:rFonts w:ascii="Times New Roman" w:hAnsi="Times New Roman" w:cs="Times New Roman"/>
          <w:color w:val="222222"/>
          <w:kern w:val="0"/>
          <w:sz w:val="24"/>
          <w:szCs w:val="24"/>
          <w14:ligatures w14:val="none"/>
        </w:rPr>
        <w:t xml:space="preserve">transaction cost </w:t>
      </w:r>
      <w:r w:rsidR="009C7480" w:rsidRPr="00A81722">
        <w:rPr>
          <w:rFonts w:ascii="Times New Roman" w:hAnsi="Times New Roman" w:cs="Times New Roman"/>
          <w:color w:val="222222"/>
          <w:kern w:val="0"/>
          <w:sz w:val="24"/>
          <w:szCs w:val="24"/>
          <w14:ligatures w14:val="none"/>
        </w:rPr>
        <w:t>evaluations or have an incentive to do so</w:t>
      </w:r>
      <w:r w:rsidR="000D74B0">
        <w:rPr>
          <w:rFonts w:ascii="Times New Roman" w:hAnsi="Times New Roman" w:cs="Times New Roman"/>
          <w:color w:val="222222"/>
          <w:kern w:val="0"/>
          <w:sz w:val="24"/>
          <w:szCs w:val="24"/>
          <w14:ligatures w14:val="none"/>
        </w:rPr>
        <w:t xml:space="preserve">. </w:t>
      </w:r>
      <w:r w:rsidR="007C13AE">
        <w:rPr>
          <w:rFonts w:ascii="Times New Roman" w:hAnsi="Times New Roman" w:cs="Times New Roman"/>
          <w:color w:val="222222"/>
          <w:kern w:val="0"/>
          <w:sz w:val="24"/>
          <w:szCs w:val="24"/>
          <w14:ligatures w14:val="none"/>
        </w:rPr>
        <w:t xml:space="preserve">Nor do these </w:t>
      </w:r>
      <w:r w:rsidR="00273BD8">
        <w:rPr>
          <w:rFonts w:ascii="Times New Roman" w:hAnsi="Times New Roman" w:cs="Times New Roman"/>
          <w:color w:val="222222"/>
          <w:kern w:val="0"/>
          <w:sz w:val="24"/>
          <w:szCs w:val="24"/>
          <w14:ligatures w14:val="none"/>
        </w:rPr>
        <w:t>appear in the legislative histories outlined below.</w:t>
      </w:r>
      <w:r w:rsidR="006A0B01" w:rsidRPr="00511683">
        <w:rPr>
          <w:rFonts w:ascii="Times New Roman" w:hAnsi="Times New Roman" w:cs="Times New Roman"/>
          <w:kern w:val="0"/>
          <w:sz w:val="24"/>
          <w:szCs w:val="24"/>
          <w14:ligatures w14:val="none"/>
        </w:rPr>
        <w:t xml:space="preserve"> </w:t>
      </w:r>
    </w:p>
    <w:p w14:paraId="74EFA0B0" w14:textId="39096C5F" w:rsidR="00110B67" w:rsidRPr="00511683" w:rsidRDefault="00110B67" w:rsidP="003E7810">
      <w:pPr>
        <w:spacing w:after="0" w:line="360" w:lineRule="auto"/>
        <w:ind w:firstLine="720"/>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Neither Coase nor Demsetz analyzed the public choice factors that would affect </w:t>
      </w:r>
      <w:r w:rsidR="004E0522">
        <w:rPr>
          <w:rFonts w:ascii="Times New Roman" w:hAnsi="Times New Roman" w:cs="Times New Roman"/>
          <w:kern w:val="0"/>
          <w:sz w:val="24"/>
          <w:szCs w:val="24"/>
          <w14:ligatures w14:val="none"/>
        </w:rPr>
        <w:t xml:space="preserve">government </w:t>
      </w:r>
      <w:r>
        <w:rPr>
          <w:rFonts w:ascii="Times New Roman" w:hAnsi="Times New Roman" w:cs="Times New Roman"/>
          <w:kern w:val="0"/>
          <w:sz w:val="24"/>
          <w:szCs w:val="24"/>
          <w14:ligatures w14:val="none"/>
        </w:rPr>
        <w:t>policies for property rights definition</w:t>
      </w:r>
      <w:r w:rsidR="004E0522">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distribution</w:t>
      </w:r>
      <w:r w:rsidR="004E0522">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 xml:space="preserve">and market exchange. </w:t>
      </w:r>
      <w:r w:rsidR="004E0522">
        <w:rPr>
          <w:rFonts w:ascii="Times New Roman" w:hAnsi="Times New Roman" w:cs="Times New Roman"/>
          <w:kern w:val="0"/>
          <w:sz w:val="24"/>
          <w:szCs w:val="24"/>
          <w14:ligatures w14:val="none"/>
        </w:rPr>
        <w:t>The p</w:t>
      </w:r>
      <w:r>
        <w:rPr>
          <w:rFonts w:ascii="Times New Roman" w:hAnsi="Times New Roman" w:cs="Times New Roman"/>
          <w:kern w:val="0"/>
          <w:sz w:val="24"/>
          <w:szCs w:val="24"/>
          <w14:ligatures w14:val="none"/>
        </w:rPr>
        <w:t xml:space="preserve">otential rent-seeking efforts </w:t>
      </w:r>
      <w:r w:rsidR="004E0522">
        <w:rPr>
          <w:rFonts w:ascii="Times New Roman" w:hAnsi="Times New Roman" w:cs="Times New Roman"/>
          <w:kern w:val="0"/>
          <w:sz w:val="24"/>
          <w:szCs w:val="24"/>
          <w14:ligatures w14:val="none"/>
        </w:rPr>
        <w:t xml:space="preserve">by some agents </w:t>
      </w:r>
      <w:r>
        <w:rPr>
          <w:rFonts w:ascii="Times New Roman" w:hAnsi="Times New Roman" w:cs="Times New Roman"/>
          <w:kern w:val="0"/>
          <w:sz w:val="24"/>
          <w:szCs w:val="24"/>
          <w14:ligatures w14:val="none"/>
        </w:rPr>
        <w:t>in the political arena</w:t>
      </w:r>
      <w:r w:rsidR="004E0522">
        <w:rPr>
          <w:rFonts w:ascii="Times New Roman" w:hAnsi="Times New Roman" w:cs="Times New Roman"/>
          <w:kern w:val="0"/>
          <w:sz w:val="24"/>
          <w:szCs w:val="24"/>
          <w14:ligatures w14:val="none"/>
        </w:rPr>
        <w:t>, however,</w:t>
      </w:r>
      <w:r>
        <w:rPr>
          <w:rFonts w:ascii="Times New Roman" w:hAnsi="Times New Roman" w:cs="Times New Roman"/>
          <w:kern w:val="0"/>
          <w:sz w:val="24"/>
          <w:szCs w:val="24"/>
          <w14:ligatures w14:val="none"/>
        </w:rPr>
        <w:t xml:space="preserve"> could be far more constraining on </w:t>
      </w:r>
      <w:r w:rsidR="004E0522">
        <w:rPr>
          <w:rFonts w:ascii="Times New Roman" w:hAnsi="Times New Roman" w:cs="Times New Roman"/>
          <w:kern w:val="0"/>
          <w:sz w:val="24"/>
          <w:szCs w:val="24"/>
          <w14:ligatures w14:val="none"/>
        </w:rPr>
        <w:t xml:space="preserve">observed </w:t>
      </w:r>
      <w:r>
        <w:rPr>
          <w:rFonts w:ascii="Times New Roman" w:hAnsi="Times New Roman" w:cs="Times New Roman"/>
          <w:kern w:val="0"/>
          <w:sz w:val="24"/>
          <w:szCs w:val="24"/>
          <w14:ligatures w14:val="none"/>
        </w:rPr>
        <w:t xml:space="preserve">institutions than transaction costs.  Williamson also did not explore </w:t>
      </w:r>
      <w:r w:rsidR="004E0522">
        <w:rPr>
          <w:rFonts w:ascii="Times New Roman" w:hAnsi="Times New Roman" w:cs="Times New Roman"/>
          <w:kern w:val="0"/>
          <w:sz w:val="24"/>
          <w:szCs w:val="24"/>
          <w14:ligatures w14:val="none"/>
        </w:rPr>
        <w:t xml:space="preserve">public choice </w:t>
      </w:r>
      <w:r>
        <w:rPr>
          <w:rFonts w:ascii="Times New Roman" w:hAnsi="Times New Roman" w:cs="Times New Roman"/>
          <w:kern w:val="0"/>
          <w:sz w:val="24"/>
          <w:szCs w:val="24"/>
          <w14:ligatures w14:val="none"/>
        </w:rPr>
        <w:t>because the firm and market</w:t>
      </w:r>
      <w:r w:rsidR="000E2570">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 xml:space="preserve">level </w:t>
      </w:r>
      <w:r w:rsidR="004E0522">
        <w:rPr>
          <w:rFonts w:ascii="Times New Roman" w:hAnsi="Times New Roman" w:cs="Times New Roman"/>
          <w:kern w:val="0"/>
          <w:sz w:val="24"/>
          <w:szCs w:val="24"/>
          <w14:ligatures w14:val="none"/>
        </w:rPr>
        <w:t xml:space="preserve">organizational </w:t>
      </w:r>
      <w:r>
        <w:rPr>
          <w:rFonts w:ascii="Times New Roman" w:hAnsi="Times New Roman" w:cs="Times New Roman"/>
          <w:kern w:val="0"/>
          <w:sz w:val="24"/>
          <w:szCs w:val="24"/>
          <w14:ligatures w14:val="none"/>
        </w:rPr>
        <w:t xml:space="preserve">innovations of concern to him </w:t>
      </w:r>
      <w:r w:rsidR="004E0522">
        <w:rPr>
          <w:rFonts w:ascii="Times New Roman" w:hAnsi="Times New Roman" w:cs="Times New Roman"/>
          <w:kern w:val="0"/>
          <w:sz w:val="24"/>
          <w:szCs w:val="24"/>
          <w14:ligatures w14:val="none"/>
        </w:rPr>
        <w:t xml:space="preserve">generally </w:t>
      </w:r>
      <w:r>
        <w:rPr>
          <w:rFonts w:ascii="Times New Roman" w:hAnsi="Times New Roman" w:cs="Times New Roman"/>
          <w:kern w:val="0"/>
          <w:sz w:val="24"/>
          <w:szCs w:val="24"/>
          <w14:ligatures w14:val="none"/>
        </w:rPr>
        <w:t xml:space="preserve">did not invite political </w:t>
      </w:r>
      <w:r w:rsidR="004E0522">
        <w:rPr>
          <w:rFonts w:ascii="Times New Roman" w:hAnsi="Times New Roman" w:cs="Times New Roman"/>
          <w:kern w:val="0"/>
          <w:sz w:val="24"/>
          <w:szCs w:val="24"/>
          <w14:ligatures w14:val="none"/>
        </w:rPr>
        <w:t>entry</w:t>
      </w:r>
      <w:r w:rsidR="00EC454F">
        <w:rPr>
          <w:rFonts w:ascii="Times New Roman" w:hAnsi="Times New Roman" w:cs="Times New Roman"/>
          <w:kern w:val="0"/>
          <w:sz w:val="24"/>
          <w:szCs w:val="24"/>
          <w14:ligatures w14:val="none"/>
        </w:rPr>
        <w:t>, rent-seeking,</w:t>
      </w:r>
      <w:r w:rsidR="004E0522">
        <w:rPr>
          <w:rFonts w:ascii="Times New Roman" w:hAnsi="Times New Roman" w:cs="Times New Roman"/>
          <w:kern w:val="0"/>
          <w:sz w:val="24"/>
          <w:szCs w:val="24"/>
          <w14:ligatures w14:val="none"/>
        </w:rPr>
        <w:t xml:space="preserve"> and costly </w:t>
      </w:r>
      <w:r w:rsidR="00EC454F">
        <w:rPr>
          <w:rFonts w:ascii="Times New Roman" w:hAnsi="Times New Roman" w:cs="Times New Roman"/>
          <w:kern w:val="0"/>
          <w:sz w:val="24"/>
          <w:szCs w:val="24"/>
          <w14:ligatures w14:val="none"/>
        </w:rPr>
        <w:t xml:space="preserve">institutional </w:t>
      </w:r>
      <w:r w:rsidR="004E0522">
        <w:rPr>
          <w:rFonts w:ascii="Times New Roman" w:hAnsi="Times New Roman" w:cs="Times New Roman"/>
          <w:kern w:val="0"/>
          <w:sz w:val="24"/>
          <w:szCs w:val="24"/>
          <w14:ligatures w14:val="none"/>
        </w:rPr>
        <w:t>manipulation.</w:t>
      </w:r>
    </w:p>
    <w:p w14:paraId="5BB88BCB" w14:textId="77777777" w:rsidR="00D04DCB" w:rsidRDefault="00D04DCB" w:rsidP="00C1367A">
      <w:pPr>
        <w:spacing w:after="0" w:line="240" w:lineRule="auto"/>
        <w:rPr>
          <w:rFonts w:ascii="Times New Roman" w:hAnsi="Times New Roman" w:cs="Times New Roman"/>
          <w:color w:val="222222"/>
          <w:kern w:val="0"/>
          <w:sz w:val="24"/>
          <w:szCs w:val="24"/>
          <w14:ligatures w14:val="none"/>
        </w:rPr>
      </w:pPr>
    </w:p>
    <w:p w14:paraId="09959D2A" w14:textId="4357DCA4" w:rsidR="00F07934" w:rsidRDefault="00F07934" w:rsidP="00511683">
      <w:pPr>
        <w:spacing w:after="0" w:line="240" w:lineRule="auto"/>
        <w:rPr>
          <w:rFonts w:ascii="Times New Roman" w:hAnsi="Times New Roman" w:cs="Times New Roman"/>
          <w:b/>
          <w:bCs/>
          <w:sz w:val="24"/>
          <w:szCs w:val="24"/>
        </w:rPr>
      </w:pPr>
      <w:r w:rsidRPr="00511683">
        <w:rPr>
          <w:rFonts w:ascii="Times New Roman" w:hAnsi="Times New Roman" w:cs="Times New Roman"/>
          <w:b/>
          <w:bCs/>
          <w:sz w:val="24"/>
          <w:szCs w:val="24"/>
        </w:rPr>
        <w:t>I</w:t>
      </w:r>
      <w:r w:rsidR="00113580">
        <w:rPr>
          <w:rFonts w:ascii="Times New Roman" w:hAnsi="Times New Roman" w:cs="Times New Roman"/>
          <w:b/>
          <w:bCs/>
          <w:sz w:val="24"/>
          <w:szCs w:val="24"/>
        </w:rPr>
        <w:t>II</w:t>
      </w:r>
      <w:r w:rsidRPr="00511683">
        <w:rPr>
          <w:rFonts w:ascii="Times New Roman" w:hAnsi="Times New Roman" w:cs="Times New Roman"/>
          <w:b/>
          <w:bCs/>
          <w:sz w:val="24"/>
          <w:szCs w:val="24"/>
        </w:rPr>
        <w:t xml:space="preserve">. </w:t>
      </w:r>
      <w:r w:rsidR="00CB097D">
        <w:rPr>
          <w:rFonts w:ascii="Times New Roman" w:hAnsi="Times New Roman" w:cs="Times New Roman"/>
          <w:b/>
          <w:bCs/>
          <w:sz w:val="24"/>
          <w:szCs w:val="24"/>
        </w:rPr>
        <w:t xml:space="preserve">US Environmental and Natural Resource Externality </w:t>
      </w:r>
      <w:r w:rsidRPr="00511683">
        <w:rPr>
          <w:rFonts w:ascii="Times New Roman" w:hAnsi="Times New Roman" w:cs="Times New Roman"/>
          <w:b/>
          <w:bCs/>
          <w:sz w:val="24"/>
          <w:szCs w:val="24"/>
        </w:rPr>
        <w:t>Regulation</w:t>
      </w:r>
      <w:r w:rsidR="005D0060">
        <w:rPr>
          <w:rFonts w:ascii="Times New Roman" w:hAnsi="Times New Roman" w:cs="Times New Roman"/>
          <w:b/>
          <w:bCs/>
          <w:sz w:val="24"/>
          <w:szCs w:val="24"/>
        </w:rPr>
        <w:t>:</w:t>
      </w:r>
      <w:r w:rsidR="00CB097D">
        <w:rPr>
          <w:rFonts w:ascii="Times New Roman" w:hAnsi="Times New Roman" w:cs="Times New Roman"/>
          <w:b/>
          <w:bCs/>
          <w:sz w:val="24"/>
          <w:szCs w:val="24"/>
        </w:rPr>
        <w:t xml:space="preserve"> </w:t>
      </w:r>
      <w:r w:rsidR="0018561C">
        <w:rPr>
          <w:rFonts w:ascii="Times New Roman" w:hAnsi="Times New Roman" w:cs="Times New Roman"/>
          <w:b/>
          <w:bCs/>
          <w:sz w:val="24"/>
          <w:szCs w:val="24"/>
        </w:rPr>
        <w:t>A</w:t>
      </w:r>
      <w:r w:rsidR="00353C79">
        <w:rPr>
          <w:rFonts w:ascii="Times New Roman" w:hAnsi="Times New Roman" w:cs="Times New Roman"/>
          <w:b/>
          <w:bCs/>
          <w:sz w:val="24"/>
          <w:szCs w:val="24"/>
        </w:rPr>
        <w:t>n A</w:t>
      </w:r>
      <w:r w:rsidR="0018561C">
        <w:rPr>
          <w:rFonts w:ascii="Times New Roman" w:hAnsi="Times New Roman" w:cs="Times New Roman"/>
          <w:b/>
          <w:bCs/>
          <w:sz w:val="24"/>
          <w:szCs w:val="24"/>
        </w:rPr>
        <w:t xml:space="preserve">bsence of </w:t>
      </w:r>
      <w:r w:rsidR="00CB097D">
        <w:rPr>
          <w:rFonts w:ascii="Times New Roman" w:hAnsi="Times New Roman" w:cs="Times New Roman"/>
          <w:b/>
          <w:bCs/>
          <w:sz w:val="24"/>
          <w:szCs w:val="24"/>
        </w:rPr>
        <w:t>Coase.</w:t>
      </w:r>
    </w:p>
    <w:p w14:paraId="5EE8064B" w14:textId="77777777" w:rsidR="00511683" w:rsidRPr="00511683" w:rsidRDefault="00511683" w:rsidP="00511683">
      <w:pPr>
        <w:spacing w:after="0" w:line="240" w:lineRule="auto"/>
        <w:rPr>
          <w:rFonts w:ascii="Times New Roman" w:hAnsi="Times New Roman" w:cs="Times New Roman"/>
          <w:b/>
          <w:bCs/>
          <w:sz w:val="24"/>
          <w:szCs w:val="24"/>
        </w:rPr>
      </w:pPr>
    </w:p>
    <w:p w14:paraId="00D74B6A" w14:textId="6B13E269" w:rsidR="00FC0570" w:rsidRDefault="00353C79" w:rsidP="00FC0570">
      <w:pPr>
        <w:shd w:val="clear" w:color="auto" w:fill="FFFFFF"/>
        <w:spacing w:after="0" w:line="360" w:lineRule="auto"/>
        <w:ind w:firstLine="720"/>
        <w:rPr>
          <w:rFonts w:ascii="Times New Roman" w:hAnsi="Times New Roman" w:cs="Times New Roman"/>
          <w:color w:val="222222"/>
          <w:kern w:val="0"/>
          <w:sz w:val="24"/>
          <w:szCs w:val="24"/>
          <w14:ligatures w14:val="none"/>
        </w:rPr>
      </w:pPr>
      <w:r>
        <w:rPr>
          <w:rFonts w:ascii="Times New Roman" w:hAnsi="Times New Roman" w:cs="Times New Roman"/>
          <w:color w:val="222222"/>
          <w:kern w:val="0"/>
          <w:sz w:val="24"/>
          <w:szCs w:val="24"/>
          <w14:ligatures w14:val="none"/>
        </w:rPr>
        <w:t xml:space="preserve">This section </w:t>
      </w:r>
      <w:r w:rsidR="00E15859">
        <w:rPr>
          <w:rFonts w:ascii="Times New Roman" w:hAnsi="Times New Roman" w:cs="Times New Roman"/>
          <w:color w:val="222222"/>
          <w:kern w:val="0"/>
          <w:sz w:val="24"/>
          <w:szCs w:val="24"/>
          <w14:ligatures w14:val="none"/>
        </w:rPr>
        <w:t xml:space="preserve">illustrates </w:t>
      </w:r>
      <w:r>
        <w:rPr>
          <w:rFonts w:ascii="Times New Roman" w:hAnsi="Times New Roman" w:cs="Times New Roman"/>
          <w:color w:val="222222"/>
          <w:kern w:val="0"/>
          <w:sz w:val="24"/>
          <w:szCs w:val="24"/>
          <w14:ligatures w14:val="none"/>
        </w:rPr>
        <w:t>the how the</w:t>
      </w:r>
      <w:r w:rsidR="00D83F31">
        <w:rPr>
          <w:rFonts w:ascii="Times New Roman" w:hAnsi="Times New Roman" w:cs="Times New Roman"/>
          <w:color w:val="222222"/>
          <w:kern w:val="0"/>
          <w:sz w:val="24"/>
          <w:szCs w:val="24"/>
          <w14:ligatures w14:val="none"/>
        </w:rPr>
        <w:t xml:space="preserve"> property rights and bargaining remedies to</w:t>
      </w:r>
      <w:r>
        <w:rPr>
          <w:rFonts w:ascii="Times New Roman" w:hAnsi="Times New Roman" w:cs="Times New Roman"/>
          <w:color w:val="222222"/>
          <w:kern w:val="0"/>
          <w:sz w:val="24"/>
          <w:szCs w:val="24"/>
          <w14:ligatures w14:val="none"/>
        </w:rPr>
        <w:t xml:space="preserve"> e</w:t>
      </w:r>
      <w:r w:rsidR="00511683" w:rsidRPr="00511683">
        <w:rPr>
          <w:rFonts w:ascii="Times New Roman" w:hAnsi="Times New Roman" w:cs="Times New Roman"/>
          <w:color w:val="222222"/>
          <w:kern w:val="0"/>
          <w:sz w:val="24"/>
          <w:szCs w:val="24"/>
          <w14:ligatures w14:val="none"/>
        </w:rPr>
        <w:t>xternalit</w:t>
      </w:r>
      <w:r w:rsidR="00D83F31">
        <w:rPr>
          <w:rFonts w:ascii="Times New Roman" w:hAnsi="Times New Roman" w:cs="Times New Roman"/>
          <w:color w:val="222222"/>
          <w:kern w:val="0"/>
          <w:sz w:val="24"/>
          <w:szCs w:val="24"/>
          <w14:ligatures w14:val="none"/>
        </w:rPr>
        <w:t xml:space="preserve">ies provided </w:t>
      </w:r>
      <w:r w:rsidR="00813B26">
        <w:rPr>
          <w:rFonts w:ascii="Times New Roman" w:hAnsi="Times New Roman" w:cs="Times New Roman"/>
          <w:color w:val="222222"/>
          <w:kern w:val="0"/>
          <w:sz w:val="24"/>
          <w:szCs w:val="24"/>
          <w14:ligatures w14:val="none"/>
        </w:rPr>
        <w:t xml:space="preserve">by </w:t>
      </w:r>
      <w:r w:rsidR="00511683" w:rsidRPr="00511683">
        <w:rPr>
          <w:rFonts w:ascii="Times New Roman" w:hAnsi="Times New Roman" w:cs="Times New Roman"/>
          <w:color w:val="222222"/>
          <w:kern w:val="0"/>
          <w:sz w:val="24"/>
          <w:szCs w:val="24"/>
          <w14:ligatures w14:val="none"/>
        </w:rPr>
        <w:t>Coase (1960)</w:t>
      </w:r>
      <w:r>
        <w:rPr>
          <w:rFonts w:ascii="Times New Roman" w:hAnsi="Times New Roman" w:cs="Times New Roman"/>
          <w:color w:val="222222"/>
          <w:kern w:val="0"/>
          <w:sz w:val="24"/>
          <w:szCs w:val="24"/>
          <w14:ligatures w14:val="none"/>
        </w:rPr>
        <w:t xml:space="preserve"> ha</w:t>
      </w:r>
      <w:r w:rsidR="00D83F31">
        <w:rPr>
          <w:rFonts w:ascii="Times New Roman" w:hAnsi="Times New Roman" w:cs="Times New Roman"/>
          <w:color w:val="222222"/>
          <w:kern w:val="0"/>
          <w:sz w:val="24"/>
          <w:szCs w:val="24"/>
          <w14:ligatures w14:val="none"/>
        </w:rPr>
        <w:t xml:space="preserve">ve </w:t>
      </w:r>
      <w:r w:rsidR="00BC5CDA">
        <w:rPr>
          <w:rFonts w:ascii="Times New Roman" w:hAnsi="Times New Roman" w:cs="Times New Roman"/>
          <w:color w:val="222222"/>
          <w:kern w:val="0"/>
          <w:sz w:val="24"/>
          <w:szCs w:val="24"/>
          <w14:ligatures w14:val="none"/>
        </w:rPr>
        <w:t xml:space="preserve">not been </w:t>
      </w:r>
      <w:r w:rsidR="00D83F31">
        <w:rPr>
          <w:rFonts w:ascii="Times New Roman" w:hAnsi="Times New Roman" w:cs="Times New Roman"/>
          <w:color w:val="222222"/>
          <w:kern w:val="0"/>
          <w:sz w:val="24"/>
          <w:szCs w:val="24"/>
          <w14:ligatures w14:val="none"/>
        </w:rPr>
        <w:t xml:space="preserve">at the forefront of </w:t>
      </w:r>
      <w:r>
        <w:rPr>
          <w:rFonts w:ascii="Times New Roman" w:hAnsi="Times New Roman" w:cs="Times New Roman"/>
          <w:color w:val="222222"/>
          <w:kern w:val="0"/>
          <w:sz w:val="24"/>
          <w:szCs w:val="24"/>
          <w14:ligatures w14:val="none"/>
        </w:rPr>
        <w:t>US environmental and natural resource policies</w:t>
      </w:r>
      <w:r w:rsidR="00511683" w:rsidRPr="00511683">
        <w:rPr>
          <w:rFonts w:ascii="Times New Roman" w:hAnsi="Times New Roman" w:cs="Times New Roman"/>
          <w:color w:val="222222"/>
          <w:kern w:val="0"/>
          <w:sz w:val="24"/>
          <w:szCs w:val="24"/>
          <w14:ligatures w14:val="none"/>
        </w:rPr>
        <w:t xml:space="preserve">. </w:t>
      </w:r>
      <w:r w:rsidR="007516D2">
        <w:rPr>
          <w:rFonts w:ascii="Times New Roman" w:hAnsi="Times New Roman" w:cs="Times New Roman"/>
          <w:color w:val="222222"/>
          <w:kern w:val="0"/>
          <w:sz w:val="24"/>
          <w:szCs w:val="24"/>
          <w14:ligatures w14:val="none"/>
        </w:rPr>
        <w:t>R</w:t>
      </w:r>
      <w:r w:rsidR="0047598F">
        <w:rPr>
          <w:rFonts w:ascii="Times New Roman" w:hAnsi="Times New Roman" w:cs="Times New Roman"/>
          <w:color w:val="222222"/>
          <w:kern w:val="0"/>
          <w:sz w:val="24"/>
          <w:szCs w:val="24"/>
          <w14:ligatures w14:val="none"/>
        </w:rPr>
        <w:t>ent-seeking, not t</w:t>
      </w:r>
      <w:r w:rsidR="00E15859">
        <w:rPr>
          <w:rFonts w:ascii="Times New Roman" w:hAnsi="Times New Roman" w:cs="Times New Roman"/>
          <w:color w:val="222222"/>
          <w:kern w:val="0"/>
          <w:sz w:val="24"/>
          <w:szCs w:val="24"/>
          <w14:ligatures w14:val="none"/>
        </w:rPr>
        <w:t>ransaction costs</w:t>
      </w:r>
      <w:r w:rsidR="0047598F">
        <w:rPr>
          <w:rFonts w:ascii="Times New Roman" w:hAnsi="Times New Roman" w:cs="Times New Roman"/>
          <w:color w:val="222222"/>
          <w:kern w:val="0"/>
          <w:sz w:val="24"/>
          <w:szCs w:val="24"/>
          <w14:ligatures w14:val="none"/>
        </w:rPr>
        <w:t xml:space="preserve">, </w:t>
      </w:r>
      <w:r w:rsidR="00D83F31">
        <w:rPr>
          <w:rFonts w:ascii="Times New Roman" w:hAnsi="Times New Roman" w:cs="Times New Roman"/>
          <w:color w:val="222222"/>
          <w:kern w:val="0"/>
          <w:sz w:val="24"/>
          <w:szCs w:val="24"/>
          <w14:ligatures w14:val="none"/>
        </w:rPr>
        <w:t xml:space="preserve">are </w:t>
      </w:r>
      <w:r w:rsidR="00E15859">
        <w:rPr>
          <w:rFonts w:ascii="Times New Roman" w:hAnsi="Times New Roman" w:cs="Times New Roman"/>
          <w:color w:val="222222"/>
          <w:kern w:val="0"/>
          <w:sz w:val="24"/>
          <w:szCs w:val="24"/>
          <w14:ligatures w14:val="none"/>
        </w:rPr>
        <w:t xml:space="preserve">the </w:t>
      </w:r>
      <w:r w:rsidR="00BC0D2E">
        <w:rPr>
          <w:rFonts w:ascii="Times New Roman" w:hAnsi="Times New Roman" w:cs="Times New Roman"/>
          <w:color w:val="222222"/>
          <w:kern w:val="0"/>
          <w:sz w:val="24"/>
          <w:szCs w:val="24"/>
          <w14:ligatures w14:val="none"/>
        </w:rPr>
        <w:t>pri</w:t>
      </w:r>
      <w:r w:rsidR="00813B26">
        <w:rPr>
          <w:rFonts w:ascii="Times New Roman" w:hAnsi="Times New Roman" w:cs="Times New Roman"/>
          <w:color w:val="222222"/>
          <w:kern w:val="0"/>
          <w:sz w:val="24"/>
          <w:szCs w:val="24"/>
          <w14:ligatures w14:val="none"/>
        </w:rPr>
        <w:t xml:space="preserve">ncipal reasons. </w:t>
      </w:r>
      <w:r w:rsidR="00D83F31">
        <w:rPr>
          <w:rFonts w:ascii="Times New Roman" w:hAnsi="Times New Roman" w:cs="Times New Roman"/>
          <w:color w:val="222222"/>
          <w:kern w:val="0"/>
          <w:sz w:val="24"/>
          <w:szCs w:val="24"/>
          <w14:ligatures w14:val="none"/>
        </w:rPr>
        <w:t xml:space="preserve"> </w:t>
      </w:r>
      <w:r w:rsidR="00E15859">
        <w:rPr>
          <w:rFonts w:ascii="Times New Roman" w:hAnsi="Times New Roman" w:cs="Times New Roman"/>
          <w:color w:val="222222"/>
          <w:kern w:val="0"/>
          <w:sz w:val="24"/>
          <w:szCs w:val="24"/>
          <w14:ligatures w14:val="none"/>
        </w:rPr>
        <w:t xml:space="preserve"> </w:t>
      </w:r>
      <w:bookmarkStart w:id="2" w:name="_Hlk168650712"/>
    </w:p>
    <w:bookmarkEnd w:id="2"/>
    <w:p w14:paraId="2AF8190E" w14:textId="148A17F1" w:rsidR="00E15859" w:rsidRDefault="00FC0570" w:rsidP="00E15859">
      <w:pPr>
        <w:shd w:val="clear" w:color="auto" w:fill="FFFFFF"/>
        <w:spacing w:after="0" w:line="360" w:lineRule="auto"/>
        <w:ind w:firstLine="720"/>
        <w:rPr>
          <w:rFonts w:ascii="Times New Roman" w:hAnsi="Times New Roman" w:cs="Times New Roman"/>
          <w:color w:val="222222"/>
          <w:kern w:val="0"/>
          <w:sz w:val="24"/>
          <w:szCs w:val="24"/>
          <w14:ligatures w14:val="none"/>
        </w:rPr>
      </w:pPr>
      <w:r w:rsidRPr="00511683">
        <w:rPr>
          <w:rFonts w:ascii="Times New Roman" w:hAnsi="Times New Roman" w:cs="Times New Roman"/>
          <w:color w:val="222222"/>
          <w:kern w:val="0"/>
          <w:sz w:val="24"/>
          <w:szCs w:val="24"/>
          <w14:ligatures w14:val="none"/>
        </w:rPr>
        <w:t xml:space="preserve">Table 1 lists </w:t>
      </w:r>
      <w:r>
        <w:rPr>
          <w:rFonts w:ascii="Times New Roman" w:hAnsi="Times New Roman" w:cs="Times New Roman"/>
          <w:color w:val="222222"/>
          <w:kern w:val="0"/>
          <w:sz w:val="24"/>
          <w:szCs w:val="24"/>
          <w14:ligatures w14:val="none"/>
        </w:rPr>
        <w:t xml:space="preserve">the </w:t>
      </w:r>
      <w:r w:rsidRPr="00511683">
        <w:rPr>
          <w:rFonts w:ascii="Times New Roman" w:hAnsi="Times New Roman" w:cs="Times New Roman"/>
          <w:color w:val="222222"/>
          <w:kern w:val="0"/>
          <w:sz w:val="24"/>
          <w:szCs w:val="24"/>
          <w14:ligatures w14:val="none"/>
        </w:rPr>
        <w:t>major US federal government laws</w:t>
      </w:r>
      <w:r>
        <w:rPr>
          <w:rFonts w:ascii="Times New Roman" w:hAnsi="Times New Roman" w:cs="Times New Roman"/>
          <w:color w:val="222222"/>
          <w:kern w:val="0"/>
          <w:sz w:val="24"/>
          <w:szCs w:val="24"/>
          <w14:ligatures w14:val="none"/>
        </w:rPr>
        <w:t xml:space="preserve"> enacted since 1970.</w:t>
      </w:r>
      <w:r w:rsidRPr="00511683">
        <w:rPr>
          <w:rFonts w:ascii="Times New Roman" w:hAnsi="Times New Roman" w:cs="Times New Roman"/>
          <w:color w:val="222222"/>
          <w:kern w:val="0"/>
          <w:sz w:val="24"/>
          <w:szCs w:val="24"/>
          <w:vertAlign w:val="superscript"/>
          <w14:ligatures w14:val="none"/>
        </w:rPr>
        <w:footnoteReference w:id="35"/>
      </w:r>
      <w:r w:rsidRPr="00511683">
        <w:rPr>
          <w:rFonts w:ascii="Times New Roman" w:hAnsi="Times New Roman" w:cs="Times New Roman"/>
          <w:color w:val="222222"/>
          <w:kern w:val="0"/>
          <w:sz w:val="24"/>
          <w:szCs w:val="24"/>
          <w14:ligatures w14:val="none"/>
        </w:rPr>
        <w:t xml:space="preserve"> </w:t>
      </w:r>
      <w:r>
        <w:rPr>
          <w:rFonts w:ascii="Times New Roman" w:hAnsi="Times New Roman" w:cs="Times New Roman"/>
          <w:color w:val="222222"/>
          <w:kern w:val="0"/>
          <w:sz w:val="24"/>
          <w:szCs w:val="24"/>
          <w14:ligatures w14:val="none"/>
        </w:rPr>
        <w:t xml:space="preserve"> None are </w:t>
      </w:r>
      <w:r w:rsidR="00113580">
        <w:rPr>
          <w:rFonts w:ascii="Times New Roman" w:hAnsi="Times New Roman" w:cs="Times New Roman"/>
          <w:color w:val="222222"/>
          <w:kern w:val="0"/>
          <w:sz w:val="24"/>
          <w:szCs w:val="24"/>
          <w14:ligatures w14:val="none"/>
        </w:rPr>
        <w:t>obviously</w:t>
      </w:r>
      <w:r>
        <w:rPr>
          <w:rFonts w:ascii="Times New Roman" w:hAnsi="Times New Roman" w:cs="Times New Roman"/>
          <w:color w:val="222222"/>
          <w:kern w:val="0"/>
          <w:sz w:val="24"/>
          <w:szCs w:val="24"/>
          <w14:ligatures w14:val="none"/>
        </w:rPr>
        <w:t xml:space="preserve"> Coasean. Although there are some authorized Coasean exchanges</w:t>
      </w:r>
      <w:r w:rsidR="00113580">
        <w:rPr>
          <w:rFonts w:ascii="Times New Roman" w:hAnsi="Times New Roman" w:cs="Times New Roman"/>
          <w:color w:val="222222"/>
          <w:kern w:val="0"/>
          <w:sz w:val="24"/>
          <w:szCs w:val="24"/>
          <w14:ligatures w14:val="none"/>
        </w:rPr>
        <w:t>,</w:t>
      </w:r>
      <w:r>
        <w:rPr>
          <w:rFonts w:ascii="Times New Roman" w:hAnsi="Times New Roman" w:cs="Times New Roman"/>
          <w:color w:val="222222"/>
          <w:kern w:val="0"/>
          <w:sz w:val="24"/>
          <w:szCs w:val="24"/>
          <w14:ligatures w14:val="none"/>
        </w:rPr>
        <w:t xml:space="preserve"> especially well after adoption, t</w:t>
      </w:r>
      <w:r w:rsidRPr="00511683">
        <w:rPr>
          <w:rFonts w:ascii="Times New Roman" w:hAnsi="Times New Roman" w:cs="Times New Roman"/>
          <w:kern w:val="0"/>
          <w:sz w:val="24"/>
          <w:szCs w:val="24"/>
          <w14:ligatures w14:val="none"/>
        </w:rPr>
        <w:t xml:space="preserve">hey </w:t>
      </w:r>
      <w:r>
        <w:rPr>
          <w:rFonts w:ascii="Times New Roman" w:hAnsi="Times New Roman" w:cs="Times New Roman"/>
          <w:kern w:val="0"/>
          <w:sz w:val="24"/>
          <w:szCs w:val="24"/>
          <w14:ligatures w14:val="none"/>
        </w:rPr>
        <w:t>are</w:t>
      </w:r>
      <w:r w:rsidRPr="00511683">
        <w:rPr>
          <w:rFonts w:ascii="Times New Roman" w:hAnsi="Times New Roman" w:cs="Times New Roman"/>
          <w:kern w:val="0"/>
          <w:sz w:val="24"/>
          <w:szCs w:val="24"/>
          <w14:ligatures w14:val="none"/>
        </w:rPr>
        <w:t xml:space="preserve"> not the main thrust of the laws</w:t>
      </w:r>
      <w:r>
        <w:rPr>
          <w:rFonts w:ascii="Times New Roman" w:hAnsi="Times New Roman" w:cs="Times New Roman"/>
          <w:kern w:val="0"/>
          <w:sz w:val="24"/>
          <w:szCs w:val="24"/>
          <w14:ligatures w14:val="none"/>
        </w:rPr>
        <w:t xml:space="preserve">, which </w:t>
      </w:r>
      <w:r w:rsidR="00507CC6">
        <w:rPr>
          <w:rFonts w:ascii="Times New Roman" w:hAnsi="Times New Roman" w:cs="Times New Roman"/>
          <w:kern w:val="0"/>
          <w:sz w:val="24"/>
          <w:szCs w:val="24"/>
          <w14:ligatures w14:val="none"/>
        </w:rPr>
        <w:t>are primarily</w:t>
      </w:r>
      <w:r>
        <w:rPr>
          <w:rFonts w:ascii="Times New Roman" w:hAnsi="Times New Roman" w:cs="Times New Roman"/>
          <w:kern w:val="0"/>
          <w:sz w:val="24"/>
          <w:szCs w:val="24"/>
          <w14:ligatures w14:val="none"/>
        </w:rPr>
        <w:t xml:space="preserve"> Pigouvian</w:t>
      </w:r>
      <w:r w:rsidRPr="00511683">
        <w:rPr>
          <w:rFonts w:ascii="Times New Roman" w:hAnsi="Times New Roman" w:cs="Times New Roman"/>
          <w:kern w:val="0"/>
          <w:sz w:val="24"/>
          <w:szCs w:val="24"/>
          <w14:ligatures w14:val="none"/>
        </w:rPr>
        <w:t>.</w:t>
      </w:r>
      <w:r w:rsidRPr="00511683">
        <w:rPr>
          <w:rFonts w:ascii="Times New Roman" w:eastAsia="Times New Roman" w:hAnsi="Times New Roman" w:cs="Times New Roman"/>
          <w:color w:val="1B1B1B"/>
          <w:kern w:val="0"/>
          <w:sz w:val="24"/>
          <w:szCs w:val="24"/>
          <w14:ligatures w14:val="none"/>
        </w:rPr>
        <w:t xml:space="preserve"> </w:t>
      </w:r>
      <w:r>
        <w:rPr>
          <w:rFonts w:ascii="Times New Roman" w:eastAsia="Times New Roman" w:hAnsi="Times New Roman" w:cs="Times New Roman"/>
          <w:color w:val="1B1B1B"/>
          <w:kern w:val="0"/>
          <w:sz w:val="24"/>
          <w:szCs w:val="24"/>
          <w14:ligatures w14:val="none"/>
        </w:rPr>
        <w:t xml:space="preserve">In at least one case, </w:t>
      </w:r>
      <w:r w:rsidR="00A87117">
        <w:rPr>
          <w:rFonts w:ascii="Times New Roman" w:eastAsia="Times New Roman" w:hAnsi="Times New Roman" w:cs="Times New Roman"/>
          <w:color w:val="1B1B1B"/>
          <w:kern w:val="0"/>
          <w:sz w:val="24"/>
          <w:szCs w:val="24"/>
          <w14:ligatures w14:val="none"/>
        </w:rPr>
        <w:t xml:space="preserve">the Endangered Species Act, </w:t>
      </w:r>
      <w:r>
        <w:rPr>
          <w:rFonts w:ascii="Times New Roman" w:eastAsia="Times New Roman" w:hAnsi="Times New Roman" w:cs="Times New Roman"/>
          <w:color w:val="1B1B1B"/>
          <w:kern w:val="0"/>
          <w:sz w:val="24"/>
          <w:szCs w:val="24"/>
          <w14:ligatures w14:val="none"/>
        </w:rPr>
        <w:t xml:space="preserve">a preexisting Coasean </w:t>
      </w:r>
      <w:r w:rsidR="00507CC6">
        <w:rPr>
          <w:rFonts w:ascii="Times New Roman" w:eastAsia="Times New Roman" w:hAnsi="Times New Roman" w:cs="Times New Roman"/>
          <w:color w:val="1B1B1B"/>
          <w:kern w:val="0"/>
          <w:sz w:val="24"/>
          <w:szCs w:val="24"/>
          <w14:ligatures w14:val="none"/>
        </w:rPr>
        <w:t>approach,</w:t>
      </w:r>
      <w:r>
        <w:rPr>
          <w:rFonts w:ascii="Times New Roman" w:eastAsia="Times New Roman" w:hAnsi="Times New Roman" w:cs="Times New Roman"/>
          <w:color w:val="1B1B1B"/>
          <w:kern w:val="0"/>
          <w:sz w:val="24"/>
          <w:szCs w:val="24"/>
          <w14:ligatures w14:val="none"/>
        </w:rPr>
        <w:t xml:space="preserve"> was rejected for Pigouvian mandates.</w:t>
      </w:r>
    </w:p>
    <w:p w14:paraId="2E67B5D9" w14:textId="77777777" w:rsidR="00BC5CDA" w:rsidRDefault="00BC5CDA" w:rsidP="00BC5CDA">
      <w:pPr>
        <w:spacing w:after="0" w:line="240" w:lineRule="auto"/>
        <w:rPr>
          <w:rFonts w:ascii="Times New Roman" w:hAnsi="Times New Roman" w:cs="Times New Roman"/>
          <w:b/>
          <w:bCs/>
          <w:color w:val="222222"/>
          <w:kern w:val="0"/>
          <w:sz w:val="24"/>
          <w:szCs w:val="24"/>
          <w14:ligatures w14:val="none"/>
        </w:rPr>
      </w:pPr>
    </w:p>
    <w:p w14:paraId="6570C39D" w14:textId="5BFD028B" w:rsidR="00BC5CDA" w:rsidRDefault="00BC5CDA" w:rsidP="00E15859">
      <w:pPr>
        <w:spacing w:after="0" w:line="360" w:lineRule="auto"/>
        <w:ind w:firstLine="720"/>
        <w:jc w:val="center"/>
        <w:rPr>
          <w:rFonts w:ascii="Times New Roman" w:hAnsi="Times New Roman" w:cs="Times New Roman"/>
          <w:color w:val="222222"/>
          <w:kern w:val="0"/>
          <w:sz w:val="24"/>
          <w:szCs w:val="24"/>
          <w14:ligatures w14:val="none"/>
        </w:rPr>
      </w:pPr>
      <w:r w:rsidRPr="00511683">
        <w:rPr>
          <w:rFonts w:ascii="Times New Roman" w:hAnsi="Times New Roman" w:cs="Times New Roman"/>
          <w:b/>
          <w:bCs/>
          <w:color w:val="222222"/>
          <w:kern w:val="0"/>
          <w:sz w:val="24"/>
          <w:szCs w:val="24"/>
          <w14:ligatures w14:val="none"/>
        </w:rPr>
        <w:t>Table 1: Major US Environmental and Natural Resource Laws</w:t>
      </w:r>
    </w:p>
    <w:p w14:paraId="425304F5" w14:textId="145780FD" w:rsidR="00BC5CDA" w:rsidRDefault="00BC5CDA" w:rsidP="00E15859">
      <w:pPr>
        <w:spacing w:after="0" w:line="240" w:lineRule="auto"/>
        <w:jc w:val="both"/>
        <w:rPr>
          <w:rFonts w:ascii="Times New Roman" w:hAnsi="Times New Roman" w:cs="Times New Roman"/>
          <w:color w:val="222222"/>
          <w:kern w:val="0"/>
          <w14:ligatures w14:val="none"/>
        </w:rPr>
      </w:pPr>
      <w:r w:rsidRPr="00E15859">
        <w:rPr>
          <w:rFonts w:ascii="Times New Roman" w:hAnsi="Times New Roman" w:cs="Times New Roman"/>
          <w:b/>
          <w:bCs/>
          <w:color w:val="222222"/>
          <w:kern w:val="0"/>
          <w:sz w:val="24"/>
          <w:szCs w:val="24"/>
          <w14:ligatures w14:val="none"/>
        </w:rPr>
        <w:t>Clean Air Act and Amendments, 1970, 1977, 1990</w:t>
      </w:r>
      <w:r w:rsidRPr="00E15859">
        <w:rPr>
          <w:rFonts w:ascii="Times New Roman" w:hAnsi="Times New Roman" w:cs="Times New Roman"/>
          <w:color w:val="222222"/>
          <w:kern w:val="0"/>
          <w14:ligatures w14:val="none"/>
        </w:rPr>
        <w:t xml:space="preserve">. </w:t>
      </w:r>
      <w:r w:rsidR="00E15859">
        <w:rPr>
          <w:rFonts w:ascii="Times New Roman" w:hAnsi="Times New Roman" w:cs="Times New Roman"/>
          <w:color w:val="222222"/>
          <w:kern w:val="0"/>
          <w14:ligatures w14:val="none"/>
        </w:rPr>
        <w:t>N</w:t>
      </w:r>
      <w:r w:rsidRPr="00E15859">
        <w:rPr>
          <w:rFonts w:ascii="Times New Roman" w:hAnsi="Times New Roman" w:cs="Times New Roman"/>
          <w:color w:val="222222"/>
          <w:kern w:val="0"/>
          <w14:ligatures w14:val="none"/>
        </w:rPr>
        <w:t>ational air quality standards</w:t>
      </w:r>
      <w:r w:rsidR="00E15859">
        <w:rPr>
          <w:rFonts w:ascii="Times New Roman" w:hAnsi="Times New Roman" w:cs="Times New Roman"/>
          <w:color w:val="222222"/>
          <w:kern w:val="0"/>
          <w14:ligatures w14:val="none"/>
        </w:rPr>
        <w:t xml:space="preserve">; </w:t>
      </w:r>
      <w:r w:rsidRPr="00E15859">
        <w:rPr>
          <w:rFonts w:ascii="Times New Roman" w:hAnsi="Times New Roman" w:cs="Times New Roman"/>
          <w:color w:val="222222"/>
          <w:kern w:val="0"/>
          <w14:ligatures w14:val="none"/>
        </w:rPr>
        <w:t>regulate stationary/mobile source emissions; automobile emission standards; prohibit significant air quality deterioration; reduce acid rain; phaseout of pollutants depleting stratospheric ozone. 42 USC 7401.</w:t>
      </w:r>
    </w:p>
    <w:p w14:paraId="7F8DEE4C" w14:textId="77777777" w:rsidR="00E15859" w:rsidRPr="00E15859" w:rsidRDefault="00E15859" w:rsidP="00E15859">
      <w:pPr>
        <w:spacing w:after="0" w:line="240" w:lineRule="auto"/>
        <w:jc w:val="both"/>
        <w:rPr>
          <w:rFonts w:ascii="Times New Roman" w:hAnsi="Times New Roman" w:cs="Times New Roman"/>
          <w:color w:val="222222"/>
          <w:kern w:val="0"/>
          <w14:ligatures w14:val="none"/>
        </w:rPr>
      </w:pPr>
    </w:p>
    <w:p w14:paraId="05F20A8B" w14:textId="02C3D6EF" w:rsidR="00BC5CDA" w:rsidRDefault="00BC5CDA" w:rsidP="00E15859">
      <w:pPr>
        <w:spacing w:after="0" w:line="240" w:lineRule="auto"/>
        <w:jc w:val="both"/>
        <w:rPr>
          <w:rFonts w:ascii="Times New Roman" w:hAnsi="Times New Roman" w:cs="Times New Roman"/>
          <w:color w:val="222222"/>
          <w:kern w:val="0"/>
          <w14:ligatures w14:val="none"/>
        </w:rPr>
      </w:pPr>
      <w:r w:rsidRPr="00E15859">
        <w:rPr>
          <w:rFonts w:ascii="Times New Roman" w:hAnsi="Times New Roman" w:cs="Times New Roman"/>
          <w:b/>
          <w:bCs/>
          <w:color w:val="222222"/>
          <w:kern w:val="0"/>
          <w:sz w:val="24"/>
          <w:szCs w:val="24"/>
          <w14:ligatures w14:val="none"/>
        </w:rPr>
        <w:t>National Environmental Policy Act, 1970</w:t>
      </w:r>
      <w:r w:rsidRPr="00E15859">
        <w:rPr>
          <w:rFonts w:ascii="Times New Roman" w:hAnsi="Times New Roman" w:cs="Times New Roman"/>
          <w:color w:val="222222"/>
          <w:kern w:val="0"/>
          <w14:ligatures w14:val="none"/>
        </w:rPr>
        <w:t>. EPA</w:t>
      </w:r>
      <w:r w:rsidR="00E15859">
        <w:rPr>
          <w:rFonts w:ascii="Times New Roman" w:hAnsi="Times New Roman" w:cs="Times New Roman"/>
          <w:color w:val="222222"/>
          <w:kern w:val="0"/>
          <w14:ligatures w14:val="none"/>
        </w:rPr>
        <w:t xml:space="preserve"> </w:t>
      </w:r>
      <w:r w:rsidRPr="00E15859">
        <w:rPr>
          <w:rFonts w:ascii="Times New Roman" w:hAnsi="Times New Roman" w:cs="Times New Roman"/>
          <w:color w:val="222222"/>
          <w:kern w:val="0"/>
          <w14:ligatures w14:val="none"/>
        </w:rPr>
        <w:t>federal enforcement agency; White House Council on Environmental Quality; environmental impact statements by federal agencies. 42 USC 4321.</w:t>
      </w:r>
    </w:p>
    <w:p w14:paraId="173176C2" w14:textId="77777777" w:rsidR="00E15859" w:rsidRPr="00E15859" w:rsidRDefault="00E15859" w:rsidP="00E15859">
      <w:pPr>
        <w:spacing w:after="0" w:line="240" w:lineRule="auto"/>
        <w:jc w:val="both"/>
        <w:rPr>
          <w:rFonts w:ascii="Times New Roman" w:hAnsi="Times New Roman" w:cs="Times New Roman"/>
          <w:color w:val="222222"/>
          <w:kern w:val="0"/>
          <w14:ligatures w14:val="none"/>
        </w:rPr>
      </w:pPr>
    </w:p>
    <w:p w14:paraId="318B1A50" w14:textId="77777777" w:rsidR="00BC5CDA" w:rsidRDefault="00BC5CDA" w:rsidP="00E15859">
      <w:pPr>
        <w:spacing w:after="0" w:line="240" w:lineRule="auto"/>
        <w:jc w:val="both"/>
        <w:rPr>
          <w:rFonts w:ascii="Times New Roman" w:hAnsi="Times New Roman" w:cs="Times New Roman"/>
          <w:color w:val="222222"/>
          <w:kern w:val="0"/>
          <w14:ligatures w14:val="none"/>
        </w:rPr>
      </w:pPr>
      <w:r w:rsidRPr="00E15859">
        <w:rPr>
          <w:rFonts w:ascii="Times New Roman" w:hAnsi="Times New Roman" w:cs="Times New Roman"/>
          <w:b/>
          <w:bCs/>
          <w:color w:val="222222"/>
          <w:kern w:val="0"/>
          <w:sz w:val="24"/>
          <w:szCs w:val="24"/>
          <w14:ligatures w14:val="none"/>
        </w:rPr>
        <w:t>Clean Water Act, 1972, 2003</w:t>
      </w:r>
      <w:r w:rsidRPr="00E15859">
        <w:rPr>
          <w:rFonts w:ascii="Times New Roman" w:hAnsi="Times New Roman" w:cs="Times New Roman"/>
          <w:b/>
          <w:bCs/>
          <w:color w:val="222222"/>
          <w:kern w:val="0"/>
          <w14:ligatures w14:val="none"/>
        </w:rPr>
        <w:t>.</w:t>
      </w:r>
      <w:r w:rsidRPr="00E15859">
        <w:rPr>
          <w:rFonts w:ascii="Times New Roman" w:hAnsi="Times New Roman" w:cs="Times New Roman"/>
          <w:color w:val="222222"/>
          <w:kern w:val="0"/>
          <w14:ligatures w14:val="none"/>
        </w:rPr>
        <w:t xml:space="preserve"> Restore US waterways as fishable and swimmable. Regulates point pollution sources; agriculture generally exempted; groundwater not covered. 33 USC1251.</w:t>
      </w:r>
    </w:p>
    <w:p w14:paraId="7110F37D" w14:textId="77777777" w:rsidR="00E15859" w:rsidRPr="00E15859" w:rsidRDefault="00E15859" w:rsidP="00E15859">
      <w:pPr>
        <w:spacing w:after="0" w:line="240" w:lineRule="auto"/>
        <w:jc w:val="both"/>
        <w:rPr>
          <w:rFonts w:ascii="Times New Roman" w:hAnsi="Times New Roman" w:cs="Times New Roman"/>
          <w:color w:val="222222"/>
          <w:kern w:val="0"/>
          <w14:ligatures w14:val="none"/>
        </w:rPr>
      </w:pPr>
    </w:p>
    <w:p w14:paraId="407D4229" w14:textId="77777777" w:rsidR="00BC5CDA" w:rsidRDefault="00BC5CDA" w:rsidP="00E15859">
      <w:pPr>
        <w:spacing w:after="0" w:line="240" w:lineRule="auto"/>
        <w:jc w:val="both"/>
        <w:rPr>
          <w:rFonts w:ascii="Times New Roman" w:hAnsi="Times New Roman" w:cs="Times New Roman"/>
          <w:kern w:val="0"/>
          <w14:ligatures w14:val="none"/>
        </w:rPr>
      </w:pPr>
      <w:r w:rsidRPr="00E15859">
        <w:rPr>
          <w:rFonts w:ascii="Times New Roman" w:hAnsi="Times New Roman" w:cs="Times New Roman"/>
          <w:b/>
          <w:bCs/>
          <w:color w:val="222222"/>
          <w:kern w:val="0"/>
          <w:sz w:val="24"/>
          <w:szCs w:val="24"/>
          <w14:ligatures w14:val="none"/>
        </w:rPr>
        <w:lastRenderedPageBreak/>
        <w:t>Federal Environmental Pesticides Control Act, 1972</w:t>
      </w:r>
      <w:r w:rsidRPr="00E15859">
        <w:rPr>
          <w:rFonts w:ascii="Times New Roman" w:hAnsi="Times New Roman" w:cs="Times New Roman"/>
          <w:b/>
          <w:bCs/>
          <w:color w:val="222222"/>
          <w:kern w:val="0"/>
          <w14:ligatures w14:val="none"/>
        </w:rPr>
        <w:t>.</w:t>
      </w:r>
      <w:r w:rsidRPr="00E15859">
        <w:rPr>
          <w:rFonts w:ascii="Times New Roman" w:hAnsi="Times New Roman" w:cs="Times New Roman"/>
          <w:color w:val="222222"/>
          <w:kern w:val="0"/>
          <w14:ligatures w14:val="none"/>
        </w:rPr>
        <w:t xml:space="preserve"> EPA regulation of pesticide use. </w:t>
      </w:r>
      <w:r w:rsidRPr="00E15859">
        <w:rPr>
          <w:rFonts w:ascii="Times New Roman" w:hAnsi="Times New Roman" w:cs="Times New Roman"/>
          <w:kern w:val="0"/>
          <w14:ligatures w14:val="none"/>
        </w:rPr>
        <w:t>7 USC135.</w:t>
      </w:r>
    </w:p>
    <w:p w14:paraId="430628A4" w14:textId="77777777" w:rsidR="00E15859" w:rsidRPr="00E15859" w:rsidRDefault="00E15859" w:rsidP="00E15859">
      <w:pPr>
        <w:spacing w:after="0" w:line="240" w:lineRule="auto"/>
        <w:jc w:val="both"/>
        <w:rPr>
          <w:rFonts w:ascii="Times New Roman" w:hAnsi="Times New Roman" w:cs="Times New Roman"/>
          <w:color w:val="222222"/>
          <w:kern w:val="0"/>
          <w14:ligatures w14:val="none"/>
        </w:rPr>
      </w:pPr>
    </w:p>
    <w:p w14:paraId="205FE33B" w14:textId="3C3DD376" w:rsidR="00BC5CDA" w:rsidRDefault="00BC5CDA" w:rsidP="00E15859">
      <w:pPr>
        <w:spacing w:after="0" w:line="240" w:lineRule="auto"/>
        <w:jc w:val="both"/>
        <w:rPr>
          <w:rFonts w:ascii="Times New Roman" w:hAnsi="Times New Roman" w:cs="Times New Roman"/>
          <w:color w:val="222222"/>
          <w:kern w:val="0"/>
          <w14:ligatures w14:val="none"/>
        </w:rPr>
      </w:pPr>
      <w:r w:rsidRPr="00E15859">
        <w:rPr>
          <w:rFonts w:ascii="Times New Roman" w:hAnsi="Times New Roman" w:cs="Times New Roman"/>
          <w:b/>
          <w:bCs/>
          <w:color w:val="222222"/>
          <w:kern w:val="0"/>
          <w:sz w:val="24"/>
          <w:szCs w:val="24"/>
          <w14:ligatures w14:val="none"/>
        </w:rPr>
        <w:t>Endangered Species Act, 1973</w:t>
      </w:r>
      <w:r w:rsidRPr="00E15859">
        <w:rPr>
          <w:rFonts w:ascii="Times New Roman" w:hAnsi="Times New Roman" w:cs="Times New Roman"/>
          <w:b/>
          <w:bCs/>
          <w:color w:val="222222"/>
          <w:kern w:val="0"/>
          <w14:ligatures w14:val="none"/>
        </w:rPr>
        <w:t xml:space="preserve">. </w:t>
      </w:r>
      <w:r w:rsidRPr="00E15859">
        <w:rPr>
          <w:rFonts w:ascii="Times New Roman" w:hAnsi="Times New Roman" w:cs="Times New Roman"/>
          <w:color w:val="222222"/>
          <w:kern w:val="0"/>
          <w14:ligatures w14:val="none"/>
        </w:rPr>
        <w:t>Protection of species threatened with extinction; strict habitat protection; ban</w:t>
      </w:r>
      <w:r w:rsidR="00F31A65">
        <w:rPr>
          <w:rFonts w:ascii="Times New Roman" w:hAnsi="Times New Roman" w:cs="Times New Roman"/>
          <w:color w:val="222222"/>
          <w:kern w:val="0"/>
          <w14:ligatures w14:val="none"/>
        </w:rPr>
        <w:t>s</w:t>
      </w:r>
      <w:r w:rsidRPr="00E15859">
        <w:rPr>
          <w:rFonts w:ascii="Times New Roman" w:hAnsi="Times New Roman" w:cs="Times New Roman"/>
          <w:color w:val="222222"/>
          <w:kern w:val="0"/>
          <w14:ligatures w14:val="none"/>
        </w:rPr>
        <w:t xml:space="preserve"> on disturbing or importing endangered species. 16 USC 1531.</w:t>
      </w:r>
    </w:p>
    <w:p w14:paraId="087A8478" w14:textId="77777777" w:rsidR="00E15859" w:rsidRPr="00E15859" w:rsidRDefault="00E15859" w:rsidP="00E15859">
      <w:pPr>
        <w:spacing w:after="0" w:line="240" w:lineRule="auto"/>
        <w:jc w:val="both"/>
        <w:rPr>
          <w:rFonts w:ascii="Times New Roman" w:hAnsi="Times New Roman" w:cs="Times New Roman"/>
          <w:color w:val="222222"/>
          <w:kern w:val="0"/>
          <w14:ligatures w14:val="none"/>
        </w:rPr>
      </w:pPr>
    </w:p>
    <w:p w14:paraId="199D1B17" w14:textId="238D626E" w:rsidR="00BC5CDA" w:rsidRDefault="00BC5CDA" w:rsidP="00E15859">
      <w:pPr>
        <w:shd w:val="clear" w:color="auto" w:fill="FFFFFF"/>
        <w:spacing w:after="0" w:line="240" w:lineRule="auto"/>
        <w:jc w:val="both"/>
        <w:rPr>
          <w:rFonts w:ascii="Times New Roman" w:hAnsi="Times New Roman" w:cs="Times New Roman"/>
          <w:color w:val="222222"/>
          <w:kern w:val="0"/>
          <w14:ligatures w14:val="none"/>
        </w:rPr>
      </w:pPr>
      <w:r w:rsidRPr="00E15859">
        <w:rPr>
          <w:rFonts w:ascii="Times New Roman" w:hAnsi="Times New Roman" w:cs="Times New Roman"/>
          <w:b/>
          <w:bCs/>
          <w:color w:val="222222"/>
          <w:kern w:val="0"/>
          <w:sz w:val="24"/>
          <w:szCs w:val="24"/>
          <w14:ligatures w14:val="none"/>
        </w:rPr>
        <w:t>Federal Land Policy and Management Act,</w:t>
      </w:r>
      <w:r w:rsidRPr="00E15859">
        <w:rPr>
          <w:rFonts w:ascii="Times New Roman" w:hAnsi="Times New Roman" w:cs="Times New Roman"/>
          <w:color w:val="222222"/>
          <w:kern w:val="0"/>
          <w:sz w:val="24"/>
          <w:szCs w:val="24"/>
          <w14:ligatures w14:val="none"/>
        </w:rPr>
        <w:t xml:space="preserve"> </w:t>
      </w:r>
      <w:r w:rsidRPr="00E15859">
        <w:rPr>
          <w:rFonts w:ascii="Times New Roman" w:hAnsi="Times New Roman" w:cs="Times New Roman"/>
          <w:b/>
          <w:bCs/>
          <w:color w:val="222222"/>
          <w:kern w:val="0"/>
          <w:sz w:val="24"/>
          <w:szCs w:val="24"/>
          <w14:ligatures w14:val="none"/>
        </w:rPr>
        <w:t>1976</w:t>
      </w:r>
      <w:r w:rsidRPr="00E15859">
        <w:rPr>
          <w:rFonts w:ascii="Times New Roman" w:hAnsi="Times New Roman" w:cs="Times New Roman"/>
          <w:b/>
          <w:bCs/>
          <w:color w:val="222222"/>
          <w:kern w:val="0"/>
          <w14:ligatures w14:val="none"/>
        </w:rPr>
        <w:t xml:space="preserve">. </w:t>
      </w:r>
      <w:r w:rsidRPr="00E15859">
        <w:rPr>
          <w:rFonts w:ascii="Times New Roman" w:hAnsi="Times New Roman" w:cs="Times New Roman"/>
          <w:color w:val="222222"/>
          <w:kern w:val="0"/>
          <w14:ligatures w14:val="none"/>
        </w:rPr>
        <w:t xml:space="preserve">Broaden mission of Bureau of Land Management as federal lands </w:t>
      </w:r>
      <w:r w:rsidR="00507CC6" w:rsidRPr="00E15859">
        <w:rPr>
          <w:rFonts w:ascii="Times New Roman" w:hAnsi="Times New Roman" w:cs="Times New Roman"/>
          <w:color w:val="222222"/>
          <w:kern w:val="0"/>
          <w14:ligatures w14:val="none"/>
        </w:rPr>
        <w:t>administrator,</w:t>
      </w:r>
      <w:r w:rsidRPr="00E15859">
        <w:rPr>
          <w:rFonts w:ascii="Times New Roman" w:hAnsi="Times New Roman" w:cs="Times New Roman"/>
          <w:color w:val="222222"/>
          <w:kern w:val="0"/>
          <w14:ligatures w14:val="none"/>
        </w:rPr>
        <w:t xml:space="preserve"> repeal most remaining homestead laws. 43 USC 35.</w:t>
      </w:r>
    </w:p>
    <w:p w14:paraId="1D2200B4" w14:textId="77777777" w:rsidR="00E15859" w:rsidRPr="00E15859" w:rsidRDefault="00E15859" w:rsidP="00E15859">
      <w:pPr>
        <w:shd w:val="clear" w:color="auto" w:fill="FFFFFF"/>
        <w:spacing w:after="0" w:line="240" w:lineRule="auto"/>
        <w:jc w:val="both"/>
        <w:rPr>
          <w:rFonts w:ascii="Times New Roman" w:hAnsi="Times New Roman" w:cs="Times New Roman"/>
          <w:color w:val="222222"/>
          <w:kern w:val="0"/>
          <w14:ligatures w14:val="none"/>
        </w:rPr>
      </w:pPr>
    </w:p>
    <w:p w14:paraId="3B24EDDD" w14:textId="0E7D667B" w:rsidR="00BC5CDA" w:rsidRDefault="00BC5CDA" w:rsidP="00E15859">
      <w:pPr>
        <w:spacing w:after="0" w:line="240" w:lineRule="auto"/>
        <w:jc w:val="both"/>
        <w:rPr>
          <w:rFonts w:ascii="Times New Roman" w:hAnsi="Times New Roman" w:cs="Times New Roman"/>
          <w:kern w:val="0"/>
          <w14:ligatures w14:val="none"/>
        </w:rPr>
      </w:pPr>
      <w:r w:rsidRPr="00E15859">
        <w:rPr>
          <w:rFonts w:ascii="Times New Roman" w:hAnsi="Times New Roman" w:cs="Times New Roman"/>
          <w:b/>
          <w:bCs/>
          <w:noProof/>
          <w:color w:val="222222"/>
          <w:kern w:val="0"/>
          <w:sz w:val="24"/>
          <w:szCs w:val="24"/>
        </w:rPr>
        <mc:AlternateContent>
          <mc:Choice Requires="wpi">
            <w:drawing>
              <wp:anchor distT="0" distB="0" distL="114300" distR="114300" simplePos="0" relativeHeight="251659264" behindDoc="0" locked="0" layoutInCell="1" allowOverlap="1" wp14:anchorId="3AE0FFF6" wp14:editId="64C85B54">
                <wp:simplePos x="0" y="0"/>
                <wp:positionH relativeFrom="column">
                  <wp:posOffset>-1175120</wp:posOffset>
                </wp:positionH>
                <wp:positionV relativeFrom="paragraph">
                  <wp:posOffset>-476550</wp:posOffset>
                </wp:positionV>
                <wp:extent cx="360" cy="360"/>
                <wp:effectExtent l="95250" t="152400" r="114300" b="152400"/>
                <wp:wrapNone/>
                <wp:docPr id="979592267" name="Ink 3"/>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252368B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96.8pt;margin-top:-46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">
                <v:imagedata r:id="rId13" o:title=""/>
              </v:shape>
            </w:pict>
          </mc:Fallback>
        </mc:AlternateContent>
      </w:r>
      <w:r w:rsidRPr="00E15859">
        <w:rPr>
          <w:rFonts w:ascii="Times New Roman" w:hAnsi="Times New Roman" w:cs="Times New Roman"/>
          <w:b/>
          <w:bCs/>
          <w:color w:val="222222"/>
          <w:kern w:val="0"/>
          <w:sz w:val="24"/>
          <w:szCs w:val="24"/>
          <w14:ligatures w14:val="none"/>
        </w:rPr>
        <w:t>National Forests Management Act, 1976</w:t>
      </w:r>
      <w:r w:rsidRPr="00E15859">
        <w:rPr>
          <w:rFonts w:ascii="Times New Roman" w:hAnsi="Times New Roman" w:cs="Times New Roman"/>
          <w:color w:val="222222"/>
          <w:kern w:val="0"/>
          <w14:ligatures w14:val="none"/>
        </w:rPr>
        <w:t xml:space="preserve">. Forest Service </w:t>
      </w:r>
      <w:r w:rsidR="00507CC6">
        <w:rPr>
          <w:rFonts w:ascii="Times New Roman" w:hAnsi="Times New Roman" w:cs="Times New Roman"/>
          <w:color w:val="222222"/>
          <w:kern w:val="0"/>
          <w14:ligatures w14:val="none"/>
        </w:rPr>
        <w:t>Lands Management</w:t>
      </w:r>
      <w:r w:rsidRPr="00E15859">
        <w:rPr>
          <w:rFonts w:ascii="Times New Roman" w:hAnsi="Times New Roman" w:cs="Times New Roman"/>
          <w:color w:val="222222"/>
          <w:kern w:val="0"/>
          <w14:ligatures w14:val="none"/>
        </w:rPr>
        <w:t xml:space="preserve">. </w:t>
      </w:r>
      <w:r w:rsidRPr="00E15859">
        <w:rPr>
          <w:rFonts w:ascii="Times New Roman" w:hAnsi="Times New Roman" w:cs="Times New Roman"/>
          <w:kern w:val="0"/>
          <w14:ligatures w14:val="none"/>
        </w:rPr>
        <w:t>16 USC 1600.</w:t>
      </w:r>
    </w:p>
    <w:p w14:paraId="55A0B485" w14:textId="77777777" w:rsidR="00E15859" w:rsidRPr="00E15859" w:rsidRDefault="00E15859" w:rsidP="00E15859">
      <w:pPr>
        <w:spacing w:after="0" w:line="240" w:lineRule="auto"/>
        <w:jc w:val="both"/>
        <w:rPr>
          <w:rFonts w:ascii="Times New Roman" w:hAnsi="Times New Roman" w:cs="Times New Roman"/>
          <w:kern w:val="0"/>
          <w14:ligatures w14:val="none"/>
        </w:rPr>
      </w:pPr>
    </w:p>
    <w:p w14:paraId="12C60D15" w14:textId="584B3A87" w:rsidR="00BC5CDA" w:rsidRDefault="00BC5CDA" w:rsidP="00E15859">
      <w:pPr>
        <w:spacing w:after="0" w:line="240" w:lineRule="auto"/>
        <w:jc w:val="both"/>
        <w:rPr>
          <w:rFonts w:ascii="Times New Roman" w:eastAsia="Times New Roman" w:hAnsi="Times New Roman" w:cs="Times New Roman"/>
          <w:color w:val="333333"/>
          <w:kern w:val="36"/>
          <w14:ligatures w14:val="none"/>
        </w:rPr>
      </w:pPr>
      <w:r w:rsidRPr="00E15859">
        <w:rPr>
          <w:rFonts w:ascii="Times New Roman" w:hAnsi="Times New Roman" w:cs="Times New Roman"/>
          <w:b/>
          <w:bCs/>
          <w:color w:val="222222"/>
          <w:kern w:val="0"/>
          <w:sz w:val="24"/>
          <w:szCs w:val="24"/>
          <w14:ligatures w14:val="none"/>
        </w:rPr>
        <w:t>Surface Mining Control and Reclamation Act, 1977</w:t>
      </w:r>
      <w:r w:rsidRPr="00E15859">
        <w:rPr>
          <w:rFonts w:ascii="Times New Roman" w:hAnsi="Times New Roman" w:cs="Times New Roman"/>
          <w:color w:val="222222"/>
          <w:kern w:val="0"/>
          <w14:ligatures w14:val="none"/>
        </w:rPr>
        <w:t xml:space="preserve">. Regulate coal mining on or near </w:t>
      </w:r>
      <w:r w:rsidR="00E15859">
        <w:rPr>
          <w:rFonts w:ascii="Times New Roman" w:hAnsi="Times New Roman" w:cs="Times New Roman"/>
          <w:color w:val="222222"/>
          <w:kern w:val="0"/>
          <w14:ligatures w14:val="none"/>
        </w:rPr>
        <w:t xml:space="preserve">certain </w:t>
      </w:r>
      <w:r w:rsidRPr="00E15859">
        <w:rPr>
          <w:rFonts w:ascii="Times New Roman" w:hAnsi="Times New Roman" w:cs="Times New Roman"/>
          <w:color w:val="222222"/>
          <w:kern w:val="0"/>
          <w14:ligatures w14:val="none"/>
        </w:rPr>
        <w:t xml:space="preserve">federal lands. </w:t>
      </w:r>
      <w:r w:rsidRPr="00E15859">
        <w:rPr>
          <w:rFonts w:ascii="Times New Roman" w:eastAsia="Times New Roman" w:hAnsi="Times New Roman" w:cs="Times New Roman"/>
          <w:color w:val="333333"/>
          <w:kern w:val="36"/>
          <w14:ligatures w14:val="none"/>
        </w:rPr>
        <w:t>30 USC. 25</w:t>
      </w:r>
      <w:r w:rsidR="00E15859">
        <w:rPr>
          <w:rFonts w:ascii="Times New Roman" w:eastAsia="Times New Roman" w:hAnsi="Times New Roman" w:cs="Times New Roman"/>
          <w:color w:val="333333"/>
          <w:kern w:val="36"/>
          <w14:ligatures w14:val="none"/>
        </w:rPr>
        <w:t>.</w:t>
      </w:r>
    </w:p>
    <w:p w14:paraId="1CD174AB" w14:textId="77777777" w:rsidR="00E15859" w:rsidRPr="00E15859" w:rsidRDefault="00E15859" w:rsidP="00E15859">
      <w:pPr>
        <w:spacing w:after="0" w:line="240" w:lineRule="auto"/>
        <w:jc w:val="both"/>
        <w:rPr>
          <w:rFonts w:ascii="Times New Roman" w:hAnsi="Times New Roman" w:cs="Times New Roman"/>
          <w:kern w:val="0"/>
          <w14:ligatures w14:val="none"/>
        </w:rPr>
      </w:pPr>
    </w:p>
    <w:p w14:paraId="52F09148" w14:textId="1EECD608" w:rsidR="00BC5CDA" w:rsidRDefault="00BC5CDA" w:rsidP="00E15859">
      <w:pPr>
        <w:spacing w:after="0" w:line="240" w:lineRule="auto"/>
        <w:jc w:val="both"/>
        <w:rPr>
          <w:rFonts w:ascii="Times New Roman" w:hAnsi="Times New Roman" w:cs="Times New Roman"/>
          <w:color w:val="222222"/>
          <w:kern w:val="0"/>
          <w14:ligatures w14:val="none"/>
        </w:rPr>
      </w:pPr>
      <w:r w:rsidRPr="00E15859">
        <w:rPr>
          <w:rFonts w:ascii="Times New Roman" w:hAnsi="Times New Roman" w:cs="Times New Roman"/>
          <w:b/>
          <w:bCs/>
          <w:color w:val="222222"/>
          <w:kern w:val="0"/>
          <w:sz w:val="24"/>
          <w:szCs w:val="24"/>
          <w14:ligatures w14:val="none"/>
        </w:rPr>
        <w:t>Magnuson-Stevens Fishery Management Act, 1976</w:t>
      </w:r>
      <w:r w:rsidRPr="00E15859">
        <w:rPr>
          <w:rFonts w:ascii="Times New Roman" w:hAnsi="Times New Roman" w:cs="Times New Roman"/>
          <w:color w:val="222222"/>
          <w:kern w:val="0"/>
          <w14:ligatures w14:val="none"/>
        </w:rPr>
        <w:t>. US fisheries within 200 miles. 16 USC 38.</w:t>
      </w:r>
    </w:p>
    <w:p w14:paraId="2C11652B" w14:textId="77777777" w:rsidR="00E15859" w:rsidRPr="00E15859" w:rsidRDefault="00E15859" w:rsidP="00E15859">
      <w:pPr>
        <w:spacing w:after="0" w:line="240" w:lineRule="auto"/>
        <w:jc w:val="both"/>
        <w:rPr>
          <w:rFonts w:ascii="Times New Roman" w:hAnsi="Times New Roman" w:cs="Times New Roman"/>
          <w:color w:val="222222"/>
          <w:kern w:val="0"/>
          <w14:ligatures w14:val="none"/>
        </w:rPr>
      </w:pPr>
    </w:p>
    <w:p w14:paraId="720248E6" w14:textId="77777777" w:rsidR="00BC5CDA" w:rsidRDefault="00BC5CDA" w:rsidP="00E15859">
      <w:pPr>
        <w:spacing w:after="0" w:line="240" w:lineRule="auto"/>
        <w:jc w:val="both"/>
        <w:rPr>
          <w:rFonts w:ascii="Times New Roman" w:hAnsi="Times New Roman" w:cs="Times New Roman"/>
          <w:color w:val="222222"/>
          <w:kern w:val="0"/>
          <w14:ligatures w14:val="none"/>
        </w:rPr>
      </w:pPr>
      <w:r w:rsidRPr="00E15859">
        <w:rPr>
          <w:rFonts w:ascii="Times New Roman" w:hAnsi="Times New Roman" w:cs="Times New Roman"/>
          <w:b/>
          <w:bCs/>
          <w:color w:val="222222"/>
          <w:kern w:val="0"/>
          <w:sz w:val="24"/>
          <w:szCs w:val="24"/>
          <w14:ligatures w14:val="none"/>
        </w:rPr>
        <w:t>Toxic Substances Control Act, 1976</w:t>
      </w:r>
      <w:r w:rsidRPr="00E15859">
        <w:rPr>
          <w:rFonts w:ascii="Times New Roman" w:hAnsi="Times New Roman" w:cs="Times New Roman"/>
          <w:color w:val="222222"/>
          <w:kern w:val="0"/>
          <w14:ligatures w14:val="none"/>
        </w:rPr>
        <w:t>. EPA regulation of certain chemical substances. 15 USC35.</w:t>
      </w:r>
    </w:p>
    <w:p w14:paraId="180F287A" w14:textId="77777777" w:rsidR="00E15859" w:rsidRPr="00E15859" w:rsidRDefault="00E15859" w:rsidP="00E15859">
      <w:pPr>
        <w:spacing w:after="0" w:line="240" w:lineRule="auto"/>
        <w:jc w:val="both"/>
        <w:rPr>
          <w:rFonts w:ascii="Times New Roman" w:hAnsi="Times New Roman" w:cs="Times New Roman"/>
          <w:color w:val="222222"/>
          <w:kern w:val="0"/>
          <w14:ligatures w14:val="none"/>
        </w:rPr>
      </w:pPr>
    </w:p>
    <w:p w14:paraId="5CB3A646" w14:textId="363DFAA2" w:rsidR="00BC5CDA" w:rsidRPr="00E15859" w:rsidRDefault="00BC5CDA" w:rsidP="00E15859">
      <w:pPr>
        <w:spacing w:after="0" w:line="240" w:lineRule="auto"/>
        <w:jc w:val="both"/>
        <w:rPr>
          <w:rFonts w:ascii="Times New Roman" w:hAnsi="Times New Roman" w:cs="Times New Roman"/>
          <w:color w:val="222222"/>
          <w:kern w:val="0"/>
          <w14:ligatures w14:val="none"/>
        </w:rPr>
      </w:pPr>
      <w:r w:rsidRPr="00E15859">
        <w:rPr>
          <w:rFonts w:ascii="Times New Roman" w:hAnsi="Times New Roman" w:cs="Times New Roman"/>
          <w:b/>
          <w:bCs/>
          <w:color w:val="222222"/>
          <w:kern w:val="0"/>
          <w:sz w:val="24"/>
          <w:szCs w:val="24"/>
          <w14:ligatures w14:val="none"/>
        </w:rPr>
        <w:t>Public Rangelands Improvement Act, 1978</w:t>
      </w:r>
      <w:r w:rsidRPr="00E15859">
        <w:rPr>
          <w:rFonts w:ascii="Times New Roman" w:hAnsi="Times New Roman" w:cs="Times New Roman"/>
          <w:color w:val="222222"/>
          <w:kern w:val="0"/>
          <w14:ligatures w14:val="none"/>
        </w:rPr>
        <w:t xml:space="preserve">. Administration of </w:t>
      </w:r>
      <w:r w:rsidR="00507CC6" w:rsidRPr="00E15859">
        <w:rPr>
          <w:rFonts w:ascii="Times New Roman" w:hAnsi="Times New Roman" w:cs="Times New Roman"/>
          <w:color w:val="222222"/>
          <w:kern w:val="0"/>
          <w14:ligatures w14:val="none"/>
        </w:rPr>
        <w:t>Government Rangelands</w:t>
      </w:r>
      <w:r w:rsidRPr="00E15859">
        <w:rPr>
          <w:rFonts w:ascii="Times New Roman" w:hAnsi="Times New Roman" w:cs="Times New Roman"/>
          <w:color w:val="222222"/>
          <w:kern w:val="0"/>
          <w14:ligatures w14:val="none"/>
        </w:rPr>
        <w:t xml:space="preserve"> 43 USC 37.</w:t>
      </w:r>
    </w:p>
    <w:p w14:paraId="72FEBC0B" w14:textId="77777777" w:rsidR="00BC5CDA" w:rsidRDefault="00BC5CDA" w:rsidP="00E15859">
      <w:pPr>
        <w:pBdr>
          <w:bottom w:val="single" w:sz="4" w:space="0" w:color="auto"/>
        </w:pBdr>
        <w:spacing w:after="0" w:line="240" w:lineRule="auto"/>
        <w:jc w:val="both"/>
        <w:rPr>
          <w:rFonts w:ascii="Times New Roman" w:hAnsi="Times New Roman" w:cs="Times New Roman"/>
          <w:color w:val="222222"/>
          <w:kern w:val="0"/>
          <w14:ligatures w14:val="none"/>
        </w:rPr>
      </w:pPr>
    </w:p>
    <w:p w14:paraId="3180F26D" w14:textId="77777777" w:rsidR="00BC5CDA" w:rsidRDefault="00BC5CDA" w:rsidP="00BC5CDA">
      <w:pPr>
        <w:shd w:val="clear" w:color="auto" w:fill="FFFFFF"/>
        <w:spacing w:after="0" w:line="360" w:lineRule="auto"/>
        <w:ind w:firstLine="720"/>
        <w:rPr>
          <w:rFonts w:ascii="Times New Roman" w:hAnsi="Times New Roman" w:cs="Times New Roman"/>
          <w:kern w:val="0"/>
          <w:sz w:val="24"/>
          <w:szCs w:val="24"/>
          <w14:ligatures w14:val="none"/>
        </w:rPr>
      </w:pPr>
    </w:p>
    <w:p w14:paraId="30EF530E" w14:textId="7C92277B" w:rsidR="00B57D30" w:rsidRDefault="005D0060" w:rsidP="00FF4E4E">
      <w:pPr>
        <w:spacing w:after="0" w:line="360" w:lineRule="auto"/>
        <w:ind w:firstLine="720"/>
        <w:rPr>
          <w:rFonts w:ascii="Times New Roman" w:eastAsia="Calibri" w:hAnsi="Times New Roman" w:cs="Times New Roman"/>
          <w:kern w:val="0"/>
          <w:sz w:val="24"/>
          <w:szCs w:val="24"/>
          <w14:ligatures w14:val="none"/>
        </w:rPr>
      </w:pPr>
      <w:r w:rsidRPr="004B27D8">
        <w:rPr>
          <w:rFonts w:ascii="Times New Roman" w:eastAsia="Times New Roman" w:hAnsi="Times New Roman" w:cs="Times New Roman"/>
          <w:color w:val="1B1B1B"/>
          <w:kern w:val="0"/>
          <w:sz w:val="24"/>
          <w:szCs w:val="24"/>
          <w14:ligatures w14:val="none"/>
        </w:rPr>
        <w:t xml:space="preserve">Congress created </w:t>
      </w:r>
      <w:r w:rsidRPr="004B27D8">
        <w:rPr>
          <w:rFonts w:ascii="Times New Roman" w:eastAsia="Calibri" w:hAnsi="Times New Roman" w:cs="Times New Roman"/>
          <w:kern w:val="0"/>
          <w:sz w:val="24"/>
          <w:szCs w:val="24"/>
          <w14:ligatures w14:val="none"/>
        </w:rPr>
        <w:t xml:space="preserve">the Environmental Protection Agency (EPA) in 1970. The EPA was assigned </w:t>
      </w:r>
      <w:r w:rsidR="00E6658B">
        <w:rPr>
          <w:rFonts w:ascii="Times New Roman" w:eastAsia="Calibri" w:hAnsi="Times New Roman" w:cs="Times New Roman"/>
          <w:kern w:val="0"/>
          <w:sz w:val="24"/>
          <w:szCs w:val="24"/>
          <w14:ligatures w14:val="none"/>
        </w:rPr>
        <w:t xml:space="preserve">broad </w:t>
      </w:r>
      <w:r w:rsidRPr="004B27D8">
        <w:rPr>
          <w:rFonts w:ascii="Times New Roman" w:eastAsia="Calibri" w:hAnsi="Times New Roman" w:cs="Times New Roman"/>
          <w:kern w:val="0"/>
          <w:sz w:val="24"/>
          <w:szCs w:val="24"/>
          <w14:ligatures w14:val="none"/>
        </w:rPr>
        <w:t xml:space="preserve">discretion and authority in coordinating and enforcing federal environmental regulations and in setting and modifying them within authorizing </w:t>
      </w:r>
      <w:r w:rsidR="00FB4CE7">
        <w:rPr>
          <w:rFonts w:ascii="Times New Roman" w:eastAsia="Calibri" w:hAnsi="Times New Roman" w:cs="Times New Roman"/>
          <w:kern w:val="0"/>
          <w:sz w:val="24"/>
          <w:szCs w:val="24"/>
          <w14:ligatures w14:val="none"/>
        </w:rPr>
        <w:t xml:space="preserve">general </w:t>
      </w:r>
      <w:r w:rsidRPr="004B27D8">
        <w:rPr>
          <w:rFonts w:ascii="Times New Roman" w:eastAsia="Calibri" w:hAnsi="Times New Roman" w:cs="Times New Roman"/>
          <w:kern w:val="0"/>
          <w:sz w:val="24"/>
          <w:szCs w:val="24"/>
          <w14:ligatures w14:val="none"/>
        </w:rPr>
        <w:t xml:space="preserve">statute provisions. The agency was to publish proposed regulations in the </w:t>
      </w:r>
      <w:r w:rsidRPr="004B27D8">
        <w:rPr>
          <w:rFonts w:ascii="Times New Roman" w:eastAsia="Calibri" w:hAnsi="Times New Roman" w:cs="Times New Roman"/>
          <w:i/>
          <w:iCs/>
          <w:kern w:val="0"/>
          <w:sz w:val="24"/>
          <w:szCs w:val="24"/>
          <w14:ligatures w14:val="none"/>
        </w:rPr>
        <w:t>Federal Register</w:t>
      </w:r>
      <w:r w:rsidRPr="004B27D8">
        <w:rPr>
          <w:rFonts w:ascii="Times New Roman" w:eastAsia="Calibri" w:hAnsi="Times New Roman" w:cs="Times New Roman"/>
          <w:kern w:val="0"/>
          <w:sz w:val="24"/>
          <w:szCs w:val="24"/>
          <w14:ligatures w14:val="none"/>
        </w:rPr>
        <w:t xml:space="preserve"> prior to promulgating them. Advocates or opponents could submit comments or file for review in federal courts.  By design, the arrangement was very reactive. Under the statutes, the EPA (or federal agencies, such as the Fish and Wildlife Service (FWS) or </w:t>
      </w:r>
      <w:r w:rsidR="002E398F">
        <w:rPr>
          <w:rFonts w:ascii="Times New Roman" w:hAnsi="Times New Roman" w:cs="Times New Roman"/>
          <w:sz w:val="24"/>
          <w:szCs w:val="24"/>
        </w:rPr>
        <w:t>National Oceanic and Atmospheric Administration</w:t>
      </w:r>
      <w:r w:rsidR="002E398F" w:rsidRPr="004B27D8">
        <w:rPr>
          <w:rFonts w:ascii="Times New Roman" w:eastAsia="Calibri" w:hAnsi="Times New Roman" w:cs="Times New Roman"/>
          <w:kern w:val="0"/>
          <w:sz w:val="24"/>
          <w:szCs w:val="24"/>
          <w14:ligatures w14:val="none"/>
        </w:rPr>
        <w:t xml:space="preserve"> </w:t>
      </w:r>
      <w:r w:rsidR="002E398F">
        <w:rPr>
          <w:rFonts w:ascii="Times New Roman" w:eastAsia="Calibri" w:hAnsi="Times New Roman" w:cs="Times New Roman"/>
          <w:kern w:val="0"/>
          <w:sz w:val="24"/>
          <w:szCs w:val="24"/>
          <w14:ligatures w14:val="none"/>
        </w:rPr>
        <w:t>(</w:t>
      </w:r>
      <w:r w:rsidRPr="004B27D8">
        <w:rPr>
          <w:rFonts w:ascii="Times New Roman" w:eastAsia="Calibri" w:hAnsi="Times New Roman" w:cs="Times New Roman"/>
          <w:kern w:val="0"/>
          <w:sz w:val="24"/>
          <w:szCs w:val="24"/>
          <w14:ligatures w14:val="none"/>
        </w:rPr>
        <w:t xml:space="preserve">NOAA) would designate regulations and require that firms or other regulated parties adjust to them within determined timelines. </w:t>
      </w:r>
    </w:p>
    <w:p w14:paraId="4A246924" w14:textId="329B57B4" w:rsidR="00FF4E4E" w:rsidRDefault="00FF4E4E" w:rsidP="00FF4E4E">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To understand the role of rent</w:t>
      </w:r>
      <w:r w:rsidR="00E6658B">
        <w:rPr>
          <w:rFonts w:ascii="Times New Roman" w:hAnsi="Times New Roman" w:cs="Times New Roman"/>
          <w:sz w:val="24"/>
          <w:szCs w:val="24"/>
        </w:rPr>
        <w:t xml:space="preserve"> </w:t>
      </w:r>
      <w:r>
        <w:rPr>
          <w:rFonts w:ascii="Times New Roman" w:hAnsi="Times New Roman" w:cs="Times New Roman"/>
          <w:sz w:val="24"/>
          <w:szCs w:val="24"/>
        </w:rPr>
        <w:t xml:space="preserve">seeking in externality mitigation, three empirical cases are provided in detail. The first is the Clean Air Act Amendments of 1970, 1977, and 1990.  The second is the Magnuson-Stevens Fishery Act of 1976. The third is the Endangered Species Act of 1973 (ESA).  </w:t>
      </w:r>
    </w:p>
    <w:p w14:paraId="67AAAE08" w14:textId="77777777" w:rsidR="00591AE8" w:rsidRDefault="00591AE8" w:rsidP="00591AE8">
      <w:pPr>
        <w:spacing w:after="0" w:line="360" w:lineRule="auto"/>
        <w:ind w:firstLine="720"/>
        <w:rPr>
          <w:rFonts w:ascii="Times New Roman" w:hAnsi="Times New Roman" w:cs="Times New Roman"/>
          <w:sz w:val="24"/>
          <w:szCs w:val="24"/>
        </w:rPr>
      </w:pPr>
    </w:p>
    <w:p w14:paraId="68A42006" w14:textId="5DC9F7C9" w:rsidR="005D0060" w:rsidRDefault="005D0060" w:rsidP="005363BF">
      <w:pPr>
        <w:pStyle w:val="ListParagraph"/>
        <w:numPr>
          <w:ilvl w:val="0"/>
          <w:numId w:val="19"/>
        </w:numPr>
        <w:spacing w:after="0" w:line="240" w:lineRule="auto"/>
        <w:ind w:left="720"/>
        <w:rPr>
          <w:rFonts w:ascii="Times New Roman" w:hAnsi="Times New Roman" w:cs="Times New Roman"/>
          <w:b/>
          <w:bCs/>
          <w:sz w:val="24"/>
          <w:szCs w:val="24"/>
        </w:rPr>
      </w:pPr>
      <w:r w:rsidRPr="00A37CF5">
        <w:rPr>
          <w:rFonts w:ascii="Times New Roman" w:hAnsi="Times New Roman" w:cs="Times New Roman"/>
          <w:b/>
          <w:bCs/>
          <w:sz w:val="24"/>
          <w:szCs w:val="24"/>
        </w:rPr>
        <w:t xml:space="preserve">Rent Seeking in Air Pollution Control: The Clean Air Act Amendments of 1970, </w:t>
      </w:r>
      <w:r w:rsidR="005363BF">
        <w:rPr>
          <w:rFonts w:ascii="Times New Roman" w:hAnsi="Times New Roman" w:cs="Times New Roman"/>
          <w:b/>
          <w:bCs/>
          <w:sz w:val="24"/>
          <w:szCs w:val="24"/>
        </w:rPr>
        <w:t>1</w:t>
      </w:r>
      <w:r w:rsidRPr="00A37CF5">
        <w:rPr>
          <w:rFonts w:ascii="Times New Roman" w:hAnsi="Times New Roman" w:cs="Times New Roman"/>
          <w:b/>
          <w:bCs/>
          <w:sz w:val="24"/>
          <w:szCs w:val="24"/>
        </w:rPr>
        <w:t>977, and 1990.</w:t>
      </w:r>
    </w:p>
    <w:p w14:paraId="74004397" w14:textId="77777777" w:rsidR="00A37CF5" w:rsidRPr="00A37CF5" w:rsidRDefault="00A37CF5" w:rsidP="00A37CF5">
      <w:pPr>
        <w:pStyle w:val="ListParagraph"/>
        <w:spacing w:after="0" w:line="240" w:lineRule="auto"/>
        <w:ind w:left="0"/>
        <w:rPr>
          <w:rFonts w:ascii="Times New Roman" w:hAnsi="Times New Roman" w:cs="Times New Roman"/>
          <w:b/>
          <w:bCs/>
          <w:sz w:val="24"/>
          <w:szCs w:val="24"/>
        </w:rPr>
      </w:pPr>
    </w:p>
    <w:p w14:paraId="138F2FA3" w14:textId="0B2E9313" w:rsidR="00163026" w:rsidRDefault="00D234F9" w:rsidP="00163026">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T</w:t>
      </w:r>
      <w:r w:rsidRPr="00361F34">
        <w:rPr>
          <w:rFonts w:ascii="Times New Roman" w:hAnsi="Times New Roman" w:cs="Times New Roman"/>
          <w:sz w:val="24"/>
          <w:szCs w:val="24"/>
        </w:rPr>
        <w:t xml:space="preserve">he Clean Air Act </w:t>
      </w:r>
      <w:r>
        <w:rPr>
          <w:rFonts w:ascii="Times New Roman" w:hAnsi="Times New Roman" w:cs="Times New Roman"/>
          <w:sz w:val="24"/>
          <w:szCs w:val="24"/>
        </w:rPr>
        <w:t xml:space="preserve">Amendments </w:t>
      </w:r>
      <w:r w:rsidRPr="00361F34">
        <w:rPr>
          <w:rFonts w:ascii="Times New Roman" w:hAnsi="Times New Roman" w:cs="Times New Roman"/>
          <w:sz w:val="24"/>
          <w:szCs w:val="24"/>
        </w:rPr>
        <w:t>of 1970</w:t>
      </w:r>
      <w:r>
        <w:rPr>
          <w:rFonts w:ascii="Times New Roman" w:hAnsi="Times New Roman" w:cs="Times New Roman"/>
          <w:sz w:val="24"/>
          <w:szCs w:val="24"/>
        </w:rPr>
        <w:t>, 1977, and 1990</w:t>
      </w:r>
      <w:r w:rsidRPr="00361F34">
        <w:rPr>
          <w:rFonts w:ascii="Times New Roman" w:hAnsi="Times New Roman" w:cs="Times New Roman"/>
          <w:sz w:val="24"/>
          <w:szCs w:val="24"/>
        </w:rPr>
        <w:t xml:space="preserve"> </w:t>
      </w:r>
      <w:r w:rsidRPr="00361F34">
        <w:rPr>
          <w:rFonts w:ascii="Times New Roman" w:eastAsia="Times New Roman" w:hAnsi="Times New Roman" w:cs="Times New Roman"/>
          <w:color w:val="222222"/>
          <w:kern w:val="0"/>
          <w:sz w:val="24"/>
          <w:szCs w:val="24"/>
          <w14:ligatures w14:val="none"/>
        </w:rPr>
        <w:t xml:space="preserve">(CAA, </w:t>
      </w:r>
      <w:r w:rsidRPr="00361F34">
        <w:rPr>
          <w:rFonts w:ascii="Times New Roman" w:eastAsia="Times New Roman" w:hAnsi="Times New Roman" w:cs="Times New Roman"/>
          <w:color w:val="1B1B1B"/>
          <w:kern w:val="0"/>
          <w:sz w:val="24"/>
          <w:szCs w:val="24"/>
          <w14:ligatures w14:val="none"/>
        </w:rPr>
        <w:t xml:space="preserve">42 U.S.C. §7401 et seq.) </w:t>
      </w:r>
      <w:r>
        <w:rPr>
          <w:rFonts w:ascii="Times New Roman" w:eastAsia="Times New Roman" w:hAnsi="Times New Roman" w:cs="Times New Roman"/>
          <w:color w:val="1B1B1B"/>
          <w:kern w:val="0"/>
          <w:sz w:val="24"/>
          <w:szCs w:val="24"/>
          <w14:ligatures w14:val="none"/>
        </w:rPr>
        <w:t xml:space="preserve">are </w:t>
      </w:r>
      <w:r w:rsidRPr="00361F34">
        <w:rPr>
          <w:rFonts w:ascii="Times New Roman" w:eastAsia="Times New Roman" w:hAnsi="Times New Roman" w:cs="Times New Roman"/>
          <w:color w:val="1B1B1B"/>
          <w:kern w:val="0"/>
          <w:sz w:val="24"/>
          <w:szCs w:val="24"/>
          <w14:ligatures w14:val="none"/>
        </w:rPr>
        <w:t>the principal air quality law</w:t>
      </w:r>
      <w:r>
        <w:rPr>
          <w:rFonts w:ascii="Times New Roman" w:eastAsia="Times New Roman" w:hAnsi="Times New Roman" w:cs="Times New Roman"/>
          <w:color w:val="1B1B1B"/>
          <w:kern w:val="0"/>
          <w:sz w:val="24"/>
          <w:szCs w:val="24"/>
          <w14:ligatures w14:val="none"/>
        </w:rPr>
        <w:t>s</w:t>
      </w:r>
      <w:r w:rsidRPr="00361F34">
        <w:rPr>
          <w:rFonts w:ascii="Times New Roman" w:eastAsia="Times New Roman" w:hAnsi="Times New Roman" w:cs="Times New Roman"/>
          <w:color w:val="1B1B1B"/>
          <w:kern w:val="0"/>
          <w:sz w:val="24"/>
          <w:szCs w:val="24"/>
          <w14:ligatures w14:val="none"/>
        </w:rPr>
        <w:t xml:space="preserve"> for the US.</w:t>
      </w:r>
      <w:r w:rsidRPr="00361F34">
        <w:rPr>
          <w:rFonts w:ascii="Times New Roman" w:eastAsia="Times New Roman" w:hAnsi="Times New Roman" w:cs="Times New Roman"/>
          <w:color w:val="222222"/>
          <w:kern w:val="0"/>
          <w:sz w:val="24"/>
          <w:szCs w:val="24"/>
          <w:vertAlign w:val="superscript"/>
          <w14:ligatures w14:val="none"/>
        </w:rPr>
        <w:footnoteReference w:id="36"/>
      </w:r>
      <w:r w:rsidRPr="00361F34">
        <w:rPr>
          <w:rFonts w:ascii="Times New Roman" w:eastAsia="Times New Roman" w:hAnsi="Times New Roman" w:cs="Times New Roman"/>
          <w:color w:val="1B1B1B"/>
          <w:kern w:val="0"/>
          <w:sz w:val="24"/>
          <w:szCs w:val="24"/>
          <w14:ligatures w14:val="none"/>
        </w:rPr>
        <w:t xml:space="preserve"> </w:t>
      </w:r>
      <w:r w:rsidR="00C22B85" w:rsidRPr="00361F34">
        <w:rPr>
          <w:rFonts w:ascii="Times New Roman" w:hAnsi="Times New Roman" w:cs="Times New Roman"/>
          <w:sz w:val="24"/>
          <w:szCs w:val="24"/>
        </w:rPr>
        <w:t xml:space="preserve">As detailed by </w:t>
      </w:r>
      <w:r w:rsidR="00C22B85">
        <w:rPr>
          <w:rFonts w:ascii="Times New Roman" w:hAnsi="Times New Roman" w:cs="Times New Roman"/>
          <w:sz w:val="24"/>
          <w:szCs w:val="24"/>
        </w:rPr>
        <w:t>Stern (1982)</w:t>
      </w:r>
      <w:r w:rsidR="00E6658B">
        <w:rPr>
          <w:rFonts w:ascii="Times New Roman" w:hAnsi="Times New Roman" w:cs="Times New Roman"/>
          <w:sz w:val="24"/>
          <w:szCs w:val="24"/>
        </w:rPr>
        <w:t>;</w:t>
      </w:r>
      <w:r w:rsidR="00C22B85">
        <w:rPr>
          <w:rFonts w:ascii="Times New Roman" w:hAnsi="Times New Roman" w:cs="Times New Roman"/>
          <w:sz w:val="24"/>
          <w:szCs w:val="24"/>
        </w:rPr>
        <w:t xml:space="preserve"> </w:t>
      </w:r>
      <w:r w:rsidR="00C22B85" w:rsidRPr="00361F34">
        <w:rPr>
          <w:rFonts w:ascii="Times New Roman" w:hAnsi="Times New Roman" w:cs="Times New Roman"/>
          <w:sz w:val="24"/>
          <w:szCs w:val="24"/>
        </w:rPr>
        <w:t>McCubbins, Noll, and Weingast (1989)</w:t>
      </w:r>
      <w:r w:rsidR="00E6658B">
        <w:rPr>
          <w:rFonts w:ascii="Times New Roman" w:hAnsi="Times New Roman" w:cs="Times New Roman"/>
          <w:sz w:val="24"/>
          <w:szCs w:val="24"/>
        </w:rPr>
        <w:t>;</w:t>
      </w:r>
      <w:r w:rsidR="00C22B85">
        <w:rPr>
          <w:rFonts w:ascii="Times New Roman" w:hAnsi="Times New Roman" w:cs="Times New Roman"/>
          <w:sz w:val="24"/>
          <w:szCs w:val="24"/>
        </w:rPr>
        <w:t xml:space="preserve"> Orford (2021)</w:t>
      </w:r>
      <w:r w:rsidR="00E6658B">
        <w:rPr>
          <w:rFonts w:ascii="Times New Roman" w:hAnsi="Times New Roman" w:cs="Times New Roman"/>
          <w:sz w:val="24"/>
          <w:szCs w:val="24"/>
        </w:rPr>
        <w:t>;</w:t>
      </w:r>
      <w:r w:rsidR="00C22B85">
        <w:rPr>
          <w:rFonts w:ascii="Times New Roman" w:hAnsi="Times New Roman" w:cs="Times New Roman"/>
          <w:sz w:val="24"/>
          <w:szCs w:val="24"/>
        </w:rPr>
        <w:t xml:space="preserve"> and Daniels et al</w:t>
      </w:r>
      <w:r w:rsidR="00C22B85" w:rsidRPr="00361F34">
        <w:rPr>
          <w:rFonts w:ascii="Times New Roman" w:hAnsi="Times New Roman" w:cs="Times New Roman"/>
          <w:sz w:val="24"/>
          <w:szCs w:val="24"/>
        </w:rPr>
        <w:t xml:space="preserve"> </w:t>
      </w:r>
      <w:r w:rsidR="00C22B85">
        <w:rPr>
          <w:rFonts w:ascii="Times New Roman" w:hAnsi="Times New Roman" w:cs="Times New Roman"/>
          <w:sz w:val="24"/>
          <w:szCs w:val="24"/>
        </w:rPr>
        <w:t xml:space="preserve">(2022), </w:t>
      </w:r>
      <w:r w:rsidR="00C22B85" w:rsidRPr="00361F34">
        <w:rPr>
          <w:rFonts w:ascii="Times New Roman" w:hAnsi="Times New Roman" w:cs="Times New Roman"/>
          <w:sz w:val="24"/>
          <w:szCs w:val="24"/>
        </w:rPr>
        <w:t>the political process in the design and administration of the law</w:t>
      </w:r>
      <w:r w:rsidR="00C22B85">
        <w:rPr>
          <w:rFonts w:ascii="Times New Roman" w:hAnsi="Times New Roman" w:cs="Times New Roman"/>
          <w:sz w:val="24"/>
          <w:szCs w:val="24"/>
        </w:rPr>
        <w:t>s</w:t>
      </w:r>
      <w:r w:rsidR="00C22B85" w:rsidRPr="00361F34">
        <w:rPr>
          <w:rFonts w:ascii="Times New Roman" w:hAnsi="Times New Roman" w:cs="Times New Roman"/>
          <w:sz w:val="24"/>
          <w:szCs w:val="24"/>
        </w:rPr>
        <w:t xml:space="preserve"> was a complicated one, involving lobbyists, the courts, and </w:t>
      </w:r>
      <w:r w:rsidR="00163026">
        <w:rPr>
          <w:rFonts w:ascii="Times New Roman" w:hAnsi="Times New Roman" w:cs="Times New Roman"/>
          <w:sz w:val="24"/>
          <w:szCs w:val="24"/>
        </w:rPr>
        <w:t>d</w:t>
      </w:r>
      <w:r w:rsidR="00163026" w:rsidRPr="00361F34">
        <w:rPr>
          <w:rFonts w:ascii="Times New Roman" w:hAnsi="Times New Roman" w:cs="Times New Roman"/>
          <w:sz w:val="24"/>
          <w:szCs w:val="24"/>
        </w:rPr>
        <w:t>ifferential incentives of members of the House, the Senate, and the President.</w:t>
      </w:r>
      <w:r w:rsidR="00163026" w:rsidRPr="00361F34">
        <w:rPr>
          <w:rFonts w:ascii="Times New Roman" w:hAnsi="Times New Roman" w:cs="Times New Roman"/>
          <w:sz w:val="24"/>
          <w:szCs w:val="24"/>
          <w:vertAlign w:val="superscript"/>
        </w:rPr>
        <w:footnoteReference w:id="37"/>
      </w:r>
      <w:r w:rsidR="00163026" w:rsidRPr="00361F34">
        <w:rPr>
          <w:rFonts w:ascii="Times New Roman" w:hAnsi="Times New Roman" w:cs="Times New Roman"/>
          <w:sz w:val="24"/>
          <w:szCs w:val="24"/>
        </w:rPr>
        <w:t xml:space="preserve"> There were distinct objectives driven by philosophical, </w:t>
      </w:r>
      <w:r w:rsidR="00163026">
        <w:rPr>
          <w:rFonts w:ascii="Times New Roman" w:hAnsi="Times New Roman" w:cs="Times New Roman"/>
          <w:sz w:val="24"/>
          <w:szCs w:val="24"/>
        </w:rPr>
        <w:t xml:space="preserve">health, </w:t>
      </w:r>
      <w:r w:rsidR="00163026" w:rsidRPr="00361F34">
        <w:rPr>
          <w:rFonts w:ascii="Times New Roman" w:hAnsi="Times New Roman" w:cs="Times New Roman"/>
          <w:sz w:val="24"/>
          <w:szCs w:val="24"/>
        </w:rPr>
        <w:t>economic, and re-election concerns.</w:t>
      </w:r>
      <w:r w:rsidR="00163026" w:rsidRPr="00361F34">
        <w:rPr>
          <w:rFonts w:ascii="Times New Roman" w:hAnsi="Times New Roman" w:cs="Times New Roman"/>
          <w:sz w:val="24"/>
          <w:szCs w:val="24"/>
          <w:vertAlign w:val="superscript"/>
        </w:rPr>
        <w:footnoteReference w:id="38"/>
      </w:r>
      <w:r w:rsidR="00163026" w:rsidRPr="00361F34">
        <w:rPr>
          <w:rFonts w:ascii="Times New Roman" w:hAnsi="Times New Roman" w:cs="Times New Roman"/>
          <w:sz w:val="24"/>
          <w:szCs w:val="24"/>
        </w:rPr>
        <w:t xml:space="preserve"> </w:t>
      </w:r>
    </w:p>
    <w:p w14:paraId="28E9643D" w14:textId="68520817" w:rsidR="00163026" w:rsidRDefault="00D234F9" w:rsidP="006E1714">
      <w:pPr>
        <w:shd w:val="clear" w:color="auto" w:fill="FFFFFF"/>
        <w:spacing w:after="0" w:line="360" w:lineRule="auto"/>
        <w:ind w:firstLine="720"/>
        <w:rPr>
          <w:rFonts w:ascii="Times New Roman" w:eastAsia="Times New Roman" w:hAnsi="Times New Roman" w:cs="Times New Roman"/>
          <w:color w:val="2E1500"/>
          <w:kern w:val="0"/>
          <w:sz w:val="24"/>
          <w:szCs w:val="24"/>
          <w14:ligatures w14:val="none"/>
        </w:rPr>
      </w:pPr>
      <w:r>
        <w:rPr>
          <w:rFonts w:ascii="Times New Roman" w:eastAsia="Times New Roman" w:hAnsi="Times New Roman" w:cs="Times New Roman"/>
          <w:color w:val="1B1B1B"/>
          <w:kern w:val="0"/>
          <w:sz w:val="24"/>
          <w:szCs w:val="24"/>
          <w14:ligatures w14:val="none"/>
        </w:rPr>
        <w:t>The</w:t>
      </w:r>
      <w:r w:rsidR="00A47E4E">
        <w:rPr>
          <w:rFonts w:ascii="Times New Roman" w:eastAsia="Times New Roman" w:hAnsi="Times New Roman" w:cs="Times New Roman"/>
          <w:color w:val="1B1B1B"/>
          <w:kern w:val="0"/>
          <w:sz w:val="24"/>
          <w:szCs w:val="24"/>
          <w14:ligatures w14:val="none"/>
        </w:rPr>
        <w:t xml:space="preserve"> Clean Air Act </w:t>
      </w:r>
      <w:r w:rsidR="00163026">
        <w:rPr>
          <w:rFonts w:ascii="Times New Roman" w:eastAsia="Times New Roman" w:hAnsi="Times New Roman" w:cs="Times New Roman"/>
          <w:color w:val="1B1B1B"/>
          <w:kern w:val="0"/>
          <w:sz w:val="24"/>
          <w:szCs w:val="24"/>
          <w14:ligatures w14:val="none"/>
        </w:rPr>
        <w:t xml:space="preserve">addresses </w:t>
      </w:r>
      <w:r w:rsidR="00A47E4E">
        <w:rPr>
          <w:rFonts w:ascii="Times New Roman" w:eastAsia="Times New Roman" w:hAnsi="Times New Roman" w:cs="Times New Roman"/>
          <w:color w:val="1B1B1B"/>
          <w:kern w:val="0"/>
          <w:sz w:val="24"/>
          <w:szCs w:val="24"/>
          <w14:ligatures w14:val="none"/>
        </w:rPr>
        <w:t>nation</w:t>
      </w:r>
      <w:r w:rsidR="00163026">
        <w:rPr>
          <w:rFonts w:ascii="Times New Roman" w:eastAsia="Times New Roman" w:hAnsi="Times New Roman" w:cs="Times New Roman"/>
          <w:color w:val="1B1B1B"/>
          <w:kern w:val="0"/>
          <w:sz w:val="24"/>
          <w:szCs w:val="24"/>
          <w14:ligatures w14:val="none"/>
        </w:rPr>
        <w:t xml:space="preserve">wide </w:t>
      </w:r>
      <w:r w:rsidR="00B00B69">
        <w:rPr>
          <w:rFonts w:ascii="Times New Roman" w:eastAsia="Times New Roman" w:hAnsi="Times New Roman" w:cs="Times New Roman"/>
          <w:color w:val="1B1B1B"/>
          <w:kern w:val="0"/>
          <w:sz w:val="24"/>
          <w:szCs w:val="24"/>
          <w14:ligatures w14:val="none"/>
        </w:rPr>
        <w:t>air p</w:t>
      </w:r>
      <w:r w:rsidRPr="00361F34">
        <w:rPr>
          <w:rFonts w:ascii="Times New Roman" w:eastAsia="Times New Roman" w:hAnsi="Times New Roman" w:cs="Times New Roman"/>
          <w:color w:val="1B1B1B"/>
          <w:kern w:val="0"/>
          <w:sz w:val="24"/>
          <w:szCs w:val="24"/>
          <w14:ligatures w14:val="none"/>
        </w:rPr>
        <w:t>ollution</w:t>
      </w:r>
      <w:r w:rsidR="00A47E4E">
        <w:rPr>
          <w:rFonts w:ascii="Times New Roman" w:eastAsia="Times New Roman" w:hAnsi="Times New Roman" w:cs="Times New Roman"/>
          <w:color w:val="1B1B1B"/>
          <w:kern w:val="0"/>
          <w:sz w:val="24"/>
          <w:szCs w:val="24"/>
          <w14:ligatures w14:val="none"/>
        </w:rPr>
        <w:t xml:space="preserve"> </w:t>
      </w:r>
      <w:r w:rsidR="00B00B69">
        <w:rPr>
          <w:rFonts w:ascii="Times New Roman" w:eastAsia="Times New Roman" w:hAnsi="Times New Roman" w:cs="Times New Roman"/>
          <w:color w:val="1B1B1B"/>
          <w:kern w:val="0"/>
          <w:sz w:val="24"/>
          <w:szCs w:val="24"/>
          <w14:ligatures w14:val="none"/>
        </w:rPr>
        <w:t xml:space="preserve">via </w:t>
      </w:r>
      <w:r w:rsidRPr="00361F34">
        <w:rPr>
          <w:rFonts w:ascii="Times New Roman" w:eastAsia="Times New Roman" w:hAnsi="Times New Roman" w:cs="Times New Roman"/>
          <w:color w:val="1B1B1B"/>
          <w:kern w:val="0"/>
          <w:sz w:val="24"/>
          <w:szCs w:val="24"/>
          <w:shd w:val="clear" w:color="auto" w:fill="FFFFFF"/>
          <w14:ligatures w14:val="none"/>
        </w:rPr>
        <w:t xml:space="preserve">National Ambient Air Quality Standards, State Implementation Plans, New Source Performance Standards, and National Emission Standards for Hazardous Air Pollutants. </w:t>
      </w:r>
      <w:r w:rsidRPr="00361F34">
        <w:rPr>
          <w:rFonts w:ascii="Times New Roman" w:eastAsia="Times New Roman" w:hAnsi="Times New Roman" w:cs="Times New Roman"/>
          <w:color w:val="222222"/>
          <w:kern w:val="0"/>
          <w:sz w:val="24"/>
          <w:szCs w:val="24"/>
          <w14:ligatures w14:val="none"/>
        </w:rPr>
        <w:t>Key pollutants are c</w:t>
      </w:r>
      <w:r w:rsidRPr="00361F34">
        <w:rPr>
          <w:rFonts w:ascii="Times New Roman" w:eastAsia="Times New Roman" w:hAnsi="Times New Roman" w:cs="Times New Roman"/>
          <w:color w:val="2E1500"/>
          <w:kern w:val="0"/>
          <w:sz w:val="24"/>
          <w:szCs w:val="24"/>
          <w14:ligatures w14:val="none"/>
        </w:rPr>
        <w:t xml:space="preserve">arbon monoxide (CO), lead (Pb), particulate matter (PM), ozone (O3), nitrogen dioxide (NO2), and sulfur dioxide (SO2). </w:t>
      </w:r>
    </w:p>
    <w:p w14:paraId="04557CDE" w14:textId="3D92253B" w:rsidR="00163026" w:rsidRDefault="006E1714" w:rsidP="006E1714">
      <w:pPr>
        <w:shd w:val="clear" w:color="auto" w:fill="FFFFFF"/>
        <w:spacing w:after="0" w:line="360" w:lineRule="auto"/>
        <w:ind w:firstLine="720"/>
        <w:rPr>
          <w:rFonts w:ascii="Times New Roman" w:eastAsia="Calibri" w:hAnsi="Times New Roman" w:cs="Times New Roman"/>
          <w:kern w:val="0"/>
          <w:sz w:val="24"/>
          <w:szCs w:val="24"/>
          <w14:ligatures w14:val="none"/>
        </w:rPr>
      </w:pPr>
      <w:r w:rsidRPr="006E1714">
        <w:rPr>
          <w:rFonts w:ascii="Times New Roman" w:hAnsi="Times New Roman" w:cs="Times New Roman"/>
          <w:sz w:val="24"/>
          <w:szCs w:val="24"/>
        </w:rPr>
        <w:t>The 1970 Amendments to the 1963 Clean Air Act authorized the EPA to set uniform national ambient air quality standards and to regulate emissions for stationary</w:t>
      </w:r>
      <w:r w:rsidR="00B57D30">
        <w:rPr>
          <w:rFonts w:ascii="Times New Roman" w:hAnsi="Times New Roman" w:cs="Times New Roman"/>
          <w:sz w:val="24"/>
          <w:szCs w:val="24"/>
        </w:rPr>
        <w:t xml:space="preserve">, </w:t>
      </w:r>
      <w:r w:rsidRPr="006E1714">
        <w:rPr>
          <w:rFonts w:ascii="Times New Roman" w:hAnsi="Times New Roman" w:cs="Times New Roman"/>
          <w:sz w:val="24"/>
          <w:szCs w:val="24"/>
        </w:rPr>
        <w:t>mobile</w:t>
      </w:r>
      <w:r w:rsidR="00B57D30">
        <w:rPr>
          <w:rFonts w:ascii="Times New Roman" w:hAnsi="Times New Roman" w:cs="Times New Roman"/>
          <w:sz w:val="24"/>
          <w:szCs w:val="24"/>
        </w:rPr>
        <w:t>, ol</w:t>
      </w:r>
      <w:r w:rsidRPr="006E1714">
        <w:rPr>
          <w:rFonts w:ascii="Times New Roman" w:hAnsi="Times New Roman" w:cs="Times New Roman"/>
          <w:sz w:val="24"/>
          <w:szCs w:val="24"/>
        </w:rPr>
        <w:t>d</w:t>
      </w:r>
      <w:r w:rsidR="00B57D30">
        <w:rPr>
          <w:rFonts w:ascii="Times New Roman" w:hAnsi="Times New Roman" w:cs="Times New Roman"/>
          <w:sz w:val="24"/>
          <w:szCs w:val="24"/>
        </w:rPr>
        <w:t>,</w:t>
      </w:r>
      <w:r w:rsidRPr="006E1714">
        <w:rPr>
          <w:rFonts w:ascii="Times New Roman" w:hAnsi="Times New Roman" w:cs="Times New Roman"/>
          <w:sz w:val="24"/>
          <w:szCs w:val="24"/>
        </w:rPr>
        <w:t xml:space="preserve"> and new sources of hazardous air pollutants.</w:t>
      </w:r>
      <w:r w:rsidR="00FE04EA">
        <w:rPr>
          <w:rStyle w:val="FootnoteReference"/>
          <w:rFonts w:ascii="Times New Roman" w:hAnsi="Times New Roman" w:cs="Times New Roman"/>
          <w:sz w:val="24"/>
          <w:szCs w:val="24"/>
        </w:rPr>
        <w:footnoteReference w:id="39"/>
      </w:r>
      <w:r w:rsidR="00FE04EA" w:rsidRPr="00361F34">
        <w:rPr>
          <w:rFonts w:ascii="Times New Roman" w:hAnsi="Times New Roman" w:cs="Times New Roman"/>
          <w:sz w:val="24"/>
          <w:szCs w:val="24"/>
        </w:rPr>
        <w:t xml:space="preserve"> </w:t>
      </w:r>
      <w:r w:rsidR="00163026">
        <w:rPr>
          <w:rFonts w:ascii="Times New Roman" w:hAnsi="Times New Roman" w:cs="Times New Roman"/>
          <w:sz w:val="24"/>
          <w:szCs w:val="24"/>
        </w:rPr>
        <w:t>S</w:t>
      </w:r>
      <w:r w:rsidR="00163026" w:rsidRPr="006E1714">
        <w:rPr>
          <w:rFonts w:ascii="Times New Roman" w:hAnsi="Times New Roman" w:cs="Times New Roman"/>
          <w:sz w:val="24"/>
          <w:szCs w:val="24"/>
        </w:rPr>
        <w:t>tates were to draft state implementation plans to meet</w:t>
      </w:r>
      <w:r w:rsidR="00163026" w:rsidRPr="006E1714">
        <w:rPr>
          <w:rFonts w:ascii="Times New Roman" w:eastAsia="Times New Roman" w:hAnsi="Times New Roman" w:cs="Times New Roman"/>
          <w:color w:val="212121"/>
          <w:kern w:val="0"/>
          <w:sz w:val="24"/>
          <w:szCs w:val="24"/>
          <w14:ligatures w14:val="none"/>
        </w:rPr>
        <w:t xml:space="preserve"> the </w:t>
      </w:r>
      <w:r w:rsidR="00B57D30">
        <w:rPr>
          <w:rFonts w:ascii="Times New Roman" w:eastAsia="Times New Roman" w:hAnsi="Times New Roman" w:cs="Times New Roman"/>
          <w:color w:val="212121"/>
          <w:kern w:val="0"/>
          <w:sz w:val="24"/>
          <w:szCs w:val="24"/>
          <w14:ligatures w14:val="none"/>
        </w:rPr>
        <w:t>s</w:t>
      </w:r>
      <w:r w:rsidR="00163026" w:rsidRPr="006E1714">
        <w:rPr>
          <w:rFonts w:ascii="Times New Roman" w:eastAsia="Times New Roman" w:hAnsi="Times New Roman" w:cs="Times New Roman"/>
          <w:color w:val="212121"/>
          <w:kern w:val="0"/>
          <w:sz w:val="24"/>
          <w:szCs w:val="24"/>
          <w14:ligatures w14:val="none"/>
        </w:rPr>
        <w:t xml:space="preserve">tandards </w:t>
      </w:r>
      <w:r w:rsidR="00163026">
        <w:rPr>
          <w:rFonts w:ascii="Times New Roman" w:eastAsia="Times New Roman" w:hAnsi="Times New Roman" w:cs="Times New Roman"/>
          <w:color w:val="212121"/>
          <w:kern w:val="0"/>
          <w:sz w:val="24"/>
          <w:szCs w:val="24"/>
          <w14:ligatures w14:val="none"/>
        </w:rPr>
        <w:t>b</w:t>
      </w:r>
      <w:r w:rsidR="00163026" w:rsidRPr="006E1714">
        <w:rPr>
          <w:rFonts w:ascii="Times New Roman" w:eastAsia="Times New Roman" w:hAnsi="Times New Roman" w:cs="Times New Roman"/>
          <w:color w:val="212121"/>
          <w:kern w:val="0"/>
          <w:sz w:val="24"/>
          <w:szCs w:val="24"/>
          <w14:ligatures w14:val="none"/>
        </w:rPr>
        <w:t xml:space="preserve">y December 31, 1975. </w:t>
      </w:r>
      <w:r w:rsidR="00163026" w:rsidRPr="006E1714">
        <w:rPr>
          <w:rFonts w:ascii="Times New Roman" w:hAnsi="Times New Roman" w:cs="Times New Roman"/>
          <w:sz w:val="24"/>
          <w:szCs w:val="24"/>
        </w:rPr>
        <w:t xml:space="preserve"> Counties that met or exceeded the</w:t>
      </w:r>
      <w:r w:rsidR="00B57D30">
        <w:rPr>
          <w:rFonts w:ascii="Times New Roman" w:hAnsi="Times New Roman" w:cs="Times New Roman"/>
          <w:sz w:val="24"/>
          <w:szCs w:val="24"/>
        </w:rPr>
        <w:t>m</w:t>
      </w:r>
      <w:r w:rsidR="00163026" w:rsidRPr="006E1714">
        <w:rPr>
          <w:rFonts w:ascii="Times New Roman" w:hAnsi="Times New Roman" w:cs="Times New Roman"/>
          <w:sz w:val="24"/>
          <w:szCs w:val="24"/>
        </w:rPr>
        <w:t xml:space="preserve"> were deemed </w:t>
      </w:r>
      <w:r w:rsidR="00A1073A">
        <w:rPr>
          <w:rFonts w:ascii="Times New Roman" w:hAnsi="Times New Roman" w:cs="Times New Roman"/>
          <w:sz w:val="24"/>
          <w:szCs w:val="24"/>
        </w:rPr>
        <w:t>to be</w:t>
      </w:r>
      <w:r w:rsidR="00163026" w:rsidRPr="006E1714">
        <w:rPr>
          <w:rFonts w:ascii="Times New Roman" w:hAnsi="Times New Roman" w:cs="Times New Roman"/>
          <w:sz w:val="24"/>
          <w:szCs w:val="24"/>
        </w:rPr>
        <w:t xml:space="preserve"> attainment and </w:t>
      </w:r>
      <w:r w:rsidR="00163026" w:rsidRPr="006E1714">
        <w:rPr>
          <w:rFonts w:ascii="Times New Roman" w:hAnsi="Times New Roman" w:cs="Times New Roman"/>
          <w:i/>
          <w:iCs/>
          <w:sz w:val="24"/>
          <w:szCs w:val="24"/>
        </w:rPr>
        <w:t xml:space="preserve">were to stay </w:t>
      </w:r>
      <w:r w:rsidR="00B57D30">
        <w:rPr>
          <w:rFonts w:ascii="Times New Roman" w:hAnsi="Times New Roman" w:cs="Times New Roman"/>
          <w:i/>
          <w:iCs/>
          <w:sz w:val="24"/>
          <w:szCs w:val="24"/>
        </w:rPr>
        <w:t xml:space="preserve">at existing high air quality levels </w:t>
      </w:r>
      <w:r w:rsidR="00163026" w:rsidRPr="006E1714">
        <w:rPr>
          <w:rFonts w:ascii="Times New Roman" w:hAnsi="Times New Roman" w:cs="Times New Roman"/>
          <w:sz w:val="24"/>
          <w:szCs w:val="24"/>
        </w:rPr>
        <w:t xml:space="preserve">with prevention of serious </w:t>
      </w:r>
      <w:r w:rsidR="00A1073A">
        <w:rPr>
          <w:rFonts w:ascii="Times New Roman" w:hAnsi="Times New Roman" w:cs="Times New Roman"/>
          <w:sz w:val="24"/>
          <w:szCs w:val="24"/>
        </w:rPr>
        <w:t xml:space="preserve">air quality </w:t>
      </w:r>
      <w:r w:rsidR="00163026" w:rsidRPr="006E1714">
        <w:rPr>
          <w:rFonts w:ascii="Times New Roman" w:hAnsi="Times New Roman" w:cs="Times New Roman"/>
          <w:sz w:val="24"/>
          <w:szCs w:val="24"/>
        </w:rPr>
        <w:t xml:space="preserve">deterioration (PSD) restrictions. </w:t>
      </w:r>
      <w:r w:rsidR="00B57D30">
        <w:rPr>
          <w:rFonts w:ascii="Times New Roman" w:hAnsi="Times New Roman" w:cs="Times New Roman"/>
          <w:sz w:val="24"/>
          <w:szCs w:val="24"/>
        </w:rPr>
        <w:t xml:space="preserve">Counties deemed </w:t>
      </w:r>
      <w:r w:rsidR="00A1073A">
        <w:rPr>
          <w:rFonts w:ascii="Times New Roman" w:hAnsi="Times New Roman" w:cs="Times New Roman"/>
          <w:sz w:val="24"/>
          <w:szCs w:val="24"/>
        </w:rPr>
        <w:t xml:space="preserve">to be </w:t>
      </w:r>
      <w:r w:rsidR="00163026" w:rsidRPr="006E1714">
        <w:rPr>
          <w:rFonts w:ascii="Times New Roman" w:hAnsi="Times New Roman" w:cs="Times New Roman"/>
          <w:sz w:val="24"/>
          <w:szCs w:val="24"/>
        </w:rPr>
        <w:t xml:space="preserve">nonattainment </w:t>
      </w:r>
      <w:r w:rsidR="00B57D30">
        <w:rPr>
          <w:rFonts w:ascii="Times New Roman" w:hAnsi="Times New Roman" w:cs="Times New Roman"/>
          <w:sz w:val="24"/>
          <w:szCs w:val="24"/>
        </w:rPr>
        <w:t xml:space="preserve">were evaluated </w:t>
      </w:r>
      <w:r w:rsidR="00163026" w:rsidRPr="006E1714">
        <w:rPr>
          <w:rFonts w:ascii="Times New Roman" w:hAnsi="Times New Roman" w:cs="Times New Roman"/>
          <w:sz w:val="24"/>
          <w:szCs w:val="24"/>
        </w:rPr>
        <w:t>annually</w:t>
      </w:r>
      <w:r w:rsidR="00B57D30">
        <w:rPr>
          <w:rFonts w:ascii="Times New Roman" w:hAnsi="Times New Roman" w:cs="Times New Roman"/>
          <w:sz w:val="24"/>
          <w:szCs w:val="24"/>
        </w:rPr>
        <w:t xml:space="preserve"> by the EPA</w:t>
      </w:r>
      <w:r w:rsidR="00163026" w:rsidRPr="006E1714">
        <w:rPr>
          <w:rFonts w:ascii="Times New Roman" w:hAnsi="Times New Roman" w:cs="Times New Roman"/>
          <w:sz w:val="24"/>
          <w:szCs w:val="24"/>
        </w:rPr>
        <w:t xml:space="preserve">. </w:t>
      </w:r>
      <w:r w:rsidRPr="006E1714">
        <w:rPr>
          <w:rFonts w:ascii="Times New Roman" w:eastAsia="Calibri" w:hAnsi="Times New Roman" w:cs="Times New Roman"/>
          <w:kern w:val="0"/>
          <w:sz w:val="24"/>
          <w:szCs w:val="24"/>
          <w14:ligatures w14:val="none"/>
        </w:rPr>
        <w:t xml:space="preserve">Failure </w:t>
      </w:r>
      <w:r w:rsidR="00B57D30">
        <w:rPr>
          <w:rFonts w:ascii="Times New Roman" w:eastAsia="Calibri" w:hAnsi="Times New Roman" w:cs="Times New Roman"/>
          <w:kern w:val="0"/>
          <w:sz w:val="24"/>
          <w:szCs w:val="24"/>
          <w14:ligatures w14:val="none"/>
        </w:rPr>
        <w:t xml:space="preserve">of states </w:t>
      </w:r>
      <w:r w:rsidR="00163026">
        <w:rPr>
          <w:rFonts w:ascii="Times New Roman" w:eastAsia="Calibri" w:hAnsi="Times New Roman" w:cs="Times New Roman"/>
          <w:kern w:val="0"/>
          <w:sz w:val="24"/>
          <w:szCs w:val="24"/>
          <w14:ligatures w14:val="none"/>
        </w:rPr>
        <w:t xml:space="preserve">to draft plans for </w:t>
      </w:r>
      <w:r w:rsidR="00B57D30">
        <w:rPr>
          <w:rFonts w:ascii="Times New Roman" w:eastAsia="Calibri" w:hAnsi="Times New Roman" w:cs="Times New Roman"/>
          <w:kern w:val="0"/>
          <w:sz w:val="24"/>
          <w:szCs w:val="24"/>
          <w14:ligatures w14:val="none"/>
        </w:rPr>
        <w:t xml:space="preserve">reaching </w:t>
      </w:r>
      <w:r w:rsidR="00163026">
        <w:rPr>
          <w:rFonts w:ascii="Times New Roman" w:eastAsia="Calibri" w:hAnsi="Times New Roman" w:cs="Times New Roman"/>
          <w:kern w:val="0"/>
          <w:sz w:val="24"/>
          <w:szCs w:val="24"/>
          <w14:ligatures w14:val="none"/>
        </w:rPr>
        <w:t xml:space="preserve">attainment would lead </w:t>
      </w:r>
      <w:r w:rsidRPr="006E1714">
        <w:rPr>
          <w:rFonts w:ascii="Times New Roman" w:eastAsia="Calibri" w:hAnsi="Times New Roman" w:cs="Times New Roman"/>
          <w:kern w:val="0"/>
          <w:sz w:val="24"/>
          <w:szCs w:val="24"/>
          <w14:ligatures w14:val="none"/>
        </w:rPr>
        <w:t xml:space="preserve">the </w:t>
      </w:r>
      <w:r w:rsidR="00B57D30">
        <w:rPr>
          <w:rFonts w:ascii="Times New Roman" w:eastAsia="Calibri" w:hAnsi="Times New Roman" w:cs="Times New Roman"/>
          <w:kern w:val="0"/>
          <w:sz w:val="24"/>
          <w:szCs w:val="24"/>
          <w14:ligatures w14:val="none"/>
        </w:rPr>
        <w:t xml:space="preserve">agency </w:t>
      </w:r>
      <w:r w:rsidRPr="006E1714">
        <w:rPr>
          <w:rFonts w:ascii="Times New Roman" w:eastAsia="Calibri" w:hAnsi="Times New Roman" w:cs="Times New Roman"/>
          <w:kern w:val="0"/>
          <w:sz w:val="24"/>
          <w:szCs w:val="24"/>
          <w14:ligatures w14:val="none"/>
        </w:rPr>
        <w:t xml:space="preserve">to withhold a variety of federal funding sources, to ban permits for construction of plants that might generate new sources </w:t>
      </w:r>
      <w:r w:rsidR="00163026">
        <w:rPr>
          <w:rFonts w:ascii="Times New Roman" w:eastAsia="Calibri" w:hAnsi="Times New Roman" w:cs="Times New Roman"/>
          <w:kern w:val="0"/>
          <w:sz w:val="24"/>
          <w:szCs w:val="24"/>
          <w14:ligatures w14:val="none"/>
        </w:rPr>
        <w:t xml:space="preserve">of </w:t>
      </w:r>
      <w:r w:rsidRPr="006E1714">
        <w:rPr>
          <w:rFonts w:ascii="Times New Roman" w:eastAsia="Calibri" w:hAnsi="Times New Roman" w:cs="Times New Roman"/>
          <w:kern w:val="0"/>
          <w:sz w:val="24"/>
          <w:szCs w:val="24"/>
          <w14:ligatures w14:val="none"/>
        </w:rPr>
        <w:t>pollutant</w:t>
      </w:r>
      <w:r w:rsidR="00163026">
        <w:rPr>
          <w:rFonts w:ascii="Times New Roman" w:eastAsia="Calibri" w:hAnsi="Times New Roman" w:cs="Times New Roman"/>
          <w:kern w:val="0"/>
          <w:sz w:val="24"/>
          <w:szCs w:val="24"/>
          <w14:ligatures w14:val="none"/>
        </w:rPr>
        <w:t>s</w:t>
      </w:r>
      <w:r w:rsidRPr="006E1714">
        <w:rPr>
          <w:rFonts w:ascii="Times New Roman" w:eastAsia="Calibri" w:hAnsi="Times New Roman" w:cs="Times New Roman"/>
          <w:kern w:val="0"/>
          <w:sz w:val="24"/>
          <w:szCs w:val="24"/>
          <w14:ligatures w14:val="none"/>
        </w:rPr>
        <w:t xml:space="preserve">, and to impose its own plan for attainment.  </w:t>
      </w:r>
    </w:p>
    <w:p w14:paraId="56893D52" w14:textId="08306132" w:rsidR="006E1714" w:rsidRPr="006E1714" w:rsidRDefault="00163026" w:rsidP="006E1714">
      <w:pPr>
        <w:shd w:val="clear" w:color="auto" w:fill="FFFFFF"/>
        <w:spacing w:after="0" w:line="360" w:lineRule="auto"/>
        <w:ind w:firstLine="720"/>
        <w:rPr>
          <w:rFonts w:ascii="Times New Roman" w:hAnsi="Times New Roman" w:cs="Times New Roman"/>
          <w:sz w:val="24"/>
          <w:szCs w:val="24"/>
        </w:rPr>
      </w:pPr>
      <w:r>
        <w:rPr>
          <w:rFonts w:ascii="Times New Roman" w:eastAsia="Calibri" w:hAnsi="Times New Roman" w:cs="Times New Roman"/>
          <w:kern w:val="0"/>
          <w:sz w:val="24"/>
          <w:szCs w:val="24"/>
          <w14:ligatures w14:val="none"/>
        </w:rPr>
        <w:t>I</w:t>
      </w:r>
      <w:r w:rsidR="006E1714" w:rsidRPr="006E1714">
        <w:rPr>
          <w:rFonts w:ascii="Times New Roman" w:eastAsia="Calibri" w:hAnsi="Times New Roman" w:cs="Times New Roman"/>
          <w:kern w:val="0"/>
          <w:sz w:val="24"/>
          <w:szCs w:val="24"/>
          <w14:ligatures w14:val="none"/>
        </w:rPr>
        <w:t>ndustry</w:t>
      </w:r>
      <w:r w:rsidR="0083009D">
        <w:rPr>
          <w:rFonts w:ascii="Times New Roman" w:eastAsia="Calibri" w:hAnsi="Times New Roman" w:cs="Times New Roman"/>
          <w:kern w:val="0"/>
          <w:sz w:val="24"/>
          <w:szCs w:val="24"/>
          <w14:ligatures w14:val="none"/>
        </w:rPr>
        <w:t xml:space="preserve"> </w:t>
      </w:r>
      <w:r w:rsidR="006E1714" w:rsidRPr="006E1714">
        <w:rPr>
          <w:rFonts w:ascii="Times New Roman" w:eastAsia="Calibri" w:hAnsi="Times New Roman" w:cs="Times New Roman"/>
          <w:kern w:val="0"/>
          <w:sz w:val="24"/>
          <w:szCs w:val="24"/>
          <w14:ligatures w14:val="none"/>
        </w:rPr>
        <w:t>specific emissions standards for pollution sources</w:t>
      </w:r>
      <w:r>
        <w:rPr>
          <w:rFonts w:ascii="Times New Roman" w:eastAsia="Calibri" w:hAnsi="Times New Roman" w:cs="Times New Roman"/>
          <w:kern w:val="0"/>
          <w:sz w:val="24"/>
          <w:szCs w:val="24"/>
          <w14:ligatures w14:val="none"/>
        </w:rPr>
        <w:t xml:space="preserve"> were set</w:t>
      </w:r>
      <w:r w:rsidR="006E1714" w:rsidRPr="006E1714">
        <w:rPr>
          <w:rFonts w:ascii="Times New Roman" w:eastAsia="Calibri" w:hAnsi="Times New Roman" w:cs="Times New Roman"/>
          <w:kern w:val="0"/>
          <w:sz w:val="24"/>
          <w:szCs w:val="24"/>
          <w14:ligatures w14:val="none"/>
        </w:rPr>
        <w:t xml:space="preserve">, and affected facilities in nonattainment counties </w:t>
      </w:r>
      <w:r w:rsidR="00FE04EA">
        <w:rPr>
          <w:rFonts w:ascii="Times New Roman" w:eastAsia="Calibri" w:hAnsi="Times New Roman" w:cs="Times New Roman"/>
          <w:kern w:val="0"/>
          <w:sz w:val="24"/>
          <w:szCs w:val="24"/>
          <w14:ligatures w14:val="none"/>
        </w:rPr>
        <w:t xml:space="preserve">were </w:t>
      </w:r>
      <w:r w:rsidR="006E1714" w:rsidRPr="006E1714">
        <w:rPr>
          <w:rFonts w:ascii="Times New Roman" w:eastAsia="Calibri" w:hAnsi="Times New Roman" w:cs="Times New Roman"/>
          <w:kern w:val="0"/>
          <w:sz w:val="24"/>
          <w:szCs w:val="24"/>
          <w14:ligatures w14:val="none"/>
        </w:rPr>
        <w:t xml:space="preserve">required to adopt </w:t>
      </w:r>
      <w:r>
        <w:rPr>
          <w:rFonts w:ascii="Times New Roman" w:eastAsia="Calibri" w:hAnsi="Times New Roman" w:cs="Times New Roman"/>
          <w:kern w:val="0"/>
          <w:sz w:val="24"/>
          <w:szCs w:val="24"/>
          <w14:ligatures w14:val="none"/>
        </w:rPr>
        <w:t xml:space="preserve">the </w:t>
      </w:r>
      <w:r w:rsidR="006E1714" w:rsidRPr="006E1714">
        <w:rPr>
          <w:rFonts w:ascii="Times New Roman" w:eastAsia="Calibri" w:hAnsi="Times New Roman" w:cs="Times New Roman"/>
          <w:kern w:val="0"/>
          <w:sz w:val="24"/>
          <w:szCs w:val="24"/>
          <w14:ligatures w14:val="none"/>
        </w:rPr>
        <w:t>lowest</w:t>
      </w:r>
      <w:r w:rsidR="0083009D">
        <w:rPr>
          <w:rFonts w:ascii="Times New Roman" w:eastAsia="Calibri" w:hAnsi="Times New Roman" w:cs="Times New Roman"/>
          <w:kern w:val="0"/>
          <w:sz w:val="24"/>
          <w:szCs w:val="24"/>
          <w14:ligatures w14:val="none"/>
        </w:rPr>
        <w:t xml:space="preserve"> </w:t>
      </w:r>
      <w:r w:rsidR="006E1714" w:rsidRPr="006E1714">
        <w:rPr>
          <w:rFonts w:ascii="Times New Roman" w:eastAsia="Calibri" w:hAnsi="Times New Roman" w:cs="Times New Roman"/>
          <w:kern w:val="0"/>
          <w:sz w:val="24"/>
          <w:szCs w:val="24"/>
          <w14:ligatures w14:val="none"/>
        </w:rPr>
        <w:t xml:space="preserve">achievable emissions rate technologies. As part of its authority over mobile sources, the EPA also regulated most motor </w:t>
      </w:r>
      <w:r w:rsidR="006E1714" w:rsidRPr="006E1714">
        <w:rPr>
          <w:rFonts w:ascii="Times New Roman" w:eastAsia="Calibri" w:hAnsi="Times New Roman" w:cs="Times New Roman"/>
          <w:kern w:val="0"/>
          <w:sz w:val="24"/>
          <w:szCs w:val="24"/>
          <w14:ligatures w14:val="none"/>
        </w:rPr>
        <w:lastRenderedPageBreak/>
        <w:t xml:space="preserve">vehicles, wielding the power to impose testing and certification requirements for engines and to require specific fuel formulations and additives. </w:t>
      </w:r>
    </w:p>
    <w:p w14:paraId="6A0268CD" w14:textId="256EA4BE" w:rsidR="006E1714" w:rsidRDefault="006E1714" w:rsidP="006E1714">
      <w:pPr>
        <w:shd w:val="clear" w:color="auto" w:fill="FFFFFF"/>
        <w:spacing w:after="0" w:line="360" w:lineRule="auto"/>
        <w:ind w:firstLine="720"/>
        <w:rPr>
          <w:rFonts w:ascii="Times New Roman" w:eastAsia="Calibri" w:hAnsi="Times New Roman" w:cs="Times New Roman"/>
          <w:kern w:val="0"/>
          <w:sz w:val="24"/>
          <w:szCs w:val="24"/>
          <w14:ligatures w14:val="none"/>
        </w:rPr>
      </w:pPr>
      <w:r w:rsidRPr="006E1714">
        <w:rPr>
          <w:rFonts w:ascii="Times New Roman" w:eastAsia="Calibri" w:hAnsi="Times New Roman" w:cs="Times New Roman"/>
          <w:kern w:val="0"/>
          <w:sz w:val="24"/>
          <w:szCs w:val="24"/>
          <w14:ligatures w14:val="none"/>
        </w:rPr>
        <w:t xml:space="preserve">The 1977 amendments introduced New Source Review, regulating new or modified sources of pollution in attainment counties that had not previously faced regulatory scrutiny. In nonattainment counties, new stationary sources of air pollution were required to offset emissions through acquisition of reductions by another facility. </w:t>
      </w:r>
    </w:p>
    <w:p w14:paraId="797B5D88" w14:textId="7B0EEA31" w:rsidR="006E1714" w:rsidRPr="006E1714" w:rsidRDefault="00C22B85" w:rsidP="00C22B85">
      <w:pPr>
        <w:spacing w:after="0" w:line="360" w:lineRule="auto"/>
        <w:ind w:firstLine="720"/>
        <w:rPr>
          <w:rFonts w:ascii="Times New Roman" w:eastAsia="Calibri" w:hAnsi="Times New Roman" w:cs="Times New Roman"/>
          <w:kern w:val="0"/>
          <w:sz w:val="24"/>
          <w:szCs w:val="24"/>
          <w14:ligatures w14:val="none"/>
        </w:rPr>
      </w:pPr>
      <w:r>
        <w:rPr>
          <w:rFonts w:ascii="Times New Roman" w:hAnsi="Times New Roman" w:cs="Times New Roman"/>
          <w:sz w:val="24"/>
          <w:szCs w:val="24"/>
        </w:rPr>
        <w:t xml:space="preserve">The Clean Air Act of 1970 and its amendments usually are asserted to pass any </w:t>
      </w:r>
      <w:r w:rsidRPr="00E86EE1">
        <w:rPr>
          <w:rFonts w:ascii="Times New Roman" w:hAnsi="Times New Roman" w:cs="Times New Roman"/>
          <w:i/>
          <w:iCs/>
          <w:sz w:val="24"/>
          <w:szCs w:val="24"/>
        </w:rPr>
        <w:t>ex</w:t>
      </w:r>
      <w:r>
        <w:rPr>
          <w:rFonts w:ascii="Times New Roman" w:hAnsi="Times New Roman" w:cs="Times New Roman"/>
          <w:i/>
          <w:iCs/>
          <w:sz w:val="24"/>
          <w:szCs w:val="24"/>
        </w:rPr>
        <w:t>-</w:t>
      </w:r>
      <w:r w:rsidRPr="00E86EE1">
        <w:rPr>
          <w:rFonts w:ascii="Times New Roman" w:hAnsi="Times New Roman" w:cs="Times New Roman"/>
          <w:i/>
          <w:iCs/>
          <w:sz w:val="24"/>
          <w:szCs w:val="24"/>
        </w:rPr>
        <w:t>post</w:t>
      </w:r>
      <w:r>
        <w:rPr>
          <w:rFonts w:ascii="Times New Roman" w:hAnsi="Times New Roman" w:cs="Times New Roman"/>
          <w:sz w:val="24"/>
          <w:szCs w:val="24"/>
        </w:rPr>
        <w:t xml:space="preserve"> cost/benefit assessment. The regulatory process, however, provides no effective instruments for determining </w:t>
      </w:r>
      <w:r w:rsidRPr="00E86EE1">
        <w:rPr>
          <w:rFonts w:ascii="Times New Roman" w:hAnsi="Times New Roman" w:cs="Times New Roman"/>
          <w:i/>
          <w:iCs/>
          <w:sz w:val="24"/>
          <w:szCs w:val="24"/>
        </w:rPr>
        <w:t>ex</w:t>
      </w:r>
      <w:r>
        <w:rPr>
          <w:rFonts w:ascii="Times New Roman" w:hAnsi="Times New Roman" w:cs="Times New Roman"/>
          <w:i/>
          <w:iCs/>
          <w:sz w:val="24"/>
          <w:szCs w:val="24"/>
        </w:rPr>
        <w:t>-</w:t>
      </w:r>
      <w:r w:rsidRPr="00E86EE1">
        <w:rPr>
          <w:rFonts w:ascii="Times New Roman" w:hAnsi="Times New Roman" w:cs="Times New Roman"/>
          <w:i/>
          <w:iCs/>
          <w:sz w:val="24"/>
          <w:szCs w:val="24"/>
        </w:rPr>
        <w:t>ante</w:t>
      </w:r>
      <w:r>
        <w:rPr>
          <w:rFonts w:ascii="Times New Roman" w:hAnsi="Times New Roman" w:cs="Times New Roman"/>
          <w:sz w:val="24"/>
          <w:szCs w:val="24"/>
        </w:rPr>
        <w:t xml:space="preserve"> efficient air quality levels across the country</w:t>
      </w:r>
      <w:r w:rsidR="00A47E4E">
        <w:rPr>
          <w:rFonts w:ascii="Times New Roman" w:hAnsi="Times New Roman" w:cs="Times New Roman"/>
          <w:sz w:val="24"/>
          <w:szCs w:val="24"/>
        </w:rPr>
        <w:t xml:space="preserve"> with its many heterogeneities in pollution, population, economic development, incomes, and terrain</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40"/>
      </w:r>
      <w:r>
        <w:rPr>
          <w:rFonts w:ascii="Times New Roman" w:hAnsi="Times New Roman" w:cs="Times New Roman"/>
          <w:sz w:val="24"/>
          <w:szCs w:val="24"/>
        </w:rPr>
        <w:t xml:space="preserve"> Air pollution targets or quality standards are set </w:t>
      </w:r>
      <w:r w:rsidR="0061694B">
        <w:rPr>
          <w:rFonts w:ascii="Times New Roman" w:hAnsi="Times New Roman" w:cs="Times New Roman"/>
          <w:sz w:val="24"/>
          <w:szCs w:val="24"/>
        </w:rPr>
        <w:t>nationwide</w:t>
      </w:r>
      <w:r>
        <w:rPr>
          <w:rFonts w:ascii="Times New Roman" w:hAnsi="Times New Roman" w:cs="Times New Roman"/>
          <w:sz w:val="24"/>
          <w:szCs w:val="24"/>
        </w:rPr>
        <w:t xml:space="preserve">, based on </w:t>
      </w:r>
      <w:r w:rsidRPr="00F04837">
        <w:rPr>
          <w:rFonts w:ascii="Times New Roman" w:hAnsi="Times New Roman" w:cs="Times New Roman"/>
          <w:color w:val="1A1A1A"/>
          <w:sz w:val="24"/>
          <w:szCs w:val="24"/>
          <w:shd w:val="clear" w:color="auto" w:fill="FFFFFF"/>
        </w:rPr>
        <w:t xml:space="preserve">epidemiological </w:t>
      </w:r>
      <w:r w:rsidR="0057113D">
        <w:rPr>
          <w:rFonts w:ascii="Times New Roman" w:hAnsi="Times New Roman" w:cs="Times New Roman"/>
          <w:color w:val="1A1A1A"/>
          <w:sz w:val="24"/>
          <w:szCs w:val="24"/>
          <w:shd w:val="clear" w:color="auto" w:fill="FFFFFF"/>
        </w:rPr>
        <w:t>estimates and engineering integrated assessments</w:t>
      </w:r>
      <w:r w:rsidR="0061694B">
        <w:rPr>
          <w:rFonts w:ascii="Times New Roman" w:hAnsi="Times New Roman" w:cs="Times New Roman"/>
          <w:color w:val="1A1A1A"/>
          <w:sz w:val="24"/>
          <w:szCs w:val="24"/>
          <w:shd w:val="clear" w:color="auto" w:fill="FFFFFF"/>
        </w:rPr>
        <w:t>. A</w:t>
      </w:r>
      <w:r>
        <w:rPr>
          <w:rFonts w:ascii="Times New Roman" w:hAnsi="Times New Roman" w:cs="Times New Roman"/>
          <w:color w:val="1A1A1A"/>
          <w:sz w:val="24"/>
          <w:szCs w:val="24"/>
          <w:shd w:val="clear" w:color="auto" w:fill="FFFFFF"/>
        </w:rPr>
        <w:t>ssociated costs play a secondary role</w:t>
      </w:r>
      <w:r w:rsidRPr="003842EE">
        <w:rPr>
          <w:rFonts w:ascii="Times New Roman" w:hAnsi="Times New Roman" w:cs="Times New Roman"/>
          <w:color w:val="1A1A1A"/>
          <w:sz w:val="24"/>
          <w:szCs w:val="24"/>
          <w:shd w:val="clear" w:color="auto" w:fill="FFFFFF"/>
        </w:rPr>
        <w:t xml:space="preserve">. There generally is no analysis of incremental benefits from gradual air quality </w:t>
      </w:r>
      <w:r w:rsidR="0061694B">
        <w:rPr>
          <w:rFonts w:ascii="Times New Roman" w:hAnsi="Times New Roman" w:cs="Times New Roman"/>
          <w:color w:val="1A1A1A"/>
          <w:sz w:val="24"/>
          <w:szCs w:val="24"/>
          <w:shd w:val="clear" w:color="auto" w:fill="FFFFFF"/>
        </w:rPr>
        <w:t>improvements</w:t>
      </w:r>
      <w:r w:rsidRPr="003842EE">
        <w:rPr>
          <w:rFonts w:ascii="Times New Roman" w:hAnsi="Times New Roman" w:cs="Times New Roman"/>
          <w:color w:val="1A1A1A"/>
          <w:sz w:val="24"/>
          <w:szCs w:val="24"/>
          <w:shd w:val="clear" w:color="auto" w:fill="FFFFFF"/>
        </w:rPr>
        <w:t xml:space="preserve"> relative to corresponding additional costs. </w:t>
      </w:r>
      <w:r w:rsidR="006E1714" w:rsidRPr="006E1714">
        <w:rPr>
          <w:rFonts w:ascii="Times New Roman" w:eastAsia="Calibri" w:hAnsi="Times New Roman" w:cs="Times New Roman"/>
          <w:kern w:val="0"/>
          <w:sz w:val="24"/>
          <w:szCs w:val="24"/>
          <w14:ligatures w14:val="none"/>
        </w:rPr>
        <w:t xml:space="preserve">Currie and Walker </w:t>
      </w:r>
      <w:r w:rsidR="00957363">
        <w:rPr>
          <w:rFonts w:ascii="Times New Roman" w:eastAsia="Calibri" w:hAnsi="Times New Roman" w:cs="Times New Roman"/>
          <w:kern w:val="0"/>
          <w:sz w:val="24"/>
          <w:szCs w:val="24"/>
          <w14:ligatures w14:val="none"/>
        </w:rPr>
        <w:t xml:space="preserve">(2019) </w:t>
      </w:r>
      <w:r w:rsidR="006E1714" w:rsidRPr="006E1714">
        <w:rPr>
          <w:rFonts w:ascii="Times New Roman" w:eastAsia="Calibri" w:hAnsi="Times New Roman" w:cs="Times New Roman"/>
          <w:kern w:val="0"/>
          <w:sz w:val="24"/>
          <w:szCs w:val="24"/>
          <w14:ligatures w14:val="none"/>
        </w:rPr>
        <w:t xml:space="preserve">conclude that the Clean Air Act successfully reduced regulated pollution, but caution that it is not possible to know exactly how </w:t>
      </w:r>
      <w:r w:rsidR="00D069C5" w:rsidRPr="006E1714">
        <w:rPr>
          <w:rFonts w:ascii="Times New Roman" w:eastAsia="Calibri" w:hAnsi="Times New Roman" w:cs="Times New Roman"/>
          <w:kern w:val="0"/>
          <w:sz w:val="24"/>
          <w:szCs w:val="24"/>
          <w14:ligatures w14:val="none"/>
        </w:rPr>
        <w:t>much</w:t>
      </w:r>
      <w:r w:rsidR="006E1714" w:rsidRPr="006E1714">
        <w:rPr>
          <w:rFonts w:ascii="Times New Roman" w:eastAsia="Calibri" w:hAnsi="Times New Roman" w:cs="Times New Roman"/>
          <w:kern w:val="0"/>
          <w:sz w:val="24"/>
          <w:szCs w:val="24"/>
          <w14:ligatures w14:val="none"/>
        </w:rPr>
        <w:t xml:space="preserve"> the reduction over the past 50 years can be attributed solely to the Clean Air Act.</w:t>
      </w:r>
      <w:r w:rsidR="00957363">
        <w:rPr>
          <w:rStyle w:val="FootnoteReference"/>
          <w:rFonts w:ascii="Times New Roman" w:eastAsia="Calibri" w:hAnsi="Times New Roman" w:cs="Times New Roman"/>
          <w:kern w:val="0"/>
          <w:sz w:val="24"/>
          <w:szCs w:val="24"/>
          <w14:ligatures w14:val="none"/>
        </w:rPr>
        <w:footnoteReference w:id="41"/>
      </w:r>
      <w:r w:rsidR="006E1714" w:rsidRPr="006E1714">
        <w:rPr>
          <w:rFonts w:ascii="Times New Roman" w:eastAsia="Calibri" w:hAnsi="Times New Roman" w:cs="Times New Roman"/>
          <w:kern w:val="0"/>
          <w:sz w:val="24"/>
          <w:szCs w:val="24"/>
          <w14:ligatures w14:val="none"/>
        </w:rPr>
        <w:t xml:space="preserve"> Benefits are due to health and related well-being gains, but there likely have been substantial costs, which have received less attention.</w:t>
      </w:r>
      <w:r w:rsidR="006E1714" w:rsidRPr="006E1714">
        <w:rPr>
          <w:rFonts w:ascii="Times New Roman" w:eastAsia="Calibri" w:hAnsi="Times New Roman" w:cs="Times New Roman"/>
          <w:kern w:val="0"/>
          <w:sz w:val="24"/>
          <w:szCs w:val="24"/>
          <w:vertAlign w:val="superscript"/>
          <w14:ligatures w14:val="none"/>
        </w:rPr>
        <w:footnoteReference w:id="42"/>
      </w:r>
      <w:r w:rsidR="006E1714" w:rsidRPr="006E1714">
        <w:rPr>
          <w:rFonts w:ascii="Times New Roman" w:eastAsia="Calibri" w:hAnsi="Times New Roman" w:cs="Times New Roman"/>
          <w:kern w:val="0"/>
          <w:sz w:val="24"/>
          <w:szCs w:val="24"/>
          <w14:ligatures w14:val="none"/>
        </w:rPr>
        <w:t xml:space="preserve"> </w:t>
      </w:r>
    </w:p>
    <w:p w14:paraId="21EE27AC" w14:textId="54766CB9" w:rsidR="008926DD" w:rsidRDefault="00D234F9" w:rsidP="008926DD">
      <w:pPr>
        <w:spacing w:after="0" w:line="360" w:lineRule="auto"/>
        <w:ind w:firstLine="720"/>
        <w:rPr>
          <w:rFonts w:ascii="Times New Roman" w:hAnsi="Times New Roman" w:cs="Times New Roman"/>
          <w:sz w:val="24"/>
          <w:szCs w:val="24"/>
        </w:rPr>
      </w:pPr>
      <w:r w:rsidRPr="00361F34">
        <w:rPr>
          <w:rFonts w:ascii="Times New Roman" w:hAnsi="Times New Roman" w:cs="Times New Roman"/>
          <w:color w:val="1A1A1A"/>
          <w:sz w:val="24"/>
          <w:szCs w:val="24"/>
          <w:shd w:val="clear" w:color="auto" w:fill="FFFFFF"/>
        </w:rPr>
        <w:t>Accordingly, one cannot conclude that even if the C</w:t>
      </w:r>
      <w:r w:rsidR="00C22B85">
        <w:rPr>
          <w:rFonts w:ascii="Times New Roman" w:hAnsi="Times New Roman" w:cs="Times New Roman"/>
          <w:color w:val="1A1A1A"/>
          <w:sz w:val="24"/>
          <w:szCs w:val="24"/>
          <w:shd w:val="clear" w:color="auto" w:fill="FFFFFF"/>
        </w:rPr>
        <w:t xml:space="preserve">lean Air Act </w:t>
      </w:r>
      <w:r w:rsidRPr="00361F34">
        <w:rPr>
          <w:rFonts w:ascii="Times New Roman" w:hAnsi="Times New Roman" w:cs="Times New Roman"/>
          <w:color w:val="1A1A1A"/>
          <w:sz w:val="24"/>
          <w:szCs w:val="24"/>
          <w:shd w:val="clear" w:color="auto" w:fill="FFFFFF"/>
        </w:rPr>
        <w:t>air quality standards provide general benefits exceeding aggregate costs that the regulations are socially optimal. They may or may not be</w:t>
      </w:r>
      <w:r w:rsidR="00C22B85">
        <w:rPr>
          <w:rFonts w:ascii="Times New Roman" w:hAnsi="Times New Roman" w:cs="Times New Roman"/>
          <w:color w:val="1A1A1A"/>
          <w:sz w:val="24"/>
          <w:szCs w:val="24"/>
          <w:shd w:val="clear" w:color="auto" w:fill="FFFFFF"/>
        </w:rPr>
        <w:t>,</w:t>
      </w:r>
      <w:r w:rsidRPr="00361F34">
        <w:rPr>
          <w:rFonts w:ascii="Times New Roman" w:hAnsi="Times New Roman" w:cs="Times New Roman"/>
          <w:color w:val="1A1A1A"/>
          <w:sz w:val="24"/>
          <w:szCs w:val="24"/>
          <w:shd w:val="clear" w:color="auto" w:fill="FFFFFF"/>
        </w:rPr>
        <w:t xml:space="preserve"> with the outcomes varying dramatically across the country</w:t>
      </w:r>
      <w:r w:rsidR="00A47E4E">
        <w:rPr>
          <w:rFonts w:ascii="Times New Roman" w:hAnsi="Times New Roman" w:cs="Times New Roman"/>
          <w:color w:val="1A1A1A"/>
          <w:sz w:val="24"/>
          <w:szCs w:val="24"/>
          <w:shd w:val="clear" w:color="auto" w:fill="FFFFFF"/>
        </w:rPr>
        <w:t xml:space="preserve">. </w:t>
      </w:r>
      <w:r w:rsidR="005902A1">
        <w:rPr>
          <w:rFonts w:ascii="Times New Roman" w:hAnsi="Times New Roman" w:cs="Times New Roman"/>
          <w:color w:val="1A1A1A"/>
          <w:sz w:val="24"/>
          <w:szCs w:val="24"/>
          <w:shd w:val="clear" w:color="auto" w:fill="FFFFFF"/>
        </w:rPr>
        <w:t>T</w:t>
      </w:r>
      <w:r w:rsidRPr="00361F34">
        <w:rPr>
          <w:rFonts w:ascii="Times New Roman" w:hAnsi="Times New Roman" w:cs="Times New Roman"/>
          <w:sz w:val="24"/>
          <w:szCs w:val="24"/>
        </w:rPr>
        <w:t>here is no consideration of what the baseline alternative air quality might have been with local Coasean bargaining in the absence of the legislation.</w:t>
      </w:r>
      <w:r w:rsidRPr="00361F34">
        <w:rPr>
          <w:rFonts w:ascii="Times New Roman" w:hAnsi="Times New Roman" w:cs="Times New Roman"/>
          <w:sz w:val="24"/>
          <w:szCs w:val="24"/>
          <w:vertAlign w:val="superscript"/>
        </w:rPr>
        <w:footnoteReference w:id="43"/>
      </w:r>
      <w:r w:rsidRPr="00361F34">
        <w:rPr>
          <w:rFonts w:ascii="Times New Roman" w:hAnsi="Times New Roman" w:cs="Times New Roman"/>
          <w:sz w:val="24"/>
          <w:szCs w:val="24"/>
        </w:rPr>
        <w:t xml:space="preserve"> Would communities have had </w:t>
      </w:r>
      <w:r w:rsidR="00A1073A" w:rsidRPr="00361F34">
        <w:rPr>
          <w:rFonts w:ascii="Times New Roman" w:hAnsi="Times New Roman" w:cs="Times New Roman"/>
          <w:sz w:val="24"/>
          <w:szCs w:val="24"/>
        </w:rPr>
        <w:t>no,</w:t>
      </w:r>
      <w:r w:rsidRPr="00361F34">
        <w:rPr>
          <w:rFonts w:ascii="Times New Roman" w:hAnsi="Times New Roman" w:cs="Times New Roman"/>
          <w:sz w:val="24"/>
          <w:szCs w:val="24"/>
        </w:rPr>
        <w:t xml:space="preserve"> or very limited air quality improvements</w:t>
      </w:r>
      <w:r w:rsidR="00A1073A">
        <w:rPr>
          <w:rFonts w:ascii="Times New Roman" w:hAnsi="Times New Roman" w:cs="Times New Roman"/>
          <w:sz w:val="24"/>
          <w:szCs w:val="24"/>
        </w:rPr>
        <w:t xml:space="preserve"> in the absence of the </w:t>
      </w:r>
      <w:r w:rsidRPr="00361F34">
        <w:rPr>
          <w:rFonts w:ascii="Times New Roman" w:hAnsi="Times New Roman" w:cs="Times New Roman"/>
          <w:sz w:val="24"/>
          <w:szCs w:val="24"/>
        </w:rPr>
        <w:t xml:space="preserve">Clean Air Act? </w:t>
      </w:r>
    </w:p>
    <w:p w14:paraId="1B0C7BE4" w14:textId="25F90ED9" w:rsidR="00C22B85" w:rsidRPr="00361F34" w:rsidRDefault="008926DD" w:rsidP="00C22B85">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G</w:t>
      </w:r>
      <w:r w:rsidR="00D234F9" w:rsidRPr="00361F34">
        <w:rPr>
          <w:rFonts w:ascii="Times New Roman" w:hAnsi="Times New Roman" w:cs="Times New Roman"/>
          <w:sz w:val="24"/>
          <w:szCs w:val="24"/>
        </w:rPr>
        <w:t xml:space="preserve">iven the many estimated </w:t>
      </w:r>
      <w:r w:rsidR="0061694B">
        <w:rPr>
          <w:rFonts w:ascii="Times New Roman" w:hAnsi="Times New Roman" w:cs="Times New Roman"/>
          <w:sz w:val="24"/>
          <w:szCs w:val="24"/>
        </w:rPr>
        <w:t xml:space="preserve">gains from </w:t>
      </w:r>
      <w:r w:rsidR="00D234F9" w:rsidRPr="00361F34">
        <w:rPr>
          <w:rFonts w:ascii="Times New Roman" w:hAnsi="Times New Roman" w:cs="Times New Roman"/>
          <w:sz w:val="24"/>
          <w:szCs w:val="24"/>
        </w:rPr>
        <w:t xml:space="preserve">improved air quality, an assumption of no local action without the </w:t>
      </w:r>
      <w:r w:rsidR="00A47E4E">
        <w:rPr>
          <w:rFonts w:ascii="Times New Roman" w:hAnsi="Times New Roman" w:cs="Times New Roman"/>
          <w:sz w:val="24"/>
          <w:szCs w:val="24"/>
        </w:rPr>
        <w:t>Clean Air Act s</w:t>
      </w:r>
      <w:r w:rsidR="00D234F9" w:rsidRPr="00361F34">
        <w:rPr>
          <w:rFonts w:ascii="Times New Roman" w:hAnsi="Times New Roman" w:cs="Times New Roman"/>
          <w:sz w:val="24"/>
          <w:szCs w:val="24"/>
        </w:rPr>
        <w:t>eems un</w:t>
      </w:r>
      <w:r w:rsidR="0083009D">
        <w:rPr>
          <w:rFonts w:ascii="Times New Roman" w:hAnsi="Times New Roman" w:cs="Times New Roman"/>
          <w:sz w:val="24"/>
          <w:szCs w:val="24"/>
        </w:rPr>
        <w:t>founded</w:t>
      </w:r>
      <w:r w:rsidR="00D234F9" w:rsidRPr="00361F34">
        <w:rPr>
          <w:rFonts w:ascii="Times New Roman" w:hAnsi="Times New Roman" w:cs="Times New Roman"/>
          <w:sz w:val="24"/>
          <w:szCs w:val="24"/>
        </w:rPr>
        <w:t>.</w:t>
      </w:r>
      <w:r w:rsidR="00D234F9" w:rsidRPr="00361F34">
        <w:rPr>
          <w:rFonts w:ascii="Times New Roman" w:hAnsi="Times New Roman" w:cs="Times New Roman"/>
          <w:color w:val="1A1A1A"/>
          <w:sz w:val="24"/>
          <w:szCs w:val="24"/>
          <w:shd w:val="clear" w:color="auto" w:fill="FFFFFF"/>
          <w:vertAlign w:val="superscript"/>
        </w:rPr>
        <w:footnoteReference w:id="44"/>
      </w:r>
      <w:r w:rsidR="00D234F9" w:rsidRPr="00361F34">
        <w:rPr>
          <w:rFonts w:ascii="Times New Roman" w:hAnsi="Times New Roman" w:cs="Times New Roman"/>
          <w:color w:val="1A1A1A"/>
          <w:sz w:val="24"/>
          <w:szCs w:val="24"/>
          <w:shd w:val="clear" w:color="auto" w:fill="FFFFFF"/>
        </w:rPr>
        <w:t xml:space="preserve"> A Coasean approach would have </w:t>
      </w:r>
      <w:r w:rsidR="00BB5E86" w:rsidRPr="00361F34">
        <w:rPr>
          <w:rFonts w:ascii="Times New Roman" w:hAnsi="Times New Roman" w:cs="Times New Roman"/>
          <w:color w:val="1A1A1A"/>
          <w:sz w:val="24"/>
          <w:szCs w:val="24"/>
          <w:shd w:val="clear" w:color="auto" w:fill="FFFFFF"/>
        </w:rPr>
        <w:t>allowed</w:t>
      </w:r>
      <w:r w:rsidR="00D234F9" w:rsidRPr="00361F34">
        <w:rPr>
          <w:rFonts w:ascii="Times New Roman" w:hAnsi="Times New Roman" w:cs="Times New Roman"/>
          <w:color w:val="1A1A1A"/>
          <w:sz w:val="24"/>
          <w:szCs w:val="24"/>
          <w:shd w:val="clear" w:color="auto" w:fill="FFFFFF"/>
        </w:rPr>
        <w:t xml:space="preserve"> </w:t>
      </w:r>
      <w:r w:rsidR="00D234F9" w:rsidRPr="00361F34">
        <w:rPr>
          <w:rFonts w:ascii="Times New Roman" w:hAnsi="Times New Roman" w:cs="Times New Roman"/>
          <w:color w:val="1A1A1A"/>
          <w:sz w:val="24"/>
          <w:szCs w:val="24"/>
          <w:shd w:val="clear" w:color="auto" w:fill="FFFFFF"/>
        </w:rPr>
        <w:lastRenderedPageBreak/>
        <w:t xml:space="preserve">negotiations to set air quality standards with parties weighing health and other economic benefits with </w:t>
      </w:r>
      <w:r w:rsidR="0061694B">
        <w:rPr>
          <w:rFonts w:ascii="Times New Roman" w:hAnsi="Times New Roman" w:cs="Times New Roman"/>
          <w:color w:val="1A1A1A"/>
          <w:sz w:val="24"/>
          <w:szCs w:val="24"/>
          <w:shd w:val="clear" w:color="auto" w:fill="FFFFFF"/>
        </w:rPr>
        <w:t xml:space="preserve">imposed </w:t>
      </w:r>
      <w:r w:rsidR="00D234F9" w:rsidRPr="00361F34">
        <w:rPr>
          <w:rFonts w:ascii="Times New Roman" w:hAnsi="Times New Roman" w:cs="Times New Roman"/>
          <w:color w:val="1A1A1A"/>
          <w:sz w:val="24"/>
          <w:szCs w:val="24"/>
          <w:shd w:val="clear" w:color="auto" w:fill="FFFFFF"/>
        </w:rPr>
        <w:t xml:space="preserve">economic costs. These marginal benefit/cost discussions would </w:t>
      </w:r>
      <w:r w:rsidR="0061694B">
        <w:rPr>
          <w:rFonts w:ascii="Times New Roman" w:hAnsi="Times New Roman" w:cs="Times New Roman"/>
          <w:color w:val="1A1A1A"/>
          <w:sz w:val="24"/>
          <w:szCs w:val="24"/>
          <w:shd w:val="clear" w:color="auto" w:fill="FFFFFF"/>
        </w:rPr>
        <w:t xml:space="preserve">have </w:t>
      </w:r>
      <w:r w:rsidR="00D234F9" w:rsidRPr="00361F34">
        <w:rPr>
          <w:rFonts w:ascii="Times New Roman" w:hAnsi="Times New Roman" w:cs="Times New Roman"/>
          <w:color w:val="1A1A1A"/>
          <w:sz w:val="24"/>
          <w:szCs w:val="24"/>
          <w:shd w:val="clear" w:color="auto" w:fill="FFFFFF"/>
        </w:rPr>
        <w:t>include</w:t>
      </w:r>
      <w:r w:rsidR="0061694B">
        <w:rPr>
          <w:rFonts w:ascii="Times New Roman" w:hAnsi="Times New Roman" w:cs="Times New Roman"/>
          <w:color w:val="1A1A1A"/>
          <w:sz w:val="24"/>
          <w:szCs w:val="24"/>
          <w:shd w:val="clear" w:color="auto" w:fill="FFFFFF"/>
        </w:rPr>
        <w:t>d the</w:t>
      </w:r>
      <w:r w:rsidR="00D234F9" w:rsidRPr="00361F34">
        <w:rPr>
          <w:rFonts w:ascii="Times New Roman" w:hAnsi="Times New Roman" w:cs="Times New Roman"/>
          <w:color w:val="1A1A1A"/>
          <w:sz w:val="24"/>
          <w:szCs w:val="24"/>
          <w:shd w:val="clear" w:color="auto" w:fill="FFFFFF"/>
        </w:rPr>
        <w:t xml:space="preserve"> effects of proposed air quality restrictions on existing plants, new facilities, and associated employment a</w:t>
      </w:r>
      <w:r w:rsidR="0061694B">
        <w:rPr>
          <w:rFonts w:ascii="Times New Roman" w:hAnsi="Times New Roman" w:cs="Times New Roman"/>
          <w:color w:val="1A1A1A"/>
          <w:sz w:val="24"/>
          <w:szCs w:val="24"/>
          <w:shd w:val="clear" w:color="auto" w:fill="FFFFFF"/>
        </w:rPr>
        <w:t xml:space="preserve">s well as on </w:t>
      </w:r>
      <w:r w:rsidR="00D234F9" w:rsidRPr="00361F34">
        <w:rPr>
          <w:rFonts w:ascii="Times New Roman" w:hAnsi="Times New Roman" w:cs="Times New Roman"/>
          <w:color w:val="1A1A1A"/>
          <w:sz w:val="24"/>
          <w:szCs w:val="24"/>
          <w:shd w:val="clear" w:color="auto" w:fill="FFFFFF"/>
        </w:rPr>
        <w:t xml:space="preserve">overall economic activity, relative to estimated health and other improvements. These factors would be weighed by communities in determining </w:t>
      </w:r>
      <w:r w:rsidR="0061694B">
        <w:rPr>
          <w:rFonts w:ascii="Times New Roman" w:hAnsi="Times New Roman" w:cs="Times New Roman"/>
          <w:color w:val="1A1A1A"/>
          <w:sz w:val="24"/>
          <w:szCs w:val="24"/>
          <w:shd w:val="clear" w:color="auto" w:fill="FFFFFF"/>
        </w:rPr>
        <w:t xml:space="preserve">what </w:t>
      </w:r>
      <w:r w:rsidR="00D234F9" w:rsidRPr="00361F34">
        <w:rPr>
          <w:rFonts w:ascii="Times New Roman" w:hAnsi="Times New Roman" w:cs="Times New Roman"/>
          <w:color w:val="1A1A1A"/>
          <w:sz w:val="24"/>
          <w:szCs w:val="24"/>
          <w:shd w:val="clear" w:color="auto" w:fill="FFFFFF"/>
        </w:rPr>
        <w:t>air quality standards</w:t>
      </w:r>
      <w:r w:rsidR="0061694B">
        <w:rPr>
          <w:rFonts w:ascii="Times New Roman" w:hAnsi="Times New Roman" w:cs="Times New Roman"/>
          <w:color w:val="1A1A1A"/>
          <w:sz w:val="24"/>
          <w:szCs w:val="24"/>
          <w:shd w:val="clear" w:color="auto" w:fill="FFFFFF"/>
        </w:rPr>
        <w:t xml:space="preserve"> they desired, </w:t>
      </w:r>
      <w:r w:rsidR="00D234F9" w:rsidRPr="00361F34">
        <w:rPr>
          <w:rFonts w:ascii="Times New Roman" w:hAnsi="Times New Roman" w:cs="Times New Roman"/>
          <w:color w:val="1A1A1A"/>
          <w:sz w:val="24"/>
          <w:szCs w:val="24"/>
          <w:shd w:val="clear" w:color="auto" w:fill="FFFFFF"/>
        </w:rPr>
        <w:t xml:space="preserve">not </w:t>
      </w:r>
      <w:r w:rsidR="0061694B">
        <w:rPr>
          <w:rFonts w:ascii="Times New Roman" w:hAnsi="Times New Roman" w:cs="Times New Roman"/>
          <w:color w:val="1A1A1A"/>
          <w:sz w:val="24"/>
          <w:szCs w:val="24"/>
          <w:shd w:val="clear" w:color="auto" w:fill="FFFFFF"/>
        </w:rPr>
        <w:t xml:space="preserve">as a </w:t>
      </w:r>
      <w:r w:rsidR="00D234F9" w:rsidRPr="00361F34">
        <w:rPr>
          <w:rFonts w:ascii="Times New Roman" w:hAnsi="Times New Roman" w:cs="Times New Roman"/>
          <w:color w:val="1A1A1A"/>
          <w:sz w:val="24"/>
          <w:szCs w:val="24"/>
          <w:shd w:val="clear" w:color="auto" w:fill="FFFFFF"/>
        </w:rPr>
        <w:t>reaction to those set exogenously.</w:t>
      </w:r>
      <w:r w:rsidR="007312F0">
        <w:rPr>
          <w:rFonts w:ascii="Times New Roman" w:hAnsi="Times New Roman" w:cs="Times New Roman"/>
          <w:color w:val="1A1A1A"/>
          <w:sz w:val="24"/>
          <w:szCs w:val="24"/>
          <w:shd w:val="clear" w:color="auto" w:fill="FFFFFF"/>
        </w:rPr>
        <w:t xml:space="preserve"> A </w:t>
      </w:r>
      <w:r w:rsidR="00C22B85" w:rsidRPr="00361F34">
        <w:rPr>
          <w:rFonts w:ascii="Times New Roman" w:hAnsi="Times New Roman" w:cs="Times New Roman"/>
          <w:sz w:val="24"/>
          <w:szCs w:val="24"/>
        </w:rPr>
        <w:t>Coase</w:t>
      </w:r>
      <w:r w:rsidR="007312F0">
        <w:rPr>
          <w:rFonts w:ascii="Times New Roman" w:hAnsi="Times New Roman" w:cs="Times New Roman"/>
          <w:sz w:val="24"/>
          <w:szCs w:val="24"/>
        </w:rPr>
        <w:t>an framework</w:t>
      </w:r>
      <w:r w:rsidR="00C22B85" w:rsidRPr="00361F34">
        <w:rPr>
          <w:rFonts w:ascii="Times New Roman" w:hAnsi="Times New Roman" w:cs="Times New Roman"/>
          <w:sz w:val="24"/>
          <w:szCs w:val="24"/>
        </w:rPr>
        <w:t xml:space="preserve"> would have been more open; generated more information on costs and benefits and their distributions; and left less role for politicians, administrative agencies, and </w:t>
      </w:r>
      <w:r>
        <w:rPr>
          <w:rFonts w:ascii="Times New Roman" w:hAnsi="Times New Roman" w:cs="Times New Roman"/>
          <w:sz w:val="24"/>
          <w:szCs w:val="24"/>
        </w:rPr>
        <w:t xml:space="preserve">national </w:t>
      </w:r>
      <w:r w:rsidR="00C22B85" w:rsidRPr="00361F34">
        <w:rPr>
          <w:rFonts w:ascii="Times New Roman" w:hAnsi="Times New Roman" w:cs="Times New Roman"/>
          <w:sz w:val="24"/>
          <w:szCs w:val="24"/>
        </w:rPr>
        <w:t>advocacy groups.</w:t>
      </w:r>
      <w:r>
        <w:rPr>
          <w:rFonts w:ascii="Times New Roman" w:hAnsi="Times New Roman" w:cs="Times New Roman"/>
          <w:sz w:val="24"/>
          <w:szCs w:val="24"/>
        </w:rPr>
        <w:t xml:space="preserve"> </w:t>
      </w:r>
    </w:p>
    <w:p w14:paraId="01E8D9AE" w14:textId="4BA31A0A" w:rsidR="00702CC6" w:rsidRDefault="00702CC6" w:rsidP="00702CC6">
      <w:pPr>
        <w:shd w:val="clear" w:color="auto" w:fill="FFFFFF"/>
        <w:spacing w:after="0" w:line="360" w:lineRule="auto"/>
        <w:ind w:firstLine="720"/>
        <w:rPr>
          <w:rFonts w:ascii="Times New Roman" w:hAnsi="Times New Roman" w:cs="Times New Roman"/>
          <w:color w:val="1A1A1A"/>
          <w:sz w:val="24"/>
          <w:szCs w:val="24"/>
          <w:shd w:val="clear" w:color="auto" w:fill="FFFFFF"/>
        </w:rPr>
      </w:pPr>
      <w:r w:rsidRPr="00702CC6">
        <w:rPr>
          <w:rFonts w:ascii="Times New Roman" w:eastAsia="Calibri" w:hAnsi="Times New Roman" w:cs="Times New Roman"/>
          <w:kern w:val="0"/>
          <w:sz w:val="24"/>
          <w:szCs w:val="24"/>
          <w14:ligatures w14:val="none"/>
        </w:rPr>
        <w:t>The issue of costs in responding to air quality mandates was raised in 1976 when three coal</w:t>
      </w:r>
      <w:r w:rsidR="0083009D">
        <w:rPr>
          <w:rFonts w:ascii="Times New Roman" w:eastAsia="Calibri" w:hAnsi="Times New Roman" w:cs="Times New Roman"/>
          <w:kern w:val="0"/>
          <w:sz w:val="24"/>
          <w:szCs w:val="24"/>
          <w14:ligatures w14:val="none"/>
        </w:rPr>
        <w:t xml:space="preserve"> </w:t>
      </w:r>
      <w:r w:rsidRPr="00702CC6">
        <w:rPr>
          <w:rFonts w:ascii="Times New Roman" w:eastAsia="Calibri" w:hAnsi="Times New Roman" w:cs="Times New Roman"/>
          <w:kern w:val="0"/>
          <w:sz w:val="24"/>
          <w:szCs w:val="24"/>
          <w14:ligatures w14:val="none"/>
        </w:rPr>
        <w:t xml:space="preserve">fired power plants in the St. Louis area, a nonattainment county, petitioned the D.C. Circuit Court, arguing that compliance was impossible. The DC Court and subsequently the US Supreme Court dismissed requests for relief based on costs. The DC court stated </w:t>
      </w:r>
      <w:r w:rsidRPr="00702CC6">
        <w:rPr>
          <w:rFonts w:ascii="Times New Roman" w:eastAsia="Times New Roman" w:hAnsi="Times New Roman" w:cs="Times New Roman"/>
          <w:color w:val="000000"/>
          <w:sz w:val="24"/>
          <w:szCs w:val="24"/>
        </w:rPr>
        <w:t>that “claims of economic and technological infeasibility could not properly provide a basis for the Administrator’s rejecting a plan.”</w:t>
      </w:r>
      <w:r w:rsidRPr="00702CC6">
        <w:rPr>
          <w:rFonts w:ascii="Times New Roman" w:eastAsia="Times New Roman" w:hAnsi="Times New Roman" w:cs="Times New Roman"/>
          <w:color w:val="000000"/>
          <w:sz w:val="24"/>
          <w:szCs w:val="24"/>
          <w:vertAlign w:val="superscript"/>
        </w:rPr>
        <w:footnoteReference w:id="45"/>
      </w:r>
      <w:r w:rsidRPr="00702CC6">
        <w:rPr>
          <w:rFonts w:ascii="Times New Roman" w:eastAsia="Times New Roman" w:hAnsi="Times New Roman" w:cs="Times New Roman"/>
          <w:color w:val="000000"/>
          <w:sz w:val="24"/>
          <w:szCs w:val="24"/>
          <w:vertAlign w:val="superscript"/>
        </w:rPr>
        <w:t xml:space="preserve"> </w:t>
      </w:r>
      <w:r w:rsidRPr="00702CC6">
        <w:rPr>
          <w:rFonts w:ascii="Times New Roman" w:eastAsia="Times New Roman" w:hAnsi="Times New Roman" w:cs="Times New Roman"/>
          <w:color w:val="000000"/>
          <w:sz w:val="24"/>
          <w:szCs w:val="24"/>
        </w:rPr>
        <w:t xml:space="preserve">The EPA’s lack of consideration of economic costs was upheld. The Supreme Court held that that “Congress intended claims of economic and technological infeasibility </w:t>
      </w:r>
      <w:r w:rsidRPr="00702CC6">
        <w:rPr>
          <w:rFonts w:ascii="Times New Roman" w:eastAsia="Times New Roman" w:hAnsi="Times New Roman" w:cs="Times New Roman"/>
          <w:i/>
          <w:iCs/>
          <w:color w:val="000000"/>
          <w:sz w:val="24"/>
          <w:szCs w:val="24"/>
        </w:rPr>
        <w:t>to be wholly foreign</w:t>
      </w:r>
      <w:r w:rsidRPr="00702CC6">
        <w:rPr>
          <w:rFonts w:ascii="Times New Roman" w:eastAsia="Times New Roman" w:hAnsi="Times New Roman" w:cs="Times New Roman"/>
          <w:color w:val="000000"/>
          <w:sz w:val="24"/>
          <w:szCs w:val="24"/>
        </w:rPr>
        <w:t xml:space="preserve"> to the Administrator’s consideration of a state implementation plan,” </w:t>
      </w:r>
      <w:r w:rsidR="0057113D">
        <w:rPr>
          <w:rFonts w:ascii="Times New Roman" w:eastAsia="Times New Roman" w:hAnsi="Times New Roman" w:cs="Times New Roman"/>
          <w:color w:val="000000"/>
          <w:sz w:val="24"/>
          <w:szCs w:val="24"/>
        </w:rPr>
        <w:t>(</w:t>
      </w:r>
      <w:r w:rsidRPr="00702CC6">
        <w:rPr>
          <w:rFonts w:ascii="Times New Roman" w:eastAsia="Times New Roman" w:hAnsi="Times New Roman" w:cs="Times New Roman"/>
          <w:i/>
          <w:kern w:val="0"/>
          <w:sz w:val="24"/>
          <w:szCs w:val="24"/>
          <w14:ligatures w14:val="none"/>
        </w:rPr>
        <w:t>Union Elec. Co.</w:t>
      </w:r>
      <w:r w:rsidRPr="00702CC6">
        <w:rPr>
          <w:rFonts w:ascii="Times New Roman" w:eastAsia="Times New Roman" w:hAnsi="Times New Roman" w:cs="Times New Roman"/>
          <w:kern w:val="0"/>
          <w:sz w:val="24"/>
          <w:szCs w:val="24"/>
          <w14:ligatures w14:val="none"/>
        </w:rPr>
        <w:t xml:space="preserve">, 427 U.S. at 256, italics added). </w:t>
      </w:r>
      <w:r>
        <w:rPr>
          <w:rFonts w:ascii="Times New Roman" w:eastAsia="Times New Roman" w:hAnsi="Times New Roman" w:cs="Times New Roman"/>
          <w:kern w:val="0"/>
          <w:sz w:val="24"/>
          <w:szCs w:val="24"/>
          <w14:ligatures w14:val="none"/>
        </w:rPr>
        <w:t xml:space="preserve">Further, </w:t>
      </w:r>
      <w:r w:rsidRPr="00702CC6">
        <w:rPr>
          <w:rFonts w:ascii="Times New Roman" w:eastAsia="Times New Roman" w:hAnsi="Times New Roman" w:cs="Times New Roman"/>
          <w:color w:val="1B1B1B"/>
          <w:kern w:val="0"/>
          <w:sz w:val="24"/>
          <w:szCs w:val="24"/>
          <w14:ligatures w14:val="none"/>
        </w:rPr>
        <w:t xml:space="preserve">in </w:t>
      </w:r>
      <w:r w:rsidRPr="00702CC6">
        <w:rPr>
          <w:rFonts w:ascii="Times New Roman" w:eastAsia="Calibri" w:hAnsi="Times New Roman" w:cs="Times New Roman"/>
          <w:kern w:val="0"/>
          <w:sz w:val="24"/>
          <w:szCs w:val="24"/>
          <w:shd w:val="clear" w:color="auto" w:fill="FFFFFF"/>
          <w14:ligatures w14:val="none"/>
        </w:rPr>
        <w:t xml:space="preserve">1997 the EPA revised the </w:t>
      </w:r>
      <w:r w:rsidRPr="00702CC6">
        <w:rPr>
          <w:rFonts w:ascii="Times New Roman" w:eastAsia="Calibri" w:hAnsi="Times New Roman" w:cs="Times New Roman"/>
          <w:spacing w:val="-5"/>
          <w:kern w:val="0"/>
          <w:sz w:val="24"/>
          <w:szCs w:val="24"/>
          <w:shd w:val="clear" w:color="auto" w:fill="FFFFFF"/>
          <w14:ligatures w14:val="none"/>
        </w:rPr>
        <w:t>NAAQS for particulates and ozone, and the A</w:t>
      </w:r>
      <w:r w:rsidRPr="00702CC6">
        <w:rPr>
          <w:rFonts w:ascii="Times New Roman" w:eastAsia="Calibri" w:hAnsi="Times New Roman" w:cs="Times New Roman"/>
          <w:kern w:val="0"/>
          <w:sz w:val="24"/>
          <w:szCs w:val="24"/>
          <w:shd w:val="clear" w:color="auto" w:fill="FEFEFE"/>
          <w14:ligatures w14:val="none"/>
        </w:rPr>
        <w:t>merican Trucking Associations, Inc.</w:t>
      </w:r>
      <w:r w:rsidR="0061694B">
        <w:rPr>
          <w:rFonts w:ascii="Times New Roman" w:eastAsia="Calibri" w:hAnsi="Times New Roman" w:cs="Times New Roman"/>
          <w:kern w:val="0"/>
          <w:sz w:val="24"/>
          <w:szCs w:val="24"/>
          <w:shd w:val="clear" w:color="auto" w:fill="FEFEFE"/>
          <w14:ligatures w14:val="none"/>
        </w:rPr>
        <w:t>,</w:t>
      </w:r>
      <w:r w:rsidRPr="00702CC6">
        <w:rPr>
          <w:rFonts w:ascii="Times New Roman" w:eastAsia="Calibri" w:hAnsi="Times New Roman" w:cs="Times New Roman"/>
          <w:kern w:val="0"/>
          <w:sz w:val="24"/>
          <w:szCs w:val="24"/>
          <w:shd w:val="clear" w:color="auto" w:fill="FEFEFE"/>
          <w14:ligatures w14:val="none"/>
        </w:rPr>
        <w:t xml:space="preserve"> other private </w:t>
      </w:r>
      <w:r w:rsidR="0083009D">
        <w:rPr>
          <w:rFonts w:ascii="Times New Roman" w:eastAsia="Calibri" w:hAnsi="Times New Roman" w:cs="Times New Roman"/>
          <w:kern w:val="0"/>
          <w:sz w:val="24"/>
          <w:szCs w:val="24"/>
          <w:shd w:val="clear" w:color="auto" w:fill="FEFEFE"/>
          <w14:ligatures w14:val="none"/>
        </w:rPr>
        <w:t>organizations</w:t>
      </w:r>
      <w:r w:rsidRPr="00702CC6">
        <w:rPr>
          <w:rFonts w:ascii="Times New Roman" w:eastAsia="Calibri" w:hAnsi="Times New Roman" w:cs="Times New Roman"/>
          <w:kern w:val="0"/>
          <w:sz w:val="24"/>
          <w:szCs w:val="24"/>
          <w:shd w:val="clear" w:color="auto" w:fill="FEFEFE"/>
          <w14:ligatures w14:val="none"/>
        </w:rPr>
        <w:t xml:space="preserve">, </w:t>
      </w:r>
      <w:r w:rsidR="0083009D">
        <w:rPr>
          <w:rFonts w:ascii="Times New Roman" w:eastAsia="Calibri" w:hAnsi="Times New Roman" w:cs="Times New Roman"/>
          <w:kern w:val="0"/>
          <w:sz w:val="24"/>
          <w:szCs w:val="24"/>
          <w:shd w:val="clear" w:color="auto" w:fill="FEFEFE"/>
          <w14:ligatures w14:val="none"/>
        </w:rPr>
        <w:t xml:space="preserve">as well as </w:t>
      </w:r>
      <w:r w:rsidRPr="00702CC6">
        <w:rPr>
          <w:rFonts w:ascii="Times New Roman" w:eastAsia="Calibri" w:hAnsi="Times New Roman" w:cs="Times New Roman"/>
          <w:kern w:val="0"/>
          <w:sz w:val="24"/>
          <w:szCs w:val="24"/>
          <w:shd w:val="clear" w:color="auto" w:fill="FEFEFE"/>
          <w14:ligatures w14:val="none"/>
        </w:rPr>
        <w:t xml:space="preserve">the States of Michigan, Ohio, and West Virginia challenged the new standards. In </w:t>
      </w:r>
      <w:r w:rsidRPr="00702CC6">
        <w:rPr>
          <w:rFonts w:ascii="Times New Roman" w:hAnsi="Times New Roman" w:cs="Times New Roman"/>
          <w:i/>
          <w:iCs/>
          <w:color w:val="1A1A1A"/>
          <w:sz w:val="24"/>
          <w:szCs w:val="24"/>
          <w:shd w:val="clear" w:color="auto" w:fill="FFFFFF"/>
        </w:rPr>
        <w:t>Whitman v. American Trucking</w:t>
      </w:r>
      <w:r w:rsidRPr="00702CC6">
        <w:rPr>
          <w:rFonts w:ascii="Times New Roman" w:hAnsi="Times New Roman" w:cs="Times New Roman"/>
          <w:color w:val="1A1A1A"/>
          <w:sz w:val="24"/>
          <w:szCs w:val="24"/>
          <w:shd w:val="clear" w:color="auto" w:fill="FFFFFF"/>
        </w:rPr>
        <w:t xml:space="preserve">, 531 US 457 2001 the Supreme Court </w:t>
      </w:r>
      <w:r w:rsidRPr="00702CC6">
        <w:rPr>
          <w:rFonts w:ascii="Times New Roman" w:eastAsia="Times New Roman" w:hAnsi="Times New Roman" w:cs="Times New Roman"/>
          <w:color w:val="1B1B1B"/>
          <w:kern w:val="0"/>
          <w:sz w:val="24"/>
          <w:szCs w:val="24"/>
          <w14:ligatures w14:val="none"/>
        </w:rPr>
        <w:t>ruled that while economic factors (costs) might be considered in implementing some aspects of the C</w:t>
      </w:r>
      <w:r w:rsidR="0057113D">
        <w:rPr>
          <w:rFonts w:ascii="Times New Roman" w:eastAsia="Times New Roman" w:hAnsi="Times New Roman" w:cs="Times New Roman"/>
          <w:color w:val="1B1B1B"/>
          <w:kern w:val="0"/>
          <w:sz w:val="24"/>
          <w:szCs w:val="24"/>
          <w14:ligatures w14:val="none"/>
        </w:rPr>
        <w:t>lean Air Act,</w:t>
      </w:r>
      <w:r w:rsidRPr="00702CC6">
        <w:rPr>
          <w:rFonts w:ascii="Times New Roman" w:eastAsia="Times New Roman" w:hAnsi="Times New Roman" w:cs="Times New Roman"/>
          <w:color w:val="1B1B1B"/>
          <w:kern w:val="0"/>
          <w:sz w:val="24"/>
          <w:szCs w:val="24"/>
          <w14:ligatures w14:val="none"/>
        </w:rPr>
        <w:t xml:space="preserve"> Congress had </w:t>
      </w:r>
      <w:r w:rsidRPr="00702CC6">
        <w:rPr>
          <w:rFonts w:ascii="Times New Roman" w:eastAsia="Times New Roman" w:hAnsi="Times New Roman" w:cs="Times New Roman"/>
          <w:i/>
          <w:iCs/>
          <w:color w:val="1B1B1B"/>
          <w:kern w:val="0"/>
          <w:sz w:val="24"/>
          <w:szCs w:val="24"/>
          <w14:ligatures w14:val="none"/>
        </w:rPr>
        <w:t>not</w:t>
      </w:r>
      <w:r w:rsidRPr="00702CC6">
        <w:rPr>
          <w:rFonts w:ascii="Times New Roman" w:eastAsia="Times New Roman" w:hAnsi="Times New Roman" w:cs="Times New Roman"/>
          <w:color w:val="1B1B1B"/>
          <w:kern w:val="0"/>
          <w:sz w:val="24"/>
          <w:szCs w:val="24"/>
          <w14:ligatures w14:val="none"/>
        </w:rPr>
        <w:t xml:space="preserve"> </w:t>
      </w:r>
      <w:r w:rsidRPr="00702CC6">
        <w:rPr>
          <w:rFonts w:ascii="Times New Roman" w:eastAsia="Times New Roman" w:hAnsi="Times New Roman" w:cs="Times New Roman"/>
          <w:kern w:val="0"/>
          <w:sz w:val="24"/>
          <w:szCs w:val="24"/>
          <w14:ligatures w14:val="none"/>
        </w:rPr>
        <w:t xml:space="preserve">delegated cost considerations to the EPA administrator in promulgating </w:t>
      </w:r>
      <w:r w:rsidRPr="00702CC6">
        <w:rPr>
          <w:rFonts w:ascii="Times New Roman" w:eastAsia="Calibri" w:hAnsi="Times New Roman" w:cs="Times New Roman"/>
          <w:kern w:val="0"/>
          <w:sz w:val="24"/>
          <w:szCs w:val="24"/>
          <w:shd w:val="clear" w:color="auto" w:fill="FFFFFF"/>
          <w14:ligatures w14:val="none"/>
        </w:rPr>
        <w:t>national ambient air quality standards.</w:t>
      </w:r>
      <w:r w:rsidRPr="00702CC6">
        <w:rPr>
          <w:rFonts w:ascii="Times New Roman" w:eastAsia="Times New Roman" w:hAnsi="Times New Roman" w:cs="Times New Roman"/>
          <w:kern w:val="0"/>
          <w:sz w:val="24"/>
          <w:szCs w:val="24"/>
          <w:vertAlign w:val="superscript"/>
          <w14:ligatures w14:val="none"/>
        </w:rPr>
        <w:footnoteReference w:id="46"/>
      </w:r>
      <w:r w:rsidRPr="00702CC6">
        <w:rPr>
          <w:rFonts w:ascii="Times New Roman" w:eastAsia="Calibri" w:hAnsi="Times New Roman" w:cs="Times New Roman"/>
          <w:kern w:val="0"/>
          <w:sz w:val="24"/>
          <w:szCs w:val="24"/>
          <w:shd w:val="clear" w:color="auto" w:fill="FFFFFF"/>
          <w14:ligatures w14:val="none"/>
        </w:rPr>
        <w:t xml:space="preserve"> In another judicial example, in </w:t>
      </w:r>
      <w:r w:rsidRPr="00702CC6">
        <w:rPr>
          <w:rFonts w:ascii="Times New Roman" w:eastAsia="Times New Roman" w:hAnsi="Times New Roman" w:cs="Times New Roman"/>
          <w:color w:val="202122"/>
          <w:kern w:val="0"/>
          <w:sz w:val="24"/>
          <w:szCs w:val="24"/>
          <w14:ligatures w14:val="none"/>
        </w:rPr>
        <w:t>regulating mercury and other pollutants from power plants that generated electricity from fossil fuels</w:t>
      </w:r>
      <w:r w:rsidR="00B87C9B">
        <w:rPr>
          <w:rFonts w:ascii="Times New Roman" w:eastAsia="Times New Roman" w:hAnsi="Times New Roman" w:cs="Times New Roman"/>
          <w:color w:val="202122"/>
          <w:kern w:val="0"/>
          <w:sz w:val="24"/>
          <w:szCs w:val="24"/>
          <w14:ligatures w14:val="none"/>
        </w:rPr>
        <w:t xml:space="preserve"> under the </w:t>
      </w:r>
      <w:r w:rsidR="00B87C9B" w:rsidRPr="00702CC6">
        <w:rPr>
          <w:rFonts w:ascii="Times New Roman" w:eastAsia="Times New Roman" w:hAnsi="Times New Roman" w:cs="Times New Roman"/>
          <w:color w:val="202122"/>
          <w:kern w:val="0"/>
          <w:sz w:val="24"/>
          <w:szCs w:val="24"/>
          <w14:ligatures w14:val="none"/>
        </w:rPr>
        <w:t>1990 CAA Amendments</w:t>
      </w:r>
      <w:r w:rsidRPr="00702CC6">
        <w:rPr>
          <w:rFonts w:ascii="Times New Roman" w:eastAsia="Times New Roman" w:hAnsi="Times New Roman" w:cs="Times New Roman"/>
          <w:color w:val="202122"/>
          <w:kern w:val="0"/>
          <w:sz w:val="24"/>
          <w:szCs w:val="24"/>
          <w14:ligatures w14:val="none"/>
        </w:rPr>
        <w:t>, the EPA estimated that regulations would cost power plants $9.6 billion per year</w:t>
      </w:r>
      <w:r w:rsidR="00B87C9B">
        <w:rPr>
          <w:rFonts w:ascii="Times New Roman" w:eastAsia="Times New Roman" w:hAnsi="Times New Roman" w:cs="Times New Roman"/>
          <w:color w:val="202122"/>
          <w:kern w:val="0"/>
          <w:sz w:val="24"/>
          <w:szCs w:val="24"/>
          <w14:ligatures w14:val="none"/>
        </w:rPr>
        <w:t xml:space="preserve">.  The agency </w:t>
      </w:r>
      <w:r w:rsidRPr="00702CC6">
        <w:rPr>
          <w:rFonts w:ascii="Times New Roman" w:eastAsia="Times New Roman" w:hAnsi="Times New Roman" w:cs="Times New Roman"/>
          <w:color w:val="202122"/>
          <w:kern w:val="0"/>
          <w:sz w:val="24"/>
          <w:szCs w:val="24"/>
          <w14:ligatures w14:val="none"/>
        </w:rPr>
        <w:t>concluded</w:t>
      </w:r>
      <w:r w:rsidR="00B87C9B">
        <w:rPr>
          <w:rFonts w:ascii="Times New Roman" w:eastAsia="Times New Roman" w:hAnsi="Times New Roman" w:cs="Times New Roman"/>
          <w:color w:val="202122"/>
          <w:kern w:val="0"/>
          <w:sz w:val="24"/>
          <w:szCs w:val="24"/>
          <w14:ligatures w14:val="none"/>
        </w:rPr>
        <w:t>, however,</w:t>
      </w:r>
      <w:r w:rsidRPr="00702CC6">
        <w:rPr>
          <w:rFonts w:ascii="Times New Roman" w:eastAsia="Times New Roman" w:hAnsi="Times New Roman" w:cs="Times New Roman"/>
          <w:color w:val="202122"/>
          <w:kern w:val="0"/>
          <w:sz w:val="24"/>
          <w:szCs w:val="24"/>
          <w14:ligatures w14:val="none"/>
        </w:rPr>
        <w:t xml:space="preserve"> that “costs should not be considered.” A group of </w:t>
      </w:r>
      <w:r w:rsidR="00BB5E86" w:rsidRPr="00702CC6">
        <w:rPr>
          <w:rFonts w:ascii="Times New Roman" w:eastAsia="Times New Roman" w:hAnsi="Times New Roman" w:cs="Times New Roman"/>
          <w:color w:val="202122"/>
          <w:kern w:val="0"/>
          <w:sz w:val="24"/>
          <w:szCs w:val="24"/>
          <w14:ligatures w14:val="none"/>
        </w:rPr>
        <w:t>non</w:t>
      </w:r>
      <w:r w:rsidR="00BB5E86">
        <w:rPr>
          <w:rFonts w:ascii="Times New Roman" w:eastAsia="Times New Roman" w:hAnsi="Times New Roman" w:cs="Times New Roman"/>
          <w:color w:val="202122"/>
          <w:kern w:val="0"/>
          <w:sz w:val="24"/>
          <w:szCs w:val="24"/>
          <w14:ligatures w14:val="none"/>
        </w:rPr>
        <w:t>p</w:t>
      </w:r>
      <w:r w:rsidR="00BB5E86" w:rsidRPr="00702CC6">
        <w:rPr>
          <w:rFonts w:ascii="Times New Roman" w:eastAsia="Times New Roman" w:hAnsi="Times New Roman" w:cs="Times New Roman"/>
          <w:color w:val="202122"/>
          <w:kern w:val="0"/>
          <w:sz w:val="24"/>
          <w:szCs w:val="24"/>
          <w14:ligatures w14:val="none"/>
        </w:rPr>
        <w:t>rofit</w:t>
      </w:r>
      <w:r w:rsidRPr="00702CC6">
        <w:rPr>
          <w:rFonts w:ascii="Times New Roman" w:eastAsia="Times New Roman" w:hAnsi="Times New Roman" w:cs="Times New Roman"/>
          <w:color w:val="202122"/>
          <w:kern w:val="0"/>
          <w:sz w:val="24"/>
          <w:szCs w:val="24"/>
          <w14:ligatures w14:val="none"/>
        </w:rPr>
        <w:t xml:space="preserve"> organizations, corporations, and 23 states challenged </w:t>
      </w:r>
      <w:r w:rsidR="00A1073A" w:rsidRPr="00702CC6">
        <w:rPr>
          <w:rFonts w:ascii="Times New Roman" w:eastAsia="Times New Roman" w:hAnsi="Times New Roman" w:cs="Times New Roman"/>
          <w:color w:val="202122"/>
          <w:kern w:val="0"/>
          <w:sz w:val="24"/>
          <w:szCs w:val="24"/>
          <w14:ligatures w14:val="none"/>
        </w:rPr>
        <w:t>EPA’s</w:t>
      </w:r>
      <w:r w:rsidRPr="00702CC6">
        <w:rPr>
          <w:rFonts w:ascii="Times New Roman" w:eastAsia="Times New Roman" w:hAnsi="Times New Roman" w:cs="Times New Roman"/>
          <w:color w:val="202122"/>
          <w:kern w:val="0"/>
          <w:sz w:val="24"/>
          <w:szCs w:val="24"/>
          <w14:ligatures w14:val="none"/>
        </w:rPr>
        <w:t xml:space="preserve"> refusal to consider costs when regulating power plants, but the US Circuit Court for the </w:t>
      </w:r>
      <w:r w:rsidRPr="00702CC6">
        <w:rPr>
          <w:rFonts w:ascii="Times New Roman" w:eastAsia="Times New Roman" w:hAnsi="Times New Roman" w:cs="Times New Roman"/>
          <w:color w:val="202122"/>
          <w:kern w:val="0"/>
          <w:sz w:val="24"/>
          <w:szCs w:val="24"/>
          <w14:ligatures w14:val="none"/>
        </w:rPr>
        <w:lastRenderedPageBreak/>
        <w:t>District of Columbia upheld the EPA's decision. Upon appeal, the US Supreme Court i</w:t>
      </w:r>
      <w:r w:rsidRPr="00702CC6">
        <w:rPr>
          <w:rFonts w:ascii="Times New Roman" w:hAnsi="Times New Roman" w:cs="Times New Roman"/>
          <w:color w:val="1A1A1A"/>
          <w:sz w:val="24"/>
          <w:szCs w:val="24"/>
          <w:shd w:val="clear" w:color="auto" w:fill="FFFFFF"/>
        </w:rPr>
        <w:t xml:space="preserve">n </w:t>
      </w:r>
      <w:r w:rsidRPr="00702CC6">
        <w:rPr>
          <w:rFonts w:ascii="Times New Roman" w:eastAsia="Calibri" w:hAnsi="Times New Roman" w:cs="Times New Roman"/>
          <w:i/>
          <w:iCs/>
          <w:color w:val="202122"/>
          <w:kern w:val="0"/>
          <w:sz w:val="24"/>
          <w:szCs w:val="24"/>
          <w:shd w:val="clear" w:color="auto" w:fill="FFFFFF"/>
          <w14:ligatures w14:val="none"/>
        </w:rPr>
        <w:t>Michigan v. Environmental Protection Agency</w:t>
      </w:r>
      <w:r w:rsidRPr="00702CC6">
        <w:rPr>
          <w:rFonts w:ascii="Times New Roman" w:eastAsia="Calibri" w:hAnsi="Times New Roman" w:cs="Times New Roman"/>
          <w:color w:val="202122"/>
          <w:kern w:val="0"/>
          <w:sz w:val="24"/>
          <w:szCs w:val="24"/>
          <w:shd w:val="clear" w:color="auto" w:fill="FFFFFF"/>
          <w14:ligatures w14:val="none"/>
        </w:rPr>
        <w:t>, 576 U.S. 743 (2015)</w:t>
      </w:r>
      <w:r w:rsidR="00B87C9B">
        <w:rPr>
          <w:rFonts w:ascii="Times New Roman" w:eastAsia="Calibri" w:hAnsi="Times New Roman" w:cs="Times New Roman"/>
          <w:color w:val="202122"/>
          <w:kern w:val="0"/>
          <w:sz w:val="24"/>
          <w:szCs w:val="24"/>
          <w:shd w:val="clear" w:color="auto" w:fill="FFFFFF"/>
          <w14:ligatures w14:val="none"/>
        </w:rPr>
        <w:t>,</w:t>
      </w:r>
      <w:r w:rsidRPr="00702CC6">
        <w:rPr>
          <w:rFonts w:ascii="Times New Roman" w:eastAsia="Calibri" w:hAnsi="Times New Roman" w:cs="Times New Roman"/>
          <w:color w:val="202122"/>
          <w:kern w:val="0"/>
          <w:sz w:val="24"/>
          <w:szCs w:val="24"/>
          <w:shd w:val="clear" w:color="auto" w:fill="FFFFFF"/>
          <w14:ligatures w14:val="none"/>
        </w:rPr>
        <w:t xml:space="preserve"> held that the EPA must consider costs in </w:t>
      </w:r>
      <w:r>
        <w:rPr>
          <w:rFonts w:ascii="Times New Roman" w:eastAsia="Calibri" w:hAnsi="Times New Roman" w:cs="Times New Roman"/>
          <w:color w:val="202122"/>
          <w:kern w:val="0"/>
          <w:sz w:val="24"/>
          <w:szCs w:val="24"/>
          <w:shd w:val="clear" w:color="auto" w:fill="FFFFFF"/>
          <w14:ligatures w14:val="none"/>
        </w:rPr>
        <w:t xml:space="preserve">deciding to regulate under </w:t>
      </w:r>
      <w:r w:rsidRPr="00702CC6">
        <w:rPr>
          <w:rFonts w:ascii="Times New Roman" w:eastAsia="Calibri" w:hAnsi="Times New Roman" w:cs="Times New Roman"/>
          <w:color w:val="202122"/>
          <w:kern w:val="0"/>
          <w:sz w:val="24"/>
          <w:szCs w:val="24"/>
          <w:shd w:val="clear" w:color="auto" w:fill="FFFFFF"/>
          <w14:ligatures w14:val="none"/>
        </w:rPr>
        <w:t>the</w:t>
      </w:r>
      <w:r w:rsidR="0083009D">
        <w:rPr>
          <w:rFonts w:ascii="Times New Roman" w:eastAsia="Calibri" w:hAnsi="Times New Roman" w:cs="Times New Roman"/>
          <w:color w:val="202122"/>
          <w:kern w:val="0"/>
          <w:sz w:val="24"/>
          <w:szCs w:val="24"/>
          <w:shd w:val="clear" w:color="auto" w:fill="FFFFFF"/>
          <w14:ligatures w14:val="none"/>
        </w:rPr>
        <w:t xml:space="preserve"> specific </w:t>
      </w:r>
      <w:r w:rsidR="00B87C9B">
        <w:rPr>
          <w:rFonts w:ascii="Times New Roman" w:eastAsia="Calibri" w:hAnsi="Times New Roman" w:cs="Times New Roman"/>
          <w:color w:val="202122"/>
          <w:kern w:val="0"/>
          <w:sz w:val="24"/>
          <w:szCs w:val="24"/>
          <w:shd w:val="clear" w:color="auto" w:fill="FFFFFF"/>
          <w14:ligatures w14:val="none"/>
        </w:rPr>
        <w:t xml:space="preserve">1990 </w:t>
      </w:r>
      <w:r w:rsidRPr="00702CC6">
        <w:rPr>
          <w:rFonts w:ascii="Times New Roman" w:eastAsia="Times New Roman" w:hAnsi="Times New Roman" w:cs="Times New Roman"/>
          <w:color w:val="202122"/>
          <w:kern w:val="0"/>
          <w:sz w:val="24"/>
          <w:szCs w:val="24"/>
          <w14:ligatures w14:val="none"/>
        </w:rPr>
        <w:t>National Emissions Standards for Hazardous Air Pollutants</w:t>
      </w:r>
      <w:r w:rsidR="00B87C9B">
        <w:rPr>
          <w:rFonts w:ascii="Times New Roman" w:eastAsia="Times New Roman" w:hAnsi="Times New Roman" w:cs="Times New Roman"/>
          <w:color w:val="202122"/>
          <w:kern w:val="0"/>
          <w:sz w:val="24"/>
          <w:szCs w:val="24"/>
          <w14:ligatures w14:val="none"/>
        </w:rPr>
        <w:t>.</w:t>
      </w:r>
      <w:r w:rsidRPr="00702CC6">
        <w:rPr>
          <w:rFonts w:ascii="Times New Roman" w:eastAsia="Times New Roman" w:hAnsi="Times New Roman" w:cs="Times New Roman"/>
          <w:color w:val="202122"/>
          <w:kern w:val="0"/>
          <w:sz w:val="24"/>
          <w:szCs w:val="24"/>
          <w:vertAlign w:val="superscript"/>
          <w14:ligatures w14:val="none"/>
        </w:rPr>
        <w:footnoteReference w:id="47"/>
      </w:r>
      <w:r w:rsidRPr="00702CC6">
        <w:rPr>
          <w:rFonts w:ascii="Arial" w:hAnsi="Arial" w:cs="Arial"/>
          <w:b/>
          <w:bCs/>
          <w:i/>
          <w:iCs/>
          <w:color w:val="202122"/>
          <w:shd w:val="clear" w:color="auto" w:fill="FFFFFF"/>
        </w:rPr>
        <w:t xml:space="preserve"> </w:t>
      </w:r>
    </w:p>
    <w:p w14:paraId="5CF3A7D3" w14:textId="29C53860" w:rsidR="00702CC6" w:rsidRPr="00361F34" w:rsidRDefault="00B87C9B" w:rsidP="00702CC6">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w:t>
      </w:r>
      <w:r w:rsidR="00702CC6" w:rsidRPr="00361F34">
        <w:rPr>
          <w:rFonts w:ascii="Times New Roman" w:hAnsi="Times New Roman" w:cs="Times New Roman"/>
          <w:sz w:val="24"/>
          <w:szCs w:val="24"/>
        </w:rPr>
        <w:t xml:space="preserve"> </w:t>
      </w:r>
      <w:r w:rsidR="00702CC6">
        <w:rPr>
          <w:rFonts w:ascii="Times New Roman" w:hAnsi="Times New Roman" w:cs="Times New Roman"/>
          <w:sz w:val="24"/>
          <w:szCs w:val="24"/>
        </w:rPr>
        <w:t xml:space="preserve">general </w:t>
      </w:r>
      <w:r w:rsidR="00702CC6" w:rsidRPr="00361F34">
        <w:rPr>
          <w:rFonts w:ascii="Times New Roman" w:hAnsi="Times New Roman" w:cs="Times New Roman"/>
          <w:sz w:val="24"/>
          <w:szCs w:val="24"/>
        </w:rPr>
        <w:t>prohibition</w:t>
      </w:r>
      <w:r>
        <w:rPr>
          <w:rFonts w:ascii="Times New Roman" w:hAnsi="Times New Roman" w:cs="Times New Roman"/>
          <w:sz w:val="24"/>
          <w:szCs w:val="24"/>
        </w:rPr>
        <w:t>, or at least downgrading of</w:t>
      </w:r>
      <w:r w:rsidR="00702CC6" w:rsidRPr="00361F34">
        <w:rPr>
          <w:rFonts w:ascii="Times New Roman" w:hAnsi="Times New Roman" w:cs="Times New Roman"/>
          <w:sz w:val="24"/>
          <w:szCs w:val="24"/>
        </w:rPr>
        <w:t xml:space="preserve"> cost considerations under the C</w:t>
      </w:r>
      <w:r w:rsidR="0083009D">
        <w:rPr>
          <w:rFonts w:ascii="Times New Roman" w:hAnsi="Times New Roman" w:cs="Times New Roman"/>
          <w:sz w:val="24"/>
          <w:szCs w:val="24"/>
        </w:rPr>
        <w:t>lean Air Act</w:t>
      </w:r>
      <w:r w:rsidR="00702CC6" w:rsidRPr="00361F34">
        <w:rPr>
          <w:rFonts w:ascii="Times New Roman" w:hAnsi="Times New Roman" w:cs="Times New Roman"/>
          <w:sz w:val="24"/>
          <w:szCs w:val="24"/>
        </w:rPr>
        <w:t xml:space="preserve"> raises the obvious question</w:t>
      </w:r>
      <w:r>
        <w:rPr>
          <w:rFonts w:ascii="Times New Roman" w:hAnsi="Times New Roman" w:cs="Times New Roman"/>
          <w:sz w:val="24"/>
          <w:szCs w:val="24"/>
        </w:rPr>
        <w:t>s</w:t>
      </w:r>
      <w:r w:rsidR="00702CC6" w:rsidRPr="00361F34">
        <w:rPr>
          <w:rFonts w:ascii="Times New Roman" w:hAnsi="Times New Roman" w:cs="Times New Roman"/>
          <w:sz w:val="24"/>
          <w:szCs w:val="24"/>
        </w:rPr>
        <w:t xml:space="preserve"> of why that would be</w:t>
      </w:r>
      <w:r>
        <w:rPr>
          <w:rFonts w:ascii="Times New Roman" w:hAnsi="Times New Roman" w:cs="Times New Roman"/>
          <w:sz w:val="24"/>
          <w:szCs w:val="24"/>
        </w:rPr>
        <w:t xml:space="preserve"> and what are the welfare implications</w:t>
      </w:r>
      <w:r w:rsidR="00702CC6" w:rsidRPr="00361F34">
        <w:rPr>
          <w:rFonts w:ascii="Times New Roman" w:hAnsi="Times New Roman" w:cs="Times New Roman"/>
          <w:sz w:val="24"/>
          <w:szCs w:val="24"/>
        </w:rPr>
        <w:t xml:space="preserve">? Would health advances from improved air quality be beyond any economic </w:t>
      </w:r>
      <w:r w:rsidR="00D84FE3">
        <w:rPr>
          <w:rFonts w:ascii="Times New Roman" w:hAnsi="Times New Roman" w:cs="Times New Roman"/>
          <w:sz w:val="24"/>
          <w:szCs w:val="24"/>
        </w:rPr>
        <w:t xml:space="preserve">cost/benefit </w:t>
      </w:r>
      <w:r w:rsidR="00702CC6" w:rsidRPr="00361F34">
        <w:rPr>
          <w:rFonts w:ascii="Times New Roman" w:hAnsi="Times New Roman" w:cs="Times New Roman"/>
          <w:sz w:val="24"/>
          <w:szCs w:val="24"/>
        </w:rPr>
        <w:t xml:space="preserve">considerations and </w:t>
      </w:r>
      <w:r>
        <w:rPr>
          <w:rFonts w:ascii="Times New Roman" w:hAnsi="Times New Roman" w:cs="Times New Roman"/>
          <w:sz w:val="24"/>
          <w:szCs w:val="24"/>
        </w:rPr>
        <w:t xml:space="preserve">if so, </w:t>
      </w:r>
      <w:r w:rsidR="00702CC6" w:rsidRPr="00361F34">
        <w:rPr>
          <w:rFonts w:ascii="Times New Roman" w:hAnsi="Times New Roman" w:cs="Times New Roman"/>
          <w:sz w:val="24"/>
          <w:szCs w:val="24"/>
        </w:rPr>
        <w:t xml:space="preserve">for whom? Would </w:t>
      </w:r>
      <w:r w:rsidR="00A1073A">
        <w:rPr>
          <w:rFonts w:ascii="Times New Roman" w:hAnsi="Times New Roman" w:cs="Times New Roman"/>
          <w:sz w:val="24"/>
          <w:szCs w:val="24"/>
        </w:rPr>
        <w:t xml:space="preserve">there be there be only limited </w:t>
      </w:r>
      <w:r w:rsidR="00702CC6" w:rsidRPr="00361F34">
        <w:rPr>
          <w:rFonts w:ascii="Times New Roman" w:hAnsi="Times New Roman" w:cs="Times New Roman"/>
          <w:sz w:val="24"/>
          <w:szCs w:val="24"/>
        </w:rPr>
        <w:t xml:space="preserve">economic adjustments and costs in meeting the standards? </w:t>
      </w:r>
      <w:r w:rsidR="00A1073A">
        <w:rPr>
          <w:rFonts w:ascii="Times New Roman" w:hAnsi="Times New Roman" w:cs="Times New Roman"/>
          <w:sz w:val="24"/>
          <w:szCs w:val="24"/>
        </w:rPr>
        <w:t>O</w:t>
      </w:r>
      <w:r w:rsidR="00D84FE3">
        <w:rPr>
          <w:rFonts w:ascii="Times New Roman" w:hAnsi="Times New Roman" w:cs="Times New Roman"/>
          <w:sz w:val="24"/>
          <w:szCs w:val="24"/>
        </w:rPr>
        <w:t xml:space="preserve">n what basis were those conclusions drawn? </w:t>
      </w:r>
      <w:r w:rsidR="00702CC6" w:rsidRPr="00361F34">
        <w:rPr>
          <w:rFonts w:ascii="Times New Roman" w:hAnsi="Times New Roman" w:cs="Times New Roman"/>
          <w:sz w:val="24"/>
          <w:szCs w:val="24"/>
        </w:rPr>
        <w:t xml:space="preserve">Would there be no distributional effects across firms, regions, production, and populations? Who sought such </w:t>
      </w:r>
      <w:r w:rsidR="00D84FE3">
        <w:rPr>
          <w:rFonts w:ascii="Times New Roman" w:hAnsi="Times New Roman" w:cs="Times New Roman"/>
          <w:sz w:val="24"/>
          <w:szCs w:val="24"/>
        </w:rPr>
        <w:t xml:space="preserve">cost </w:t>
      </w:r>
      <w:r w:rsidR="00702CC6" w:rsidRPr="00361F34">
        <w:rPr>
          <w:rFonts w:ascii="Times New Roman" w:hAnsi="Times New Roman" w:cs="Times New Roman"/>
          <w:sz w:val="24"/>
          <w:szCs w:val="24"/>
        </w:rPr>
        <w:t xml:space="preserve">restrictions? </w:t>
      </w:r>
      <w:r w:rsidR="00D84FE3">
        <w:rPr>
          <w:rFonts w:ascii="Times New Roman" w:hAnsi="Times New Roman" w:cs="Times New Roman"/>
          <w:sz w:val="24"/>
          <w:szCs w:val="24"/>
        </w:rPr>
        <w:t xml:space="preserve">Clearly, many questions arise when costs are not calculated and weighed prior to policy implementation.  </w:t>
      </w:r>
      <w:r w:rsidR="00702CC6" w:rsidRPr="00361F34">
        <w:rPr>
          <w:rFonts w:ascii="Times New Roman" w:hAnsi="Times New Roman" w:cs="Times New Roman"/>
          <w:sz w:val="24"/>
          <w:szCs w:val="24"/>
        </w:rPr>
        <w:t>Coase warned</w:t>
      </w:r>
      <w:r w:rsidR="00702CC6">
        <w:rPr>
          <w:rFonts w:ascii="Times New Roman" w:hAnsi="Times New Roman" w:cs="Times New Roman"/>
          <w:sz w:val="24"/>
          <w:szCs w:val="24"/>
        </w:rPr>
        <w:t xml:space="preserve"> that the</w:t>
      </w:r>
      <w:r w:rsidR="00702CC6" w:rsidRPr="00361F34">
        <w:rPr>
          <w:rFonts w:ascii="Times New Roman" w:hAnsi="Times New Roman" w:cs="Times New Roman"/>
          <w:sz w:val="24"/>
          <w:szCs w:val="24"/>
        </w:rPr>
        <w:t xml:space="preserve"> absence of marginal cost/benefit comparisons could lead Pigouvian restrictions to be too broad, too restrictive, and on net, too costly</w:t>
      </w:r>
      <w:r w:rsidR="00B20C88">
        <w:rPr>
          <w:rFonts w:ascii="Times New Roman" w:hAnsi="Times New Roman" w:cs="Times New Roman"/>
          <w:sz w:val="24"/>
          <w:szCs w:val="24"/>
        </w:rPr>
        <w:t xml:space="preserve">. </w:t>
      </w:r>
      <w:r w:rsidR="00702CC6" w:rsidRPr="00361F34">
        <w:rPr>
          <w:rFonts w:ascii="Times New Roman" w:hAnsi="Times New Roman" w:cs="Times New Roman"/>
          <w:sz w:val="24"/>
          <w:szCs w:val="24"/>
        </w:rPr>
        <w:t xml:space="preserve">  </w:t>
      </w:r>
    </w:p>
    <w:p w14:paraId="40013241" w14:textId="2A01265D" w:rsidR="00D234F9" w:rsidRPr="00361F34" w:rsidRDefault="00D234F9" w:rsidP="00D234F9">
      <w:pPr>
        <w:spacing w:after="0" w:line="360" w:lineRule="auto"/>
        <w:ind w:firstLine="720"/>
        <w:rPr>
          <w:rFonts w:ascii="Times New Roman" w:hAnsi="Times New Roman" w:cs="Times New Roman"/>
          <w:color w:val="1A1A1A"/>
          <w:sz w:val="24"/>
          <w:szCs w:val="24"/>
          <w:shd w:val="clear" w:color="auto" w:fill="FFFFFF"/>
        </w:rPr>
      </w:pPr>
      <w:r w:rsidRPr="00361F34">
        <w:rPr>
          <w:rFonts w:ascii="Times New Roman" w:hAnsi="Times New Roman" w:cs="Times New Roman"/>
          <w:color w:val="1A1A1A"/>
          <w:sz w:val="24"/>
          <w:szCs w:val="24"/>
          <w:shd w:val="clear" w:color="auto" w:fill="FFFFFF"/>
        </w:rPr>
        <w:t>The analysis of Shapiro and Walker (2024) suggests that the costs of additional pollution releases under the CAA Amendments of 1977 were less than the estimated benefits of higher air quality.</w:t>
      </w:r>
      <w:r w:rsidRPr="00361F34">
        <w:rPr>
          <w:rFonts w:ascii="Times New Roman" w:hAnsi="Times New Roman" w:cs="Times New Roman"/>
          <w:color w:val="1A1A1A"/>
          <w:sz w:val="24"/>
          <w:szCs w:val="24"/>
          <w:shd w:val="clear" w:color="auto" w:fill="FFFFFF"/>
          <w:vertAlign w:val="superscript"/>
        </w:rPr>
        <w:footnoteReference w:id="48"/>
      </w:r>
      <w:r w:rsidRPr="00361F34">
        <w:rPr>
          <w:rFonts w:ascii="Times New Roman" w:hAnsi="Times New Roman" w:cs="Times New Roman"/>
          <w:color w:val="1A1A1A"/>
          <w:sz w:val="24"/>
          <w:szCs w:val="24"/>
          <w:shd w:val="clear" w:color="auto" w:fill="FFFFFF"/>
        </w:rPr>
        <w:t xml:space="preserve"> The law required that new or expanding plants in nonattainment areas purchase pollution</w:t>
      </w:r>
      <w:r w:rsidR="0083009D">
        <w:rPr>
          <w:rFonts w:ascii="Times New Roman" w:hAnsi="Times New Roman" w:cs="Times New Roman"/>
          <w:color w:val="1A1A1A"/>
          <w:sz w:val="24"/>
          <w:szCs w:val="24"/>
          <w:shd w:val="clear" w:color="auto" w:fill="FFFFFF"/>
        </w:rPr>
        <w:t xml:space="preserve"> </w:t>
      </w:r>
      <w:r w:rsidRPr="00361F34">
        <w:rPr>
          <w:rFonts w:ascii="Times New Roman" w:hAnsi="Times New Roman" w:cs="Times New Roman"/>
          <w:color w:val="1A1A1A"/>
          <w:sz w:val="24"/>
          <w:szCs w:val="24"/>
          <w:shd w:val="clear" w:color="auto" w:fill="FFFFFF"/>
        </w:rPr>
        <w:t xml:space="preserve">reduction offsets from existing facilities so that overall air quality was not compromised by firm actions. They find that offset market prices paid for </w:t>
      </w:r>
      <w:r w:rsidR="00D84FE3">
        <w:rPr>
          <w:rFonts w:ascii="Times New Roman" w:hAnsi="Times New Roman" w:cs="Times New Roman"/>
          <w:color w:val="1A1A1A"/>
          <w:sz w:val="24"/>
          <w:szCs w:val="24"/>
          <w:shd w:val="clear" w:color="auto" w:fill="FFFFFF"/>
        </w:rPr>
        <w:t xml:space="preserve">proposed </w:t>
      </w:r>
      <w:r w:rsidRPr="00361F34">
        <w:rPr>
          <w:rFonts w:ascii="Times New Roman" w:hAnsi="Times New Roman" w:cs="Times New Roman"/>
          <w:color w:val="1A1A1A"/>
          <w:sz w:val="24"/>
          <w:szCs w:val="24"/>
          <w:shd w:val="clear" w:color="auto" w:fill="FFFFFF"/>
        </w:rPr>
        <w:t xml:space="preserve">pollution as an indication of </w:t>
      </w:r>
      <w:r w:rsidR="00B20C88" w:rsidRPr="00361F34">
        <w:rPr>
          <w:rFonts w:ascii="Times New Roman" w:hAnsi="Times New Roman" w:cs="Times New Roman"/>
          <w:color w:val="1A1A1A"/>
          <w:sz w:val="24"/>
          <w:szCs w:val="24"/>
          <w:shd w:val="clear" w:color="auto" w:fill="FFFFFF"/>
        </w:rPr>
        <w:t>costs</w:t>
      </w:r>
      <w:r w:rsidRPr="00361F34">
        <w:rPr>
          <w:rFonts w:ascii="Times New Roman" w:hAnsi="Times New Roman" w:cs="Times New Roman"/>
          <w:color w:val="1A1A1A"/>
          <w:sz w:val="24"/>
          <w:szCs w:val="24"/>
          <w:shd w:val="clear" w:color="auto" w:fill="FFFFFF"/>
        </w:rPr>
        <w:t xml:space="preserve"> were less than the estimated benefits of improved air quality across areas of the country covered, except in Houston</w:t>
      </w:r>
      <w:r w:rsidR="00B20C88">
        <w:rPr>
          <w:rFonts w:ascii="Times New Roman" w:hAnsi="Times New Roman" w:cs="Times New Roman"/>
          <w:color w:val="1A1A1A"/>
          <w:sz w:val="24"/>
          <w:szCs w:val="24"/>
          <w:shd w:val="clear" w:color="auto" w:fill="FFFFFF"/>
        </w:rPr>
        <w:t>, the country’s major petrochemical center</w:t>
      </w:r>
      <w:r w:rsidRPr="00361F34">
        <w:rPr>
          <w:rFonts w:ascii="Times New Roman" w:hAnsi="Times New Roman" w:cs="Times New Roman"/>
          <w:color w:val="1A1A1A"/>
          <w:sz w:val="24"/>
          <w:szCs w:val="24"/>
          <w:shd w:val="clear" w:color="auto" w:fill="FFFFFF"/>
        </w:rPr>
        <w:t xml:space="preserve">. The results indicate that </w:t>
      </w:r>
      <w:r w:rsidRPr="00361F34">
        <w:rPr>
          <w:rFonts w:ascii="Times New Roman" w:hAnsi="Times New Roman" w:cs="Times New Roman"/>
          <w:i/>
          <w:iCs/>
          <w:color w:val="1A1A1A"/>
          <w:sz w:val="24"/>
          <w:szCs w:val="24"/>
          <w:shd w:val="clear" w:color="auto" w:fill="FFFFFF"/>
        </w:rPr>
        <w:t xml:space="preserve">ex-post </w:t>
      </w:r>
      <w:r w:rsidRPr="00361F34">
        <w:rPr>
          <w:rFonts w:ascii="Times New Roman" w:hAnsi="Times New Roman" w:cs="Times New Roman"/>
          <w:color w:val="1A1A1A"/>
          <w:sz w:val="24"/>
          <w:szCs w:val="24"/>
          <w:shd w:val="clear" w:color="auto" w:fill="FFFFFF"/>
        </w:rPr>
        <w:t xml:space="preserve">firm adjustments were less costly than health benefits.  Firm expansion and additional employment and production levels that did </w:t>
      </w:r>
      <w:r w:rsidRPr="00361F34">
        <w:rPr>
          <w:rFonts w:ascii="Times New Roman" w:hAnsi="Times New Roman" w:cs="Times New Roman"/>
          <w:i/>
          <w:iCs/>
          <w:color w:val="1A1A1A"/>
          <w:sz w:val="24"/>
          <w:szCs w:val="24"/>
          <w:shd w:val="clear" w:color="auto" w:fill="FFFFFF"/>
        </w:rPr>
        <w:t>not</w:t>
      </w:r>
      <w:r w:rsidRPr="00361F34">
        <w:rPr>
          <w:rFonts w:ascii="Times New Roman" w:hAnsi="Times New Roman" w:cs="Times New Roman"/>
          <w:color w:val="1A1A1A"/>
          <w:sz w:val="24"/>
          <w:szCs w:val="24"/>
          <w:shd w:val="clear" w:color="auto" w:fill="FFFFFF"/>
        </w:rPr>
        <w:t xml:space="preserve"> take place considering offset purchase requirements, however, are missing in the cost estimates. The</w:t>
      </w:r>
      <w:r w:rsidR="00D84FE3">
        <w:rPr>
          <w:rFonts w:ascii="Times New Roman" w:hAnsi="Times New Roman" w:cs="Times New Roman"/>
          <w:color w:val="1A1A1A"/>
          <w:sz w:val="24"/>
          <w:szCs w:val="24"/>
          <w:shd w:val="clear" w:color="auto" w:fill="FFFFFF"/>
        </w:rPr>
        <w:t>se are the</w:t>
      </w:r>
      <w:r w:rsidRPr="00361F34">
        <w:rPr>
          <w:rFonts w:ascii="Times New Roman" w:hAnsi="Times New Roman" w:cs="Times New Roman"/>
          <w:color w:val="1A1A1A"/>
          <w:sz w:val="24"/>
          <w:szCs w:val="24"/>
          <w:shd w:val="clear" w:color="auto" w:fill="FFFFFF"/>
        </w:rPr>
        <w:t xml:space="preserve"> opportunity costs of foregone and unobserved economic activities</w:t>
      </w:r>
      <w:r w:rsidR="00D84FE3">
        <w:rPr>
          <w:rFonts w:ascii="Times New Roman" w:hAnsi="Times New Roman" w:cs="Times New Roman"/>
          <w:color w:val="1A1A1A"/>
          <w:sz w:val="24"/>
          <w:szCs w:val="24"/>
          <w:shd w:val="clear" w:color="auto" w:fill="FFFFFF"/>
        </w:rPr>
        <w:t xml:space="preserve">. </w:t>
      </w:r>
      <w:r w:rsidRPr="00361F34">
        <w:rPr>
          <w:rFonts w:ascii="Times New Roman" w:hAnsi="Times New Roman" w:cs="Times New Roman"/>
          <w:color w:val="1A1A1A"/>
          <w:sz w:val="24"/>
          <w:szCs w:val="24"/>
          <w:shd w:val="clear" w:color="auto" w:fill="FFFFFF"/>
        </w:rPr>
        <w:t xml:space="preserve"> </w:t>
      </w:r>
    </w:p>
    <w:p w14:paraId="4CE29FF0" w14:textId="4787AE65" w:rsidR="00D37012" w:rsidRPr="00D37012" w:rsidRDefault="00D37012" w:rsidP="00D37012">
      <w:pPr>
        <w:shd w:val="clear" w:color="auto" w:fill="FFFFFF"/>
        <w:spacing w:after="0" w:line="360" w:lineRule="auto"/>
        <w:ind w:firstLine="720"/>
        <w:rPr>
          <w:rFonts w:ascii="Times New Roman" w:eastAsia="Calibri" w:hAnsi="Times New Roman" w:cs="Times New Roman"/>
          <w:kern w:val="0"/>
          <w:sz w:val="24"/>
          <w:szCs w:val="24"/>
          <w14:ligatures w14:val="none"/>
        </w:rPr>
      </w:pPr>
      <w:r w:rsidRPr="00D37012">
        <w:rPr>
          <w:rFonts w:ascii="Times New Roman" w:eastAsia="Calibri" w:hAnsi="Times New Roman" w:cs="Times New Roman"/>
          <w:kern w:val="0"/>
          <w:sz w:val="24"/>
          <w:szCs w:val="24"/>
          <w14:ligatures w14:val="none"/>
        </w:rPr>
        <w:t xml:space="preserve">Currie and Walker (2019, 15-16) summarize a seemingly limited literature on employment and production effects of the Clean Air Act, relative to </w:t>
      </w:r>
      <w:r w:rsidR="006E1714">
        <w:rPr>
          <w:rFonts w:ascii="Times New Roman" w:eastAsia="Calibri" w:hAnsi="Times New Roman" w:cs="Times New Roman"/>
          <w:kern w:val="0"/>
          <w:sz w:val="24"/>
          <w:szCs w:val="24"/>
          <w14:ligatures w14:val="none"/>
        </w:rPr>
        <w:t xml:space="preserve">the </w:t>
      </w:r>
      <w:r w:rsidR="00B20C88">
        <w:rPr>
          <w:rFonts w:ascii="Times New Roman" w:eastAsia="Calibri" w:hAnsi="Times New Roman" w:cs="Times New Roman"/>
          <w:kern w:val="0"/>
          <w:sz w:val="24"/>
          <w:szCs w:val="24"/>
          <w14:ligatures w14:val="none"/>
        </w:rPr>
        <w:t xml:space="preserve">more general </w:t>
      </w:r>
      <w:r w:rsidR="0083009D">
        <w:rPr>
          <w:rFonts w:ascii="Times New Roman" w:eastAsia="Calibri" w:hAnsi="Times New Roman" w:cs="Times New Roman"/>
          <w:kern w:val="0"/>
          <w:sz w:val="24"/>
          <w:szCs w:val="24"/>
          <w14:ligatures w14:val="none"/>
        </w:rPr>
        <w:t xml:space="preserve">economics </w:t>
      </w:r>
      <w:r w:rsidRPr="00D37012">
        <w:rPr>
          <w:rFonts w:ascii="Times New Roman" w:eastAsia="Calibri" w:hAnsi="Times New Roman" w:cs="Times New Roman"/>
          <w:kern w:val="0"/>
          <w:sz w:val="24"/>
          <w:szCs w:val="24"/>
          <w14:ligatures w14:val="none"/>
        </w:rPr>
        <w:t xml:space="preserve">focus on benefit measurement. In a study now over 20 years old, Greenstone (2002) finds that </w:t>
      </w:r>
      <w:r w:rsidR="006E1714">
        <w:rPr>
          <w:rFonts w:ascii="Times New Roman" w:eastAsia="Calibri" w:hAnsi="Times New Roman" w:cs="Times New Roman"/>
          <w:kern w:val="0"/>
          <w:sz w:val="24"/>
          <w:szCs w:val="24"/>
          <w14:ligatures w14:val="none"/>
        </w:rPr>
        <w:t xml:space="preserve">between </w:t>
      </w:r>
      <w:r w:rsidRPr="00D37012">
        <w:rPr>
          <w:rFonts w:ascii="Times New Roman" w:eastAsia="Calibri" w:hAnsi="Times New Roman" w:cs="Times New Roman"/>
          <w:kern w:val="0"/>
          <w:sz w:val="24"/>
          <w:szCs w:val="24"/>
          <w14:ligatures w14:val="none"/>
        </w:rPr>
        <w:t xml:space="preserve">1972–1987 nonattainment counties (relative to attainment </w:t>
      </w:r>
      <w:r w:rsidR="006E1714">
        <w:rPr>
          <w:rFonts w:ascii="Times New Roman" w:eastAsia="Calibri" w:hAnsi="Times New Roman" w:cs="Times New Roman"/>
          <w:kern w:val="0"/>
          <w:sz w:val="24"/>
          <w:szCs w:val="24"/>
          <w14:ligatures w14:val="none"/>
        </w:rPr>
        <w:t>counties)</w:t>
      </w:r>
      <w:r w:rsidRPr="00D37012">
        <w:rPr>
          <w:rFonts w:ascii="Times New Roman" w:eastAsia="Calibri" w:hAnsi="Times New Roman" w:cs="Times New Roman"/>
          <w:kern w:val="0"/>
          <w:sz w:val="24"/>
          <w:szCs w:val="24"/>
          <w14:ligatures w14:val="none"/>
        </w:rPr>
        <w:t xml:space="preserve"> lost approximately </w:t>
      </w:r>
      <w:r w:rsidRPr="00D37012">
        <w:rPr>
          <w:rFonts w:ascii="Times New Roman" w:eastAsia="Calibri" w:hAnsi="Times New Roman" w:cs="Times New Roman"/>
          <w:kern w:val="0"/>
          <w:sz w:val="24"/>
          <w:szCs w:val="24"/>
          <w14:ligatures w14:val="none"/>
        </w:rPr>
        <w:lastRenderedPageBreak/>
        <w:t>590,000 jobs, $37 billion in capital stock, and $75 billion of output in pollution</w:t>
      </w:r>
      <w:r w:rsidR="0083009D">
        <w:rPr>
          <w:rFonts w:ascii="Times New Roman" w:eastAsia="Calibri" w:hAnsi="Times New Roman" w:cs="Times New Roman"/>
          <w:kern w:val="0"/>
          <w:sz w:val="24"/>
          <w:szCs w:val="24"/>
          <w14:ligatures w14:val="none"/>
        </w:rPr>
        <w:t xml:space="preserve"> </w:t>
      </w:r>
      <w:r w:rsidRPr="00D37012">
        <w:rPr>
          <w:rFonts w:ascii="Times New Roman" w:eastAsia="Calibri" w:hAnsi="Times New Roman" w:cs="Times New Roman"/>
          <w:kern w:val="0"/>
          <w:sz w:val="24"/>
          <w:szCs w:val="24"/>
          <w14:ligatures w14:val="none"/>
        </w:rPr>
        <w:t>intensive industries (1987 dollars).</w:t>
      </w:r>
      <w:r w:rsidRPr="00D37012">
        <w:rPr>
          <w:rFonts w:ascii="Times New Roman" w:eastAsia="Calibri" w:hAnsi="Times New Roman" w:cs="Times New Roman"/>
          <w:kern w:val="0"/>
          <w:sz w:val="24"/>
          <w:szCs w:val="24"/>
          <w:vertAlign w:val="superscript"/>
          <w14:ligatures w14:val="none"/>
        </w:rPr>
        <w:footnoteReference w:id="49"/>
      </w:r>
      <w:r w:rsidRPr="00D37012">
        <w:rPr>
          <w:rFonts w:ascii="Times New Roman" w:eastAsia="Calibri" w:hAnsi="Times New Roman" w:cs="Times New Roman"/>
          <w:kern w:val="0"/>
          <w:sz w:val="24"/>
          <w:szCs w:val="24"/>
          <w14:ligatures w14:val="none"/>
        </w:rPr>
        <w:t xml:space="preserve"> Currie and Walker (2019, 15) point out that if a worker is unemployed for long periods of time and/or cannot find a comparable</w:t>
      </w:r>
      <w:r w:rsidR="0083009D">
        <w:rPr>
          <w:rFonts w:ascii="Times New Roman" w:eastAsia="Calibri" w:hAnsi="Times New Roman" w:cs="Times New Roman"/>
          <w:kern w:val="0"/>
          <w:sz w:val="24"/>
          <w:szCs w:val="24"/>
          <w14:ligatures w14:val="none"/>
        </w:rPr>
        <w:t xml:space="preserve"> </w:t>
      </w:r>
      <w:r w:rsidRPr="00D37012">
        <w:rPr>
          <w:rFonts w:ascii="Times New Roman" w:eastAsia="Calibri" w:hAnsi="Times New Roman" w:cs="Times New Roman"/>
          <w:kern w:val="0"/>
          <w:sz w:val="24"/>
          <w:szCs w:val="24"/>
          <w14:ligatures w14:val="none"/>
        </w:rPr>
        <w:t xml:space="preserve">paying job in future years, the transitional costs of finding new employment and in reallocating production may be large. There </w:t>
      </w:r>
      <w:r w:rsidR="0057113D">
        <w:rPr>
          <w:rFonts w:ascii="Times New Roman" w:eastAsia="Calibri" w:hAnsi="Times New Roman" w:cs="Times New Roman"/>
          <w:kern w:val="0"/>
          <w:sz w:val="24"/>
          <w:szCs w:val="24"/>
          <w14:ligatures w14:val="none"/>
        </w:rPr>
        <w:t xml:space="preserve">also </w:t>
      </w:r>
      <w:r w:rsidRPr="00D37012">
        <w:rPr>
          <w:rFonts w:ascii="Times New Roman" w:eastAsia="Calibri" w:hAnsi="Times New Roman" w:cs="Times New Roman"/>
          <w:kern w:val="0"/>
          <w:sz w:val="24"/>
          <w:szCs w:val="24"/>
          <w14:ligatures w14:val="none"/>
        </w:rPr>
        <w:t xml:space="preserve">may be capital adjustment costs and other allocative inefficiencies associated with </w:t>
      </w:r>
      <w:r w:rsidR="0083009D">
        <w:rPr>
          <w:rFonts w:ascii="Times New Roman" w:eastAsia="Calibri" w:hAnsi="Times New Roman" w:cs="Times New Roman"/>
          <w:kern w:val="0"/>
          <w:sz w:val="24"/>
          <w:szCs w:val="24"/>
          <w14:ligatures w14:val="none"/>
        </w:rPr>
        <w:t xml:space="preserve">production and employment </w:t>
      </w:r>
      <w:r w:rsidRPr="00D37012">
        <w:rPr>
          <w:rFonts w:ascii="Times New Roman" w:eastAsia="Calibri" w:hAnsi="Times New Roman" w:cs="Times New Roman"/>
          <w:kern w:val="0"/>
          <w:sz w:val="24"/>
          <w:szCs w:val="24"/>
          <w14:ligatures w14:val="none"/>
        </w:rPr>
        <w:t>reallocation under C</w:t>
      </w:r>
      <w:r w:rsidR="00557EF7">
        <w:rPr>
          <w:rFonts w:ascii="Times New Roman" w:eastAsia="Calibri" w:hAnsi="Times New Roman" w:cs="Times New Roman"/>
          <w:kern w:val="0"/>
          <w:sz w:val="24"/>
          <w:szCs w:val="24"/>
          <w14:ligatures w14:val="none"/>
        </w:rPr>
        <w:t xml:space="preserve">lean Air Act </w:t>
      </w:r>
      <w:r w:rsidRPr="00D37012">
        <w:rPr>
          <w:rFonts w:ascii="Times New Roman" w:eastAsia="Calibri" w:hAnsi="Times New Roman" w:cs="Times New Roman"/>
          <w:kern w:val="0"/>
          <w:sz w:val="24"/>
          <w:szCs w:val="24"/>
          <w14:ligatures w14:val="none"/>
        </w:rPr>
        <w:t xml:space="preserve">regulations. </w:t>
      </w:r>
    </w:p>
    <w:p w14:paraId="2D1EA8DC" w14:textId="73A01AE5" w:rsidR="00557EF7" w:rsidRDefault="00D37012" w:rsidP="00557EF7">
      <w:pPr>
        <w:shd w:val="clear" w:color="auto" w:fill="FFFFFF"/>
        <w:spacing w:after="0" w:line="360" w:lineRule="auto"/>
        <w:ind w:firstLine="720"/>
        <w:rPr>
          <w:rFonts w:ascii="Times New Roman" w:eastAsia="Calibri" w:hAnsi="Times New Roman" w:cs="Times New Roman"/>
          <w:kern w:val="0"/>
          <w:sz w:val="24"/>
          <w:szCs w:val="24"/>
          <w14:ligatures w14:val="none"/>
        </w:rPr>
      </w:pPr>
      <w:r w:rsidRPr="00D37012">
        <w:rPr>
          <w:rFonts w:ascii="Times New Roman" w:eastAsia="Calibri" w:hAnsi="Times New Roman" w:cs="Times New Roman"/>
          <w:kern w:val="0"/>
          <w:sz w:val="24"/>
          <w:szCs w:val="24"/>
          <w14:ligatures w14:val="none"/>
        </w:rPr>
        <w:t>Walker (2013) investigates the transitional costs of the 1990 Clean Air Act amendments for manufacturing workers</w:t>
      </w:r>
      <w:r w:rsidR="00DA6195">
        <w:rPr>
          <w:rFonts w:ascii="Times New Roman" w:eastAsia="Calibri" w:hAnsi="Times New Roman" w:cs="Times New Roman"/>
          <w:kern w:val="0"/>
          <w:sz w:val="24"/>
          <w:szCs w:val="24"/>
          <w14:ligatures w14:val="none"/>
        </w:rPr>
        <w:t xml:space="preserve"> due to </w:t>
      </w:r>
      <w:r w:rsidRPr="00D37012">
        <w:rPr>
          <w:rFonts w:ascii="Times New Roman" w:eastAsia="Calibri" w:hAnsi="Times New Roman" w:cs="Times New Roman"/>
          <w:kern w:val="0"/>
          <w:sz w:val="24"/>
          <w:szCs w:val="24"/>
          <w14:ligatures w14:val="none"/>
        </w:rPr>
        <w:t>a change in county</w:t>
      </w:r>
      <w:r w:rsidR="0083009D">
        <w:rPr>
          <w:rFonts w:ascii="Times New Roman" w:eastAsia="Calibri" w:hAnsi="Times New Roman" w:cs="Times New Roman"/>
          <w:kern w:val="0"/>
          <w:sz w:val="24"/>
          <w:szCs w:val="24"/>
          <w14:ligatures w14:val="none"/>
        </w:rPr>
        <w:t xml:space="preserve"> </w:t>
      </w:r>
      <w:r w:rsidRPr="00D37012">
        <w:rPr>
          <w:rFonts w:ascii="Times New Roman" w:eastAsia="Calibri" w:hAnsi="Times New Roman" w:cs="Times New Roman"/>
          <w:kern w:val="0"/>
          <w:sz w:val="24"/>
          <w:szCs w:val="24"/>
          <w14:ligatures w14:val="none"/>
        </w:rPr>
        <w:t xml:space="preserve">level attainment status. He finds that workers in newly regulated plants lost $5.4 billion (in 1990 dollars) in earnings due to the amendments and that these costs were mostly accounted for by a combination of delay in finding a new job elsewhere and lower earnings in future </w:t>
      </w:r>
      <w:r w:rsidR="00BB5E86" w:rsidRPr="00D37012">
        <w:rPr>
          <w:rFonts w:ascii="Times New Roman" w:eastAsia="Calibri" w:hAnsi="Times New Roman" w:cs="Times New Roman"/>
          <w:kern w:val="0"/>
          <w:sz w:val="24"/>
          <w:szCs w:val="24"/>
          <w14:ligatures w14:val="none"/>
        </w:rPr>
        <w:t>p</w:t>
      </w:r>
      <w:r w:rsidR="00BB5E86">
        <w:rPr>
          <w:rFonts w:ascii="Times New Roman" w:eastAsia="Calibri" w:hAnsi="Times New Roman" w:cs="Times New Roman"/>
          <w:kern w:val="0"/>
          <w:sz w:val="24"/>
          <w:szCs w:val="24"/>
          <w14:ligatures w14:val="none"/>
        </w:rPr>
        <w:t>ositions</w:t>
      </w:r>
      <w:r w:rsidRPr="00D37012">
        <w:rPr>
          <w:rFonts w:ascii="Times New Roman" w:eastAsia="Calibri" w:hAnsi="Times New Roman" w:cs="Times New Roman"/>
          <w:kern w:val="0"/>
          <w:sz w:val="24"/>
          <w:szCs w:val="24"/>
          <w14:ligatures w14:val="none"/>
        </w:rPr>
        <w:t>.</w:t>
      </w:r>
      <w:r w:rsidRPr="00D37012">
        <w:rPr>
          <w:rFonts w:ascii="Times New Roman" w:eastAsia="Calibri" w:hAnsi="Times New Roman" w:cs="Times New Roman"/>
          <w:kern w:val="0"/>
          <w:sz w:val="24"/>
          <w:szCs w:val="24"/>
          <w:vertAlign w:val="superscript"/>
          <w14:ligatures w14:val="none"/>
        </w:rPr>
        <w:footnoteReference w:id="50"/>
      </w:r>
      <w:r w:rsidRPr="00D37012">
        <w:rPr>
          <w:rFonts w:ascii="Times New Roman" w:eastAsia="Calibri" w:hAnsi="Times New Roman" w:cs="Times New Roman"/>
          <w:kern w:val="0"/>
          <w:sz w:val="24"/>
          <w:szCs w:val="24"/>
          <w14:ligatures w14:val="none"/>
        </w:rPr>
        <w:t xml:space="preserve"> </w:t>
      </w:r>
      <w:r w:rsidR="00DA6195">
        <w:rPr>
          <w:rFonts w:ascii="Times New Roman" w:eastAsia="Calibri" w:hAnsi="Times New Roman" w:cs="Times New Roman"/>
          <w:kern w:val="0"/>
          <w:sz w:val="24"/>
          <w:szCs w:val="24"/>
          <w14:ligatures w14:val="none"/>
        </w:rPr>
        <w:t xml:space="preserve">The estimated </w:t>
      </w:r>
      <w:r w:rsidR="00DA6195" w:rsidRPr="00DA6195">
        <w:rPr>
          <w:rFonts w:ascii="Times New Roman" w:eastAsia="Calibri" w:hAnsi="Times New Roman" w:cs="Times New Roman"/>
          <w:kern w:val="0"/>
          <w:sz w:val="24"/>
          <w:szCs w:val="24"/>
          <w14:ligatures w14:val="none"/>
        </w:rPr>
        <w:t xml:space="preserve">losses </w:t>
      </w:r>
      <w:r w:rsidR="00DA6195">
        <w:rPr>
          <w:rFonts w:ascii="Times New Roman" w:eastAsia="Calibri" w:hAnsi="Times New Roman" w:cs="Times New Roman"/>
          <w:kern w:val="0"/>
          <w:sz w:val="24"/>
          <w:szCs w:val="24"/>
          <w14:ligatures w14:val="none"/>
        </w:rPr>
        <w:t xml:space="preserve">for </w:t>
      </w:r>
      <w:r w:rsidRPr="00D37012">
        <w:rPr>
          <w:rFonts w:ascii="Times New Roman" w:eastAsia="Calibri" w:hAnsi="Times New Roman" w:cs="Times New Roman"/>
          <w:kern w:val="0"/>
          <w:sz w:val="24"/>
          <w:szCs w:val="24"/>
          <w14:ligatures w14:val="none"/>
        </w:rPr>
        <w:t xml:space="preserve">the average worker </w:t>
      </w:r>
      <w:r w:rsidR="00DA6195">
        <w:rPr>
          <w:rFonts w:ascii="Times New Roman" w:eastAsia="Calibri" w:hAnsi="Times New Roman" w:cs="Times New Roman"/>
          <w:kern w:val="0"/>
          <w:sz w:val="24"/>
          <w:szCs w:val="24"/>
          <w14:ligatures w14:val="none"/>
        </w:rPr>
        <w:t xml:space="preserve">were </w:t>
      </w:r>
      <w:r w:rsidRPr="00D37012">
        <w:rPr>
          <w:rFonts w:ascii="Times New Roman" w:eastAsia="Calibri" w:hAnsi="Times New Roman" w:cs="Times New Roman"/>
          <w:kern w:val="0"/>
          <w:sz w:val="24"/>
          <w:szCs w:val="24"/>
          <w14:ligatures w14:val="none"/>
        </w:rPr>
        <w:t>equal to 20</w:t>
      </w:r>
      <w:r w:rsidR="00DA6195">
        <w:rPr>
          <w:rFonts w:ascii="Times New Roman" w:eastAsia="Calibri" w:hAnsi="Times New Roman" w:cs="Times New Roman"/>
          <w:kern w:val="0"/>
          <w:sz w:val="24"/>
          <w:szCs w:val="24"/>
          <w14:ligatures w14:val="none"/>
        </w:rPr>
        <w:t>%</w:t>
      </w:r>
      <w:r w:rsidRPr="00D37012">
        <w:rPr>
          <w:rFonts w:ascii="Times New Roman" w:eastAsia="Calibri" w:hAnsi="Times New Roman" w:cs="Times New Roman"/>
          <w:kern w:val="0"/>
          <w:sz w:val="24"/>
          <w:szCs w:val="24"/>
          <w14:ligatures w14:val="none"/>
        </w:rPr>
        <w:t xml:space="preserve"> of annual pre</w:t>
      </w:r>
      <w:r w:rsidR="00BB5E86">
        <w:rPr>
          <w:rFonts w:ascii="Times New Roman" w:eastAsia="Calibri" w:hAnsi="Times New Roman" w:cs="Times New Roman"/>
          <w:kern w:val="0"/>
          <w:sz w:val="24"/>
          <w:szCs w:val="24"/>
          <w14:ligatures w14:val="none"/>
        </w:rPr>
        <w:t>-</w:t>
      </w:r>
      <w:r w:rsidRPr="00D37012">
        <w:rPr>
          <w:rFonts w:ascii="Times New Roman" w:eastAsia="Calibri" w:hAnsi="Times New Roman" w:cs="Times New Roman"/>
          <w:kern w:val="0"/>
          <w:sz w:val="24"/>
          <w:szCs w:val="24"/>
          <w14:ligatures w14:val="none"/>
        </w:rPr>
        <w:t>regulatory earnings</w:t>
      </w:r>
      <w:r w:rsidR="00DA6195">
        <w:rPr>
          <w:rFonts w:ascii="Times New Roman" w:eastAsia="Calibri" w:hAnsi="Times New Roman" w:cs="Times New Roman"/>
          <w:kern w:val="0"/>
          <w:sz w:val="24"/>
          <w:szCs w:val="24"/>
          <w14:ligatures w14:val="none"/>
        </w:rPr>
        <w:t xml:space="preserve">. </w:t>
      </w:r>
      <w:r w:rsidRPr="00D37012">
        <w:rPr>
          <w:rFonts w:ascii="Times New Roman" w:eastAsia="Calibri" w:hAnsi="Times New Roman" w:cs="Times New Roman"/>
          <w:kern w:val="0"/>
          <w:sz w:val="24"/>
          <w:szCs w:val="24"/>
          <w14:ligatures w14:val="none"/>
        </w:rPr>
        <w:t xml:space="preserve"> </w:t>
      </w:r>
    </w:p>
    <w:p w14:paraId="3D394025" w14:textId="44DC7120" w:rsidR="00513714" w:rsidRPr="005E7A25" w:rsidRDefault="00513714" w:rsidP="00970B0F">
      <w:pPr>
        <w:shd w:val="clear" w:color="auto" w:fill="FFFFFF"/>
        <w:spacing w:after="0" w:line="360" w:lineRule="auto"/>
        <w:ind w:firstLine="72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Clay et al (2022) examine</w:t>
      </w:r>
      <w:r w:rsidR="00B20C88">
        <w:rPr>
          <w:rFonts w:ascii="Times New Roman" w:eastAsia="Calibri" w:hAnsi="Times New Roman" w:cs="Times New Roman"/>
          <w:kern w:val="0"/>
          <w:sz w:val="24"/>
          <w:szCs w:val="24"/>
          <w14:ligatures w14:val="none"/>
        </w:rPr>
        <w:t>d</w:t>
      </w:r>
      <w:r>
        <w:rPr>
          <w:rFonts w:ascii="Times New Roman" w:eastAsia="Calibri" w:hAnsi="Times New Roman" w:cs="Times New Roman"/>
          <w:kern w:val="0"/>
          <w:sz w:val="24"/>
          <w:szCs w:val="24"/>
          <w14:ligatures w14:val="none"/>
        </w:rPr>
        <w:t xml:space="preserve"> the costs of compliance for power</w:t>
      </w:r>
      <w:r w:rsidR="00461806">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plant utilities in </w:t>
      </w:r>
      <w:r w:rsidR="000C4C0E">
        <w:rPr>
          <w:rFonts w:ascii="Times New Roman" w:eastAsia="Calibri" w:hAnsi="Times New Roman" w:cs="Times New Roman"/>
          <w:kern w:val="0"/>
          <w:sz w:val="24"/>
          <w:szCs w:val="24"/>
          <w14:ligatures w14:val="none"/>
        </w:rPr>
        <w:t xml:space="preserve">nonattainment </w:t>
      </w:r>
      <w:r>
        <w:rPr>
          <w:rFonts w:ascii="Times New Roman" w:eastAsia="Calibri" w:hAnsi="Times New Roman" w:cs="Times New Roman"/>
          <w:kern w:val="0"/>
          <w:sz w:val="24"/>
          <w:szCs w:val="24"/>
          <w14:ligatures w14:val="none"/>
        </w:rPr>
        <w:t>counties</w:t>
      </w:r>
      <w:r w:rsidR="000C4C0E">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w:t>
      </w:r>
      <w:r w:rsidR="00461806">
        <w:rPr>
          <w:rFonts w:ascii="Times New Roman" w:eastAsia="Calibri" w:hAnsi="Times New Roman" w:cs="Times New Roman"/>
          <w:kern w:val="0"/>
          <w:sz w:val="24"/>
          <w:szCs w:val="24"/>
          <w14:ligatures w14:val="none"/>
        </w:rPr>
        <w:t xml:space="preserve">and hence </w:t>
      </w:r>
      <w:r>
        <w:rPr>
          <w:rFonts w:ascii="Times New Roman" w:eastAsia="Calibri" w:hAnsi="Times New Roman" w:cs="Times New Roman"/>
          <w:kern w:val="0"/>
          <w:sz w:val="24"/>
          <w:szCs w:val="24"/>
          <w14:ligatures w14:val="none"/>
        </w:rPr>
        <w:t>subject to more intense regulatory controls.</w:t>
      </w:r>
      <w:r w:rsidR="00A90DB8" w:rsidRPr="00A90DB8">
        <w:rPr>
          <w:rStyle w:val="FootnoteReference"/>
          <w:rFonts w:ascii="Times New Roman" w:eastAsia="Calibri" w:hAnsi="Times New Roman" w:cs="Times New Roman"/>
          <w:kern w:val="0"/>
          <w:sz w:val="24"/>
          <w:szCs w:val="24"/>
          <w14:ligatures w14:val="none"/>
        </w:rPr>
        <w:t xml:space="preserve"> </w:t>
      </w:r>
      <w:r w:rsidR="00A90DB8">
        <w:rPr>
          <w:rStyle w:val="FootnoteReference"/>
          <w:rFonts w:ascii="Times New Roman" w:eastAsia="Calibri" w:hAnsi="Times New Roman" w:cs="Times New Roman"/>
          <w:kern w:val="0"/>
          <w:sz w:val="24"/>
          <w:szCs w:val="24"/>
          <w14:ligatures w14:val="none"/>
        </w:rPr>
        <w:footnoteReference w:id="51"/>
      </w:r>
      <w:r w:rsidR="00970B0F">
        <w:rPr>
          <w:rFonts w:ascii="Times New Roman" w:eastAsia="Calibri" w:hAnsi="Times New Roman" w:cs="Times New Roman"/>
          <w:kern w:val="0"/>
          <w:sz w:val="24"/>
          <w:szCs w:val="24"/>
          <w14:ligatures w14:val="none"/>
        </w:rPr>
        <w:t xml:space="preserve">The EPA mandated </w:t>
      </w:r>
      <w:r w:rsidR="000C4C0E">
        <w:rPr>
          <w:rFonts w:ascii="Times New Roman" w:eastAsia="Calibri" w:hAnsi="Times New Roman" w:cs="Times New Roman"/>
          <w:kern w:val="0"/>
          <w:sz w:val="24"/>
          <w:szCs w:val="24"/>
          <w14:ligatures w14:val="none"/>
        </w:rPr>
        <w:t xml:space="preserve">investment in </w:t>
      </w:r>
      <w:r w:rsidR="00970B0F">
        <w:rPr>
          <w:rFonts w:ascii="Times New Roman" w:eastAsia="Calibri" w:hAnsi="Times New Roman" w:cs="Times New Roman"/>
          <w:kern w:val="0"/>
          <w:sz w:val="24"/>
          <w:szCs w:val="24"/>
          <w14:ligatures w14:val="none"/>
        </w:rPr>
        <w:t xml:space="preserve">new capital equipment to reduce emissions, termed </w:t>
      </w:r>
      <w:r w:rsidR="00970B0F" w:rsidRPr="00461806">
        <w:rPr>
          <w:rFonts w:ascii="Times New Roman" w:eastAsia="Calibri" w:hAnsi="Times New Roman" w:cs="Times New Roman"/>
          <w:i/>
          <w:iCs/>
          <w:kern w:val="0"/>
          <w:sz w:val="24"/>
          <w:szCs w:val="24"/>
          <w14:ligatures w14:val="none"/>
        </w:rPr>
        <w:t>technology forcing</w:t>
      </w:r>
      <w:r w:rsidR="00970B0F">
        <w:rPr>
          <w:rFonts w:ascii="Times New Roman" w:eastAsia="Calibri" w:hAnsi="Times New Roman" w:cs="Times New Roman"/>
          <w:kern w:val="0"/>
          <w:sz w:val="24"/>
          <w:szCs w:val="24"/>
          <w14:ligatures w14:val="none"/>
        </w:rPr>
        <w:t>. They f</w:t>
      </w:r>
      <w:r w:rsidR="00B20C88">
        <w:rPr>
          <w:rFonts w:ascii="Times New Roman" w:eastAsia="Calibri" w:hAnsi="Times New Roman" w:cs="Times New Roman"/>
          <w:kern w:val="0"/>
          <w:sz w:val="24"/>
          <w:szCs w:val="24"/>
          <w14:ligatures w14:val="none"/>
        </w:rPr>
        <w:t>ound</w:t>
      </w:r>
      <w:r w:rsidR="00970B0F">
        <w:rPr>
          <w:rFonts w:ascii="Times New Roman" w:eastAsia="Calibri" w:hAnsi="Times New Roman" w:cs="Times New Roman"/>
          <w:kern w:val="0"/>
          <w:sz w:val="24"/>
          <w:szCs w:val="24"/>
          <w14:ligatures w14:val="none"/>
        </w:rPr>
        <w:t xml:space="preserve"> that power plant productivity fell by 16%. Costs were greatest for older vintage plants, where losses ranged from 38% to 58%. There were fewer options for adjustment to meet nonattainment restrictions. Aggregate compliance costs were reduced by a shifting of production from older to newer plants. With reallocation, </w:t>
      </w:r>
      <w:r w:rsidRPr="005E7A25">
        <w:rPr>
          <w:rFonts w:ascii="Times New Roman" w:eastAsia="Calibri" w:hAnsi="Times New Roman" w:cs="Times New Roman"/>
          <w:kern w:val="0"/>
          <w:sz w:val="24"/>
          <w:szCs w:val="24"/>
          <w14:ligatures w14:val="none"/>
        </w:rPr>
        <w:t xml:space="preserve">annual total productivity losses </w:t>
      </w:r>
      <w:r w:rsidR="00970B0F" w:rsidRPr="00970B0F">
        <w:rPr>
          <w:rFonts w:ascii="Times New Roman" w:eastAsia="Calibri" w:hAnsi="Times New Roman" w:cs="Times New Roman"/>
          <w:kern w:val="0"/>
          <w:sz w:val="24"/>
          <w:szCs w:val="24"/>
          <w14:ligatures w14:val="none"/>
        </w:rPr>
        <w:t>were</w:t>
      </w:r>
      <w:r w:rsidRPr="005E7A25">
        <w:rPr>
          <w:rFonts w:ascii="Times New Roman" w:eastAsia="Calibri" w:hAnsi="Times New Roman" w:cs="Times New Roman"/>
          <w:kern w:val="0"/>
          <w:sz w:val="24"/>
          <w:szCs w:val="24"/>
          <w14:ligatures w14:val="none"/>
        </w:rPr>
        <w:t xml:space="preserve"> about $2.3 billion (2020 USD).</w:t>
      </w:r>
      <w:r w:rsidR="00970B0F">
        <w:rPr>
          <w:rFonts w:ascii="Times New Roman" w:eastAsia="Calibri" w:hAnsi="Times New Roman" w:cs="Times New Roman"/>
          <w:kern w:val="0"/>
          <w:sz w:val="24"/>
          <w:szCs w:val="24"/>
          <w14:ligatures w14:val="none"/>
        </w:rPr>
        <w:t xml:space="preserve">  Although estimated health benefits were larger, there likely were important distributional impacts via </w:t>
      </w:r>
      <w:r w:rsidR="00B20C88">
        <w:rPr>
          <w:rFonts w:ascii="Times New Roman" w:eastAsia="Calibri" w:hAnsi="Times New Roman" w:cs="Times New Roman"/>
          <w:kern w:val="0"/>
          <w:sz w:val="24"/>
          <w:szCs w:val="24"/>
          <w14:ligatures w14:val="none"/>
        </w:rPr>
        <w:t>un</w:t>
      </w:r>
      <w:r w:rsidR="00970B0F">
        <w:rPr>
          <w:rFonts w:ascii="Times New Roman" w:eastAsia="Calibri" w:hAnsi="Times New Roman" w:cs="Times New Roman"/>
          <w:kern w:val="0"/>
          <w:sz w:val="24"/>
          <w:szCs w:val="24"/>
          <w14:ligatures w14:val="none"/>
        </w:rPr>
        <w:t xml:space="preserve">employment and higher </w:t>
      </w:r>
      <w:r w:rsidR="009C0D8A">
        <w:rPr>
          <w:rFonts w:ascii="Times New Roman" w:eastAsia="Calibri" w:hAnsi="Times New Roman" w:cs="Times New Roman"/>
          <w:kern w:val="0"/>
          <w:sz w:val="24"/>
          <w:szCs w:val="24"/>
          <w14:ligatures w14:val="none"/>
        </w:rPr>
        <w:t xml:space="preserve">electricity costs, passed through to </w:t>
      </w:r>
      <w:r w:rsidR="00461806">
        <w:rPr>
          <w:rFonts w:ascii="Times New Roman" w:eastAsia="Calibri" w:hAnsi="Times New Roman" w:cs="Times New Roman"/>
          <w:kern w:val="0"/>
          <w:sz w:val="24"/>
          <w:szCs w:val="24"/>
          <w14:ligatures w14:val="none"/>
        </w:rPr>
        <w:t xml:space="preserve">employees and </w:t>
      </w:r>
      <w:r w:rsidR="009C0D8A">
        <w:rPr>
          <w:rFonts w:ascii="Times New Roman" w:eastAsia="Calibri" w:hAnsi="Times New Roman" w:cs="Times New Roman"/>
          <w:kern w:val="0"/>
          <w:sz w:val="24"/>
          <w:szCs w:val="24"/>
          <w14:ligatures w14:val="none"/>
        </w:rPr>
        <w:t xml:space="preserve">consumers. </w:t>
      </w:r>
    </w:p>
    <w:p w14:paraId="3D919112" w14:textId="1184EA1F" w:rsidR="00D234F9" w:rsidRPr="00361F34" w:rsidRDefault="00A90DB8" w:rsidP="00D234F9">
      <w:pPr>
        <w:shd w:val="clear" w:color="auto" w:fill="FFFFFF"/>
        <w:spacing w:after="0" w:line="360" w:lineRule="auto"/>
        <w:ind w:firstLine="720"/>
        <w:rPr>
          <w:rFonts w:ascii="Times New Roman" w:hAnsi="Times New Roman" w:cs="Times New Roman"/>
          <w:color w:val="1B1B1B"/>
          <w:kern w:val="0"/>
          <w:sz w:val="24"/>
          <w:szCs w:val="24"/>
          <w:shd w:val="clear" w:color="auto" w:fill="FFFFFF"/>
          <w14:ligatures w14:val="none"/>
        </w:rPr>
      </w:pPr>
      <w:r>
        <w:rPr>
          <w:rFonts w:ascii="Times New Roman" w:hAnsi="Times New Roman" w:cs="Times New Roman"/>
          <w:sz w:val="24"/>
          <w:szCs w:val="24"/>
        </w:rPr>
        <w:t xml:space="preserve">Additional </w:t>
      </w:r>
      <w:r w:rsidR="00D234F9" w:rsidRPr="00361F34">
        <w:rPr>
          <w:rFonts w:ascii="Times New Roman" w:hAnsi="Times New Roman" w:cs="Times New Roman"/>
          <w:sz w:val="24"/>
          <w:szCs w:val="24"/>
        </w:rPr>
        <w:t>costs and political</w:t>
      </w:r>
      <w:r w:rsidR="00B20C88">
        <w:rPr>
          <w:rFonts w:ascii="Times New Roman" w:hAnsi="Times New Roman" w:cs="Times New Roman"/>
          <w:sz w:val="24"/>
          <w:szCs w:val="24"/>
        </w:rPr>
        <w:t>-</w:t>
      </w:r>
      <w:r w:rsidR="00D234F9" w:rsidRPr="00361F34">
        <w:rPr>
          <w:rFonts w:ascii="Times New Roman" w:hAnsi="Times New Roman" w:cs="Times New Roman"/>
          <w:sz w:val="24"/>
          <w:szCs w:val="24"/>
        </w:rPr>
        <w:t xml:space="preserve">rent seeking are indicated in the </w:t>
      </w:r>
      <w:r w:rsidR="00D234F9" w:rsidRPr="00361F34">
        <w:rPr>
          <w:rFonts w:ascii="Times New Roman" w:hAnsi="Times New Roman" w:cs="Times New Roman"/>
          <w:color w:val="1B1B1B"/>
          <w:kern w:val="0"/>
          <w:sz w:val="24"/>
          <w:szCs w:val="24"/>
          <w:shd w:val="clear" w:color="auto" w:fill="FFFFFF"/>
          <w14:ligatures w14:val="none"/>
        </w:rPr>
        <w:t>1977 C</w:t>
      </w:r>
      <w:r w:rsidR="00461806">
        <w:rPr>
          <w:rFonts w:ascii="Times New Roman" w:hAnsi="Times New Roman" w:cs="Times New Roman"/>
          <w:color w:val="1B1B1B"/>
          <w:kern w:val="0"/>
          <w:sz w:val="24"/>
          <w:szCs w:val="24"/>
          <w:shd w:val="clear" w:color="auto" w:fill="FFFFFF"/>
          <w14:ligatures w14:val="none"/>
        </w:rPr>
        <w:t>lean Air Act A</w:t>
      </w:r>
      <w:r w:rsidR="00D234F9" w:rsidRPr="00361F34">
        <w:rPr>
          <w:rFonts w:ascii="Times New Roman" w:hAnsi="Times New Roman" w:cs="Times New Roman"/>
          <w:color w:val="1B1B1B"/>
          <w:kern w:val="0"/>
          <w:sz w:val="24"/>
          <w:szCs w:val="24"/>
          <w:shd w:val="clear" w:color="auto" w:fill="FFFFFF"/>
          <w14:ligatures w14:val="none"/>
        </w:rPr>
        <w:t>mendments</w:t>
      </w:r>
      <w:r>
        <w:rPr>
          <w:rFonts w:ascii="Times New Roman" w:hAnsi="Times New Roman" w:cs="Times New Roman"/>
          <w:color w:val="1B1B1B"/>
          <w:kern w:val="0"/>
          <w:sz w:val="24"/>
          <w:szCs w:val="24"/>
          <w:shd w:val="clear" w:color="auto" w:fill="FFFFFF"/>
          <w14:ligatures w14:val="none"/>
        </w:rPr>
        <w:t xml:space="preserve"> revising </w:t>
      </w:r>
      <w:r w:rsidR="00D234F9" w:rsidRPr="00361F34">
        <w:rPr>
          <w:rFonts w:ascii="Times New Roman" w:hAnsi="Times New Roman" w:cs="Times New Roman"/>
          <w:color w:val="1B1B1B"/>
          <w:kern w:val="0"/>
          <w:sz w:val="24"/>
          <w:szCs w:val="24"/>
          <w:shd w:val="clear" w:color="auto" w:fill="FFFFFF"/>
          <w14:ligatures w14:val="none"/>
        </w:rPr>
        <w:t xml:space="preserve">Prevention of Significant Deterioration (PSD) of Air Quality Standards for all </w:t>
      </w:r>
      <w:r>
        <w:rPr>
          <w:rFonts w:ascii="Times New Roman" w:hAnsi="Times New Roman" w:cs="Times New Roman"/>
          <w:color w:val="1B1B1B"/>
          <w:kern w:val="0"/>
          <w:sz w:val="24"/>
          <w:szCs w:val="24"/>
          <w:shd w:val="clear" w:color="auto" w:fill="FFFFFF"/>
          <w14:ligatures w14:val="none"/>
        </w:rPr>
        <w:t xml:space="preserve">attainment </w:t>
      </w:r>
      <w:r w:rsidR="00D234F9" w:rsidRPr="00361F34">
        <w:rPr>
          <w:rFonts w:ascii="Times New Roman" w:hAnsi="Times New Roman" w:cs="Times New Roman"/>
          <w:color w:val="1B1B1B"/>
          <w:kern w:val="0"/>
          <w:sz w:val="24"/>
          <w:szCs w:val="24"/>
          <w:shd w:val="clear" w:color="auto" w:fill="FFFFFF"/>
          <w14:ligatures w14:val="none"/>
        </w:rPr>
        <w:t xml:space="preserve">areas. Initially promulgated in the early 1970s by the EPA, </w:t>
      </w:r>
      <w:r w:rsidR="0088522F">
        <w:rPr>
          <w:rFonts w:ascii="Times New Roman" w:hAnsi="Times New Roman" w:cs="Times New Roman"/>
          <w:color w:val="1B1B1B"/>
          <w:kern w:val="0"/>
          <w:sz w:val="24"/>
          <w:szCs w:val="24"/>
          <w:shd w:val="clear" w:color="auto" w:fill="FFFFFF"/>
          <w14:ligatures w14:val="none"/>
        </w:rPr>
        <w:t xml:space="preserve">PSD </w:t>
      </w:r>
      <w:r w:rsidR="00D234F9" w:rsidRPr="00361F34">
        <w:rPr>
          <w:rFonts w:ascii="Times New Roman" w:hAnsi="Times New Roman" w:cs="Times New Roman"/>
          <w:color w:val="1B1B1B"/>
          <w:kern w:val="0"/>
          <w:sz w:val="24"/>
          <w:szCs w:val="24"/>
          <w:shd w:val="clear" w:color="auto" w:fill="FFFFFF"/>
          <w14:ligatures w14:val="none"/>
        </w:rPr>
        <w:t>rules were designed to reduce particulates, SO</w:t>
      </w:r>
      <w:r w:rsidR="00D234F9" w:rsidRPr="00361F34">
        <w:rPr>
          <w:rFonts w:ascii="Times New Roman" w:hAnsi="Times New Roman" w:cs="Times New Roman"/>
          <w:color w:val="1B1B1B"/>
          <w:kern w:val="0"/>
          <w:sz w:val="24"/>
          <w:szCs w:val="24"/>
          <w:shd w:val="clear" w:color="auto" w:fill="FFFFFF"/>
          <w:vertAlign w:val="subscript"/>
          <w14:ligatures w14:val="none"/>
        </w:rPr>
        <w:t>2</w:t>
      </w:r>
      <w:r w:rsidR="00D234F9" w:rsidRPr="00361F34">
        <w:rPr>
          <w:rFonts w:ascii="Times New Roman" w:hAnsi="Times New Roman" w:cs="Times New Roman"/>
          <w:color w:val="1B1B1B"/>
          <w:kern w:val="0"/>
          <w:sz w:val="24"/>
          <w:szCs w:val="24"/>
          <w:shd w:val="clear" w:color="auto" w:fill="FFFFFF"/>
          <w14:ligatures w14:val="none"/>
        </w:rPr>
        <w:t>, and NO</w:t>
      </w:r>
      <w:r w:rsidR="00D234F9" w:rsidRPr="00361F34">
        <w:rPr>
          <w:rFonts w:ascii="Times New Roman" w:hAnsi="Times New Roman" w:cs="Times New Roman"/>
          <w:color w:val="1B1B1B"/>
          <w:kern w:val="0"/>
          <w:sz w:val="24"/>
          <w:szCs w:val="24"/>
          <w:shd w:val="clear" w:color="auto" w:fill="FFFFFF"/>
          <w:vertAlign w:val="subscript"/>
          <w14:ligatures w14:val="none"/>
        </w:rPr>
        <w:t xml:space="preserve">x </w:t>
      </w:r>
      <w:r w:rsidR="00D234F9" w:rsidRPr="00361F34">
        <w:rPr>
          <w:rFonts w:ascii="Times New Roman" w:hAnsi="Times New Roman" w:cs="Times New Roman"/>
          <w:color w:val="1B1B1B"/>
          <w:kern w:val="0"/>
          <w:sz w:val="24"/>
          <w:szCs w:val="24"/>
          <w:shd w:val="clear" w:color="auto" w:fill="FFFFFF"/>
          <w14:ligatures w14:val="none"/>
        </w:rPr>
        <w:t>emissions, primarily from coal</w:t>
      </w:r>
      <w:r w:rsidR="00461806">
        <w:rPr>
          <w:rFonts w:ascii="Times New Roman" w:hAnsi="Times New Roman" w:cs="Times New Roman"/>
          <w:color w:val="1B1B1B"/>
          <w:kern w:val="0"/>
          <w:sz w:val="24"/>
          <w:szCs w:val="24"/>
          <w:shd w:val="clear" w:color="auto" w:fill="FFFFFF"/>
          <w14:ligatures w14:val="none"/>
        </w:rPr>
        <w:t xml:space="preserve"> </w:t>
      </w:r>
      <w:r w:rsidR="00D234F9" w:rsidRPr="00361F34">
        <w:rPr>
          <w:rFonts w:ascii="Times New Roman" w:hAnsi="Times New Roman" w:cs="Times New Roman"/>
          <w:color w:val="1B1B1B"/>
          <w:kern w:val="0"/>
          <w:sz w:val="24"/>
          <w:szCs w:val="24"/>
          <w:shd w:val="clear" w:color="auto" w:fill="FFFFFF"/>
          <w14:ligatures w14:val="none"/>
        </w:rPr>
        <w:t xml:space="preserve">fired power plants and industrial firms.  The issue was whether the PSD mandated air qualities were to be </w:t>
      </w:r>
      <w:r w:rsidR="00D234F9" w:rsidRPr="00361F34">
        <w:rPr>
          <w:rFonts w:ascii="Times New Roman" w:hAnsi="Times New Roman" w:cs="Times New Roman"/>
          <w:color w:val="1B1B1B"/>
          <w:kern w:val="0"/>
          <w:sz w:val="24"/>
          <w:szCs w:val="24"/>
          <w:shd w:val="clear" w:color="auto" w:fill="FFFFFF"/>
          <w14:ligatures w14:val="none"/>
        </w:rPr>
        <w:lastRenderedPageBreak/>
        <w:t xml:space="preserve">maintained in </w:t>
      </w:r>
      <w:r w:rsidR="0088522F">
        <w:rPr>
          <w:rFonts w:ascii="Times New Roman" w:hAnsi="Times New Roman" w:cs="Times New Roman"/>
          <w:color w:val="1B1B1B"/>
          <w:kern w:val="0"/>
          <w:sz w:val="24"/>
          <w:szCs w:val="24"/>
          <w:shd w:val="clear" w:color="auto" w:fill="FFFFFF"/>
          <w14:ligatures w14:val="none"/>
        </w:rPr>
        <w:t xml:space="preserve">attainment </w:t>
      </w:r>
      <w:r w:rsidR="00D234F9" w:rsidRPr="00361F34">
        <w:rPr>
          <w:rFonts w:ascii="Times New Roman" w:hAnsi="Times New Roman" w:cs="Times New Roman"/>
          <w:color w:val="1B1B1B"/>
          <w:kern w:val="0"/>
          <w:sz w:val="24"/>
          <w:szCs w:val="24"/>
          <w:shd w:val="clear" w:color="auto" w:fill="FFFFFF"/>
          <w14:ligatures w14:val="none"/>
        </w:rPr>
        <w:t>regions where air qualities were above national levels. Under the C</w:t>
      </w:r>
      <w:r w:rsidR="0088522F">
        <w:rPr>
          <w:rFonts w:ascii="Times New Roman" w:hAnsi="Times New Roman" w:cs="Times New Roman"/>
          <w:color w:val="1B1B1B"/>
          <w:kern w:val="0"/>
          <w:sz w:val="24"/>
          <w:szCs w:val="24"/>
          <w:shd w:val="clear" w:color="auto" w:fill="FFFFFF"/>
          <w14:ligatures w14:val="none"/>
        </w:rPr>
        <w:t>lean Air Act</w:t>
      </w:r>
      <w:r w:rsidR="00D234F9" w:rsidRPr="00361F34">
        <w:rPr>
          <w:rFonts w:ascii="Times New Roman" w:hAnsi="Times New Roman" w:cs="Times New Roman"/>
          <w:color w:val="1B1B1B"/>
          <w:kern w:val="0"/>
          <w:sz w:val="24"/>
          <w:szCs w:val="24"/>
          <w:shd w:val="clear" w:color="auto" w:fill="FFFFFF"/>
          <w14:ligatures w14:val="none"/>
        </w:rPr>
        <w:t xml:space="preserve"> economic tradeoffs were not to be weighed. A broad application of PSD was strongly supported by environmental organizations. When the EPA initially determined that Congress had not intended to impose PSD on regions with </w:t>
      </w:r>
      <w:r w:rsidR="0088522F">
        <w:rPr>
          <w:rFonts w:ascii="Times New Roman" w:hAnsi="Times New Roman" w:cs="Times New Roman"/>
          <w:color w:val="1B1B1B"/>
          <w:kern w:val="0"/>
          <w:sz w:val="24"/>
          <w:szCs w:val="24"/>
          <w:shd w:val="clear" w:color="auto" w:fill="FFFFFF"/>
          <w14:ligatures w14:val="none"/>
        </w:rPr>
        <w:t xml:space="preserve">high </w:t>
      </w:r>
      <w:r w:rsidR="00D234F9" w:rsidRPr="00361F34">
        <w:rPr>
          <w:rFonts w:ascii="Times New Roman" w:hAnsi="Times New Roman" w:cs="Times New Roman"/>
          <w:color w:val="1B1B1B"/>
          <w:kern w:val="0"/>
          <w:sz w:val="24"/>
          <w:szCs w:val="24"/>
          <w:shd w:val="clear" w:color="auto" w:fill="FFFFFF"/>
          <w14:ligatures w14:val="none"/>
        </w:rPr>
        <w:t xml:space="preserve">air </w:t>
      </w:r>
      <w:r w:rsidR="00B20C88" w:rsidRPr="00361F34">
        <w:rPr>
          <w:rFonts w:ascii="Times New Roman" w:hAnsi="Times New Roman" w:cs="Times New Roman"/>
          <w:color w:val="1B1B1B"/>
          <w:kern w:val="0"/>
          <w:sz w:val="24"/>
          <w:szCs w:val="24"/>
          <w:shd w:val="clear" w:color="auto" w:fill="FFFFFF"/>
          <w14:ligatures w14:val="none"/>
        </w:rPr>
        <w:t>quality</w:t>
      </w:r>
      <w:r w:rsidR="00D234F9" w:rsidRPr="00361F34">
        <w:rPr>
          <w:rFonts w:ascii="Times New Roman" w:hAnsi="Times New Roman" w:cs="Times New Roman"/>
          <w:color w:val="1B1B1B"/>
          <w:kern w:val="0"/>
          <w:sz w:val="24"/>
          <w:szCs w:val="24"/>
          <w:shd w:val="clear" w:color="auto" w:fill="FFFFFF"/>
          <w14:ligatures w14:val="none"/>
        </w:rPr>
        <w:t xml:space="preserve">, the Sierra Club successfully sued, and the Supreme Court held that PSD applied to all </w:t>
      </w:r>
      <w:r w:rsidR="0088522F">
        <w:rPr>
          <w:rFonts w:ascii="Times New Roman" w:hAnsi="Times New Roman" w:cs="Times New Roman"/>
          <w:color w:val="1B1B1B"/>
          <w:kern w:val="0"/>
          <w:sz w:val="24"/>
          <w:szCs w:val="24"/>
          <w:shd w:val="clear" w:color="auto" w:fill="FFFFFF"/>
          <w14:ligatures w14:val="none"/>
        </w:rPr>
        <w:t>counties, in attainment or nonattainment</w:t>
      </w:r>
      <w:r w:rsidR="00D234F9" w:rsidRPr="00361F34">
        <w:rPr>
          <w:rFonts w:ascii="Times New Roman" w:hAnsi="Times New Roman" w:cs="Times New Roman"/>
          <w:color w:val="1B1B1B"/>
          <w:kern w:val="0"/>
          <w:sz w:val="24"/>
          <w:szCs w:val="24"/>
          <w:shd w:val="clear" w:color="auto" w:fill="FFFFFF"/>
          <w14:ligatures w14:val="none"/>
        </w:rPr>
        <w:t>.</w:t>
      </w:r>
      <w:r w:rsidR="00D234F9" w:rsidRPr="00361F34">
        <w:rPr>
          <w:rFonts w:ascii="Times New Roman" w:hAnsi="Times New Roman" w:cs="Times New Roman"/>
          <w:color w:val="1B1B1B"/>
          <w:kern w:val="0"/>
          <w:sz w:val="24"/>
          <w:szCs w:val="24"/>
          <w:shd w:val="clear" w:color="auto" w:fill="FFFFFF"/>
          <w:vertAlign w:val="superscript"/>
          <w14:ligatures w14:val="none"/>
        </w:rPr>
        <w:footnoteReference w:id="52"/>
      </w:r>
      <w:r w:rsidR="00D234F9" w:rsidRPr="00361F34">
        <w:rPr>
          <w:rFonts w:ascii="Times New Roman" w:hAnsi="Times New Roman" w:cs="Times New Roman"/>
          <w:color w:val="1B1B1B"/>
          <w:kern w:val="0"/>
          <w:sz w:val="24"/>
          <w:szCs w:val="24"/>
          <w:shd w:val="clear" w:color="auto" w:fill="FFFFFF"/>
          <w14:ligatures w14:val="none"/>
        </w:rPr>
        <w:t xml:space="preserve">    </w:t>
      </w:r>
    </w:p>
    <w:p w14:paraId="1477412C" w14:textId="638947D1" w:rsidR="00D234F9" w:rsidRPr="00361F34" w:rsidRDefault="00D234F9" w:rsidP="00D234F9">
      <w:pPr>
        <w:shd w:val="clear" w:color="auto" w:fill="FFFFFF"/>
        <w:spacing w:after="0" w:line="360" w:lineRule="auto"/>
        <w:ind w:firstLine="720"/>
        <w:rPr>
          <w:rFonts w:ascii="Times New Roman" w:hAnsi="Times New Roman" w:cs="Times New Roman"/>
          <w:color w:val="1B1B1B"/>
          <w:kern w:val="0"/>
          <w:sz w:val="24"/>
          <w:szCs w:val="24"/>
          <w:shd w:val="clear" w:color="auto" w:fill="FFFFFF"/>
          <w14:ligatures w14:val="none"/>
        </w:rPr>
      </w:pPr>
      <w:r w:rsidRPr="00361F34">
        <w:rPr>
          <w:rFonts w:ascii="Times New Roman" w:hAnsi="Times New Roman" w:cs="Times New Roman"/>
          <w:sz w:val="24"/>
          <w:szCs w:val="24"/>
          <w:shd w:val="clear" w:color="auto" w:fill="FFFFFF"/>
        </w:rPr>
        <w:t xml:space="preserve">The strict PSD requirements limited the ability of firms to relocate from more polluted </w:t>
      </w:r>
      <w:r w:rsidR="0088522F">
        <w:rPr>
          <w:rFonts w:ascii="Times New Roman" w:hAnsi="Times New Roman" w:cs="Times New Roman"/>
          <w:sz w:val="24"/>
          <w:szCs w:val="24"/>
          <w:shd w:val="clear" w:color="auto" w:fill="FFFFFF"/>
        </w:rPr>
        <w:t xml:space="preserve">counties </w:t>
      </w:r>
      <w:r w:rsidRPr="00361F34">
        <w:rPr>
          <w:rFonts w:ascii="Times New Roman" w:hAnsi="Times New Roman" w:cs="Times New Roman"/>
          <w:sz w:val="24"/>
          <w:szCs w:val="24"/>
          <w:shd w:val="clear" w:color="auto" w:fill="FFFFFF"/>
        </w:rPr>
        <w:t xml:space="preserve">to those with higher air </w:t>
      </w:r>
      <w:r w:rsidR="00B20C88" w:rsidRPr="00361F34">
        <w:rPr>
          <w:rFonts w:ascii="Times New Roman" w:hAnsi="Times New Roman" w:cs="Times New Roman"/>
          <w:sz w:val="24"/>
          <w:szCs w:val="24"/>
          <w:shd w:val="clear" w:color="auto" w:fill="FFFFFF"/>
        </w:rPr>
        <w:t>quality</w:t>
      </w:r>
      <w:r w:rsidR="0013101E">
        <w:rPr>
          <w:rFonts w:ascii="Times New Roman" w:hAnsi="Times New Roman" w:cs="Times New Roman"/>
          <w:sz w:val="24"/>
          <w:szCs w:val="24"/>
          <w:shd w:val="clear" w:color="auto" w:fill="FFFFFF"/>
        </w:rPr>
        <w:t xml:space="preserve"> which might have been </w:t>
      </w:r>
      <w:r w:rsidR="00BB5E86">
        <w:rPr>
          <w:rFonts w:ascii="Times New Roman" w:hAnsi="Times New Roman" w:cs="Times New Roman"/>
          <w:sz w:val="24"/>
          <w:szCs w:val="24"/>
          <w:shd w:val="clear" w:color="auto" w:fill="FFFFFF"/>
        </w:rPr>
        <w:t>an</w:t>
      </w:r>
      <w:r w:rsidR="0013101E">
        <w:rPr>
          <w:rFonts w:ascii="Times New Roman" w:hAnsi="Times New Roman" w:cs="Times New Roman"/>
          <w:sz w:val="24"/>
          <w:szCs w:val="24"/>
          <w:shd w:val="clear" w:color="auto" w:fill="FFFFFF"/>
        </w:rPr>
        <w:t xml:space="preserve"> economically efficient response</w:t>
      </w:r>
      <w:r w:rsidRPr="00361F34">
        <w:rPr>
          <w:rFonts w:ascii="Times New Roman" w:hAnsi="Times New Roman" w:cs="Times New Roman"/>
          <w:sz w:val="24"/>
          <w:szCs w:val="24"/>
          <w:shd w:val="clear" w:color="auto" w:fill="FFFFFF"/>
        </w:rPr>
        <w:t>. Such conditions typically existed in regions with sparse populations, less economic development, smaller per</w:t>
      </w:r>
      <w:r w:rsidR="00461806">
        <w:rPr>
          <w:rFonts w:ascii="Times New Roman" w:hAnsi="Times New Roman" w:cs="Times New Roman"/>
          <w:sz w:val="24"/>
          <w:szCs w:val="24"/>
          <w:shd w:val="clear" w:color="auto" w:fill="FFFFFF"/>
        </w:rPr>
        <w:t xml:space="preserve"> </w:t>
      </w:r>
      <w:r w:rsidRPr="00361F34">
        <w:rPr>
          <w:rFonts w:ascii="Times New Roman" w:hAnsi="Times New Roman" w:cs="Times New Roman"/>
          <w:sz w:val="24"/>
          <w:szCs w:val="24"/>
          <w:shd w:val="clear" w:color="auto" w:fill="FFFFFF"/>
        </w:rPr>
        <w:t>capita incomes, and lower costs of compliance with the law.  After much political negotiation across five years involving lobbyists, the EPA, and members of the House and Senate, the strict PSD requirements sought by the Sierra Club were put into place by Congress and the EPA. Nationwide New Source Pollution Standards (NSPS) and PSD restrictions were almost as demanding on new facilities in unpolluted areas as if they had remained in polluted air regions.</w:t>
      </w:r>
      <w:r w:rsidRPr="00361F34">
        <w:rPr>
          <w:rFonts w:ascii="Times New Roman" w:hAnsi="Times New Roman" w:cs="Times New Roman"/>
          <w:color w:val="1B1B1B"/>
          <w:kern w:val="0"/>
          <w:sz w:val="24"/>
          <w:szCs w:val="24"/>
          <w:shd w:val="clear" w:color="auto" w:fill="FFFFFF"/>
          <w:vertAlign w:val="superscript"/>
          <w14:ligatures w14:val="none"/>
        </w:rPr>
        <w:footnoteReference w:id="53"/>
      </w:r>
      <w:r w:rsidRPr="00361F34">
        <w:rPr>
          <w:rFonts w:ascii="Times New Roman" w:hAnsi="Times New Roman" w:cs="Times New Roman"/>
          <w:sz w:val="24"/>
          <w:szCs w:val="24"/>
          <w:shd w:val="clear" w:color="auto" w:fill="FFFFFF"/>
        </w:rPr>
        <w:t xml:space="preserve"> The PSD aim was to </w:t>
      </w:r>
      <w:r w:rsidR="003F3680">
        <w:rPr>
          <w:rFonts w:ascii="Times New Roman" w:hAnsi="Times New Roman" w:cs="Times New Roman"/>
          <w:sz w:val="24"/>
          <w:szCs w:val="24"/>
          <w:shd w:val="clear" w:color="auto" w:fill="FFFFFF"/>
        </w:rPr>
        <w:t xml:space="preserve">improve or maintain </w:t>
      </w:r>
      <w:r w:rsidRPr="00361F34">
        <w:rPr>
          <w:rFonts w:ascii="Times New Roman" w:hAnsi="Times New Roman" w:cs="Times New Roman"/>
          <w:sz w:val="24"/>
          <w:szCs w:val="24"/>
          <w:shd w:val="clear" w:color="auto" w:fill="FFFFFF"/>
        </w:rPr>
        <w:t xml:space="preserve">air </w:t>
      </w:r>
      <w:r w:rsidR="00B20C88" w:rsidRPr="00361F34">
        <w:rPr>
          <w:rFonts w:ascii="Times New Roman" w:hAnsi="Times New Roman" w:cs="Times New Roman"/>
          <w:sz w:val="24"/>
          <w:szCs w:val="24"/>
          <w:shd w:val="clear" w:color="auto" w:fill="FFFFFF"/>
        </w:rPr>
        <w:t>quality</w:t>
      </w:r>
      <w:r w:rsidRPr="00361F34">
        <w:rPr>
          <w:rFonts w:ascii="Times New Roman" w:hAnsi="Times New Roman" w:cs="Times New Roman"/>
          <w:sz w:val="24"/>
          <w:szCs w:val="24"/>
          <w:shd w:val="clear" w:color="auto" w:fill="FFFFFF"/>
        </w:rPr>
        <w:t xml:space="preserve"> </w:t>
      </w:r>
      <w:r w:rsidR="003F3680">
        <w:rPr>
          <w:rFonts w:ascii="Times New Roman" w:hAnsi="Times New Roman" w:cs="Times New Roman"/>
          <w:sz w:val="24"/>
          <w:szCs w:val="24"/>
          <w:shd w:val="clear" w:color="auto" w:fill="FFFFFF"/>
        </w:rPr>
        <w:t xml:space="preserve">while </w:t>
      </w:r>
      <w:r w:rsidR="00256A73">
        <w:rPr>
          <w:rFonts w:ascii="Times New Roman" w:hAnsi="Times New Roman" w:cs="Times New Roman"/>
          <w:sz w:val="24"/>
          <w:szCs w:val="24"/>
          <w:shd w:val="clear" w:color="auto" w:fill="FFFFFF"/>
        </w:rPr>
        <w:t xml:space="preserve">limiting </w:t>
      </w:r>
      <w:r w:rsidRPr="00361F34">
        <w:rPr>
          <w:rFonts w:ascii="Times New Roman" w:hAnsi="Times New Roman" w:cs="Times New Roman"/>
          <w:sz w:val="24"/>
          <w:szCs w:val="24"/>
          <w:shd w:val="clear" w:color="auto" w:fill="FFFFFF"/>
        </w:rPr>
        <w:t xml:space="preserve">a redistribution of economic activity. The policies, inherent in Pigouvian negotiations to distribute rents, </w:t>
      </w:r>
      <w:r w:rsidR="003F3680">
        <w:rPr>
          <w:rFonts w:ascii="Times New Roman" w:hAnsi="Times New Roman" w:cs="Times New Roman"/>
          <w:sz w:val="24"/>
          <w:szCs w:val="24"/>
          <w:shd w:val="clear" w:color="auto" w:fill="FFFFFF"/>
        </w:rPr>
        <w:t xml:space="preserve">likely </w:t>
      </w:r>
      <w:r w:rsidRPr="00361F34">
        <w:rPr>
          <w:rFonts w:ascii="Times New Roman" w:hAnsi="Times New Roman" w:cs="Times New Roman"/>
          <w:sz w:val="24"/>
          <w:szCs w:val="24"/>
          <w:shd w:val="clear" w:color="auto" w:fill="FFFFFF"/>
        </w:rPr>
        <w:t>made air quality improvements more costly than necessary and affected the distribution of economic activities, opportunities, and incomes.</w:t>
      </w:r>
      <w:r w:rsidRPr="00361F34">
        <w:rPr>
          <w:rFonts w:ascii="Times New Roman" w:hAnsi="Times New Roman" w:cs="Times New Roman"/>
          <w:sz w:val="24"/>
          <w:szCs w:val="24"/>
          <w:shd w:val="clear" w:color="auto" w:fill="FFFFFF"/>
          <w:vertAlign w:val="superscript"/>
        </w:rPr>
        <w:footnoteReference w:id="54"/>
      </w:r>
      <w:r w:rsidRPr="00361F34">
        <w:rPr>
          <w:rFonts w:ascii="Times New Roman" w:hAnsi="Times New Roman" w:cs="Times New Roman"/>
          <w:sz w:val="24"/>
          <w:szCs w:val="24"/>
          <w:shd w:val="clear" w:color="auto" w:fill="FFFFFF"/>
        </w:rPr>
        <w:t xml:space="preserve"> </w:t>
      </w:r>
    </w:p>
    <w:p w14:paraId="3E0C0276" w14:textId="003AD9E7" w:rsidR="00D234F9" w:rsidRDefault="00D234F9" w:rsidP="00D234F9">
      <w:pPr>
        <w:shd w:val="clear" w:color="auto" w:fill="FFFFFF"/>
        <w:spacing w:after="0" w:line="360" w:lineRule="auto"/>
        <w:ind w:firstLine="720"/>
        <w:rPr>
          <w:rFonts w:ascii="Times New Roman" w:hAnsi="Times New Roman" w:cs="Times New Roman"/>
          <w:color w:val="1B1B1B"/>
          <w:kern w:val="0"/>
          <w:sz w:val="24"/>
          <w:szCs w:val="24"/>
          <w:shd w:val="clear" w:color="auto" w:fill="FFFFFF"/>
          <w14:ligatures w14:val="none"/>
        </w:rPr>
      </w:pPr>
      <w:r w:rsidRPr="00361F34">
        <w:rPr>
          <w:rFonts w:ascii="Times New Roman" w:hAnsi="Times New Roman" w:cs="Times New Roman"/>
          <w:color w:val="1B1B1B"/>
          <w:kern w:val="0"/>
          <w:sz w:val="24"/>
          <w:szCs w:val="24"/>
          <w:shd w:val="clear" w:color="auto" w:fill="FFFFFF"/>
          <w14:ligatures w14:val="none"/>
        </w:rPr>
        <w:t xml:space="preserve">Congressional voting patterns on the 1977 amendments are consistent with efforts to impose PSD costs on regions where economic activity might move. Members of Congress from more urban, industrial Northeastern, MidAtlantic, and New England states voted for PSD, and those from more rural southern and western states voted against. The controls potentially </w:t>
      </w:r>
      <w:r w:rsidR="00256A73">
        <w:rPr>
          <w:rFonts w:ascii="Times New Roman" w:hAnsi="Times New Roman" w:cs="Times New Roman"/>
          <w:color w:val="1B1B1B"/>
          <w:kern w:val="0"/>
          <w:sz w:val="24"/>
          <w:szCs w:val="24"/>
          <w:shd w:val="clear" w:color="auto" w:fill="FFFFFF"/>
          <w14:ligatures w14:val="none"/>
        </w:rPr>
        <w:t xml:space="preserve">kept </w:t>
      </w:r>
      <w:r w:rsidRPr="00361F34">
        <w:rPr>
          <w:rFonts w:ascii="Times New Roman" w:hAnsi="Times New Roman" w:cs="Times New Roman"/>
          <w:color w:val="1B1B1B"/>
          <w:kern w:val="0"/>
          <w:sz w:val="24"/>
          <w:szCs w:val="24"/>
          <w:shd w:val="clear" w:color="auto" w:fill="FFFFFF"/>
          <w14:ligatures w14:val="none"/>
        </w:rPr>
        <w:t xml:space="preserve">restricted regions </w:t>
      </w:r>
      <w:r w:rsidR="00461806">
        <w:rPr>
          <w:rFonts w:ascii="Times New Roman" w:hAnsi="Times New Roman" w:cs="Times New Roman"/>
          <w:color w:val="1B1B1B"/>
          <w:kern w:val="0"/>
          <w:sz w:val="24"/>
          <w:szCs w:val="24"/>
          <w:shd w:val="clear" w:color="auto" w:fill="FFFFFF"/>
          <w14:ligatures w14:val="none"/>
        </w:rPr>
        <w:t>with</w:t>
      </w:r>
      <w:r w:rsidRPr="00361F34">
        <w:rPr>
          <w:rFonts w:ascii="Times New Roman" w:hAnsi="Times New Roman" w:cs="Times New Roman"/>
          <w:color w:val="1B1B1B"/>
          <w:kern w:val="0"/>
          <w:sz w:val="24"/>
          <w:szCs w:val="24"/>
          <w:shd w:val="clear" w:color="auto" w:fill="FFFFFF"/>
          <w14:ligatures w14:val="none"/>
        </w:rPr>
        <w:t xml:space="preserve"> lower incomes, fewer industrial plants, and higher air quality. </w:t>
      </w:r>
      <w:r w:rsidR="00674AF6">
        <w:rPr>
          <w:rFonts w:ascii="Times New Roman" w:hAnsi="Times New Roman" w:cs="Times New Roman"/>
          <w:color w:val="1B1B1B"/>
          <w:kern w:val="0"/>
          <w:sz w:val="24"/>
          <w:szCs w:val="24"/>
          <w:shd w:val="clear" w:color="auto" w:fill="FFFFFF"/>
          <w14:ligatures w14:val="none"/>
        </w:rPr>
        <w:t xml:space="preserve">Citizens in such regions </w:t>
      </w:r>
      <w:r w:rsidRPr="00361F34">
        <w:rPr>
          <w:rFonts w:ascii="Times New Roman" w:hAnsi="Times New Roman" w:cs="Times New Roman"/>
          <w:color w:val="1B1B1B"/>
          <w:kern w:val="0"/>
          <w:sz w:val="24"/>
          <w:szCs w:val="24"/>
          <w:shd w:val="clear" w:color="auto" w:fill="FFFFFF"/>
          <w14:ligatures w14:val="none"/>
        </w:rPr>
        <w:t xml:space="preserve">might have been willing to exchange some air quality </w:t>
      </w:r>
      <w:r w:rsidR="00674AF6">
        <w:rPr>
          <w:rFonts w:ascii="Times New Roman" w:hAnsi="Times New Roman" w:cs="Times New Roman"/>
          <w:color w:val="1B1B1B"/>
          <w:kern w:val="0"/>
          <w:sz w:val="24"/>
          <w:szCs w:val="24"/>
          <w:shd w:val="clear" w:color="auto" w:fill="FFFFFF"/>
          <w14:ligatures w14:val="none"/>
        </w:rPr>
        <w:t>at</w:t>
      </w:r>
      <w:r w:rsidRPr="00361F34">
        <w:rPr>
          <w:rFonts w:ascii="Times New Roman" w:hAnsi="Times New Roman" w:cs="Times New Roman"/>
          <w:color w:val="1B1B1B"/>
          <w:kern w:val="0"/>
          <w:sz w:val="24"/>
          <w:szCs w:val="24"/>
          <w:shd w:val="clear" w:color="auto" w:fill="FFFFFF"/>
          <w14:ligatures w14:val="none"/>
        </w:rPr>
        <w:t xml:space="preserve"> marginally lower levels to achieve more economic growth.</w:t>
      </w:r>
      <w:r w:rsidRPr="00361F34">
        <w:rPr>
          <w:rFonts w:ascii="Times New Roman" w:hAnsi="Times New Roman" w:cs="Times New Roman"/>
          <w:color w:val="1B1B1B"/>
          <w:kern w:val="0"/>
          <w:sz w:val="24"/>
          <w:szCs w:val="24"/>
          <w:shd w:val="clear" w:color="auto" w:fill="FFFFFF"/>
          <w:vertAlign w:val="superscript"/>
          <w14:ligatures w14:val="none"/>
        </w:rPr>
        <w:footnoteReference w:id="55"/>
      </w:r>
    </w:p>
    <w:p w14:paraId="3129B062" w14:textId="2242B90F" w:rsidR="00B464C0" w:rsidRPr="00B464C0" w:rsidRDefault="00B464C0" w:rsidP="00B464C0">
      <w:pPr>
        <w:spacing w:after="0" w:line="360" w:lineRule="auto"/>
        <w:ind w:firstLine="720"/>
        <w:rPr>
          <w:rFonts w:ascii="Times New Roman" w:eastAsia="Calibri" w:hAnsi="Times New Roman" w:cs="Times New Roman"/>
          <w:color w:val="000000"/>
          <w:sz w:val="24"/>
          <w:szCs w:val="24"/>
        </w:rPr>
      </w:pPr>
      <w:r w:rsidRPr="00B464C0">
        <w:rPr>
          <w:rFonts w:ascii="Times New Roman" w:eastAsia="Calibri" w:hAnsi="Times New Roman" w:cs="Times New Roman"/>
          <w:kern w:val="0"/>
          <w:sz w:val="24"/>
          <w:szCs w:val="24"/>
          <w14:ligatures w14:val="none"/>
        </w:rPr>
        <w:t>Daniels</w:t>
      </w:r>
      <w:r>
        <w:rPr>
          <w:rFonts w:ascii="Times New Roman" w:eastAsia="Calibri" w:hAnsi="Times New Roman" w:cs="Times New Roman"/>
          <w:kern w:val="0"/>
          <w:sz w:val="24"/>
          <w:szCs w:val="24"/>
          <w14:ligatures w14:val="none"/>
        </w:rPr>
        <w:t xml:space="preserve"> et al</w:t>
      </w:r>
      <w:r w:rsidRPr="00B464C0">
        <w:rPr>
          <w:rFonts w:ascii="Times New Roman" w:eastAsia="Calibri" w:hAnsi="Times New Roman" w:cs="Times New Roman"/>
          <w:kern w:val="0"/>
          <w:sz w:val="24"/>
          <w:szCs w:val="24"/>
          <w14:ligatures w14:val="none"/>
        </w:rPr>
        <w:t xml:space="preserve"> (2020, 924) point to the differential weighing of costs of the National Ambient Air Quality Standards (NAAQS) and the related No Significant Deterioration of county </w:t>
      </w:r>
      <w:r w:rsidRPr="00B464C0">
        <w:rPr>
          <w:rFonts w:ascii="Times New Roman" w:eastAsia="Calibri" w:hAnsi="Times New Roman" w:cs="Times New Roman"/>
          <w:kern w:val="0"/>
          <w:sz w:val="24"/>
          <w:szCs w:val="24"/>
          <w14:ligatures w14:val="none"/>
        </w:rPr>
        <w:lastRenderedPageBreak/>
        <w:t>air quality mandate</w:t>
      </w:r>
      <w:r>
        <w:rPr>
          <w:rFonts w:ascii="Times New Roman" w:eastAsia="Calibri" w:hAnsi="Times New Roman" w:cs="Times New Roman"/>
          <w:kern w:val="0"/>
          <w:sz w:val="24"/>
          <w:szCs w:val="24"/>
          <w14:ligatures w14:val="none"/>
        </w:rPr>
        <w:t>s</w:t>
      </w:r>
      <w:r w:rsidRPr="00B464C0">
        <w:rPr>
          <w:rFonts w:ascii="Times New Roman" w:eastAsia="Calibri" w:hAnsi="Times New Roman" w:cs="Times New Roman"/>
          <w:kern w:val="0"/>
          <w:sz w:val="24"/>
          <w:szCs w:val="24"/>
          <w14:ligatures w14:val="none"/>
        </w:rPr>
        <w:t xml:space="preserve"> imposed on poorer regions. The governor of Alabama, one of the nation’s poorest states, apparently advertised in Indiana papers with a statement quoted by EPA Director Ruckelshaus: “</w:t>
      </w:r>
      <w:r w:rsidRPr="00B464C0">
        <w:rPr>
          <w:rFonts w:ascii="Times New Roman" w:eastAsia="Calibri" w:hAnsi="Times New Roman" w:cs="Times New Roman"/>
          <w:color w:val="000000"/>
          <w:sz w:val="24"/>
          <w:szCs w:val="24"/>
        </w:rPr>
        <w:t>‘[b]ring your industry down here. It is okay with us if you pour some stuff in the river. We want jobs.’”.</w:t>
      </w:r>
    </w:p>
    <w:p w14:paraId="598229C0" w14:textId="53D14667" w:rsidR="00B464C0" w:rsidRDefault="00D92EFB" w:rsidP="00D234F9">
      <w:pPr>
        <w:spacing w:after="0" w:line="360" w:lineRule="auto"/>
        <w:ind w:firstLine="720"/>
        <w:rPr>
          <w:rFonts w:ascii="Times New Roman" w:eastAsia="Times New Roman" w:hAnsi="Times New Roman" w:cs="Times New Roman"/>
          <w:kern w:val="0"/>
          <w:sz w:val="24"/>
          <w:szCs w:val="24"/>
          <w14:ligatures w14:val="none"/>
        </w:rPr>
      </w:pPr>
      <w:r>
        <w:rPr>
          <w:rFonts w:ascii="Times New Roman" w:hAnsi="Times New Roman" w:cs="Times New Roman"/>
          <w:color w:val="1B1B1B"/>
          <w:kern w:val="0"/>
          <w:sz w:val="24"/>
          <w:szCs w:val="24"/>
          <w:shd w:val="clear" w:color="auto" w:fill="FFFFFF"/>
          <w14:ligatures w14:val="none"/>
        </w:rPr>
        <w:t>A h</w:t>
      </w:r>
      <w:r w:rsidR="00D234F9" w:rsidRPr="00361F34">
        <w:rPr>
          <w:rFonts w:ascii="Times New Roman" w:hAnsi="Times New Roman" w:cs="Times New Roman"/>
          <w:color w:val="1B1B1B"/>
          <w:kern w:val="0"/>
          <w:sz w:val="24"/>
          <w:szCs w:val="24"/>
          <w:shd w:val="clear" w:color="auto" w:fill="FFFFFF"/>
          <w14:ligatures w14:val="none"/>
        </w:rPr>
        <w:t>igh-profile, Coasean-like program under the Clean Air Act</w:t>
      </w:r>
      <w:r>
        <w:rPr>
          <w:rFonts w:ascii="Times New Roman" w:hAnsi="Times New Roman" w:cs="Times New Roman"/>
          <w:color w:val="1B1B1B"/>
          <w:kern w:val="0"/>
          <w:sz w:val="24"/>
          <w:szCs w:val="24"/>
          <w:shd w:val="clear" w:color="auto" w:fill="FFFFFF"/>
          <w14:ligatures w14:val="none"/>
        </w:rPr>
        <w:t xml:space="preserve">, was </w:t>
      </w:r>
      <w:r w:rsidR="00D234F9" w:rsidRPr="00361F34">
        <w:rPr>
          <w:rFonts w:ascii="Times New Roman" w:hAnsi="Times New Roman" w:cs="Times New Roman"/>
          <w:kern w:val="0"/>
          <w:sz w:val="24"/>
          <w:szCs w:val="24"/>
          <w14:ligatures w14:val="none"/>
        </w:rPr>
        <w:t xml:space="preserve">the </w:t>
      </w:r>
      <w:r w:rsidR="00BB5E86" w:rsidRPr="00361F34">
        <w:rPr>
          <w:rFonts w:ascii="Times New Roman" w:hAnsi="Times New Roman" w:cs="Times New Roman"/>
          <w:kern w:val="0"/>
          <w:sz w:val="24"/>
          <w:szCs w:val="24"/>
          <w14:ligatures w14:val="none"/>
        </w:rPr>
        <w:t>cap</w:t>
      </w:r>
      <w:r w:rsidR="00BB5E86">
        <w:rPr>
          <w:rFonts w:ascii="Times New Roman" w:hAnsi="Times New Roman" w:cs="Times New Roman"/>
          <w:kern w:val="0"/>
          <w:sz w:val="24"/>
          <w:szCs w:val="24"/>
          <w14:ligatures w14:val="none"/>
        </w:rPr>
        <w:t>-and-trade</w:t>
      </w:r>
      <w:r w:rsidR="00D234F9" w:rsidRPr="00361F34">
        <w:rPr>
          <w:rFonts w:ascii="Times New Roman" w:hAnsi="Times New Roman" w:cs="Times New Roman"/>
          <w:kern w:val="0"/>
          <w:sz w:val="24"/>
          <w:szCs w:val="24"/>
          <w14:ligatures w14:val="none"/>
        </w:rPr>
        <w:t xml:space="preserve"> system for national acid rain control under the 1990 amendments</w:t>
      </w:r>
      <w:r>
        <w:rPr>
          <w:rFonts w:ascii="Times New Roman" w:hAnsi="Times New Roman" w:cs="Times New Roman"/>
          <w:kern w:val="0"/>
          <w:sz w:val="24"/>
          <w:szCs w:val="24"/>
          <w14:ligatures w14:val="none"/>
        </w:rPr>
        <w:t xml:space="preserve"> noted above</w:t>
      </w:r>
      <w:r w:rsidR="00D234F9" w:rsidRPr="00361F34">
        <w:rPr>
          <w:rFonts w:ascii="Times New Roman" w:hAnsi="Times New Roman" w:cs="Times New Roman"/>
          <w:color w:val="1B1B1B"/>
          <w:kern w:val="0"/>
          <w:sz w:val="24"/>
          <w:szCs w:val="24"/>
          <w:shd w:val="clear" w:color="auto" w:fill="FFFFFF"/>
          <w14:ligatures w14:val="none"/>
        </w:rPr>
        <w:t>.</w:t>
      </w:r>
      <w:r w:rsidR="00D234F9" w:rsidRPr="00361F34">
        <w:rPr>
          <w:rFonts w:ascii="Times New Roman" w:hAnsi="Times New Roman" w:cs="Times New Roman"/>
          <w:color w:val="1B1B1B"/>
          <w:kern w:val="0"/>
          <w:sz w:val="24"/>
          <w:szCs w:val="24"/>
          <w:shd w:val="clear" w:color="auto" w:fill="FFFFFF"/>
          <w:vertAlign w:val="superscript"/>
          <w14:ligatures w14:val="none"/>
        </w:rPr>
        <w:footnoteReference w:id="56"/>
      </w:r>
      <w:r w:rsidR="00D234F9" w:rsidRPr="00361F34">
        <w:rPr>
          <w:rFonts w:ascii="Times New Roman" w:hAnsi="Times New Roman" w:cs="Times New Roman"/>
          <w:color w:val="1B1B1B"/>
          <w:kern w:val="0"/>
          <w:sz w:val="24"/>
          <w:szCs w:val="24"/>
          <w:shd w:val="clear" w:color="auto" w:fill="FFFFFF"/>
          <w14:ligatures w14:val="none"/>
        </w:rPr>
        <w:t xml:space="preserve"> These were adopted </w:t>
      </w:r>
      <w:r w:rsidR="00D234F9" w:rsidRPr="00361F34">
        <w:rPr>
          <w:rFonts w:ascii="Times New Roman" w:hAnsi="Times New Roman" w:cs="Times New Roman"/>
          <w:i/>
          <w:iCs/>
          <w:color w:val="1B1B1B"/>
          <w:kern w:val="0"/>
          <w:sz w:val="24"/>
          <w:szCs w:val="24"/>
          <w:shd w:val="clear" w:color="auto" w:fill="FFFFFF"/>
          <w14:ligatures w14:val="none"/>
        </w:rPr>
        <w:t>thirty</w:t>
      </w:r>
      <w:r w:rsidR="00D234F9" w:rsidRPr="00361F34">
        <w:rPr>
          <w:rFonts w:ascii="Times New Roman" w:hAnsi="Times New Roman" w:cs="Times New Roman"/>
          <w:color w:val="1B1B1B"/>
          <w:kern w:val="0"/>
          <w:sz w:val="24"/>
          <w:szCs w:val="24"/>
          <w:shd w:val="clear" w:color="auto" w:fill="FFFFFF"/>
          <w14:ligatures w14:val="none"/>
        </w:rPr>
        <w:t xml:space="preserve"> years after Coase and </w:t>
      </w:r>
      <w:r w:rsidR="00D234F9" w:rsidRPr="00361F34">
        <w:rPr>
          <w:rFonts w:ascii="Times New Roman" w:hAnsi="Times New Roman" w:cs="Times New Roman"/>
          <w:i/>
          <w:iCs/>
          <w:color w:val="1B1B1B"/>
          <w:kern w:val="0"/>
          <w:sz w:val="24"/>
          <w:szCs w:val="24"/>
          <w:shd w:val="clear" w:color="auto" w:fill="FFFFFF"/>
          <w14:ligatures w14:val="none"/>
        </w:rPr>
        <w:t>twenty</w:t>
      </w:r>
      <w:r w:rsidR="00D234F9" w:rsidRPr="00361F34">
        <w:rPr>
          <w:rFonts w:ascii="Times New Roman" w:hAnsi="Times New Roman" w:cs="Times New Roman"/>
          <w:color w:val="1B1B1B"/>
          <w:kern w:val="0"/>
          <w:sz w:val="24"/>
          <w:szCs w:val="24"/>
          <w:shd w:val="clear" w:color="auto" w:fill="FFFFFF"/>
          <w14:ligatures w14:val="none"/>
        </w:rPr>
        <w:t xml:space="preserve"> years after the initial Clean Air Act.</w:t>
      </w:r>
      <w:r w:rsidR="00D234F9" w:rsidRPr="00361F34">
        <w:rPr>
          <w:rFonts w:ascii="Times New Roman" w:hAnsi="Times New Roman" w:cs="Times New Roman"/>
          <w:kern w:val="0"/>
          <w:sz w:val="24"/>
          <w:szCs w:val="24"/>
          <w:vertAlign w:val="superscript"/>
          <w14:ligatures w14:val="none"/>
        </w:rPr>
        <w:footnoteReference w:id="57"/>
      </w:r>
      <w:r w:rsidR="00D234F9" w:rsidRPr="00361F34">
        <w:rPr>
          <w:rFonts w:ascii="Times New Roman" w:hAnsi="Times New Roman" w:cs="Times New Roman"/>
          <w:kern w:val="0"/>
          <w:sz w:val="24"/>
          <w:szCs w:val="24"/>
          <w14:ligatures w14:val="none"/>
        </w:rPr>
        <w:t xml:space="preserve"> Within </w:t>
      </w:r>
      <w:r w:rsidRPr="00361F34">
        <w:rPr>
          <w:rFonts w:ascii="Times New Roman" w:hAnsi="Times New Roman" w:cs="Times New Roman"/>
          <w:kern w:val="0"/>
          <w:sz w:val="24"/>
          <w:szCs w:val="24"/>
          <w14:ligatures w14:val="none"/>
        </w:rPr>
        <w:t>SO</w:t>
      </w:r>
      <w:r w:rsidRPr="00361F34">
        <w:rPr>
          <w:rFonts w:ascii="Times New Roman" w:hAnsi="Times New Roman" w:cs="Times New Roman"/>
          <w:kern w:val="0"/>
          <w:sz w:val="24"/>
          <w:szCs w:val="24"/>
          <w:vertAlign w:val="subscript"/>
          <w14:ligatures w14:val="none"/>
        </w:rPr>
        <w:t>2</w:t>
      </w:r>
      <w:r>
        <w:rPr>
          <w:rFonts w:ascii="Times New Roman" w:hAnsi="Times New Roman" w:cs="Times New Roman"/>
          <w:kern w:val="0"/>
          <w:sz w:val="24"/>
          <w:szCs w:val="24"/>
          <w14:ligatures w14:val="none"/>
        </w:rPr>
        <w:t xml:space="preserve"> </w:t>
      </w:r>
      <w:r w:rsidR="00D234F9" w:rsidRPr="00361F34">
        <w:rPr>
          <w:rFonts w:ascii="Times New Roman" w:hAnsi="Times New Roman" w:cs="Times New Roman"/>
          <w:kern w:val="0"/>
          <w:sz w:val="24"/>
          <w:szCs w:val="24"/>
          <w14:ligatures w14:val="none"/>
        </w:rPr>
        <w:t>Pigouvian caps, tradable emission allowances were granted to coal</w:t>
      </w:r>
      <w:r w:rsidR="00461806">
        <w:rPr>
          <w:rFonts w:ascii="Times New Roman" w:hAnsi="Times New Roman" w:cs="Times New Roman"/>
          <w:kern w:val="0"/>
          <w:sz w:val="24"/>
          <w:szCs w:val="24"/>
          <w14:ligatures w14:val="none"/>
        </w:rPr>
        <w:t xml:space="preserve"> </w:t>
      </w:r>
      <w:r w:rsidR="00D234F9" w:rsidRPr="00361F34">
        <w:rPr>
          <w:rFonts w:ascii="Times New Roman" w:hAnsi="Times New Roman" w:cs="Times New Roman"/>
          <w:kern w:val="0"/>
          <w:sz w:val="24"/>
          <w:szCs w:val="24"/>
          <w14:ligatures w14:val="none"/>
        </w:rPr>
        <w:t>fired electricity generating facilities.  Utilities were required to surrender one allowance for each ton of SO</w:t>
      </w:r>
      <w:r w:rsidR="00D234F9" w:rsidRPr="00361F34">
        <w:rPr>
          <w:rFonts w:ascii="Times New Roman" w:hAnsi="Times New Roman" w:cs="Times New Roman"/>
          <w:kern w:val="0"/>
          <w:sz w:val="24"/>
          <w:szCs w:val="24"/>
          <w:vertAlign w:val="subscript"/>
          <w14:ligatures w14:val="none"/>
        </w:rPr>
        <w:t>2</w:t>
      </w:r>
      <w:r w:rsidR="00D234F9" w:rsidRPr="00361F34">
        <w:rPr>
          <w:rFonts w:ascii="Times New Roman" w:hAnsi="Times New Roman" w:cs="Times New Roman"/>
          <w:kern w:val="0"/>
          <w:sz w:val="24"/>
          <w:szCs w:val="24"/>
          <w14:ligatures w14:val="none"/>
        </w:rPr>
        <w:t xml:space="preserve"> emitted. Utilities could transfer excess allowances across plants or firms or bank them. Utilities had incentives to innovate to economize on allowances and to sell excess.  Total SO</w:t>
      </w:r>
      <w:r w:rsidR="00D234F9" w:rsidRPr="00361F34">
        <w:rPr>
          <w:rFonts w:ascii="Times New Roman" w:hAnsi="Times New Roman" w:cs="Times New Roman"/>
          <w:kern w:val="0"/>
          <w:sz w:val="24"/>
          <w:szCs w:val="24"/>
          <w:vertAlign w:val="subscript"/>
          <w14:ligatures w14:val="none"/>
        </w:rPr>
        <w:t>2</w:t>
      </w:r>
      <w:r w:rsidR="00D234F9" w:rsidRPr="00361F34">
        <w:rPr>
          <w:rFonts w:ascii="Times New Roman" w:hAnsi="Times New Roman" w:cs="Times New Roman"/>
          <w:kern w:val="0"/>
          <w:sz w:val="24"/>
          <w:szCs w:val="24"/>
          <w14:ligatures w14:val="none"/>
        </w:rPr>
        <w:t xml:space="preserve"> emission goals were met more rapidly and at far lower cost than had been forecast. </w:t>
      </w:r>
      <w:r w:rsidR="00D234F9" w:rsidRPr="00361F34">
        <w:rPr>
          <w:rFonts w:ascii="Times New Roman" w:eastAsia="Times New Roman" w:hAnsi="Times New Roman" w:cs="Times New Roman"/>
          <w:kern w:val="0"/>
          <w:sz w:val="24"/>
          <w:szCs w:val="24"/>
          <w14:ligatures w14:val="none"/>
        </w:rPr>
        <w:t>The successes of the national SO</w:t>
      </w:r>
      <w:r w:rsidR="00D234F9" w:rsidRPr="00361F34">
        <w:rPr>
          <w:rFonts w:ascii="Times New Roman" w:eastAsia="Times New Roman" w:hAnsi="Times New Roman" w:cs="Times New Roman"/>
          <w:kern w:val="0"/>
          <w:sz w:val="24"/>
          <w:szCs w:val="24"/>
          <w:vertAlign w:val="subscript"/>
          <w14:ligatures w14:val="none"/>
        </w:rPr>
        <w:t xml:space="preserve">2 </w:t>
      </w:r>
      <w:r w:rsidR="00D234F9" w:rsidRPr="00361F34">
        <w:rPr>
          <w:rFonts w:ascii="Times New Roman" w:eastAsia="Times New Roman" w:hAnsi="Times New Roman" w:cs="Times New Roman"/>
          <w:kern w:val="0"/>
          <w:sz w:val="24"/>
          <w:szCs w:val="24"/>
          <w14:ligatures w14:val="none"/>
        </w:rPr>
        <w:t>allowance market and a similar, more localized program (RECLAIM) in the Los Angeles Basin to lower NO</w:t>
      </w:r>
      <w:r w:rsidR="00D234F9" w:rsidRPr="00361F34">
        <w:rPr>
          <w:rFonts w:ascii="Times New Roman" w:eastAsia="Times New Roman" w:hAnsi="Times New Roman" w:cs="Times New Roman"/>
          <w:kern w:val="0"/>
          <w:sz w:val="24"/>
          <w:szCs w:val="24"/>
          <w:vertAlign w:val="subscript"/>
          <w14:ligatures w14:val="none"/>
        </w:rPr>
        <w:t xml:space="preserve">x </w:t>
      </w:r>
      <w:r w:rsidR="00D234F9" w:rsidRPr="00361F34">
        <w:rPr>
          <w:rFonts w:ascii="Times New Roman" w:eastAsia="Times New Roman" w:hAnsi="Times New Roman" w:cs="Times New Roman"/>
          <w:kern w:val="0"/>
          <w:sz w:val="24"/>
          <w:szCs w:val="24"/>
          <w14:ligatures w14:val="none"/>
        </w:rPr>
        <w:t>and SO</w:t>
      </w:r>
      <w:r w:rsidR="00D234F9" w:rsidRPr="00361F34">
        <w:rPr>
          <w:rFonts w:ascii="Times New Roman" w:eastAsia="Times New Roman" w:hAnsi="Times New Roman" w:cs="Times New Roman"/>
          <w:kern w:val="0"/>
          <w:sz w:val="24"/>
          <w:szCs w:val="24"/>
          <w:vertAlign w:val="subscript"/>
          <w14:ligatures w14:val="none"/>
        </w:rPr>
        <w:t xml:space="preserve">x </w:t>
      </w:r>
      <w:r w:rsidR="00D234F9" w:rsidRPr="00361F34">
        <w:rPr>
          <w:rFonts w:ascii="Times New Roman" w:eastAsia="Times New Roman" w:hAnsi="Times New Roman" w:cs="Times New Roman"/>
          <w:kern w:val="0"/>
          <w:sz w:val="24"/>
          <w:szCs w:val="24"/>
          <w14:ligatures w14:val="none"/>
        </w:rPr>
        <w:t xml:space="preserve">emissions with </w:t>
      </w:r>
      <w:r w:rsidR="00BB5E86" w:rsidRPr="00361F34">
        <w:rPr>
          <w:rFonts w:ascii="Times New Roman" w:eastAsia="Times New Roman" w:hAnsi="Times New Roman" w:cs="Times New Roman"/>
          <w:kern w:val="0"/>
          <w:sz w:val="24"/>
          <w:szCs w:val="24"/>
          <w14:ligatures w14:val="none"/>
        </w:rPr>
        <w:t>cap</w:t>
      </w:r>
      <w:r w:rsidR="00BB5E86">
        <w:rPr>
          <w:rFonts w:ascii="Times New Roman" w:eastAsia="Times New Roman" w:hAnsi="Times New Roman" w:cs="Times New Roman"/>
          <w:kern w:val="0"/>
          <w:sz w:val="24"/>
          <w:szCs w:val="24"/>
          <w14:ligatures w14:val="none"/>
        </w:rPr>
        <w:t>-and-trade</w:t>
      </w:r>
      <w:r w:rsidR="00D234F9" w:rsidRPr="00361F34">
        <w:rPr>
          <w:rFonts w:ascii="Times New Roman" w:eastAsia="Times New Roman" w:hAnsi="Times New Roman" w:cs="Times New Roman"/>
          <w:kern w:val="0"/>
          <w:sz w:val="24"/>
          <w:szCs w:val="24"/>
          <w14:ligatures w14:val="none"/>
        </w:rPr>
        <w:t xml:space="preserve"> permits </w:t>
      </w:r>
      <w:r>
        <w:rPr>
          <w:rFonts w:ascii="Times New Roman" w:eastAsia="Times New Roman" w:hAnsi="Times New Roman" w:cs="Times New Roman"/>
          <w:kern w:val="0"/>
          <w:sz w:val="24"/>
          <w:szCs w:val="24"/>
          <w14:ligatures w14:val="none"/>
        </w:rPr>
        <w:t xml:space="preserve">also noted earlier </w:t>
      </w:r>
      <w:r w:rsidR="00D234F9" w:rsidRPr="00361F34">
        <w:rPr>
          <w:rFonts w:ascii="Times New Roman" w:eastAsia="Times New Roman" w:hAnsi="Times New Roman" w:cs="Times New Roman"/>
          <w:kern w:val="0"/>
          <w:sz w:val="24"/>
          <w:szCs w:val="24"/>
          <w14:ligatures w14:val="none"/>
        </w:rPr>
        <w:t xml:space="preserve">could have been the basis for a much broader use of Coasean approaches. </w:t>
      </w:r>
      <w:r w:rsidR="00674AF6" w:rsidRPr="00361F34">
        <w:rPr>
          <w:rFonts w:ascii="Times New Roman" w:eastAsia="Times New Roman" w:hAnsi="Times New Roman" w:cs="Times New Roman"/>
          <w:kern w:val="0"/>
          <w:sz w:val="24"/>
          <w:szCs w:val="24"/>
          <w14:ligatures w14:val="none"/>
        </w:rPr>
        <w:t xml:space="preserve">It was not to be, however.  </w:t>
      </w:r>
    </w:p>
    <w:p w14:paraId="675A8784" w14:textId="6EE9E579" w:rsidR="00D92EFB" w:rsidRDefault="00D234F9" w:rsidP="00D234F9">
      <w:pPr>
        <w:spacing w:after="0" w:line="360" w:lineRule="auto"/>
        <w:ind w:firstLine="720"/>
        <w:rPr>
          <w:rFonts w:ascii="Times New Roman" w:hAnsi="Times New Roman" w:cs="Times New Roman"/>
          <w:kern w:val="0"/>
          <w:sz w:val="24"/>
          <w:szCs w:val="24"/>
          <w14:ligatures w14:val="none"/>
        </w:rPr>
      </w:pPr>
      <w:r w:rsidRPr="00361F34">
        <w:rPr>
          <w:rFonts w:ascii="Times New Roman" w:hAnsi="Times New Roman" w:cs="Times New Roman"/>
          <w:kern w:val="0"/>
          <w:sz w:val="24"/>
          <w:szCs w:val="24"/>
          <w14:ligatures w14:val="none"/>
        </w:rPr>
        <w:t xml:space="preserve">The Clean Air Act remains Pigouvian. </w:t>
      </w:r>
      <w:r w:rsidR="006B6BFE">
        <w:rPr>
          <w:rFonts w:ascii="Times New Roman" w:hAnsi="Times New Roman" w:cs="Times New Roman"/>
          <w:kern w:val="0"/>
          <w:sz w:val="24"/>
          <w:szCs w:val="24"/>
          <w14:ligatures w14:val="none"/>
        </w:rPr>
        <w:t>Despite health benefits, i</w:t>
      </w:r>
      <w:r w:rsidRPr="00361F34">
        <w:rPr>
          <w:rFonts w:ascii="Times New Roman" w:hAnsi="Times New Roman" w:cs="Times New Roman"/>
          <w:kern w:val="0"/>
          <w:sz w:val="24"/>
          <w:szCs w:val="24"/>
          <w14:ligatures w14:val="none"/>
        </w:rPr>
        <w:t xml:space="preserve">t is politically charged, and no major amendments have been added since 1990. Although Schmalensee and Stavins (2019) assert political polarization is the problem, they do not address the underlying reason for sharp political differences. A primary source of conflict between advocates and opponents is competition over the political rents associated with Pigouvian controls and the disproportionate net costs they impose. </w:t>
      </w:r>
    </w:p>
    <w:p w14:paraId="5D1ADA6B" w14:textId="77777777" w:rsidR="00F66CEB" w:rsidRPr="00361F34" w:rsidRDefault="00F66CEB" w:rsidP="00D234F9">
      <w:pPr>
        <w:spacing w:after="0" w:line="360" w:lineRule="auto"/>
        <w:ind w:firstLine="720"/>
        <w:rPr>
          <w:rFonts w:ascii="Times New Roman" w:hAnsi="Times New Roman" w:cs="Times New Roman"/>
          <w:kern w:val="0"/>
          <w:sz w:val="24"/>
          <w:szCs w:val="24"/>
          <w14:ligatures w14:val="none"/>
        </w:rPr>
      </w:pPr>
    </w:p>
    <w:p w14:paraId="3CFEBA5A" w14:textId="48AB3EBA" w:rsidR="0018661F" w:rsidRPr="00511683" w:rsidRDefault="00496394" w:rsidP="007C104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I</w:t>
      </w:r>
      <w:r w:rsidR="0018661F" w:rsidRPr="00511683">
        <w:rPr>
          <w:rFonts w:ascii="Times New Roman" w:hAnsi="Times New Roman" w:cs="Times New Roman"/>
          <w:b/>
          <w:bCs/>
          <w:sz w:val="24"/>
          <w:szCs w:val="24"/>
        </w:rPr>
        <w:t xml:space="preserve">V. </w:t>
      </w:r>
      <w:r w:rsidR="00117D30">
        <w:rPr>
          <w:rFonts w:ascii="Times New Roman" w:hAnsi="Times New Roman" w:cs="Times New Roman"/>
          <w:b/>
          <w:bCs/>
          <w:sz w:val="24"/>
          <w:szCs w:val="24"/>
        </w:rPr>
        <w:t>Rent-Seeking</w:t>
      </w:r>
      <w:r w:rsidR="004C3AC0">
        <w:rPr>
          <w:rFonts w:ascii="Times New Roman" w:hAnsi="Times New Roman" w:cs="Times New Roman"/>
          <w:b/>
          <w:bCs/>
          <w:sz w:val="24"/>
          <w:szCs w:val="24"/>
        </w:rPr>
        <w:t xml:space="preserve"> and</w:t>
      </w:r>
      <w:r w:rsidR="00117D30">
        <w:rPr>
          <w:rFonts w:ascii="Times New Roman" w:hAnsi="Times New Roman" w:cs="Times New Roman"/>
          <w:b/>
          <w:bCs/>
          <w:sz w:val="24"/>
          <w:szCs w:val="24"/>
        </w:rPr>
        <w:t xml:space="preserve"> </w:t>
      </w:r>
      <w:r w:rsidR="0018661F" w:rsidRPr="00511683">
        <w:rPr>
          <w:rFonts w:ascii="Times New Roman" w:hAnsi="Times New Roman" w:cs="Times New Roman"/>
          <w:b/>
          <w:bCs/>
          <w:sz w:val="24"/>
          <w:szCs w:val="24"/>
        </w:rPr>
        <w:t xml:space="preserve">US Fishery </w:t>
      </w:r>
      <w:r w:rsidR="00117D30">
        <w:rPr>
          <w:rFonts w:ascii="Times New Roman" w:hAnsi="Times New Roman" w:cs="Times New Roman"/>
          <w:b/>
          <w:bCs/>
          <w:sz w:val="24"/>
          <w:szCs w:val="24"/>
        </w:rPr>
        <w:t xml:space="preserve">Externality </w:t>
      </w:r>
      <w:r w:rsidR="0018661F" w:rsidRPr="00511683">
        <w:rPr>
          <w:rFonts w:ascii="Times New Roman" w:hAnsi="Times New Roman" w:cs="Times New Roman"/>
          <w:b/>
          <w:bCs/>
          <w:sz w:val="24"/>
          <w:szCs w:val="24"/>
        </w:rPr>
        <w:t>Regulation.</w:t>
      </w:r>
    </w:p>
    <w:p w14:paraId="2058CCFD" w14:textId="6DCA911C" w:rsidR="007C1042" w:rsidRPr="00E80438" w:rsidRDefault="007C1042" w:rsidP="007C1042">
      <w:pPr>
        <w:spacing w:after="0" w:line="360" w:lineRule="auto"/>
        <w:ind w:firstLine="720"/>
        <w:contextualSpacing/>
        <w:rPr>
          <w:rFonts w:ascii="Times New Roman" w:eastAsia="Times New Roman" w:hAnsi="Times New Roman" w:cs="Times New Roman"/>
          <w:color w:val="222222"/>
          <w:kern w:val="0"/>
          <w:sz w:val="24"/>
          <w:szCs w:val="24"/>
          <w14:ligatures w14:val="none"/>
        </w:rPr>
      </w:pPr>
      <w:r>
        <w:rPr>
          <w:rFonts w:ascii="Times New Roman" w:hAnsi="Times New Roman" w:cs="Times New Roman"/>
          <w:kern w:val="0"/>
          <w:sz w:val="24"/>
          <w:szCs w:val="24"/>
          <w14:ligatures w14:val="none"/>
        </w:rPr>
        <w:t xml:space="preserve">The problem of fisheries was overfishing due to open access. The Coasean solution would have been to assign property rights to fish; allow fishers to determine the total allowable annual harvests; and exchange to reduce the number of fishers and catch. That approach was not </w:t>
      </w:r>
      <w:r>
        <w:rPr>
          <w:rFonts w:ascii="Times New Roman" w:hAnsi="Times New Roman" w:cs="Times New Roman"/>
          <w:kern w:val="0"/>
          <w:sz w:val="24"/>
          <w:szCs w:val="24"/>
          <w14:ligatures w14:val="none"/>
        </w:rPr>
        <w:lastRenderedPageBreak/>
        <w:t xml:space="preserve">chosen in the 1976 Magnuson-Stevens </w:t>
      </w:r>
      <w:r w:rsidRPr="00E80438">
        <w:rPr>
          <w:rFonts w:ascii="Times New Roman" w:eastAsia="Times New Roman" w:hAnsi="Times New Roman" w:cs="Times New Roman"/>
          <w:color w:val="222222"/>
          <w:kern w:val="0"/>
          <w:sz w:val="24"/>
          <w:szCs w:val="24"/>
          <w14:ligatures w14:val="none"/>
        </w:rPr>
        <w:t xml:space="preserve">Fishery Conservation and Management Act of 1976 as listed in Table </w:t>
      </w:r>
      <w:r>
        <w:rPr>
          <w:rFonts w:ascii="Times New Roman" w:eastAsia="Times New Roman" w:hAnsi="Times New Roman" w:cs="Times New Roman"/>
          <w:color w:val="222222"/>
          <w:kern w:val="0"/>
          <w:sz w:val="24"/>
          <w:szCs w:val="24"/>
          <w14:ligatures w14:val="none"/>
        </w:rPr>
        <w:t>I. Magnuson-Stevens</w:t>
      </w:r>
      <w:r w:rsidRPr="00E80438">
        <w:rPr>
          <w:rFonts w:ascii="Times New Roman" w:eastAsia="Times New Roman" w:hAnsi="Times New Roman" w:cs="Times New Roman"/>
          <w:color w:val="222222"/>
          <w:kern w:val="0"/>
          <w:sz w:val="24"/>
          <w:szCs w:val="24"/>
          <w14:ligatures w14:val="none"/>
        </w:rPr>
        <w:t xml:space="preserve"> and its reauthorizations in 1996 and 2006 are the principal fishery </w:t>
      </w:r>
      <w:r>
        <w:rPr>
          <w:rFonts w:ascii="Times New Roman" w:eastAsia="Times New Roman" w:hAnsi="Times New Roman" w:cs="Times New Roman"/>
          <w:color w:val="222222"/>
          <w:kern w:val="0"/>
          <w:sz w:val="24"/>
          <w:szCs w:val="24"/>
          <w14:ligatures w14:val="none"/>
        </w:rPr>
        <w:t xml:space="preserve">regulatory </w:t>
      </w:r>
      <w:r w:rsidRPr="00E80438">
        <w:rPr>
          <w:rFonts w:ascii="Times New Roman" w:eastAsia="Times New Roman" w:hAnsi="Times New Roman" w:cs="Times New Roman"/>
          <w:color w:val="222222"/>
          <w:kern w:val="0"/>
          <w:sz w:val="24"/>
          <w:szCs w:val="24"/>
          <w14:ligatures w14:val="none"/>
        </w:rPr>
        <w:t>statutes for the US.</w:t>
      </w:r>
      <w:r w:rsidRPr="00E80438">
        <w:rPr>
          <w:rFonts w:ascii="Times New Roman" w:eastAsia="Times New Roman" w:hAnsi="Times New Roman" w:cs="Times New Roman"/>
          <w:color w:val="222222"/>
          <w:kern w:val="0"/>
          <w:sz w:val="24"/>
          <w:szCs w:val="24"/>
          <w:vertAlign w:val="superscript"/>
          <w14:ligatures w14:val="none"/>
        </w:rPr>
        <w:footnoteReference w:id="58"/>
      </w:r>
      <w:r w:rsidRPr="00E80438">
        <w:rPr>
          <w:rFonts w:ascii="Times New Roman" w:eastAsia="Times New Roman" w:hAnsi="Times New Roman" w:cs="Times New Roman"/>
          <w:color w:val="222222"/>
          <w:kern w:val="0"/>
          <w:sz w:val="24"/>
          <w:szCs w:val="24"/>
          <w14:ligatures w14:val="none"/>
        </w:rPr>
        <w:t xml:space="preserve">  The 1976 law did not call for property rights to address overfishing, even though losses </w:t>
      </w:r>
      <w:r>
        <w:rPr>
          <w:rFonts w:ascii="Times New Roman" w:eastAsia="Times New Roman" w:hAnsi="Times New Roman" w:cs="Times New Roman"/>
          <w:color w:val="222222"/>
          <w:kern w:val="0"/>
          <w:sz w:val="24"/>
          <w:szCs w:val="24"/>
          <w14:ligatures w14:val="none"/>
        </w:rPr>
        <w:t xml:space="preserve">of open access </w:t>
      </w:r>
      <w:r w:rsidRPr="00E80438">
        <w:rPr>
          <w:rFonts w:ascii="Times New Roman" w:eastAsia="Times New Roman" w:hAnsi="Times New Roman" w:cs="Times New Roman"/>
          <w:color w:val="222222"/>
          <w:kern w:val="0"/>
          <w:sz w:val="24"/>
          <w:szCs w:val="24"/>
          <w14:ligatures w14:val="none"/>
        </w:rPr>
        <w:t>were apparent</w:t>
      </w:r>
      <w:r>
        <w:rPr>
          <w:rFonts w:ascii="Times New Roman" w:eastAsia="Times New Roman" w:hAnsi="Times New Roman" w:cs="Times New Roman"/>
          <w:color w:val="222222"/>
          <w:kern w:val="0"/>
          <w:sz w:val="24"/>
          <w:szCs w:val="24"/>
          <w14:ligatures w14:val="none"/>
        </w:rPr>
        <w:t xml:space="preserve">. </w:t>
      </w:r>
      <w:r w:rsidRPr="00E80438">
        <w:rPr>
          <w:rFonts w:ascii="Times New Roman" w:eastAsia="Times New Roman" w:hAnsi="Times New Roman" w:cs="Times New Roman"/>
          <w:color w:val="222222"/>
          <w:kern w:val="0"/>
          <w:sz w:val="24"/>
          <w:szCs w:val="24"/>
          <w14:ligatures w14:val="none"/>
        </w:rPr>
        <w:t xml:space="preserve"> Pigouvian</w:t>
      </w:r>
      <w:r w:rsidR="00043132">
        <w:rPr>
          <w:rFonts w:ascii="Times New Roman" w:eastAsia="Times New Roman" w:hAnsi="Times New Roman" w:cs="Times New Roman"/>
          <w:color w:val="222222"/>
          <w:kern w:val="0"/>
          <w:sz w:val="24"/>
          <w:szCs w:val="24"/>
          <w14:ligatures w14:val="none"/>
        </w:rPr>
        <w:t xml:space="preserve"> </w:t>
      </w:r>
      <w:r w:rsidRPr="00E80438">
        <w:rPr>
          <w:rFonts w:ascii="Times New Roman" w:eastAsia="Times New Roman" w:hAnsi="Times New Roman" w:cs="Times New Roman"/>
          <w:color w:val="222222"/>
          <w:kern w:val="0"/>
          <w:sz w:val="24"/>
          <w:szCs w:val="24"/>
          <w14:ligatures w14:val="none"/>
        </w:rPr>
        <w:t xml:space="preserve">style regulations </w:t>
      </w:r>
      <w:r w:rsidR="00A07673">
        <w:rPr>
          <w:rFonts w:ascii="Times New Roman" w:eastAsia="Times New Roman" w:hAnsi="Times New Roman" w:cs="Times New Roman"/>
          <w:color w:val="222222"/>
          <w:kern w:val="0"/>
          <w:sz w:val="24"/>
          <w:szCs w:val="24"/>
          <w14:ligatures w14:val="none"/>
        </w:rPr>
        <w:t xml:space="preserve">on harvest </w:t>
      </w:r>
      <w:r w:rsidRPr="00E80438">
        <w:rPr>
          <w:rFonts w:ascii="Times New Roman" w:eastAsia="Times New Roman" w:hAnsi="Times New Roman" w:cs="Times New Roman"/>
          <w:color w:val="222222"/>
          <w:kern w:val="0"/>
          <w:sz w:val="24"/>
          <w:szCs w:val="24"/>
          <w14:ligatures w14:val="none"/>
        </w:rPr>
        <w:t>that Coase so sharply criticized</w:t>
      </w:r>
      <w:r>
        <w:rPr>
          <w:rFonts w:ascii="Times New Roman" w:eastAsia="Times New Roman" w:hAnsi="Times New Roman" w:cs="Times New Roman"/>
          <w:color w:val="222222"/>
          <w:kern w:val="0"/>
          <w:sz w:val="24"/>
          <w:szCs w:val="24"/>
          <w14:ligatures w14:val="none"/>
        </w:rPr>
        <w:t xml:space="preserve"> were put into place. Only the </w:t>
      </w:r>
      <w:r w:rsidRPr="00E80438">
        <w:rPr>
          <w:rFonts w:ascii="Times New Roman" w:eastAsia="Times New Roman" w:hAnsi="Times New Roman" w:cs="Times New Roman"/>
          <w:color w:val="222222"/>
          <w:kern w:val="0"/>
          <w:sz w:val="24"/>
          <w:szCs w:val="24"/>
          <w14:ligatures w14:val="none"/>
        </w:rPr>
        <w:t>l996 and 2006 amendments,</w:t>
      </w:r>
      <w:r w:rsidR="00BB5E86">
        <w:rPr>
          <w:rFonts w:ascii="Times New Roman" w:eastAsia="Times New Roman" w:hAnsi="Times New Roman" w:cs="Times New Roman"/>
          <w:color w:val="222222"/>
          <w:kern w:val="0"/>
          <w:sz w:val="24"/>
          <w:szCs w:val="24"/>
          <w14:ligatures w14:val="none"/>
        </w:rPr>
        <w:t xml:space="preserve"> as noted earlier,</w:t>
      </w:r>
      <w:r w:rsidRPr="00E80438">
        <w:rPr>
          <w:rFonts w:ascii="Times New Roman" w:eastAsia="Times New Roman" w:hAnsi="Times New Roman" w:cs="Times New Roman"/>
          <w:color w:val="222222"/>
          <w:kern w:val="0"/>
          <w:sz w:val="24"/>
          <w:szCs w:val="24"/>
          <w14:ligatures w14:val="none"/>
        </w:rPr>
        <w:t xml:space="preserve"> </w:t>
      </w:r>
      <w:r w:rsidR="00BB5E86" w:rsidRPr="00987CDA">
        <w:rPr>
          <w:rFonts w:ascii="Times New Roman" w:eastAsia="Times New Roman" w:hAnsi="Times New Roman" w:cs="Times New Roman"/>
          <w:i/>
          <w:iCs/>
          <w:color w:val="222222"/>
          <w:kern w:val="0"/>
          <w:sz w:val="24"/>
          <w:szCs w:val="24"/>
          <w14:ligatures w14:val="none"/>
        </w:rPr>
        <w:t>thirty</w:t>
      </w:r>
      <w:r w:rsidR="00BB5E86">
        <w:rPr>
          <w:rFonts w:ascii="Times New Roman" w:eastAsia="Times New Roman" w:hAnsi="Times New Roman" w:cs="Times New Roman"/>
          <w:i/>
          <w:iCs/>
          <w:color w:val="222222"/>
          <w:kern w:val="0"/>
          <w:sz w:val="24"/>
          <w:szCs w:val="24"/>
          <w14:ligatures w14:val="none"/>
        </w:rPr>
        <w:t>-six</w:t>
      </w:r>
      <w:r w:rsidRPr="00987CDA">
        <w:rPr>
          <w:rFonts w:ascii="Times New Roman" w:eastAsia="Times New Roman" w:hAnsi="Times New Roman" w:cs="Times New Roman"/>
          <w:i/>
          <w:iCs/>
          <w:color w:val="222222"/>
          <w:kern w:val="0"/>
          <w:sz w:val="24"/>
          <w:szCs w:val="24"/>
          <w14:ligatures w14:val="none"/>
        </w:rPr>
        <w:t xml:space="preserve"> </w:t>
      </w:r>
      <w:r>
        <w:rPr>
          <w:rFonts w:ascii="Times New Roman" w:eastAsia="Times New Roman" w:hAnsi="Times New Roman" w:cs="Times New Roman"/>
          <w:color w:val="222222"/>
          <w:kern w:val="0"/>
          <w:sz w:val="24"/>
          <w:szCs w:val="24"/>
          <w14:ligatures w14:val="none"/>
        </w:rPr>
        <w:t xml:space="preserve">and </w:t>
      </w:r>
      <w:r w:rsidRPr="00987CDA">
        <w:rPr>
          <w:rFonts w:ascii="Times New Roman" w:eastAsia="Times New Roman" w:hAnsi="Times New Roman" w:cs="Times New Roman"/>
          <w:i/>
          <w:iCs/>
          <w:color w:val="222222"/>
          <w:kern w:val="0"/>
          <w:sz w:val="24"/>
          <w:szCs w:val="24"/>
          <w14:ligatures w14:val="none"/>
        </w:rPr>
        <w:t>forty</w:t>
      </w:r>
      <w:r w:rsidR="00BB5E86">
        <w:rPr>
          <w:rFonts w:ascii="Times New Roman" w:eastAsia="Times New Roman" w:hAnsi="Times New Roman" w:cs="Times New Roman"/>
          <w:i/>
          <w:iCs/>
          <w:color w:val="222222"/>
          <w:kern w:val="0"/>
          <w:sz w:val="24"/>
          <w:szCs w:val="24"/>
          <w14:ligatures w14:val="none"/>
        </w:rPr>
        <w:t>-</w:t>
      </w:r>
      <w:r w:rsidRPr="00987CDA">
        <w:rPr>
          <w:rFonts w:ascii="Times New Roman" w:eastAsia="Times New Roman" w:hAnsi="Times New Roman" w:cs="Times New Roman"/>
          <w:i/>
          <w:iCs/>
          <w:color w:val="222222"/>
          <w:kern w:val="0"/>
          <w:sz w:val="24"/>
          <w:szCs w:val="24"/>
          <w14:ligatures w14:val="none"/>
        </w:rPr>
        <w:t>six years</w:t>
      </w:r>
      <w:r w:rsidRPr="00E80438">
        <w:rPr>
          <w:rFonts w:ascii="Times New Roman" w:eastAsia="Times New Roman" w:hAnsi="Times New Roman" w:cs="Times New Roman"/>
          <w:color w:val="222222"/>
          <w:kern w:val="0"/>
          <w:sz w:val="24"/>
          <w:szCs w:val="24"/>
          <w14:ligatures w14:val="none"/>
        </w:rPr>
        <w:t xml:space="preserve"> after Coase, </w:t>
      </w:r>
      <w:r>
        <w:rPr>
          <w:rFonts w:ascii="Times New Roman" w:eastAsia="Times New Roman" w:hAnsi="Times New Roman" w:cs="Times New Roman"/>
          <w:color w:val="222222"/>
          <w:kern w:val="0"/>
          <w:sz w:val="24"/>
          <w:szCs w:val="24"/>
          <w14:ligatures w14:val="none"/>
        </w:rPr>
        <w:t xml:space="preserve">finally authorized </w:t>
      </w:r>
      <w:r w:rsidRPr="00E80438">
        <w:rPr>
          <w:rFonts w:ascii="Times New Roman" w:eastAsia="Times New Roman" w:hAnsi="Times New Roman" w:cs="Times New Roman"/>
          <w:color w:val="222222"/>
          <w:kern w:val="0"/>
          <w:sz w:val="24"/>
          <w:szCs w:val="24"/>
          <w14:ligatures w14:val="none"/>
        </w:rPr>
        <w:t>restricted property rights</w:t>
      </w:r>
      <w:r>
        <w:rPr>
          <w:rFonts w:ascii="Times New Roman" w:eastAsia="Times New Roman" w:hAnsi="Times New Roman" w:cs="Times New Roman"/>
          <w:color w:val="222222"/>
          <w:kern w:val="0"/>
          <w:sz w:val="24"/>
          <w:szCs w:val="24"/>
          <w14:ligatures w14:val="none"/>
        </w:rPr>
        <w:t xml:space="preserve"> and exchange</w:t>
      </w:r>
      <w:r w:rsidRPr="00E80438">
        <w:rPr>
          <w:rFonts w:ascii="Times New Roman" w:eastAsia="Times New Roman" w:hAnsi="Times New Roman" w:cs="Times New Roman"/>
          <w:color w:val="222222"/>
          <w:kern w:val="0"/>
          <w:sz w:val="24"/>
          <w:szCs w:val="24"/>
          <w14:ligatures w14:val="none"/>
        </w:rPr>
        <w:t xml:space="preserve">. </w:t>
      </w:r>
      <w:r>
        <w:rPr>
          <w:rFonts w:ascii="Times New Roman" w:eastAsia="Times New Roman" w:hAnsi="Times New Roman" w:cs="Times New Roman"/>
          <w:color w:val="222222"/>
          <w:kern w:val="0"/>
          <w:sz w:val="24"/>
          <w:szCs w:val="24"/>
          <w14:ligatures w14:val="none"/>
        </w:rPr>
        <w:t>By contrast, Iceland for example, introduced a property rights system in 1975.</w:t>
      </w:r>
    </w:p>
    <w:p w14:paraId="3D01947D" w14:textId="2B66917B" w:rsidR="00135D20" w:rsidRDefault="007455A3" w:rsidP="00135D20">
      <w:pPr>
        <w:spacing w:after="0" w:line="360" w:lineRule="auto"/>
        <w:ind w:firstLine="720"/>
        <w:contextualSpacing/>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color w:val="222222"/>
          <w:kern w:val="0"/>
          <w:sz w:val="24"/>
          <w:szCs w:val="24"/>
          <w14:ligatures w14:val="none"/>
        </w:rPr>
        <w:t xml:space="preserve">Beyond Coase, there were prominent academic </w:t>
      </w:r>
      <w:r w:rsidR="008A5749">
        <w:rPr>
          <w:rFonts w:ascii="Times New Roman" w:eastAsia="Times New Roman" w:hAnsi="Times New Roman" w:cs="Times New Roman"/>
          <w:color w:val="222222"/>
          <w:kern w:val="0"/>
          <w:sz w:val="24"/>
          <w:szCs w:val="24"/>
          <w14:ligatures w14:val="none"/>
        </w:rPr>
        <w:t xml:space="preserve">calls for </w:t>
      </w:r>
      <w:r>
        <w:rPr>
          <w:rFonts w:ascii="Times New Roman" w:eastAsia="Times New Roman" w:hAnsi="Times New Roman" w:cs="Times New Roman"/>
          <w:color w:val="222222"/>
          <w:kern w:val="0"/>
          <w:sz w:val="24"/>
          <w:szCs w:val="24"/>
          <w14:ligatures w14:val="none"/>
        </w:rPr>
        <w:t xml:space="preserve">property rights remedies for overfishing </w:t>
      </w:r>
      <w:r w:rsidR="00533369">
        <w:rPr>
          <w:rFonts w:ascii="Times New Roman" w:eastAsia="Times New Roman" w:hAnsi="Times New Roman" w:cs="Times New Roman"/>
          <w:color w:val="222222"/>
          <w:kern w:val="0"/>
          <w:sz w:val="24"/>
          <w:szCs w:val="24"/>
          <w14:ligatures w14:val="none"/>
        </w:rPr>
        <w:t xml:space="preserve">by </w:t>
      </w:r>
      <w:r w:rsidR="00135D20" w:rsidRPr="00E80438">
        <w:rPr>
          <w:rFonts w:ascii="Times New Roman" w:eastAsia="Times New Roman" w:hAnsi="Times New Roman" w:cs="Times New Roman"/>
          <w:color w:val="222222"/>
          <w:kern w:val="0"/>
          <w:sz w:val="24"/>
          <w:szCs w:val="24"/>
          <w14:ligatures w14:val="none"/>
        </w:rPr>
        <w:t>Gordon (1954)</w:t>
      </w:r>
      <w:r w:rsidR="00135D20">
        <w:rPr>
          <w:rFonts w:ascii="Times New Roman" w:eastAsia="Times New Roman" w:hAnsi="Times New Roman" w:cs="Times New Roman"/>
          <w:color w:val="222222"/>
          <w:kern w:val="0"/>
          <w:sz w:val="24"/>
          <w:szCs w:val="24"/>
          <w14:ligatures w14:val="none"/>
        </w:rPr>
        <w:t xml:space="preserve">, </w:t>
      </w:r>
      <w:r w:rsidR="00135D20" w:rsidRPr="00E80438">
        <w:rPr>
          <w:rFonts w:ascii="Times New Roman" w:eastAsia="Times New Roman" w:hAnsi="Times New Roman" w:cs="Times New Roman"/>
          <w:color w:val="222222"/>
          <w:kern w:val="0"/>
          <w:sz w:val="24"/>
          <w:szCs w:val="24"/>
          <w14:ligatures w14:val="none"/>
        </w:rPr>
        <w:t>Scott (1955)</w:t>
      </w:r>
      <w:r w:rsidR="00135D20">
        <w:rPr>
          <w:rFonts w:ascii="Times New Roman" w:eastAsia="Times New Roman" w:hAnsi="Times New Roman" w:cs="Times New Roman"/>
          <w:color w:val="222222"/>
          <w:kern w:val="0"/>
          <w:sz w:val="24"/>
          <w:szCs w:val="24"/>
          <w14:ligatures w14:val="none"/>
        </w:rPr>
        <w:t xml:space="preserve"> and </w:t>
      </w:r>
      <w:r w:rsidR="00135D20" w:rsidRPr="00E80438">
        <w:rPr>
          <w:rFonts w:ascii="Times New Roman" w:eastAsia="Times New Roman" w:hAnsi="Times New Roman" w:cs="Times New Roman"/>
          <w:color w:val="222222"/>
          <w:kern w:val="0"/>
          <w:sz w:val="24"/>
          <w:szCs w:val="24"/>
          <w14:ligatures w14:val="none"/>
        </w:rPr>
        <w:t>Christy (1973)</w:t>
      </w:r>
      <w:r w:rsidR="00135D20">
        <w:rPr>
          <w:rFonts w:ascii="Times New Roman" w:eastAsia="Times New Roman" w:hAnsi="Times New Roman" w:cs="Times New Roman"/>
          <w:color w:val="222222"/>
          <w:kern w:val="0"/>
          <w:sz w:val="24"/>
          <w:szCs w:val="24"/>
          <w14:ligatures w14:val="none"/>
        </w:rPr>
        <w:t>.</w:t>
      </w:r>
      <w:r w:rsidR="00957F25">
        <w:rPr>
          <w:rStyle w:val="FootnoteReference"/>
          <w:rFonts w:ascii="Times New Roman" w:eastAsia="Times New Roman" w:hAnsi="Times New Roman" w:cs="Times New Roman"/>
          <w:color w:val="222222"/>
          <w:kern w:val="0"/>
          <w:sz w:val="24"/>
          <w:szCs w:val="24"/>
          <w14:ligatures w14:val="none"/>
        </w:rPr>
        <w:footnoteReference w:id="59"/>
      </w:r>
      <w:r w:rsidR="00135D20">
        <w:rPr>
          <w:rFonts w:ascii="Times New Roman" w:eastAsia="Times New Roman" w:hAnsi="Times New Roman" w:cs="Times New Roman"/>
          <w:color w:val="222222"/>
          <w:kern w:val="0"/>
          <w:sz w:val="24"/>
          <w:szCs w:val="24"/>
          <w14:ligatures w14:val="none"/>
        </w:rPr>
        <w:t xml:space="preserve"> </w:t>
      </w:r>
      <w:r w:rsidR="00533369">
        <w:rPr>
          <w:rFonts w:ascii="Times New Roman" w:eastAsia="Times New Roman" w:hAnsi="Times New Roman" w:cs="Times New Roman"/>
          <w:color w:val="222222"/>
          <w:kern w:val="0"/>
          <w:sz w:val="24"/>
          <w:szCs w:val="24"/>
          <w14:ligatures w14:val="none"/>
        </w:rPr>
        <w:t>Christy de</w:t>
      </w:r>
      <w:r w:rsidR="008A5749">
        <w:rPr>
          <w:rFonts w:ascii="Times New Roman" w:eastAsia="Times New Roman" w:hAnsi="Times New Roman" w:cs="Times New Roman"/>
          <w:color w:val="222222"/>
          <w:kern w:val="0"/>
          <w:sz w:val="24"/>
          <w:szCs w:val="24"/>
          <w14:ligatures w14:val="none"/>
        </w:rPr>
        <w:t xml:space="preserve">scribed </w:t>
      </w:r>
      <w:r w:rsidR="00533369">
        <w:rPr>
          <w:rFonts w:ascii="Times New Roman" w:eastAsia="Times New Roman" w:hAnsi="Times New Roman" w:cs="Times New Roman"/>
          <w:color w:val="222222"/>
          <w:kern w:val="0"/>
          <w:sz w:val="24"/>
          <w:szCs w:val="24"/>
          <w14:ligatures w14:val="none"/>
        </w:rPr>
        <w:t xml:space="preserve">a </w:t>
      </w:r>
      <w:r w:rsidR="00135D20" w:rsidRPr="00E80438">
        <w:rPr>
          <w:rFonts w:ascii="Times New Roman" w:eastAsia="Times New Roman" w:hAnsi="Times New Roman" w:cs="Times New Roman"/>
          <w:color w:val="222222"/>
          <w:kern w:val="0"/>
          <w:sz w:val="24"/>
          <w:szCs w:val="24"/>
          <w14:ligatures w14:val="none"/>
        </w:rPr>
        <w:t xml:space="preserve">Total Annual Allowable Catch (TAC) </w:t>
      </w:r>
      <w:r w:rsidR="00135D20">
        <w:rPr>
          <w:rFonts w:ascii="Times New Roman" w:eastAsia="Times New Roman" w:hAnsi="Times New Roman" w:cs="Times New Roman"/>
          <w:color w:val="222222"/>
          <w:kern w:val="0"/>
          <w:sz w:val="24"/>
          <w:szCs w:val="24"/>
          <w14:ligatures w14:val="none"/>
        </w:rPr>
        <w:t xml:space="preserve">to </w:t>
      </w:r>
      <w:r w:rsidR="00533369">
        <w:rPr>
          <w:rFonts w:ascii="Times New Roman" w:eastAsia="Times New Roman" w:hAnsi="Times New Roman" w:cs="Times New Roman"/>
          <w:color w:val="222222"/>
          <w:kern w:val="0"/>
          <w:sz w:val="24"/>
          <w:szCs w:val="24"/>
          <w14:ligatures w14:val="none"/>
        </w:rPr>
        <w:t xml:space="preserve">be set in each fishery </w:t>
      </w:r>
      <w:r w:rsidR="00135D20">
        <w:rPr>
          <w:rFonts w:ascii="Times New Roman" w:eastAsia="Times New Roman" w:hAnsi="Times New Roman" w:cs="Times New Roman"/>
          <w:color w:val="222222"/>
          <w:kern w:val="0"/>
          <w:sz w:val="24"/>
          <w:szCs w:val="24"/>
          <w14:ligatures w14:val="none"/>
        </w:rPr>
        <w:t>with</w:t>
      </w:r>
      <w:r w:rsidR="00533369">
        <w:rPr>
          <w:rFonts w:ascii="Times New Roman" w:eastAsia="Times New Roman" w:hAnsi="Times New Roman" w:cs="Times New Roman"/>
          <w:color w:val="222222"/>
          <w:kern w:val="0"/>
          <w:sz w:val="24"/>
          <w:szCs w:val="24"/>
          <w14:ligatures w14:val="none"/>
        </w:rPr>
        <w:t xml:space="preserve"> a corresponding </w:t>
      </w:r>
      <w:r w:rsidR="00135D20">
        <w:rPr>
          <w:rFonts w:ascii="Times New Roman" w:eastAsia="Times New Roman" w:hAnsi="Times New Roman" w:cs="Times New Roman"/>
          <w:color w:val="222222"/>
          <w:kern w:val="0"/>
          <w:sz w:val="24"/>
          <w:szCs w:val="24"/>
          <w14:ligatures w14:val="none"/>
        </w:rPr>
        <w:t xml:space="preserve">assignment of </w:t>
      </w:r>
      <w:r w:rsidR="00135D20" w:rsidRPr="00E80438">
        <w:rPr>
          <w:rFonts w:ascii="Times New Roman" w:eastAsia="Times New Roman" w:hAnsi="Times New Roman" w:cs="Times New Roman"/>
          <w:color w:val="222222"/>
          <w:kern w:val="0"/>
          <w:sz w:val="24"/>
          <w:szCs w:val="24"/>
          <w14:ligatures w14:val="none"/>
        </w:rPr>
        <w:t xml:space="preserve">catch shares </w:t>
      </w:r>
      <w:r w:rsidR="00F806DA">
        <w:rPr>
          <w:rFonts w:ascii="Times New Roman" w:eastAsia="Times New Roman" w:hAnsi="Times New Roman" w:cs="Times New Roman"/>
          <w:color w:val="222222"/>
          <w:kern w:val="0"/>
          <w:sz w:val="24"/>
          <w:szCs w:val="24"/>
          <w14:ligatures w14:val="none"/>
        </w:rPr>
        <w:t xml:space="preserve">or individual transferable quotas (ITQs) </w:t>
      </w:r>
      <w:r w:rsidR="00135D20" w:rsidRPr="00E80438">
        <w:rPr>
          <w:rFonts w:ascii="Times New Roman" w:eastAsia="Times New Roman" w:hAnsi="Times New Roman" w:cs="Times New Roman"/>
          <w:color w:val="222222"/>
          <w:kern w:val="0"/>
          <w:sz w:val="24"/>
          <w:szCs w:val="24"/>
          <w14:ligatures w14:val="none"/>
        </w:rPr>
        <w:t>as property right</w:t>
      </w:r>
      <w:r w:rsidR="00533369">
        <w:rPr>
          <w:rFonts w:ascii="Times New Roman" w:eastAsia="Times New Roman" w:hAnsi="Times New Roman" w:cs="Times New Roman"/>
          <w:color w:val="222222"/>
          <w:kern w:val="0"/>
          <w:sz w:val="24"/>
          <w:szCs w:val="24"/>
          <w14:ligatures w14:val="none"/>
        </w:rPr>
        <w:t>s within the TAC</w:t>
      </w:r>
      <w:r w:rsidR="00135D20" w:rsidRPr="00E80438">
        <w:rPr>
          <w:rFonts w:ascii="Times New Roman" w:eastAsia="Times New Roman" w:hAnsi="Times New Roman" w:cs="Times New Roman"/>
          <w:color w:val="222222"/>
          <w:kern w:val="0"/>
          <w:sz w:val="24"/>
          <w:szCs w:val="24"/>
          <w14:ligatures w14:val="none"/>
        </w:rPr>
        <w:t xml:space="preserve">. The catch shares would be freely transferable. With the fishery closed to all but </w:t>
      </w:r>
      <w:r w:rsidR="008A5749">
        <w:rPr>
          <w:rFonts w:ascii="Times New Roman" w:eastAsia="Times New Roman" w:hAnsi="Times New Roman" w:cs="Times New Roman"/>
          <w:color w:val="222222"/>
          <w:kern w:val="0"/>
          <w:sz w:val="24"/>
          <w:szCs w:val="24"/>
          <w14:ligatures w14:val="none"/>
        </w:rPr>
        <w:t>shareholders and s</w:t>
      </w:r>
      <w:r w:rsidR="00135D20" w:rsidRPr="00E80438">
        <w:rPr>
          <w:rFonts w:ascii="Times New Roman" w:eastAsia="Times New Roman" w:hAnsi="Times New Roman" w:cs="Times New Roman"/>
          <w:color w:val="222222"/>
          <w:kern w:val="0"/>
          <w:sz w:val="24"/>
          <w:szCs w:val="24"/>
          <w14:ligatures w14:val="none"/>
        </w:rPr>
        <w:t xml:space="preserve">hares valuable only so long as the relevant stocks were protected, </w:t>
      </w:r>
      <w:r w:rsidR="008A5749">
        <w:rPr>
          <w:rFonts w:ascii="Times New Roman" w:eastAsia="Times New Roman" w:hAnsi="Times New Roman" w:cs="Times New Roman"/>
          <w:color w:val="222222"/>
          <w:kern w:val="0"/>
          <w:sz w:val="24"/>
          <w:szCs w:val="24"/>
          <w14:ligatures w14:val="none"/>
        </w:rPr>
        <w:t>fishers could set the TAC. T</w:t>
      </w:r>
      <w:r w:rsidR="00135D20" w:rsidRPr="00E80438">
        <w:rPr>
          <w:rFonts w:ascii="Times New Roman" w:eastAsia="Times New Roman" w:hAnsi="Times New Roman" w:cs="Times New Roman"/>
          <w:color w:val="222222"/>
          <w:kern w:val="0"/>
          <w:sz w:val="24"/>
          <w:szCs w:val="24"/>
          <w14:ligatures w14:val="none"/>
        </w:rPr>
        <w:t>he incidence of and incentives for overharvest would be reduced.  With tradable shares, the number of fishers, vessels, and related equipment and crews could be reduced as needed in any over-capitalized fishery. Because share values depended upon product value and costs, owners had an incentive to search for new techniques, lower-cost vessels, more effective gear, and new markets with higher</w:t>
      </w:r>
      <w:r w:rsidR="008A59A4">
        <w:rPr>
          <w:rFonts w:ascii="Times New Roman" w:eastAsia="Times New Roman" w:hAnsi="Times New Roman" w:cs="Times New Roman"/>
          <w:color w:val="222222"/>
          <w:kern w:val="0"/>
          <w:sz w:val="24"/>
          <w:szCs w:val="24"/>
          <w14:ligatures w14:val="none"/>
        </w:rPr>
        <w:t xml:space="preserve"> </w:t>
      </w:r>
      <w:r w:rsidR="00135D20" w:rsidRPr="00E80438">
        <w:rPr>
          <w:rFonts w:ascii="Times New Roman" w:eastAsia="Times New Roman" w:hAnsi="Times New Roman" w:cs="Times New Roman"/>
          <w:color w:val="222222"/>
          <w:kern w:val="0"/>
          <w:sz w:val="24"/>
          <w:szCs w:val="24"/>
          <w14:ligatures w14:val="none"/>
        </w:rPr>
        <w:t>valued fish products.</w:t>
      </w:r>
      <w:r w:rsidR="002127C5">
        <w:rPr>
          <w:rStyle w:val="FootnoteReference"/>
          <w:rFonts w:ascii="Times New Roman" w:eastAsia="Times New Roman" w:hAnsi="Times New Roman" w:cs="Times New Roman"/>
          <w:color w:val="222222"/>
          <w:kern w:val="0"/>
          <w:sz w:val="24"/>
          <w:szCs w:val="24"/>
          <w14:ligatures w14:val="none"/>
        </w:rPr>
        <w:footnoteReference w:id="60"/>
      </w:r>
      <w:r w:rsidR="00135D20" w:rsidRPr="00E80438">
        <w:rPr>
          <w:rFonts w:ascii="Times New Roman" w:eastAsia="Times New Roman" w:hAnsi="Times New Roman" w:cs="Times New Roman"/>
          <w:color w:val="222222"/>
          <w:kern w:val="0"/>
          <w:sz w:val="24"/>
          <w:szCs w:val="24"/>
          <w14:ligatures w14:val="none"/>
        </w:rPr>
        <w:t xml:space="preserve"> </w:t>
      </w:r>
    </w:p>
    <w:p w14:paraId="608E3A52" w14:textId="77777777" w:rsidR="00B7608B" w:rsidRDefault="008A5749" w:rsidP="00B7608B">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222222"/>
          <w:kern w:val="0"/>
          <w:sz w:val="24"/>
          <w:szCs w:val="24"/>
          <w14:ligatures w14:val="none"/>
        </w:rPr>
        <w:t xml:space="preserve">Instead, </w:t>
      </w:r>
      <w:r w:rsidR="00135D20">
        <w:rPr>
          <w:rFonts w:ascii="Times New Roman" w:eastAsia="Times New Roman" w:hAnsi="Times New Roman" w:cs="Times New Roman"/>
          <w:color w:val="222222"/>
          <w:kern w:val="0"/>
          <w:sz w:val="24"/>
          <w:szCs w:val="24"/>
          <w14:ligatures w14:val="none"/>
        </w:rPr>
        <w:t xml:space="preserve">the Magnuson-Stevens Act of 1976 </w:t>
      </w:r>
      <w:r>
        <w:rPr>
          <w:rFonts w:ascii="Times New Roman" w:eastAsia="Times New Roman" w:hAnsi="Times New Roman" w:cs="Times New Roman"/>
          <w:color w:val="222222"/>
          <w:kern w:val="0"/>
          <w:sz w:val="24"/>
          <w:szCs w:val="24"/>
          <w14:ligatures w14:val="none"/>
        </w:rPr>
        <w:t xml:space="preserve">called for Pigouvian </w:t>
      </w:r>
      <w:r w:rsidR="00135D20" w:rsidRPr="00E80438">
        <w:rPr>
          <w:rFonts w:ascii="Times New Roman" w:eastAsia="Times New Roman" w:hAnsi="Times New Roman" w:cs="Times New Roman"/>
          <w:color w:val="222222"/>
          <w:kern w:val="0"/>
          <w:sz w:val="24"/>
          <w:szCs w:val="24"/>
          <w14:ligatures w14:val="none"/>
        </w:rPr>
        <w:t>limited</w:t>
      </w:r>
      <w:r w:rsidR="008A59A4">
        <w:rPr>
          <w:rFonts w:ascii="Times New Roman" w:eastAsia="Times New Roman" w:hAnsi="Times New Roman" w:cs="Times New Roman"/>
          <w:color w:val="222222"/>
          <w:kern w:val="0"/>
          <w:sz w:val="24"/>
          <w:szCs w:val="24"/>
          <w14:ligatures w14:val="none"/>
        </w:rPr>
        <w:t xml:space="preserve"> </w:t>
      </w:r>
      <w:r w:rsidR="00135D20" w:rsidRPr="00E80438">
        <w:rPr>
          <w:rFonts w:ascii="Times New Roman" w:eastAsia="Times New Roman" w:hAnsi="Times New Roman" w:cs="Times New Roman"/>
          <w:color w:val="222222"/>
          <w:kern w:val="0"/>
          <w:sz w:val="24"/>
          <w:szCs w:val="24"/>
          <w14:ligatures w14:val="none"/>
        </w:rPr>
        <w:t>entry</w:t>
      </w:r>
      <w:r w:rsidR="00F806DA">
        <w:rPr>
          <w:rFonts w:ascii="Times New Roman" w:eastAsia="Times New Roman" w:hAnsi="Times New Roman" w:cs="Times New Roman"/>
          <w:color w:val="222222"/>
          <w:kern w:val="0"/>
          <w:sz w:val="24"/>
          <w:szCs w:val="24"/>
          <w14:ligatures w14:val="none"/>
        </w:rPr>
        <w:t xml:space="preserve"> and input </w:t>
      </w:r>
      <w:r w:rsidR="006633B9">
        <w:rPr>
          <w:rFonts w:ascii="Times New Roman" w:eastAsia="Times New Roman" w:hAnsi="Times New Roman" w:cs="Times New Roman"/>
          <w:color w:val="222222"/>
          <w:kern w:val="0"/>
          <w:sz w:val="24"/>
          <w:szCs w:val="24"/>
          <w14:ligatures w14:val="none"/>
        </w:rPr>
        <w:t xml:space="preserve">or output </w:t>
      </w:r>
      <w:r w:rsidR="00135D20" w:rsidRPr="00E80438">
        <w:rPr>
          <w:rFonts w:ascii="Times New Roman" w:eastAsia="Times New Roman" w:hAnsi="Times New Roman" w:cs="Times New Roman"/>
          <w:color w:val="222222"/>
          <w:kern w:val="0"/>
          <w:sz w:val="24"/>
          <w:szCs w:val="24"/>
          <w14:ligatures w14:val="none"/>
        </w:rPr>
        <w:t>controls</w:t>
      </w:r>
      <w:r w:rsidR="00F806DA">
        <w:rPr>
          <w:rFonts w:ascii="Times New Roman" w:eastAsia="Times New Roman" w:hAnsi="Times New Roman" w:cs="Times New Roman"/>
          <w:color w:val="222222"/>
          <w:kern w:val="0"/>
          <w:sz w:val="24"/>
          <w:szCs w:val="24"/>
          <w14:ligatures w14:val="none"/>
        </w:rPr>
        <w:t xml:space="preserve">. </w:t>
      </w:r>
      <w:r w:rsidR="002A15C1" w:rsidRPr="002A15C1">
        <w:rPr>
          <w:rFonts w:ascii="Times New Roman" w:eastAsia="Times New Roman" w:hAnsi="Times New Roman" w:cs="Times New Roman"/>
          <w:kern w:val="0"/>
          <w:sz w:val="24"/>
          <w:szCs w:val="24"/>
          <w14:ligatures w14:val="none"/>
        </w:rPr>
        <w:t xml:space="preserve">Eight regional fishery management councils were established and charged with drafting and implementing fishery management plans.  Except in a few cases, these plans did not include property rights and relied upon various limited entry and output controls. Even so, the regional management councils provided a forum for assembling local interests in drafting regional fishery plans and potentially, in some settings, to balance area costs and benefits. By providing a framework for such negotiations, this provision in the law is more Coasean and the </w:t>
      </w:r>
      <w:r w:rsidR="002A15C1" w:rsidRPr="002A15C1">
        <w:rPr>
          <w:rFonts w:ascii="Times New Roman" w:eastAsia="Times New Roman" w:hAnsi="Times New Roman" w:cs="Times New Roman"/>
          <w:kern w:val="0"/>
          <w:sz w:val="24"/>
          <w:szCs w:val="24"/>
          <w14:ligatures w14:val="none"/>
        </w:rPr>
        <w:lastRenderedPageBreak/>
        <w:t>councils might have provided the structure for defining more complete property rights, had that been the objective.</w:t>
      </w:r>
      <w:r w:rsidR="002A15C1" w:rsidRPr="002A15C1">
        <w:rPr>
          <w:rFonts w:ascii="Times New Roman" w:eastAsia="Times New Roman" w:hAnsi="Times New Roman" w:cs="Times New Roman"/>
          <w:kern w:val="0"/>
          <w:sz w:val="24"/>
          <w:szCs w:val="24"/>
          <w:vertAlign w:val="superscript"/>
          <w14:ligatures w14:val="none"/>
        </w:rPr>
        <w:footnoteReference w:id="61"/>
      </w:r>
      <w:r w:rsidR="002A15C1" w:rsidRPr="002A15C1">
        <w:rPr>
          <w:rFonts w:ascii="Times New Roman" w:eastAsia="Times New Roman" w:hAnsi="Times New Roman" w:cs="Times New Roman"/>
          <w:kern w:val="0"/>
          <w:sz w:val="24"/>
          <w:szCs w:val="24"/>
          <w14:ligatures w14:val="none"/>
        </w:rPr>
        <w:t xml:space="preserve"> </w:t>
      </w:r>
      <w:r w:rsidR="002A15C1">
        <w:rPr>
          <w:rFonts w:ascii="Times New Roman" w:eastAsia="Times New Roman" w:hAnsi="Times New Roman" w:cs="Times New Roman"/>
          <w:kern w:val="0"/>
          <w:sz w:val="24"/>
          <w:szCs w:val="24"/>
          <w14:ligatures w14:val="none"/>
        </w:rPr>
        <w:t>T</w:t>
      </w:r>
      <w:r w:rsidR="002A15C1" w:rsidRPr="002A15C1">
        <w:rPr>
          <w:rFonts w:ascii="Times New Roman" w:eastAsia="Times New Roman" w:hAnsi="Times New Roman" w:cs="Times New Roman"/>
          <w:kern w:val="0"/>
          <w:sz w:val="24"/>
          <w:szCs w:val="24"/>
          <w14:ligatures w14:val="none"/>
        </w:rPr>
        <w:t>here is nothing similar in the administration of the Clean Air Act</w:t>
      </w:r>
      <w:r w:rsidR="002A15C1">
        <w:rPr>
          <w:rFonts w:ascii="Times New Roman" w:eastAsia="Times New Roman" w:hAnsi="Times New Roman" w:cs="Times New Roman"/>
          <w:kern w:val="0"/>
          <w:sz w:val="24"/>
          <w:szCs w:val="24"/>
          <w14:ligatures w14:val="none"/>
        </w:rPr>
        <w:t xml:space="preserve"> or other environmental laws examined here</w:t>
      </w:r>
      <w:r w:rsidR="002A15C1" w:rsidRPr="002A15C1">
        <w:rPr>
          <w:rFonts w:ascii="Times New Roman" w:eastAsia="Times New Roman" w:hAnsi="Times New Roman" w:cs="Times New Roman"/>
          <w:kern w:val="0"/>
          <w:sz w:val="24"/>
          <w:szCs w:val="24"/>
          <w14:ligatures w14:val="none"/>
        </w:rPr>
        <w:t xml:space="preserve"> that delegated policies to regional bodies for setting standards and addressing local costs and benefits.  In that regard, Magnuson-Stevens is an improvement over the Clean Air Act. Unfortunately, the law </w:t>
      </w:r>
      <w:r w:rsidR="00B7608B">
        <w:rPr>
          <w:rFonts w:ascii="Times New Roman" w:eastAsia="Times New Roman" w:hAnsi="Times New Roman" w:cs="Times New Roman"/>
          <w:kern w:val="0"/>
          <w:sz w:val="24"/>
          <w:szCs w:val="24"/>
          <w14:ligatures w14:val="none"/>
        </w:rPr>
        <w:t xml:space="preserve">also </w:t>
      </w:r>
      <w:r w:rsidR="002A15C1" w:rsidRPr="002A15C1">
        <w:rPr>
          <w:rFonts w:ascii="Times New Roman" w:eastAsia="Times New Roman" w:hAnsi="Times New Roman" w:cs="Times New Roman"/>
          <w:kern w:val="0"/>
          <w:sz w:val="24"/>
          <w:szCs w:val="24"/>
          <w14:ligatures w14:val="none"/>
        </w:rPr>
        <w:t>is an outlier among US environmental legislation that typically designates uniform restrictions at the behest of national lobby groups, politicians, and agencies.</w:t>
      </w:r>
    </w:p>
    <w:p w14:paraId="67C4B3EB" w14:textId="77777777" w:rsidR="00B7608B" w:rsidRDefault="00F806DA" w:rsidP="00B7608B">
      <w:pPr>
        <w:spacing w:after="0" w:line="360" w:lineRule="auto"/>
        <w:ind w:firstLine="720"/>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color w:val="222222"/>
          <w:kern w:val="0"/>
          <w:sz w:val="24"/>
          <w:szCs w:val="24"/>
          <w14:ligatures w14:val="none"/>
        </w:rPr>
        <w:t>C</w:t>
      </w:r>
      <w:r w:rsidRPr="00E80438">
        <w:rPr>
          <w:rFonts w:ascii="Times New Roman" w:eastAsia="Times New Roman" w:hAnsi="Times New Roman" w:cs="Times New Roman"/>
          <w:color w:val="222222"/>
          <w:kern w:val="0"/>
          <w:sz w:val="24"/>
          <w:szCs w:val="24"/>
          <w14:ligatures w14:val="none"/>
        </w:rPr>
        <w:t xml:space="preserve">entralized regulation </w:t>
      </w:r>
      <w:r w:rsidR="00B7608B">
        <w:rPr>
          <w:rFonts w:ascii="Times New Roman" w:eastAsia="Times New Roman" w:hAnsi="Times New Roman" w:cs="Times New Roman"/>
          <w:color w:val="222222"/>
          <w:kern w:val="0"/>
          <w:sz w:val="24"/>
          <w:szCs w:val="24"/>
          <w14:ligatures w14:val="none"/>
        </w:rPr>
        <w:t xml:space="preserve">under Magnuson-Stevens </w:t>
      </w:r>
      <w:r w:rsidRPr="00E80438">
        <w:rPr>
          <w:rFonts w:ascii="Times New Roman" w:eastAsia="Times New Roman" w:hAnsi="Times New Roman" w:cs="Times New Roman"/>
          <w:color w:val="222222"/>
          <w:kern w:val="0"/>
          <w:sz w:val="24"/>
          <w:szCs w:val="24"/>
          <w14:ligatures w14:val="none"/>
        </w:rPr>
        <w:t xml:space="preserve">did not provide tradable instruments for eliminating excess </w:t>
      </w:r>
      <w:r>
        <w:rPr>
          <w:rFonts w:ascii="Times New Roman" w:eastAsia="Times New Roman" w:hAnsi="Times New Roman" w:cs="Times New Roman"/>
          <w:color w:val="222222"/>
          <w:kern w:val="0"/>
          <w:sz w:val="24"/>
          <w:szCs w:val="24"/>
          <w14:ligatures w14:val="none"/>
        </w:rPr>
        <w:t xml:space="preserve">vessels </w:t>
      </w:r>
      <w:r w:rsidRPr="00E80438">
        <w:rPr>
          <w:rFonts w:ascii="Times New Roman" w:eastAsia="Times New Roman" w:hAnsi="Times New Roman" w:cs="Times New Roman"/>
          <w:color w:val="222222"/>
          <w:kern w:val="0"/>
          <w:sz w:val="24"/>
          <w:szCs w:val="24"/>
          <w14:ligatures w14:val="none"/>
        </w:rPr>
        <w:t>and labor</w:t>
      </w:r>
      <w:r>
        <w:rPr>
          <w:rFonts w:ascii="Times New Roman" w:eastAsia="Times New Roman" w:hAnsi="Times New Roman" w:cs="Times New Roman"/>
          <w:color w:val="222222"/>
          <w:kern w:val="0"/>
          <w:sz w:val="24"/>
          <w:szCs w:val="24"/>
          <w14:ligatures w14:val="none"/>
        </w:rPr>
        <w:t xml:space="preserve"> or to </w:t>
      </w:r>
      <w:r w:rsidRPr="00E80438">
        <w:rPr>
          <w:rFonts w:ascii="Times New Roman" w:eastAsia="Times New Roman" w:hAnsi="Times New Roman" w:cs="Times New Roman"/>
          <w:color w:val="222222"/>
          <w:kern w:val="0"/>
          <w:sz w:val="24"/>
          <w:szCs w:val="24"/>
          <w14:ligatures w14:val="none"/>
        </w:rPr>
        <w:t>direct production to the most efficient producers.</w:t>
      </w:r>
      <w:r>
        <w:rPr>
          <w:rFonts w:ascii="Times New Roman" w:eastAsia="Times New Roman" w:hAnsi="Times New Roman" w:cs="Times New Roman"/>
          <w:color w:val="222222"/>
          <w:kern w:val="0"/>
          <w:sz w:val="24"/>
          <w:szCs w:val="24"/>
          <w14:ligatures w14:val="none"/>
        </w:rPr>
        <w:t xml:space="preserve"> </w:t>
      </w:r>
      <w:r w:rsidR="006633B9" w:rsidRPr="00E80438">
        <w:rPr>
          <w:rFonts w:ascii="Times New Roman" w:eastAsia="Times New Roman" w:hAnsi="Times New Roman" w:cs="Times New Roman"/>
          <w:color w:val="000000"/>
          <w:kern w:val="0"/>
          <w:sz w:val="24"/>
          <w:szCs w:val="24"/>
          <w14:ligatures w14:val="none"/>
        </w:rPr>
        <w:t xml:space="preserve">Fishers </w:t>
      </w:r>
      <w:r w:rsidR="008A5749">
        <w:rPr>
          <w:rFonts w:ascii="Times New Roman" w:eastAsia="Times New Roman" w:hAnsi="Times New Roman" w:cs="Times New Roman"/>
          <w:color w:val="000000"/>
          <w:kern w:val="0"/>
          <w:sz w:val="24"/>
          <w:szCs w:val="24"/>
          <w14:ligatures w14:val="none"/>
        </w:rPr>
        <w:t xml:space="preserve">remained </w:t>
      </w:r>
      <w:r w:rsidR="006633B9" w:rsidRPr="00E80438">
        <w:rPr>
          <w:rFonts w:ascii="Times New Roman" w:eastAsia="Times New Roman" w:hAnsi="Times New Roman" w:cs="Times New Roman"/>
          <w:color w:val="000000"/>
          <w:kern w:val="0"/>
          <w:sz w:val="24"/>
          <w:szCs w:val="24"/>
          <w14:ligatures w14:val="none"/>
        </w:rPr>
        <w:t>motivated by the race to fish</w:t>
      </w:r>
      <w:r w:rsidR="0063673F">
        <w:rPr>
          <w:rFonts w:ascii="Times New Roman" w:eastAsia="Times New Roman" w:hAnsi="Times New Roman" w:cs="Times New Roman"/>
          <w:color w:val="000000"/>
          <w:kern w:val="0"/>
          <w:sz w:val="24"/>
          <w:szCs w:val="24"/>
          <w14:ligatures w14:val="none"/>
        </w:rPr>
        <w:t>,</w:t>
      </w:r>
      <w:r w:rsidR="006633B9" w:rsidRPr="00E80438">
        <w:rPr>
          <w:rFonts w:ascii="Times New Roman" w:eastAsia="Times New Roman" w:hAnsi="Times New Roman" w:cs="Times New Roman"/>
          <w:color w:val="000000"/>
          <w:kern w:val="0"/>
          <w:sz w:val="24"/>
          <w:szCs w:val="24"/>
          <w14:ligatures w14:val="none"/>
        </w:rPr>
        <w:t xml:space="preserve"> and </w:t>
      </w:r>
      <w:r w:rsidR="008A5749">
        <w:rPr>
          <w:rFonts w:ascii="Times New Roman" w:eastAsia="Times New Roman" w:hAnsi="Times New Roman" w:cs="Times New Roman"/>
          <w:color w:val="000000"/>
          <w:kern w:val="0"/>
          <w:sz w:val="24"/>
          <w:szCs w:val="24"/>
          <w14:ligatures w14:val="none"/>
        </w:rPr>
        <w:t xml:space="preserve">within limited entry, made </w:t>
      </w:r>
      <w:r w:rsidR="006633B9" w:rsidRPr="00E80438">
        <w:rPr>
          <w:rFonts w:ascii="Times New Roman" w:eastAsia="Times New Roman" w:hAnsi="Times New Roman" w:cs="Times New Roman"/>
          <w:color w:val="000000"/>
          <w:kern w:val="0"/>
          <w:sz w:val="24"/>
          <w:szCs w:val="24"/>
          <w14:ligatures w14:val="none"/>
        </w:rPr>
        <w:t>licensed vessels more powerful with more storage space. Overall, harvests did not decline</w:t>
      </w:r>
      <w:r w:rsidR="004C63AB">
        <w:rPr>
          <w:rFonts w:ascii="Times New Roman" w:eastAsia="Times New Roman" w:hAnsi="Times New Roman" w:cs="Times New Roman"/>
          <w:color w:val="000000"/>
          <w:kern w:val="0"/>
          <w:sz w:val="24"/>
          <w:szCs w:val="24"/>
          <w14:ligatures w14:val="none"/>
        </w:rPr>
        <w:t>, and fish stocks fell</w:t>
      </w:r>
      <w:r w:rsidR="006633B9" w:rsidRPr="00E80438">
        <w:rPr>
          <w:rFonts w:ascii="Times New Roman" w:eastAsia="Times New Roman" w:hAnsi="Times New Roman" w:cs="Times New Roman"/>
          <w:color w:val="000000"/>
          <w:kern w:val="0"/>
          <w:sz w:val="24"/>
          <w:szCs w:val="24"/>
          <w14:ligatures w14:val="none"/>
        </w:rPr>
        <w:t xml:space="preserve">. Regulators responded </w:t>
      </w:r>
      <w:r w:rsidR="00CC384F">
        <w:rPr>
          <w:rFonts w:ascii="Times New Roman" w:eastAsia="Times New Roman" w:hAnsi="Times New Roman" w:cs="Times New Roman"/>
          <w:color w:val="000000"/>
          <w:kern w:val="0"/>
          <w:sz w:val="24"/>
          <w:szCs w:val="24"/>
          <w14:ligatures w14:val="none"/>
        </w:rPr>
        <w:t>with additional l</w:t>
      </w:r>
      <w:r w:rsidR="006633B9" w:rsidRPr="00E80438">
        <w:rPr>
          <w:rFonts w:ascii="Times New Roman" w:eastAsia="Times New Roman" w:hAnsi="Times New Roman" w:cs="Times New Roman"/>
          <w:color w:val="000000"/>
          <w:kern w:val="0"/>
          <w:sz w:val="24"/>
          <w:szCs w:val="24"/>
          <w14:ligatures w14:val="none"/>
        </w:rPr>
        <w:t>imits on net sizes</w:t>
      </w:r>
      <w:r w:rsidR="00CC384F">
        <w:rPr>
          <w:rFonts w:ascii="Times New Roman" w:eastAsia="Times New Roman" w:hAnsi="Times New Roman" w:cs="Times New Roman"/>
          <w:color w:val="000000"/>
          <w:kern w:val="0"/>
          <w:sz w:val="24"/>
          <w:szCs w:val="24"/>
          <w14:ligatures w14:val="none"/>
        </w:rPr>
        <w:t xml:space="preserve">, </w:t>
      </w:r>
      <w:r w:rsidR="006633B9" w:rsidRPr="00E80438">
        <w:rPr>
          <w:rFonts w:ascii="Times New Roman" w:eastAsia="Times New Roman" w:hAnsi="Times New Roman" w:cs="Times New Roman"/>
          <w:color w:val="000000"/>
          <w:kern w:val="0"/>
          <w:sz w:val="24"/>
          <w:szCs w:val="24"/>
          <w14:ligatures w14:val="none"/>
        </w:rPr>
        <w:t>trawls</w:t>
      </w:r>
      <w:r w:rsidR="00CC384F">
        <w:rPr>
          <w:rFonts w:ascii="Times New Roman" w:eastAsia="Times New Roman" w:hAnsi="Times New Roman" w:cs="Times New Roman"/>
          <w:color w:val="000000"/>
          <w:kern w:val="0"/>
          <w:sz w:val="24"/>
          <w:szCs w:val="24"/>
          <w14:ligatures w14:val="none"/>
        </w:rPr>
        <w:t>,</w:t>
      </w:r>
      <w:r w:rsidR="006633B9">
        <w:rPr>
          <w:rFonts w:ascii="Times New Roman" w:eastAsia="Times New Roman" w:hAnsi="Times New Roman" w:cs="Times New Roman"/>
          <w:color w:val="000000"/>
          <w:kern w:val="0"/>
          <w:sz w:val="24"/>
          <w:szCs w:val="24"/>
          <w14:ligatures w14:val="none"/>
        </w:rPr>
        <w:t xml:space="preserve"> and fishing season</w:t>
      </w:r>
      <w:r w:rsidR="00CC384F">
        <w:rPr>
          <w:rFonts w:ascii="Times New Roman" w:eastAsia="Times New Roman" w:hAnsi="Times New Roman" w:cs="Times New Roman"/>
          <w:color w:val="000000"/>
          <w:kern w:val="0"/>
          <w:sz w:val="24"/>
          <w:szCs w:val="24"/>
          <w14:ligatures w14:val="none"/>
        </w:rPr>
        <w:t>s, but harvests and economic returns continued to fall</w:t>
      </w:r>
      <w:r w:rsidR="0063673F">
        <w:rPr>
          <w:rFonts w:ascii="Times New Roman" w:eastAsia="Times New Roman" w:hAnsi="Times New Roman" w:cs="Times New Roman"/>
          <w:color w:val="000000"/>
          <w:kern w:val="0"/>
          <w:sz w:val="24"/>
          <w:szCs w:val="24"/>
          <w14:ligatures w14:val="none"/>
        </w:rPr>
        <w:t>.</w:t>
      </w:r>
      <w:r w:rsidR="006633B9" w:rsidRPr="00E80438">
        <w:rPr>
          <w:rFonts w:ascii="Times New Roman" w:eastAsia="Times New Roman" w:hAnsi="Times New Roman" w:cs="Times New Roman"/>
          <w:color w:val="000000"/>
          <w:kern w:val="0"/>
          <w:sz w:val="24"/>
          <w:szCs w:val="24"/>
          <w:vertAlign w:val="superscript"/>
          <w14:ligatures w14:val="none"/>
        </w:rPr>
        <w:footnoteReference w:id="62"/>
      </w:r>
      <w:r w:rsidR="006633B9" w:rsidRPr="00E80438">
        <w:rPr>
          <w:rFonts w:ascii="Times New Roman" w:eastAsia="Times New Roman" w:hAnsi="Times New Roman" w:cs="Times New Roman"/>
          <w:color w:val="000000"/>
          <w:kern w:val="0"/>
          <w:sz w:val="24"/>
          <w:szCs w:val="24"/>
          <w14:ligatures w14:val="none"/>
        </w:rPr>
        <w:t xml:space="preserve"> </w:t>
      </w:r>
      <w:r w:rsidR="00CC384F">
        <w:rPr>
          <w:rFonts w:ascii="Times New Roman" w:eastAsia="Times New Roman" w:hAnsi="Times New Roman" w:cs="Times New Roman"/>
          <w:color w:val="222222"/>
          <w:kern w:val="0"/>
          <w:sz w:val="24"/>
          <w:szCs w:val="24"/>
          <w14:ligatures w14:val="none"/>
        </w:rPr>
        <w:t>C</w:t>
      </w:r>
      <w:r w:rsidR="006633B9">
        <w:rPr>
          <w:rFonts w:ascii="Times New Roman" w:eastAsia="Times New Roman" w:hAnsi="Times New Roman" w:cs="Times New Roman"/>
          <w:color w:val="222222"/>
          <w:kern w:val="0"/>
          <w:sz w:val="24"/>
          <w:szCs w:val="24"/>
          <w14:ligatures w14:val="none"/>
        </w:rPr>
        <w:t xml:space="preserve">atch shares </w:t>
      </w:r>
      <w:r w:rsidR="00E80438" w:rsidRPr="00E80438">
        <w:rPr>
          <w:rFonts w:ascii="Times New Roman" w:eastAsia="Times New Roman" w:hAnsi="Times New Roman" w:cs="Times New Roman"/>
          <w:color w:val="222222"/>
          <w:kern w:val="0"/>
          <w:sz w:val="24"/>
          <w:szCs w:val="24"/>
          <w14:ligatures w14:val="none"/>
        </w:rPr>
        <w:t xml:space="preserve">were not implemented </w:t>
      </w:r>
      <w:r w:rsidR="00BB0A96">
        <w:rPr>
          <w:rFonts w:ascii="Times New Roman" w:eastAsia="Times New Roman" w:hAnsi="Times New Roman" w:cs="Times New Roman"/>
          <w:color w:val="222222"/>
          <w:kern w:val="0"/>
          <w:sz w:val="24"/>
          <w:szCs w:val="24"/>
          <w14:ligatures w14:val="none"/>
        </w:rPr>
        <w:t xml:space="preserve">until 1990 and 1992 </w:t>
      </w:r>
      <w:r w:rsidR="00E80438" w:rsidRPr="00E80438">
        <w:rPr>
          <w:rFonts w:ascii="Times New Roman" w:eastAsia="Times New Roman" w:hAnsi="Times New Roman" w:cs="Times New Roman"/>
          <w:color w:val="222222"/>
          <w:kern w:val="0"/>
          <w:sz w:val="24"/>
          <w:szCs w:val="24"/>
          <w14:ligatures w14:val="none"/>
        </w:rPr>
        <w:t xml:space="preserve">in </w:t>
      </w:r>
      <w:r w:rsidRPr="0086057F">
        <w:rPr>
          <w:rFonts w:ascii="Times New Roman" w:eastAsia="Times New Roman" w:hAnsi="Times New Roman" w:cs="Times New Roman"/>
          <w:color w:val="222222"/>
          <w:kern w:val="0"/>
          <w:sz w:val="24"/>
          <w:szCs w:val="24"/>
          <w14:ligatures w14:val="none"/>
        </w:rPr>
        <w:t xml:space="preserve">only </w:t>
      </w:r>
      <w:r w:rsidR="00E80438" w:rsidRPr="0086057F">
        <w:rPr>
          <w:rFonts w:ascii="Times New Roman" w:eastAsia="Times New Roman" w:hAnsi="Times New Roman" w:cs="Times New Roman"/>
          <w:color w:val="222222"/>
          <w:kern w:val="0"/>
          <w:sz w:val="24"/>
          <w:szCs w:val="24"/>
          <w14:ligatures w14:val="none"/>
        </w:rPr>
        <w:t>three</w:t>
      </w:r>
      <w:r w:rsidR="00E80438" w:rsidRPr="00E80438">
        <w:rPr>
          <w:rFonts w:ascii="Times New Roman" w:eastAsia="Times New Roman" w:hAnsi="Times New Roman" w:cs="Times New Roman"/>
          <w:color w:val="222222"/>
          <w:kern w:val="0"/>
          <w:sz w:val="24"/>
          <w:szCs w:val="24"/>
          <w14:ligatures w14:val="none"/>
        </w:rPr>
        <w:t xml:space="preserve"> US fisheries</w:t>
      </w:r>
      <w:r w:rsidR="00BB0A96">
        <w:rPr>
          <w:rFonts w:ascii="Times New Roman" w:eastAsia="Times New Roman" w:hAnsi="Times New Roman" w:cs="Times New Roman"/>
          <w:color w:val="222222"/>
          <w:kern w:val="0"/>
          <w:sz w:val="24"/>
          <w:szCs w:val="24"/>
          <w14:ligatures w14:val="none"/>
        </w:rPr>
        <w:t>. F</w:t>
      </w:r>
      <w:r w:rsidR="00E80438" w:rsidRPr="00E80438">
        <w:rPr>
          <w:rFonts w:ascii="Times New Roman" w:eastAsia="Times New Roman" w:hAnsi="Times New Roman" w:cs="Times New Roman"/>
          <w:color w:val="222222"/>
          <w:kern w:val="0"/>
          <w:sz w:val="24"/>
          <w:szCs w:val="24"/>
          <w14:ligatures w14:val="none"/>
        </w:rPr>
        <w:t xml:space="preserve">urther adoption </w:t>
      </w:r>
      <w:r w:rsidR="00BB0A96">
        <w:rPr>
          <w:rFonts w:ascii="Times New Roman" w:eastAsia="Times New Roman" w:hAnsi="Times New Roman" w:cs="Times New Roman"/>
          <w:color w:val="222222"/>
          <w:kern w:val="0"/>
          <w:sz w:val="24"/>
          <w:szCs w:val="24"/>
          <w14:ligatures w14:val="none"/>
        </w:rPr>
        <w:t xml:space="preserve">was </w:t>
      </w:r>
      <w:r w:rsidR="00E80438" w:rsidRPr="00E80438">
        <w:rPr>
          <w:rFonts w:ascii="Times New Roman" w:eastAsia="Times New Roman" w:hAnsi="Times New Roman" w:cs="Times New Roman"/>
          <w:color w:val="222222"/>
          <w:kern w:val="0"/>
          <w:sz w:val="24"/>
          <w:szCs w:val="24"/>
          <w14:ligatures w14:val="none"/>
        </w:rPr>
        <w:t xml:space="preserve">placed on hold in 1996 for </w:t>
      </w:r>
      <w:r w:rsidR="00E80438" w:rsidRPr="0086057F">
        <w:rPr>
          <w:rFonts w:ascii="Times New Roman" w:eastAsia="Times New Roman" w:hAnsi="Times New Roman" w:cs="Times New Roman"/>
          <w:color w:val="222222"/>
          <w:kern w:val="0"/>
          <w:sz w:val="24"/>
          <w:szCs w:val="24"/>
          <w14:ligatures w14:val="none"/>
        </w:rPr>
        <w:t>five more</w:t>
      </w:r>
      <w:r w:rsidR="00E80438" w:rsidRPr="00E80438">
        <w:rPr>
          <w:rFonts w:ascii="Times New Roman" w:eastAsia="Times New Roman" w:hAnsi="Times New Roman" w:cs="Times New Roman"/>
          <w:color w:val="222222"/>
          <w:kern w:val="0"/>
          <w:sz w:val="24"/>
          <w:szCs w:val="24"/>
          <w14:ligatures w14:val="none"/>
        </w:rPr>
        <w:t xml:space="preserve"> years.  </w:t>
      </w:r>
    </w:p>
    <w:p w14:paraId="50AA588C" w14:textId="335B013C" w:rsidR="00E80438" w:rsidRPr="00E80438" w:rsidRDefault="00B10473" w:rsidP="00B7608B">
      <w:pPr>
        <w:spacing w:after="0" w:line="360" w:lineRule="auto"/>
        <w:ind w:firstLine="720"/>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color w:val="222222"/>
          <w:kern w:val="0"/>
          <w:sz w:val="24"/>
          <w:szCs w:val="24"/>
          <w14:ligatures w14:val="none"/>
        </w:rPr>
        <w:t xml:space="preserve">Although there </w:t>
      </w:r>
      <w:r w:rsidR="00310685">
        <w:rPr>
          <w:rFonts w:ascii="Times New Roman" w:eastAsia="Times New Roman" w:hAnsi="Times New Roman" w:cs="Times New Roman"/>
          <w:color w:val="222222"/>
          <w:kern w:val="0"/>
          <w:sz w:val="24"/>
          <w:szCs w:val="24"/>
          <w14:ligatures w14:val="none"/>
        </w:rPr>
        <w:t>would have been</w:t>
      </w:r>
      <w:r>
        <w:rPr>
          <w:rFonts w:ascii="Times New Roman" w:eastAsia="Times New Roman" w:hAnsi="Times New Roman" w:cs="Times New Roman"/>
          <w:color w:val="222222"/>
          <w:kern w:val="0"/>
          <w:sz w:val="24"/>
          <w:szCs w:val="24"/>
          <w14:ligatures w14:val="none"/>
        </w:rPr>
        <w:t xml:space="preserve"> t</w:t>
      </w:r>
      <w:r w:rsidR="00697599">
        <w:rPr>
          <w:rFonts w:ascii="Times New Roman" w:eastAsia="Times New Roman" w:hAnsi="Times New Roman" w:cs="Times New Roman"/>
          <w:color w:val="222222"/>
          <w:kern w:val="0"/>
          <w:sz w:val="24"/>
          <w:szCs w:val="24"/>
          <w14:ligatures w14:val="none"/>
        </w:rPr>
        <w:t xml:space="preserve">ransaction costs in </w:t>
      </w:r>
      <w:r w:rsidR="008F0DCE">
        <w:rPr>
          <w:rFonts w:ascii="Times New Roman" w:eastAsia="Times New Roman" w:hAnsi="Times New Roman" w:cs="Times New Roman"/>
          <w:color w:val="222222"/>
          <w:kern w:val="0"/>
          <w:sz w:val="24"/>
          <w:szCs w:val="24"/>
          <w14:ligatures w14:val="none"/>
        </w:rPr>
        <w:t xml:space="preserve">assigning </w:t>
      </w:r>
      <w:r w:rsidR="00697599">
        <w:rPr>
          <w:rFonts w:ascii="Times New Roman" w:eastAsia="Times New Roman" w:hAnsi="Times New Roman" w:cs="Times New Roman"/>
          <w:color w:val="222222"/>
          <w:kern w:val="0"/>
          <w:sz w:val="24"/>
          <w:szCs w:val="24"/>
          <w14:ligatures w14:val="none"/>
        </w:rPr>
        <w:t>property rights in</w:t>
      </w:r>
      <w:r>
        <w:rPr>
          <w:rFonts w:ascii="Times New Roman" w:eastAsia="Times New Roman" w:hAnsi="Times New Roman" w:cs="Times New Roman"/>
          <w:color w:val="222222"/>
          <w:kern w:val="0"/>
          <w:sz w:val="24"/>
          <w:szCs w:val="24"/>
          <w14:ligatures w14:val="none"/>
        </w:rPr>
        <w:t xml:space="preserve"> </w:t>
      </w:r>
      <w:r w:rsidR="00697599">
        <w:rPr>
          <w:rFonts w:ascii="Times New Roman" w:eastAsia="Times New Roman" w:hAnsi="Times New Roman" w:cs="Times New Roman"/>
          <w:color w:val="222222"/>
          <w:kern w:val="0"/>
          <w:sz w:val="24"/>
          <w:szCs w:val="24"/>
          <w14:ligatures w14:val="none"/>
        </w:rPr>
        <w:t>fisheries</w:t>
      </w:r>
      <w:r>
        <w:rPr>
          <w:rFonts w:ascii="Times New Roman" w:eastAsia="Times New Roman" w:hAnsi="Times New Roman" w:cs="Times New Roman"/>
          <w:color w:val="222222"/>
          <w:kern w:val="0"/>
          <w:sz w:val="24"/>
          <w:szCs w:val="24"/>
          <w14:ligatures w14:val="none"/>
        </w:rPr>
        <w:t xml:space="preserve">, the major factors affecting </w:t>
      </w:r>
      <w:r w:rsidR="00310685">
        <w:rPr>
          <w:rFonts w:ascii="Times New Roman" w:eastAsia="Times New Roman" w:hAnsi="Times New Roman" w:cs="Times New Roman"/>
          <w:color w:val="222222"/>
          <w:kern w:val="0"/>
          <w:sz w:val="24"/>
          <w:szCs w:val="24"/>
          <w14:ligatures w14:val="none"/>
        </w:rPr>
        <w:t>the</w:t>
      </w:r>
      <w:r w:rsidR="007A7236">
        <w:rPr>
          <w:rFonts w:ascii="Times New Roman" w:eastAsia="Times New Roman" w:hAnsi="Times New Roman" w:cs="Times New Roman"/>
          <w:color w:val="222222"/>
          <w:kern w:val="0"/>
          <w:sz w:val="24"/>
          <w:szCs w:val="24"/>
          <w14:ligatures w14:val="none"/>
        </w:rPr>
        <w:t>ir</w:t>
      </w:r>
      <w:r w:rsidR="00310685">
        <w:rPr>
          <w:rFonts w:ascii="Times New Roman" w:eastAsia="Times New Roman" w:hAnsi="Times New Roman" w:cs="Times New Roman"/>
          <w:color w:val="222222"/>
          <w:kern w:val="0"/>
          <w:sz w:val="24"/>
          <w:szCs w:val="24"/>
          <w14:ligatures w14:val="none"/>
        </w:rPr>
        <w:t xml:space="preserve"> design </w:t>
      </w:r>
      <w:r>
        <w:rPr>
          <w:rFonts w:ascii="Times New Roman" w:eastAsia="Times New Roman" w:hAnsi="Times New Roman" w:cs="Times New Roman"/>
          <w:color w:val="222222"/>
          <w:kern w:val="0"/>
          <w:sz w:val="24"/>
          <w:szCs w:val="24"/>
          <w14:ligatures w14:val="none"/>
        </w:rPr>
        <w:t xml:space="preserve">were political objectives to </w:t>
      </w:r>
      <w:r w:rsidR="00F806DA">
        <w:rPr>
          <w:rFonts w:ascii="Times New Roman" w:eastAsia="Times New Roman" w:hAnsi="Times New Roman" w:cs="Times New Roman"/>
          <w:color w:val="222222"/>
          <w:kern w:val="0"/>
          <w:sz w:val="24"/>
          <w:szCs w:val="24"/>
          <w14:ligatures w14:val="none"/>
        </w:rPr>
        <w:t xml:space="preserve">protect </w:t>
      </w:r>
      <w:r w:rsidR="00E80438" w:rsidRPr="00E80438">
        <w:rPr>
          <w:rFonts w:ascii="Times New Roman" w:eastAsia="Times New Roman" w:hAnsi="Times New Roman" w:cs="Times New Roman"/>
          <w:color w:val="222222"/>
          <w:kern w:val="0"/>
          <w:sz w:val="24"/>
          <w:szCs w:val="24"/>
          <w14:ligatures w14:val="none"/>
        </w:rPr>
        <w:t xml:space="preserve">traditional fishing operations and communities. </w:t>
      </w:r>
      <w:r>
        <w:rPr>
          <w:rFonts w:ascii="Times New Roman" w:eastAsia="Times New Roman" w:hAnsi="Times New Roman" w:cs="Times New Roman"/>
          <w:color w:val="222222"/>
          <w:kern w:val="0"/>
          <w:sz w:val="24"/>
          <w:szCs w:val="24"/>
          <w14:ligatures w14:val="none"/>
        </w:rPr>
        <w:t>R</w:t>
      </w:r>
      <w:r w:rsidR="00E80438" w:rsidRPr="00E80438">
        <w:rPr>
          <w:rFonts w:ascii="Times New Roman" w:eastAsia="Times New Roman" w:hAnsi="Times New Roman" w:cs="Times New Roman"/>
          <w:color w:val="222222"/>
          <w:kern w:val="0"/>
          <w:sz w:val="24"/>
          <w:szCs w:val="24"/>
          <w14:ligatures w14:val="none"/>
        </w:rPr>
        <w:t xml:space="preserve">egulated fisheries </w:t>
      </w:r>
      <w:r>
        <w:rPr>
          <w:rFonts w:ascii="Times New Roman" w:eastAsia="Times New Roman" w:hAnsi="Times New Roman" w:cs="Times New Roman"/>
          <w:color w:val="222222"/>
          <w:kern w:val="0"/>
          <w:sz w:val="24"/>
          <w:szCs w:val="24"/>
          <w14:ligatures w14:val="none"/>
        </w:rPr>
        <w:t xml:space="preserve">under the 1976 law </w:t>
      </w:r>
      <w:r w:rsidR="00802CCD">
        <w:rPr>
          <w:rFonts w:ascii="Times New Roman" w:eastAsia="Times New Roman" w:hAnsi="Times New Roman" w:cs="Times New Roman"/>
          <w:color w:val="222222"/>
          <w:kern w:val="0"/>
          <w:sz w:val="24"/>
          <w:szCs w:val="24"/>
          <w14:ligatures w14:val="none"/>
        </w:rPr>
        <w:t xml:space="preserve">were </w:t>
      </w:r>
      <w:r w:rsidR="00E80438" w:rsidRPr="00E80438">
        <w:rPr>
          <w:rFonts w:ascii="Times New Roman" w:eastAsia="Times New Roman" w:hAnsi="Times New Roman" w:cs="Times New Roman"/>
          <w:color w:val="222222"/>
          <w:kern w:val="0"/>
          <w:sz w:val="24"/>
          <w:szCs w:val="24"/>
          <w14:ligatures w14:val="none"/>
        </w:rPr>
        <w:t xml:space="preserve">characterized by redundant capital and labor in fishing, excessive storage, processing, and vessel support. </w:t>
      </w:r>
      <w:r w:rsidR="00547FED">
        <w:rPr>
          <w:rFonts w:ascii="Times New Roman" w:eastAsia="Times New Roman" w:hAnsi="Times New Roman" w:cs="Times New Roman"/>
          <w:color w:val="222222"/>
          <w:kern w:val="0"/>
          <w:sz w:val="24"/>
          <w:szCs w:val="24"/>
          <w14:ligatures w14:val="none"/>
        </w:rPr>
        <w:t>Economically</w:t>
      </w:r>
      <w:r w:rsidR="00A07673">
        <w:rPr>
          <w:rFonts w:ascii="Times New Roman" w:eastAsia="Times New Roman" w:hAnsi="Times New Roman" w:cs="Times New Roman"/>
          <w:color w:val="222222"/>
          <w:kern w:val="0"/>
          <w:sz w:val="24"/>
          <w:szCs w:val="24"/>
          <w14:ligatures w14:val="none"/>
        </w:rPr>
        <w:t xml:space="preserve"> </w:t>
      </w:r>
      <w:r w:rsidR="00547FED">
        <w:rPr>
          <w:rFonts w:ascii="Times New Roman" w:eastAsia="Times New Roman" w:hAnsi="Times New Roman" w:cs="Times New Roman"/>
          <w:color w:val="222222"/>
          <w:kern w:val="0"/>
          <w:sz w:val="24"/>
          <w:szCs w:val="24"/>
          <w14:ligatures w14:val="none"/>
        </w:rPr>
        <w:t>unnecessary numerous, small vessels, and fishers, however had p</w:t>
      </w:r>
      <w:r w:rsidR="00802CCD">
        <w:rPr>
          <w:rFonts w:ascii="Times New Roman" w:eastAsia="Times New Roman" w:hAnsi="Times New Roman" w:cs="Times New Roman"/>
          <w:color w:val="222222"/>
          <w:kern w:val="0"/>
          <w:sz w:val="24"/>
          <w:szCs w:val="24"/>
          <w14:ligatures w14:val="none"/>
        </w:rPr>
        <w:t>olitical, bureaucratic, NGO, and academic patrons</w:t>
      </w:r>
      <w:r w:rsidR="00E80438" w:rsidRPr="00E80438">
        <w:rPr>
          <w:rFonts w:ascii="Times New Roman" w:eastAsia="Times New Roman" w:hAnsi="Times New Roman" w:cs="Times New Roman"/>
          <w:color w:val="000000"/>
          <w:kern w:val="0"/>
          <w:sz w:val="24"/>
          <w:szCs w:val="24"/>
          <w14:ligatures w14:val="none"/>
        </w:rPr>
        <w:t xml:space="preserve">. </w:t>
      </w:r>
      <w:r w:rsidR="00A77B9B">
        <w:rPr>
          <w:rFonts w:ascii="Times New Roman" w:eastAsia="Times New Roman" w:hAnsi="Times New Roman" w:cs="Times New Roman"/>
          <w:color w:val="000000"/>
          <w:kern w:val="0"/>
          <w:sz w:val="24"/>
          <w:szCs w:val="24"/>
          <w14:ligatures w14:val="none"/>
        </w:rPr>
        <w:t xml:space="preserve">Tradable fishing rights could migrate to </w:t>
      </w:r>
      <w:r w:rsidR="00E80438" w:rsidRPr="00E80438">
        <w:rPr>
          <w:rFonts w:ascii="Times New Roman" w:eastAsia="Times New Roman" w:hAnsi="Times New Roman" w:cs="Times New Roman"/>
          <w:color w:val="222222"/>
          <w:kern w:val="0"/>
          <w:sz w:val="24"/>
          <w:szCs w:val="24"/>
          <w14:ligatures w14:val="none"/>
        </w:rPr>
        <w:t>larger</w:t>
      </w:r>
      <w:r w:rsidR="008A59A4">
        <w:rPr>
          <w:rFonts w:ascii="Times New Roman" w:eastAsia="Times New Roman" w:hAnsi="Times New Roman" w:cs="Times New Roman"/>
          <w:color w:val="222222"/>
          <w:kern w:val="0"/>
          <w:sz w:val="24"/>
          <w:szCs w:val="24"/>
          <w14:ligatures w14:val="none"/>
        </w:rPr>
        <w:t xml:space="preserve"> </w:t>
      </w:r>
      <w:r w:rsidR="00E80438" w:rsidRPr="00E80438">
        <w:rPr>
          <w:rFonts w:ascii="Times New Roman" w:eastAsia="Times New Roman" w:hAnsi="Times New Roman" w:cs="Times New Roman"/>
          <w:color w:val="222222"/>
          <w:kern w:val="0"/>
          <w:sz w:val="24"/>
          <w:szCs w:val="24"/>
          <w14:ligatures w14:val="none"/>
        </w:rPr>
        <w:t xml:space="preserve">scale, more </w:t>
      </w:r>
      <w:r w:rsidR="00B7608B" w:rsidRPr="00E80438">
        <w:rPr>
          <w:rFonts w:ascii="Times New Roman" w:eastAsia="Times New Roman" w:hAnsi="Times New Roman" w:cs="Times New Roman"/>
          <w:color w:val="222222"/>
          <w:kern w:val="0"/>
          <w:sz w:val="24"/>
          <w:szCs w:val="24"/>
          <w14:ligatures w14:val="none"/>
        </w:rPr>
        <w:t>capital</w:t>
      </w:r>
      <w:r w:rsidR="00B7608B">
        <w:rPr>
          <w:rFonts w:ascii="Times New Roman" w:eastAsia="Times New Roman" w:hAnsi="Times New Roman" w:cs="Times New Roman"/>
          <w:color w:val="222222"/>
          <w:kern w:val="0"/>
          <w:sz w:val="24"/>
          <w:szCs w:val="24"/>
          <w14:ligatures w14:val="none"/>
        </w:rPr>
        <w:t>-intensive</w:t>
      </w:r>
      <w:r w:rsidR="00A77B9B">
        <w:rPr>
          <w:rFonts w:ascii="Times New Roman" w:eastAsia="Times New Roman" w:hAnsi="Times New Roman" w:cs="Times New Roman"/>
          <w:color w:val="222222"/>
          <w:kern w:val="0"/>
          <w:sz w:val="24"/>
          <w:szCs w:val="24"/>
          <w14:ligatures w14:val="none"/>
        </w:rPr>
        <w:t xml:space="preserve"> </w:t>
      </w:r>
      <w:r w:rsidR="00E80438" w:rsidRPr="00E80438">
        <w:rPr>
          <w:rFonts w:ascii="Times New Roman" w:eastAsia="Times New Roman" w:hAnsi="Times New Roman" w:cs="Times New Roman"/>
          <w:color w:val="222222"/>
          <w:kern w:val="0"/>
          <w:sz w:val="24"/>
          <w:szCs w:val="24"/>
          <w14:ligatures w14:val="none"/>
        </w:rPr>
        <w:t>commercial fishers</w:t>
      </w:r>
      <w:r w:rsidR="00A77B9B">
        <w:rPr>
          <w:rFonts w:ascii="Times New Roman" w:eastAsia="Times New Roman" w:hAnsi="Times New Roman" w:cs="Times New Roman"/>
          <w:color w:val="222222"/>
          <w:kern w:val="0"/>
          <w:sz w:val="24"/>
          <w:szCs w:val="24"/>
          <w14:ligatures w14:val="none"/>
        </w:rPr>
        <w:t xml:space="preserve">, </w:t>
      </w:r>
      <w:r w:rsidR="008A59A4">
        <w:rPr>
          <w:rFonts w:ascii="Times New Roman" w:eastAsia="Times New Roman" w:hAnsi="Times New Roman" w:cs="Times New Roman"/>
          <w:color w:val="222222"/>
          <w:kern w:val="0"/>
          <w:sz w:val="24"/>
          <w:szCs w:val="24"/>
          <w14:ligatures w14:val="none"/>
        </w:rPr>
        <w:t xml:space="preserve">often </w:t>
      </w:r>
      <w:r w:rsidR="00A77B9B">
        <w:rPr>
          <w:rFonts w:ascii="Times New Roman" w:eastAsia="Times New Roman" w:hAnsi="Times New Roman" w:cs="Times New Roman"/>
          <w:color w:val="222222"/>
          <w:kern w:val="0"/>
          <w:sz w:val="24"/>
          <w:szCs w:val="24"/>
          <w14:ligatures w14:val="none"/>
        </w:rPr>
        <w:t>based in other states</w:t>
      </w:r>
      <w:r w:rsidR="00E80438" w:rsidRPr="00E80438">
        <w:rPr>
          <w:rFonts w:ascii="Times New Roman" w:eastAsia="Times New Roman" w:hAnsi="Times New Roman" w:cs="Times New Roman"/>
          <w:color w:val="222222"/>
          <w:kern w:val="0"/>
          <w:sz w:val="24"/>
          <w:szCs w:val="24"/>
          <w14:ligatures w14:val="none"/>
        </w:rPr>
        <w:t xml:space="preserve">. </w:t>
      </w:r>
      <w:r w:rsidR="00A77B9B">
        <w:rPr>
          <w:rFonts w:ascii="Times New Roman" w:eastAsia="Times New Roman" w:hAnsi="Times New Roman" w:cs="Times New Roman"/>
          <w:color w:val="222222"/>
          <w:kern w:val="0"/>
          <w:sz w:val="24"/>
          <w:szCs w:val="24"/>
          <w14:ligatures w14:val="none"/>
        </w:rPr>
        <w:t xml:space="preserve"> In his study of property rights in fisheries </w:t>
      </w:r>
      <w:r w:rsidR="00E80438" w:rsidRPr="00E80438">
        <w:rPr>
          <w:rFonts w:ascii="Times New Roman" w:eastAsia="Times New Roman" w:hAnsi="Times New Roman" w:cs="Times New Roman"/>
          <w:color w:val="222222"/>
          <w:kern w:val="0"/>
          <w:sz w:val="24"/>
          <w:szCs w:val="24"/>
          <w14:ligatures w14:val="none"/>
        </w:rPr>
        <w:t>Hannesson (</w:t>
      </w:r>
      <w:r w:rsidR="00E80438" w:rsidRPr="00E80438">
        <w:rPr>
          <w:rFonts w:ascii="Times New Roman" w:eastAsia="Times New Roman" w:hAnsi="Times New Roman" w:cs="Times New Roman"/>
          <w:color w:val="202124"/>
          <w:kern w:val="0"/>
          <w:sz w:val="24"/>
          <w:szCs w:val="24"/>
          <w:shd w:val="clear" w:color="auto" w:fill="FFFFFF"/>
          <w14:ligatures w14:val="none"/>
        </w:rPr>
        <w:t>2006, 173) commented</w:t>
      </w:r>
      <w:r w:rsidR="00A77B9B">
        <w:rPr>
          <w:rFonts w:ascii="Times New Roman" w:eastAsia="Times New Roman" w:hAnsi="Times New Roman" w:cs="Times New Roman"/>
          <w:color w:val="202124"/>
          <w:kern w:val="0"/>
          <w:sz w:val="24"/>
          <w:szCs w:val="24"/>
          <w:shd w:val="clear" w:color="auto" w:fill="FFFFFF"/>
          <w14:ligatures w14:val="none"/>
        </w:rPr>
        <w:t xml:space="preserve"> that </w:t>
      </w:r>
      <w:r w:rsidR="00E80438" w:rsidRPr="00E80438">
        <w:rPr>
          <w:rFonts w:ascii="Times New Roman" w:eastAsia="Times New Roman" w:hAnsi="Times New Roman" w:cs="Times New Roman"/>
          <w:color w:val="202124"/>
          <w:kern w:val="0"/>
          <w:sz w:val="24"/>
          <w:szCs w:val="24"/>
          <w:shd w:val="clear" w:color="auto" w:fill="FFFFFF"/>
          <w14:ligatures w14:val="none"/>
        </w:rPr>
        <w:t>inefficiencies create</w:t>
      </w:r>
      <w:r w:rsidR="00802CCD">
        <w:rPr>
          <w:rFonts w:ascii="Times New Roman" w:eastAsia="Times New Roman" w:hAnsi="Times New Roman" w:cs="Times New Roman"/>
          <w:color w:val="202124"/>
          <w:kern w:val="0"/>
          <w:sz w:val="24"/>
          <w:szCs w:val="24"/>
          <w:shd w:val="clear" w:color="auto" w:fill="FFFFFF"/>
          <w14:ligatures w14:val="none"/>
        </w:rPr>
        <w:t>d</w:t>
      </w:r>
      <w:r w:rsidR="00E80438" w:rsidRPr="00E80438">
        <w:rPr>
          <w:rFonts w:ascii="Times New Roman" w:eastAsia="Times New Roman" w:hAnsi="Times New Roman" w:cs="Times New Roman"/>
          <w:color w:val="202124"/>
          <w:kern w:val="0"/>
          <w:sz w:val="24"/>
          <w:szCs w:val="24"/>
          <w:shd w:val="clear" w:color="auto" w:fill="FFFFFF"/>
          <w14:ligatures w14:val="none"/>
        </w:rPr>
        <w:t xml:space="preserve"> their own constituencies.</w:t>
      </w:r>
      <w:r w:rsidR="008F0DCE">
        <w:rPr>
          <w:rStyle w:val="FootnoteReference"/>
          <w:rFonts w:ascii="Times New Roman" w:eastAsia="Times New Roman" w:hAnsi="Times New Roman" w:cs="Times New Roman"/>
          <w:color w:val="202124"/>
          <w:kern w:val="0"/>
          <w:sz w:val="24"/>
          <w:szCs w:val="24"/>
          <w:shd w:val="clear" w:color="auto" w:fill="FFFFFF"/>
          <w14:ligatures w14:val="none"/>
        </w:rPr>
        <w:footnoteReference w:id="63"/>
      </w:r>
      <w:r w:rsidR="00E80438" w:rsidRPr="00E80438">
        <w:rPr>
          <w:rFonts w:ascii="Times New Roman" w:eastAsia="Times New Roman" w:hAnsi="Times New Roman" w:cs="Times New Roman"/>
          <w:color w:val="202124"/>
          <w:kern w:val="0"/>
          <w:sz w:val="24"/>
          <w:szCs w:val="24"/>
          <w:shd w:val="clear" w:color="auto" w:fill="FFFFFF"/>
          <w14:ligatures w14:val="none"/>
        </w:rPr>
        <w:t xml:space="preserve"> </w:t>
      </w:r>
      <w:r w:rsidR="00E80438" w:rsidRPr="00E80438">
        <w:rPr>
          <w:rFonts w:ascii="Times New Roman" w:eastAsia="Times New Roman" w:hAnsi="Times New Roman" w:cs="Times New Roman"/>
          <w:color w:val="222222"/>
          <w:kern w:val="0"/>
          <w:sz w:val="24"/>
          <w:szCs w:val="24"/>
          <w14:ligatures w14:val="none"/>
        </w:rPr>
        <w:t xml:space="preserve"> </w:t>
      </w:r>
    </w:p>
    <w:p w14:paraId="3213C249" w14:textId="478BDE43" w:rsidR="00E80438" w:rsidRPr="00E80438" w:rsidRDefault="00802CCD" w:rsidP="00593725">
      <w:pPr>
        <w:spacing w:after="0" w:line="360" w:lineRule="auto"/>
        <w:ind w:firstLine="720"/>
        <w:contextualSpacing/>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color w:val="222222"/>
          <w:kern w:val="0"/>
          <w:sz w:val="24"/>
          <w:szCs w:val="24"/>
          <w14:ligatures w14:val="none"/>
        </w:rPr>
        <w:t>Congressional hearings</w:t>
      </w:r>
      <w:r w:rsidR="00511355">
        <w:rPr>
          <w:rFonts w:ascii="Times New Roman" w:eastAsia="Times New Roman" w:hAnsi="Times New Roman" w:cs="Times New Roman"/>
          <w:color w:val="222222"/>
          <w:kern w:val="0"/>
          <w:sz w:val="24"/>
          <w:szCs w:val="24"/>
          <w14:ligatures w14:val="none"/>
        </w:rPr>
        <w:t xml:space="preserve"> on the Reauthorization of the Magnuson-Stevens Act in 1995 and 1996 reveal </w:t>
      </w:r>
      <w:r w:rsidR="00B721AF">
        <w:rPr>
          <w:rFonts w:ascii="Times New Roman" w:eastAsia="Times New Roman" w:hAnsi="Times New Roman" w:cs="Times New Roman"/>
          <w:color w:val="222222"/>
          <w:kern w:val="0"/>
          <w:sz w:val="24"/>
          <w:szCs w:val="24"/>
          <w14:ligatures w14:val="none"/>
        </w:rPr>
        <w:t>constituent positions on the assignment of property rights</w:t>
      </w:r>
      <w:r w:rsidR="00C103AA">
        <w:rPr>
          <w:rFonts w:ascii="Times New Roman" w:eastAsia="Times New Roman" w:hAnsi="Times New Roman" w:cs="Times New Roman"/>
          <w:color w:val="222222"/>
          <w:kern w:val="0"/>
          <w:sz w:val="24"/>
          <w:szCs w:val="24"/>
          <w14:ligatures w14:val="none"/>
        </w:rPr>
        <w:t>.</w:t>
      </w:r>
      <w:r w:rsidR="0050257D" w:rsidRPr="00E80438">
        <w:rPr>
          <w:rFonts w:ascii="Times New Roman" w:eastAsia="Times New Roman" w:hAnsi="Times New Roman" w:cs="Times New Roman"/>
          <w:color w:val="222222"/>
          <w:kern w:val="0"/>
          <w:sz w:val="24"/>
          <w:szCs w:val="24"/>
          <w:vertAlign w:val="superscript"/>
          <w14:ligatures w14:val="none"/>
        </w:rPr>
        <w:footnoteReference w:id="64"/>
      </w:r>
      <w:r w:rsidR="0050257D" w:rsidRPr="00E80438">
        <w:rPr>
          <w:rFonts w:ascii="Times New Roman" w:eastAsia="Times New Roman" w:hAnsi="Times New Roman" w:cs="Times New Roman"/>
          <w:color w:val="222222"/>
          <w:kern w:val="0"/>
          <w:sz w:val="24"/>
          <w:szCs w:val="24"/>
          <w14:ligatures w14:val="none"/>
        </w:rPr>
        <w:t xml:space="preserve"> </w:t>
      </w:r>
      <w:r w:rsidR="00511355">
        <w:rPr>
          <w:rFonts w:ascii="Times New Roman" w:eastAsia="Times New Roman" w:hAnsi="Times New Roman" w:cs="Times New Roman"/>
          <w:color w:val="222222"/>
          <w:kern w:val="0"/>
          <w:sz w:val="24"/>
          <w:szCs w:val="24"/>
          <w14:ligatures w14:val="none"/>
        </w:rPr>
        <w:t xml:space="preserve">Across various fishing </w:t>
      </w:r>
      <w:r w:rsidR="00511355">
        <w:rPr>
          <w:rFonts w:ascii="Times New Roman" w:eastAsia="Times New Roman" w:hAnsi="Times New Roman" w:cs="Times New Roman"/>
          <w:color w:val="222222"/>
          <w:kern w:val="0"/>
          <w:sz w:val="24"/>
          <w:szCs w:val="24"/>
          <w14:ligatures w14:val="none"/>
        </w:rPr>
        <w:lastRenderedPageBreak/>
        <w:t xml:space="preserve">regions, North Pacific, </w:t>
      </w:r>
      <w:r w:rsidR="0050257D">
        <w:rPr>
          <w:rFonts w:ascii="Times New Roman" w:eastAsia="Times New Roman" w:hAnsi="Times New Roman" w:cs="Times New Roman"/>
          <w:color w:val="222222"/>
          <w:kern w:val="0"/>
          <w:sz w:val="24"/>
          <w:szCs w:val="24"/>
          <w14:ligatures w14:val="none"/>
        </w:rPr>
        <w:t>New England</w:t>
      </w:r>
      <w:r>
        <w:rPr>
          <w:rFonts w:ascii="Times New Roman" w:eastAsia="Times New Roman" w:hAnsi="Times New Roman" w:cs="Times New Roman"/>
          <w:color w:val="222222"/>
          <w:kern w:val="0"/>
          <w:sz w:val="24"/>
          <w:szCs w:val="24"/>
          <w14:ligatures w14:val="none"/>
        </w:rPr>
        <w:t xml:space="preserve">, </w:t>
      </w:r>
      <w:r w:rsidR="0050257D">
        <w:rPr>
          <w:rFonts w:ascii="Times New Roman" w:eastAsia="Times New Roman" w:hAnsi="Times New Roman" w:cs="Times New Roman"/>
          <w:color w:val="222222"/>
          <w:kern w:val="0"/>
          <w:sz w:val="24"/>
          <w:szCs w:val="24"/>
          <w14:ligatures w14:val="none"/>
        </w:rPr>
        <w:t xml:space="preserve">MidAtlantic, and Gulf Coast, </w:t>
      </w:r>
      <w:r w:rsidR="003F6662">
        <w:rPr>
          <w:rFonts w:ascii="Times New Roman" w:eastAsia="Times New Roman" w:hAnsi="Times New Roman" w:cs="Times New Roman"/>
          <w:color w:val="222222"/>
          <w:kern w:val="0"/>
          <w:sz w:val="24"/>
          <w:szCs w:val="24"/>
          <w14:ligatures w14:val="none"/>
        </w:rPr>
        <w:t xml:space="preserve">parties lobbied </w:t>
      </w:r>
      <w:r w:rsidR="0050257D">
        <w:rPr>
          <w:rFonts w:ascii="Times New Roman" w:eastAsia="Times New Roman" w:hAnsi="Times New Roman" w:cs="Times New Roman"/>
          <w:color w:val="222222"/>
          <w:kern w:val="0"/>
          <w:sz w:val="24"/>
          <w:szCs w:val="24"/>
          <w14:ligatures w14:val="none"/>
        </w:rPr>
        <w:t>for preferential property rights assignments</w:t>
      </w:r>
      <w:r w:rsidR="00C103AA">
        <w:rPr>
          <w:rFonts w:ascii="Times New Roman" w:eastAsia="Times New Roman" w:hAnsi="Times New Roman" w:cs="Times New Roman"/>
          <w:color w:val="222222"/>
          <w:kern w:val="0"/>
          <w:sz w:val="24"/>
          <w:szCs w:val="24"/>
          <w14:ligatures w14:val="none"/>
        </w:rPr>
        <w:t xml:space="preserve"> and the rents they provided</w:t>
      </w:r>
      <w:r w:rsidR="0050257D">
        <w:rPr>
          <w:rFonts w:ascii="Times New Roman" w:eastAsia="Times New Roman" w:hAnsi="Times New Roman" w:cs="Times New Roman"/>
          <w:color w:val="222222"/>
          <w:kern w:val="0"/>
          <w:sz w:val="24"/>
          <w:szCs w:val="24"/>
          <w14:ligatures w14:val="none"/>
        </w:rPr>
        <w:t>. In general, larger commercial fishers favored tradable catch share</w:t>
      </w:r>
      <w:r w:rsidR="003F6662">
        <w:rPr>
          <w:rFonts w:ascii="Times New Roman" w:eastAsia="Times New Roman" w:hAnsi="Times New Roman" w:cs="Times New Roman"/>
          <w:color w:val="222222"/>
          <w:kern w:val="0"/>
          <w:sz w:val="24"/>
          <w:szCs w:val="24"/>
          <w14:ligatures w14:val="none"/>
        </w:rPr>
        <w:t xml:space="preserve">s </w:t>
      </w:r>
      <w:r w:rsidR="007743AC">
        <w:rPr>
          <w:rFonts w:ascii="Times New Roman" w:eastAsia="Times New Roman" w:hAnsi="Times New Roman" w:cs="Times New Roman"/>
          <w:color w:val="222222"/>
          <w:kern w:val="0"/>
          <w:sz w:val="24"/>
          <w:szCs w:val="24"/>
          <w14:ligatures w14:val="none"/>
        </w:rPr>
        <w:t>that could be consolidated</w:t>
      </w:r>
      <w:r w:rsidR="0050257D">
        <w:rPr>
          <w:rFonts w:ascii="Times New Roman" w:eastAsia="Times New Roman" w:hAnsi="Times New Roman" w:cs="Times New Roman"/>
          <w:color w:val="222222"/>
          <w:kern w:val="0"/>
          <w:sz w:val="24"/>
          <w:szCs w:val="24"/>
          <w14:ligatures w14:val="none"/>
        </w:rPr>
        <w:t>. Smaller commercial</w:t>
      </w:r>
      <w:r w:rsidR="003F6662">
        <w:rPr>
          <w:rFonts w:ascii="Times New Roman" w:eastAsia="Times New Roman" w:hAnsi="Times New Roman" w:cs="Times New Roman"/>
          <w:color w:val="222222"/>
          <w:kern w:val="0"/>
          <w:sz w:val="24"/>
          <w:szCs w:val="24"/>
          <w14:ligatures w14:val="none"/>
        </w:rPr>
        <w:t xml:space="preserve"> and recreational</w:t>
      </w:r>
      <w:r w:rsidR="0050257D">
        <w:rPr>
          <w:rFonts w:ascii="Times New Roman" w:eastAsia="Times New Roman" w:hAnsi="Times New Roman" w:cs="Times New Roman"/>
          <w:color w:val="222222"/>
          <w:kern w:val="0"/>
          <w:sz w:val="24"/>
          <w:szCs w:val="24"/>
          <w14:ligatures w14:val="none"/>
        </w:rPr>
        <w:t xml:space="preserve"> fishers</w:t>
      </w:r>
      <w:r w:rsidR="007743AC">
        <w:rPr>
          <w:rFonts w:ascii="Times New Roman" w:eastAsia="Times New Roman" w:hAnsi="Times New Roman" w:cs="Times New Roman"/>
          <w:color w:val="222222"/>
          <w:kern w:val="0"/>
          <w:sz w:val="24"/>
          <w:szCs w:val="24"/>
          <w14:ligatures w14:val="none"/>
        </w:rPr>
        <w:t xml:space="preserve"> opposed </w:t>
      </w:r>
      <w:r w:rsidR="005C4319">
        <w:rPr>
          <w:rFonts w:ascii="Times New Roman" w:eastAsia="Times New Roman" w:hAnsi="Times New Roman" w:cs="Times New Roman"/>
          <w:color w:val="222222"/>
          <w:kern w:val="0"/>
          <w:sz w:val="24"/>
          <w:szCs w:val="24"/>
          <w14:ligatures w14:val="none"/>
        </w:rPr>
        <w:t xml:space="preserve">them </w:t>
      </w:r>
      <w:r w:rsidR="007743AC">
        <w:rPr>
          <w:rFonts w:ascii="Times New Roman" w:eastAsia="Times New Roman" w:hAnsi="Times New Roman" w:cs="Times New Roman"/>
          <w:color w:val="222222"/>
          <w:kern w:val="0"/>
          <w:sz w:val="24"/>
          <w:szCs w:val="24"/>
          <w14:ligatures w14:val="none"/>
        </w:rPr>
        <w:t xml:space="preserve">due to </w:t>
      </w:r>
      <w:r w:rsidR="00B7608B">
        <w:rPr>
          <w:rFonts w:ascii="Times New Roman" w:eastAsia="Times New Roman" w:hAnsi="Times New Roman" w:cs="Times New Roman"/>
          <w:color w:val="222222"/>
          <w:kern w:val="0"/>
          <w:sz w:val="24"/>
          <w:szCs w:val="24"/>
          <w14:ligatures w14:val="none"/>
        </w:rPr>
        <w:t>asserted h</w:t>
      </w:r>
      <w:r w:rsidR="003F6662">
        <w:rPr>
          <w:rFonts w:ascii="Times New Roman" w:eastAsia="Times New Roman" w:hAnsi="Times New Roman" w:cs="Times New Roman"/>
          <w:color w:val="222222"/>
          <w:kern w:val="0"/>
          <w:sz w:val="24"/>
          <w:szCs w:val="24"/>
          <w14:ligatures w14:val="none"/>
        </w:rPr>
        <w:t xml:space="preserve">arm to local practices. </w:t>
      </w:r>
      <w:r w:rsidR="007743AC">
        <w:rPr>
          <w:rFonts w:ascii="Times New Roman" w:eastAsia="Times New Roman" w:hAnsi="Times New Roman" w:cs="Times New Roman"/>
          <w:color w:val="222222"/>
          <w:kern w:val="0"/>
          <w:sz w:val="24"/>
          <w:szCs w:val="24"/>
          <w14:ligatures w14:val="none"/>
        </w:rPr>
        <w:t>Environmental NGOs typically were against, concerned about biological targets that could be threatened by more efficient, larger vessels</w:t>
      </w:r>
      <w:r w:rsidR="003F6662">
        <w:rPr>
          <w:rFonts w:ascii="Times New Roman" w:eastAsia="Times New Roman" w:hAnsi="Times New Roman" w:cs="Times New Roman"/>
          <w:color w:val="222222"/>
          <w:kern w:val="0"/>
          <w:sz w:val="24"/>
          <w:szCs w:val="24"/>
          <w14:ligatures w14:val="none"/>
        </w:rPr>
        <w:t xml:space="preserve">. </w:t>
      </w:r>
      <w:r w:rsidR="00285D35">
        <w:rPr>
          <w:rFonts w:ascii="Times New Roman" w:eastAsia="Times New Roman" w:hAnsi="Times New Roman" w:cs="Times New Roman"/>
          <w:color w:val="222222"/>
          <w:kern w:val="0"/>
          <w:sz w:val="24"/>
          <w:szCs w:val="24"/>
          <w14:ligatures w14:val="none"/>
        </w:rPr>
        <w:t>There also was philosophical opposition</w:t>
      </w:r>
      <w:r w:rsidR="00C103AA">
        <w:rPr>
          <w:rFonts w:ascii="Times New Roman" w:eastAsia="Times New Roman" w:hAnsi="Times New Roman" w:cs="Times New Roman"/>
          <w:color w:val="222222"/>
          <w:kern w:val="0"/>
          <w:sz w:val="24"/>
          <w:szCs w:val="24"/>
          <w14:ligatures w14:val="none"/>
        </w:rPr>
        <w:t xml:space="preserve"> among academic</w:t>
      </w:r>
      <w:r w:rsidR="0063673F">
        <w:rPr>
          <w:rFonts w:ascii="Times New Roman" w:eastAsia="Times New Roman" w:hAnsi="Times New Roman" w:cs="Times New Roman"/>
          <w:color w:val="222222"/>
          <w:kern w:val="0"/>
          <w:sz w:val="24"/>
          <w:szCs w:val="24"/>
          <w14:ligatures w14:val="none"/>
        </w:rPr>
        <w:t>s</w:t>
      </w:r>
      <w:r w:rsidR="00285D35">
        <w:rPr>
          <w:rFonts w:ascii="Times New Roman" w:eastAsia="Times New Roman" w:hAnsi="Times New Roman" w:cs="Times New Roman"/>
          <w:color w:val="222222"/>
          <w:kern w:val="0"/>
          <w:sz w:val="24"/>
          <w:szCs w:val="24"/>
          <w14:ligatures w14:val="none"/>
        </w:rPr>
        <w:t xml:space="preserve"> to assigning a private property right to an ostensible public resource.</w:t>
      </w:r>
      <w:r w:rsidR="007743AC">
        <w:rPr>
          <w:rFonts w:ascii="Times New Roman" w:eastAsia="Times New Roman" w:hAnsi="Times New Roman" w:cs="Times New Roman"/>
          <w:color w:val="222222"/>
          <w:kern w:val="0"/>
          <w:sz w:val="24"/>
          <w:szCs w:val="24"/>
          <w14:ligatures w14:val="none"/>
        </w:rPr>
        <w:t xml:space="preserve"> </w:t>
      </w:r>
      <w:r w:rsidR="00C103AA">
        <w:rPr>
          <w:rFonts w:ascii="Times New Roman" w:eastAsia="Times New Roman" w:hAnsi="Times New Roman" w:cs="Times New Roman"/>
          <w:color w:val="222222"/>
          <w:kern w:val="0"/>
          <w:sz w:val="24"/>
          <w:szCs w:val="24"/>
          <w14:ligatures w14:val="none"/>
        </w:rPr>
        <w:t>No party called for the negotiated setting of the TAC, as would occur under Coase.</w:t>
      </w:r>
    </w:p>
    <w:p w14:paraId="34719468" w14:textId="6CAE5C64" w:rsidR="004C3AC0" w:rsidRDefault="00E80438" w:rsidP="00FA52B1">
      <w:pPr>
        <w:spacing w:after="0" w:line="360" w:lineRule="auto"/>
        <w:ind w:firstLine="720"/>
        <w:contextualSpacing/>
        <w:rPr>
          <w:rFonts w:ascii="Times New Roman" w:eastAsia="Times New Roman" w:hAnsi="Times New Roman" w:cs="Times New Roman"/>
          <w:kern w:val="0"/>
          <w:sz w:val="24"/>
          <w:szCs w:val="24"/>
          <w14:ligatures w14:val="none"/>
        </w:rPr>
      </w:pPr>
      <w:r w:rsidRPr="00E80438">
        <w:rPr>
          <w:rFonts w:ascii="Times New Roman" w:eastAsia="Times New Roman" w:hAnsi="Times New Roman" w:cs="Times New Roman"/>
          <w:kern w:val="0"/>
          <w:sz w:val="24"/>
          <w:szCs w:val="24"/>
          <w14:ligatures w14:val="none"/>
        </w:rPr>
        <w:t>Ultimately, the 1996 reauthorization of Magnuson Stevens</w:t>
      </w:r>
      <w:r w:rsidR="00C103AA">
        <w:rPr>
          <w:rFonts w:ascii="Times New Roman" w:eastAsia="Times New Roman" w:hAnsi="Times New Roman" w:cs="Times New Roman"/>
          <w:kern w:val="0"/>
          <w:sz w:val="24"/>
          <w:szCs w:val="24"/>
          <w14:ligatures w14:val="none"/>
        </w:rPr>
        <w:t xml:space="preserve"> </w:t>
      </w:r>
      <w:r w:rsidRPr="00E80438">
        <w:rPr>
          <w:rFonts w:ascii="Times New Roman" w:eastAsia="Times New Roman" w:hAnsi="Times New Roman" w:cs="Times New Roman"/>
          <w:kern w:val="0"/>
          <w:sz w:val="24"/>
          <w:szCs w:val="24"/>
          <w14:ligatures w14:val="none"/>
        </w:rPr>
        <w:t xml:space="preserve">defined </w:t>
      </w:r>
      <w:r w:rsidRPr="00E80438">
        <w:rPr>
          <w:rFonts w:ascii="Times New Roman" w:eastAsia="Times New Roman" w:hAnsi="Times New Roman" w:cs="Times New Roman"/>
          <w:color w:val="222222"/>
          <w:kern w:val="0"/>
          <w:sz w:val="24"/>
          <w:szCs w:val="24"/>
          <w14:ligatures w14:val="none"/>
        </w:rPr>
        <w:t xml:space="preserve">catch shares as narrow usufruct </w:t>
      </w:r>
      <w:r w:rsidR="00C103AA">
        <w:rPr>
          <w:rFonts w:ascii="Times New Roman" w:eastAsia="Times New Roman" w:hAnsi="Times New Roman" w:cs="Times New Roman"/>
          <w:color w:val="222222"/>
          <w:kern w:val="0"/>
          <w:sz w:val="24"/>
          <w:szCs w:val="24"/>
          <w14:ligatures w14:val="none"/>
        </w:rPr>
        <w:t xml:space="preserve">harvest </w:t>
      </w:r>
      <w:r w:rsidRPr="00E80438">
        <w:rPr>
          <w:rFonts w:ascii="Times New Roman" w:eastAsia="Times New Roman" w:hAnsi="Times New Roman" w:cs="Times New Roman"/>
          <w:color w:val="222222"/>
          <w:kern w:val="0"/>
          <w:sz w:val="24"/>
          <w:szCs w:val="24"/>
          <w14:ligatures w14:val="none"/>
        </w:rPr>
        <w:t>permits that could be revok</w:t>
      </w:r>
      <w:r w:rsidR="00C103AA">
        <w:rPr>
          <w:rFonts w:ascii="Times New Roman" w:eastAsia="Times New Roman" w:hAnsi="Times New Roman" w:cs="Times New Roman"/>
          <w:color w:val="222222"/>
          <w:kern w:val="0"/>
          <w:sz w:val="24"/>
          <w:szCs w:val="24"/>
          <w14:ligatures w14:val="none"/>
        </w:rPr>
        <w:t xml:space="preserve">ed at </w:t>
      </w:r>
      <w:r w:rsidRPr="00E80438">
        <w:rPr>
          <w:rFonts w:ascii="Times New Roman" w:eastAsia="Times New Roman" w:hAnsi="Times New Roman" w:cs="Times New Roman"/>
          <w:color w:val="222222"/>
          <w:kern w:val="0"/>
          <w:sz w:val="24"/>
          <w:szCs w:val="24"/>
          <w14:ligatures w14:val="none"/>
        </w:rPr>
        <w:t>any time without compensation, and not be renewed: “shall not create, or be construed to create, any right, title or interest in or to any fish before the fish is harvested.”</w:t>
      </w:r>
      <w:r w:rsidRPr="00E80438">
        <w:rPr>
          <w:rFonts w:ascii="Times New Roman" w:eastAsia="Times New Roman" w:hAnsi="Times New Roman" w:cs="Times New Roman"/>
          <w:color w:val="222222"/>
          <w:kern w:val="0"/>
          <w:sz w:val="24"/>
          <w:szCs w:val="24"/>
          <w:vertAlign w:val="superscript"/>
          <w14:ligatures w14:val="none"/>
        </w:rPr>
        <w:footnoteReference w:id="65"/>
      </w:r>
      <w:r w:rsidR="00C103AA">
        <w:rPr>
          <w:rFonts w:ascii="Times New Roman" w:eastAsia="Times New Roman" w:hAnsi="Times New Roman" w:cs="Times New Roman"/>
          <w:color w:val="222222"/>
          <w:kern w:val="0"/>
          <w:sz w:val="24"/>
          <w:szCs w:val="24"/>
          <w14:ligatures w14:val="none"/>
        </w:rPr>
        <w:t>T</w:t>
      </w:r>
      <w:r w:rsidRPr="00E80438">
        <w:rPr>
          <w:rFonts w:ascii="Times New Roman" w:eastAsia="Times New Roman" w:hAnsi="Times New Roman" w:cs="Times New Roman"/>
          <w:color w:val="222222"/>
          <w:kern w:val="0"/>
          <w:sz w:val="24"/>
          <w:szCs w:val="24"/>
          <w14:ligatures w14:val="none"/>
        </w:rPr>
        <w:t>ransferability was limited</w:t>
      </w:r>
      <w:r w:rsidRPr="00E80438">
        <w:rPr>
          <w:rFonts w:ascii="Times New Roman" w:eastAsia="Times New Roman" w:hAnsi="Times New Roman" w:cs="Times New Roman"/>
          <w:kern w:val="0"/>
          <w:sz w:val="24"/>
          <w:szCs w:val="24"/>
          <w14:ligatures w14:val="none"/>
        </w:rPr>
        <w:t xml:space="preserve"> to </w:t>
      </w:r>
      <w:r w:rsidR="00112CEC">
        <w:rPr>
          <w:rFonts w:ascii="Times New Roman" w:eastAsia="Times New Roman" w:hAnsi="Times New Roman" w:cs="Times New Roman"/>
          <w:kern w:val="0"/>
          <w:sz w:val="24"/>
          <w:szCs w:val="24"/>
          <w14:ligatures w14:val="none"/>
        </w:rPr>
        <w:t xml:space="preserve">prevent </w:t>
      </w:r>
      <w:r w:rsidRPr="00E80438">
        <w:rPr>
          <w:rFonts w:ascii="Times New Roman" w:eastAsia="Times New Roman" w:hAnsi="Times New Roman" w:cs="Times New Roman"/>
          <w:kern w:val="0"/>
          <w:sz w:val="24"/>
          <w:szCs w:val="24"/>
          <w14:ligatures w14:val="none"/>
        </w:rPr>
        <w:t>vessel consolidation and</w:t>
      </w:r>
      <w:r w:rsidR="00112CEC">
        <w:rPr>
          <w:rFonts w:ascii="Times New Roman" w:eastAsia="Times New Roman" w:hAnsi="Times New Roman" w:cs="Times New Roman"/>
          <w:kern w:val="0"/>
          <w:sz w:val="24"/>
          <w:szCs w:val="24"/>
          <w14:ligatures w14:val="none"/>
        </w:rPr>
        <w:t xml:space="preserve"> </w:t>
      </w:r>
      <w:r w:rsidR="00BE29D9">
        <w:rPr>
          <w:rFonts w:ascii="Times New Roman" w:eastAsia="Times New Roman" w:hAnsi="Times New Roman" w:cs="Times New Roman"/>
          <w:kern w:val="0"/>
          <w:sz w:val="24"/>
          <w:szCs w:val="24"/>
          <w14:ligatures w14:val="none"/>
        </w:rPr>
        <w:t xml:space="preserve">generally to </w:t>
      </w:r>
      <w:r w:rsidRPr="00E80438">
        <w:rPr>
          <w:rFonts w:ascii="Times New Roman" w:eastAsia="Times New Roman" w:hAnsi="Times New Roman" w:cs="Times New Roman"/>
          <w:kern w:val="0"/>
          <w:sz w:val="24"/>
          <w:szCs w:val="24"/>
          <w14:ligatures w14:val="none"/>
        </w:rPr>
        <w:t>retain a small</w:t>
      </w:r>
      <w:r w:rsidR="008A59A4">
        <w:rPr>
          <w:rFonts w:ascii="Times New Roman" w:eastAsia="Times New Roman" w:hAnsi="Times New Roman" w:cs="Times New Roman"/>
          <w:kern w:val="0"/>
          <w:sz w:val="24"/>
          <w:szCs w:val="24"/>
          <w14:ligatures w14:val="none"/>
        </w:rPr>
        <w:t xml:space="preserve"> </w:t>
      </w:r>
      <w:r w:rsidRPr="00E80438">
        <w:rPr>
          <w:rFonts w:ascii="Times New Roman" w:eastAsia="Times New Roman" w:hAnsi="Times New Roman" w:cs="Times New Roman"/>
          <w:kern w:val="0"/>
          <w:sz w:val="24"/>
          <w:szCs w:val="24"/>
          <w14:ligatures w14:val="none"/>
        </w:rPr>
        <w:t>vessel, community</w:t>
      </w:r>
      <w:r w:rsidR="008A59A4">
        <w:rPr>
          <w:rFonts w:ascii="Times New Roman" w:eastAsia="Times New Roman" w:hAnsi="Times New Roman" w:cs="Times New Roman"/>
          <w:kern w:val="0"/>
          <w:sz w:val="24"/>
          <w:szCs w:val="24"/>
          <w14:ligatures w14:val="none"/>
        </w:rPr>
        <w:t xml:space="preserve"> </w:t>
      </w:r>
      <w:r w:rsidRPr="00E80438">
        <w:rPr>
          <w:rFonts w:ascii="Times New Roman" w:eastAsia="Times New Roman" w:hAnsi="Times New Roman" w:cs="Times New Roman"/>
          <w:kern w:val="0"/>
          <w:sz w:val="24"/>
          <w:szCs w:val="24"/>
          <w14:ligatures w14:val="none"/>
        </w:rPr>
        <w:t>based fishery.</w:t>
      </w:r>
      <w:r w:rsidRPr="00E80438">
        <w:rPr>
          <w:rFonts w:ascii="Times New Roman" w:eastAsia="Times New Roman" w:hAnsi="Times New Roman" w:cs="Times New Roman"/>
          <w:kern w:val="0"/>
          <w:sz w:val="24"/>
          <w:szCs w:val="24"/>
          <w:vertAlign w:val="superscript"/>
          <w14:ligatures w14:val="none"/>
        </w:rPr>
        <w:footnoteReference w:id="66"/>
      </w:r>
      <w:r w:rsidRPr="00E80438">
        <w:rPr>
          <w:rFonts w:ascii="Times New Roman" w:eastAsia="Times New Roman" w:hAnsi="Times New Roman" w:cs="Times New Roman"/>
          <w:kern w:val="0"/>
          <w:sz w:val="24"/>
          <w:szCs w:val="24"/>
          <w14:ligatures w14:val="none"/>
        </w:rPr>
        <w:t xml:space="preserve"> </w:t>
      </w:r>
    </w:p>
    <w:p w14:paraId="706A03B8" w14:textId="653C569A" w:rsidR="00C85076" w:rsidRDefault="00BE29D9" w:rsidP="00C85076">
      <w:pPr>
        <w:spacing w:after="0" w:line="360" w:lineRule="auto"/>
        <w:ind w:firstLine="720"/>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The f</w:t>
      </w:r>
      <w:r w:rsidR="00FA52B1">
        <w:rPr>
          <w:rFonts w:ascii="Times New Roman" w:eastAsia="Times New Roman" w:hAnsi="Times New Roman" w:cs="Times New Roman"/>
          <w:kern w:val="0"/>
          <w:sz w:val="24"/>
          <w:szCs w:val="24"/>
          <w14:ligatures w14:val="none"/>
        </w:rPr>
        <w:t>ishery rights</w:t>
      </w:r>
      <w:r w:rsidR="00FA52B1" w:rsidRPr="00E80438">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granted were complex, based on political objectives.  They </w:t>
      </w:r>
      <w:r w:rsidR="00FA52B1" w:rsidRPr="00E80438">
        <w:rPr>
          <w:rFonts w:ascii="Times New Roman" w:eastAsia="Times New Roman" w:hAnsi="Times New Roman" w:cs="Times New Roman"/>
          <w:kern w:val="0"/>
          <w:sz w:val="24"/>
          <w:szCs w:val="24"/>
          <w14:ligatures w14:val="none"/>
        </w:rPr>
        <w:t>include</w:t>
      </w:r>
      <w:r w:rsidR="00FA52B1">
        <w:rPr>
          <w:rFonts w:ascii="Times New Roman" w:eastAsia="Times New Roman" w:hAnsi="Times New Roman" w:cs="Times New Roman"/>
          <w:kern w:val="0"/>
          <w:sz w:val="24"/>
          <w:szCs w:val="24"/>
          <w14:ligatures w14:val="none"/>
        </w:rPr>
        <w:t>d c</w:t>
      </w:r>
      <w:r w:rsidR="00FA52B1" w:rsidRPr="00E80438">
        <w:rPr>
          <w:rFonts w:ascii="Times New Roman" w:eastAsia="Times New Roman" w:hAnsi="Times New Roman" w:cs="Times New Roman"/>
          <w:kern w:val="0"/>
          <w:sz w:val="24"/>
          <w:szCs w:val="24"/>
          <w14:ligatures w14:val="none"/>
        </w:rPr>
        <w:t xml:space="preserve">ommunity development quotas, individual fisher quotas, </w:t>
      </w:r>
      <w:r w:rsidR="00FA52B1">
        <w:rPr>
          <w:rFonts w:ascii="Times New Roman" w:eastAsia="Times New Roman" w:hAnsi="Times New Roman" w:cs="Times New Roman"/>
          <w:kern w:val="0"/>
          <w:sz w:val="24"/>
          <w:szCs w:val="24"/>
          <w14:ligatures w14:val="none"/>
        </w:rPr>
        <w:t>c</w:t>
      </w:r>
      <w:r w:rsidR="00FA52B1" w:rsidRPr="00E80438">
        <w:rPr>
          <w:rFonts w:ascii="Times New Roman" w:eastAsia="Times New Roman" w:hAnsi="Times New Roman" w:cs="Times New Roman"/>
          <w:kern w:val="0"/>
          <w:sz w:val="24"/>
          <w:szCs w:val="24"/>
          <w14:ligatures w14:val="none"/>
        </w:rPr>
        <w:t xml:space="preserve">ooperative </w:t>
      </w:r>
      <w:r w:rsidR="00FA52B1">
        <w:rPr>
          <w:rFonts w:ascii="Times New Roman" w:eastAsia="Times New Roman" w:hAnsi="Times New Roman" w:cs="Times New Roman"/>
          <w:kern w:val="0"/>
          <w:sz w:val="24"/>
          <w:szCs w:val="24"/>
          <w14:ligatures w14:val="none"/>
        </w:rPr>
        <w:t>q</w:t>
      </w:r>
      <w:r w:rsidR="00FA52B1" w:rsidRPr="00E80438">
        <w:rPr>
          <w:rFonts w:ascii="Times New Roman" w:eastAsia="Times New Roman" w:hAnsi="Times New Roman" w:cs="Times New Roman"/>
          <w:kern w:val="0"/>
          <w:sz w:val="24"/>
          <w:szCs w:val="24"/>
          <w14:ligatures w14:val="none"/>
        </w:rPr>
        <w:t xml:space="preserve">uotas, individual processor quotas, and </w:t>
      </w:r>
      <w:r w:rsidR="00FA52B1">
        <w:rPr>
          <w:rFonts w:ascii="Times New Roman" w:eastAsia="Times New Roman" w:hAnsi="Times New Roman" w:cs="Times New Roman"/>
          <w:kern w:val="0"/>
          <w:sz w:val="24"/>
          <w:szCs w:val="24"/>
          <w14:ligatures w14:val="none"/>
        </w:rPr>
        <w:t xml:space="preserve">individual transferable quotas. </w:t>
      </w:r>
      <w:r w:rsidR="00FA52B1" w:rsidRPr="00E80438">
        <w:rPr>
          <w:rFonts w:ascii="Times New Roman" w:eastAsia="Times New Roman" w:hAnsi="Times New Roman" w:cs="Times New Roman"/>
          <w:kern w:val="0"/>
          <w:sz w:val="24"/>
          <w:szCs w:val="24"/>
          <w14:ligatures w14:val="none"/>
        </w:rPr>
        <w:t xml:space="preserve">Community development quotas </w:t>
      </w:r>
      <w:r>
        <w:rPr>
          <w:rFonts w:ascii="Times New Roman" w:eastAsia="Times New Roman" w:hAnsi="Times New Roman" w:cs="Times New Roman"/>
          <w:kern w:val="0"/>
          <w:sz w:val="24"/>
          <w:szCs w:val="24"/>
          <w14:ligatures w14:val="none"/>
        </w:rPr>
        <w:t xml:space="preserve">were </w:t>
      </w:r>
      <w:r w:rsidR="00FA52B1" w:rsidRPr="00E80438">
        <w:rPr>
          <w:rFonts w:ascii="Times New Roman" w:eastAsia="Times New Roman" w:hAnsi="Times New Roman" w:cs="Times New Roman"/>
          <w:kern w:val="0"/>
          <w:sz w:val="24"/>
          <w:szCs w:val="24"/>
          <w14:ligatures w14:val="none"/>
        </w:rPr>
        <w:t>granted to Western Alaska natives with little fishing experience to contract with actual fishers via annual leases.</w:t>
      </w:r>
      <w:r w:rsidR="00FA52B1" w:rsidRPr="00E80438">
        <w:rPr>
          <w:rFonts w:ascii="Times New Roman" w:eastAsia="Times New Roman" w:hAnsi="Times New Roman" w:cs="Times New Roman"/>
          <w:color w:val="181717"/>
          <w:sz w:val="24"/>
          <w:szCs w:val="24"/>
          <w14:ligatures w14:val="none"/>
        </w:rPr>
        <w:t xml:space="preserve">  C</w:t>
      </w:r>
      <w:r w:rsidR="00FA52B1" w:rsidRPr="00E80438">
        <w:rPr>
          <w:rFonts w:ascii="Times New Roman" w:eastAsia="Times New Roman" w:hAnsi="Times New Roman" w:cs="Times New Roman"/>
          <w:kern w:val="0"/>
          <w:sz w:val="24"/>
          <w:szCs w:val="24"/>
          <w14:ligatures w14:val="none"/>
        </w:rPr>
        <w:t xml:space="preserve">ooperative fishing quotas </w:t>
      </w:r>
      <w:r>
        <w:rPr>
          <w:rFonts w:ascii="Times New Roman" w:eastAsia="Times New Roman" w:hAnsi="Times New Roman" w:cs="Times New Roman"/>
          <w:kern w:val="0"/>
          <w:sz w:val="24"/>
          <w:szCs w:val="24"/>
          <w14:ligatures w14:val="none"/>
        </w:rPr>
        <w:t>were</w:t>
      </w:r>
      <w:r w:rsidR="00FA52B1" w:rsidRPr="00E80438">
        <w:rPr>
          <w:rFonts w:ascii="Times New Roman" w:eastAsia="Times New Roman" w:hAnsi="Times New Roman" w:cs="Times New Roman"/>
          <w:kern w:val="0"/>
          <w:sz w:val="24"/>
          <w:szCs w:val="24"/>
          <w14:ligatures w14:val="none"/>
        </w:rPr>
        <w:t xml:space="preserve"> delegated to members and generally short</w:t>
      </w:r>
      <w:r w:rsidR="008A59A4">
        <w:rPr>
          <w:rFonts w:ascii="Times New Roman" w:eastAsia="Times New Roman" w:hAnsi="Times New Roman" w:cs="Times New Roman"/>
          <w:kern w:val="0"/>
          <w:sz w:val="24"/>
          <w:szCs w:val="24"/>
          <w14:ligatures w14:val="none"/>
        </w:rPr>
        <w:t xml:space="preserve"> </w:t>
      </w:r>
      <w:r w:rsidR="00FA52B1" w:rsidRPr="00E80438">
        <w:rPr>
          <w:rFonts w:ascii="Times New Roman" w:eastAsia="Times New Roman" w:hAnsi="Times New Roman" w:cs="Times New Roman"/>
          <w:kern w:val="0"/>
          <w:sz w:val="24"/>
          <w:szCs w:val="24"/>
          <w14:ligatures w14:val="none"/>
        </w:rPr>
        <w:t xml:space="preserve">term share transfers </w:t>
      </w:r>
      <w:r w:rsidR="00112CEC">
        <w:rPr>
          <w:rFonts w:ascii="Times New Roman" w:eastAsia="Times New Roman" w:hAnsi="Times New Roman" w:cs="Times New Roman"/>
          <w:kern w:val="0"/>
          <w:sz w:val="24"/>
          <w:szCs w:val="24"/>
          <w14:ligatures w14:val="none"/>
        </w:rPr>
        <w:t xml:space="preserve">could </w:t>
      </w:r>
      <w:r w:rsidR="00FA52B1" w:rsidRPr="00E80438">
        <w:rPr>
          <w:rFonts w:ascii="Times New Roman" w:eastAsia="Times New Roman" w:hAnsi="Times New Roman" w:cs="Times New Roman"/>
          <w:kern w:val="0"/>
          <w:sz w:val="24"/>
          <w:szCs w:val="24"/>
          <w14:ligatures w14:val="none"/>
        </w:rPr>
        <w:t>only occur within the group. Individual fisher quotas and individual transferable quotas allow</w:t>
      </w:r>
      <w:r>
        <w:rPr>
          <w:rFonts w:ascii="Times New Roman" w:eastAsia="Times New Roman" w:hAnsi="Times New Roman" w:cs="Times New Roman"/>
          <w:kern w:val="0"/>
          <w:sz w:val="24"/>
          <w:szCs w:val="24"/>
          <w14:ligatures w14:val="none"/>
        </w:rPr>
        <w:t>ed</w:t>
      </w:r>
      <w:r w:rsidR="00FA52B1" w:rsidRPr="00E80438">
        <w:rPr>
          <w:rFonts w:ascii="Times New Roman" w:eastAsia="Times New Roman" w:hAnsi="Times New Roman" w:cs="Times New Roman"/>
          <w:kern w:val="0"/>
          <w:sz w:val="24"/>
          <w:szCs w:val="24"/>
          <w14:ligatures w14:val="none"/>
        </w:rPr>
        <w:t xml:space="preserve"> for broader </w:t>
      </w:r>
      <w:r w:rsidR="00BB5E86" w:rsidRPr="00E80438">
        <w:rPr>
          <w:rFonts w:ascii="Times New Roman" w:eastAsia="Times New Roman" w:hAnsi="Times New Roman" w:cs="Times New Roman"/>
          <w:kern w:val="0"/>
          <w:sz w:val="24"/>
          <w:szCs w:val="24"/>
          <w14:ligatures w14:val="none"/>
        </w:rPr>
        <w:t>short</w:t>
      </w:r>
      <w:r w:rsidR="00BB5E86">
        <w:rPr>
          <w:rFonts w:ascii="Times New Roman" w:eastAsia="Times New Roman" w:hAnsi="Times New Roman" w:cs="Times New Roman"/>
          <w:kern w:val="0"/>
          <w:sz w:val="24"/>
          <w:szCs w:val="24"/>
          <w14:ligatures w14:val="none"/>
        </w:rPr>
        <w:t>- and long-term</w:t>
      </w:r>
      <w:r w:rsidR="00FA52B1" w:rsidRPr="00E80438">
        <w:rPr>
          <w:rFonts w:ascii="Times New Roman" w:eastAsia="Times New Roman" w:hAnsi="Times New Roman" w:cs="Times New Roman"/>
          <w:kern w:val="0"/>
          <w:sz w:val="24"/>
          <w:szCs w:val="24"/>
          <w14:ligatures w14:val="none"/>
        </w:rPr>
        <w:t xml:space="preserve"> exchanges (leases and sales), but</w:t>
      </w:r>
      <w:r w:rsidR="003E4295">
        <w:rPr>
          <w:rFonts w:ascii="Times New Roman" w:eastAsia="Times New Roman" w:hAnsi="Times New Roman" w:cs="Times New Roman"/>
          <w:kern w:val="0"/>
          <w:sz w:val="24"/>
          <w:szCs w:val="24"/>
          <w14:ligatures w14:val="none"/>
        </w:rPr>
        <w:t xml:space="preserve"> generally </w:t>
      </w:r>
      <w:r>
        <w:rPr>
          <w:rFonts w:ascii="Times New Roman" w:eastAsia="Times New Roman" w:hAnsi="Times New Roman" w:cs="Times New Roman"/>
          <w:kern w:val="0"/>
          <w:sz w:val="24"/>
          <w:szCs w:val="24"/>
          <w14:ligatures w14:val="none"/>
        </w:rPr>
        <w:t xml:space="preserve">were </w:t>
      </w:r>
      <w:r w:rsidR="00FA52B1" w:rsidRPr="00E80438">
        <w:rPr>
          <w:rFonts w:ascii="Times New Roman" w:eastAsia="Times New Roman" w:hAnsi="Times New Roman" w:cs="Times New Roman"/>
          <w:kern w:val="0"/>
          <w:sz w:val="24"/>
          <w:szCs w:val="24"/>
          <w14:ligatures w14:val="none"/>
        </w:rPr>
        <w:t>subject to</w:t>
      </w:r>
      <w:r w:rsidR="003E4295">
        <w:rPr>
          <w:rFonts w:ascii="Times New Roman" w:eastAsia="Times New Roman" w:hAnsi="Times New Roman" w:cs="Times New Roman"/>
          <w:kern w:val="0"/>
          <w:sz w:val="24"/>
          <w:szCs w:val="24"/>
          <w14:ligatures w14:val="none"/>
        </w:rPr>
        <w:t xml:space="preserve"> limit</w:t>
      </w:r>
      <w:r w:rsidR="007A7236">
        <w:rPr>
          <w:rFonts w:ascii="Times New Roman" w:eastAsia="Times New Roman" w:hAnsi="Times New Roman" w:cs="Times New Roman"/>
          <w:kern w:val="0"/>
          <w:sz w:val="24"/>
          <w:szCs w:val="24"/>
          <w14:ligatures w14:val="none"/>
        </w:rPr>
        <w:t>ations</w:t>
      </w:r>
      <w:r w:rsidR="003E4295">
        <w:rPr>
          <w:rFonts w:ascii="Times New Roman" w:eastAsia="Times New Roman" w:hAnsi="Times New Roman" w:cs="Times New Roman"/>
          <w:kern w:val="0"/>
          <w:sz w:val="24"/>
          <w:szCs w:val="24"/>
          <w14:ligatures w14:val="none"/>
        </w:rPr>
        <w:t xml:space="preserve">. </w:t>
      </w:r>
      <w:r w:rsidR="00FA52B1" w:rsidRPr="00E80438">
        <w:rPr>
          <w:rFonts w:ascii="Times New Roman" w:eastAsia="Times New Roman" w:hAnsi="Times New Roman" w:cs="Times New Roman"/>
          <w:kern w:val="0"/>
          <w:sz w:val="24"/>
          <w:szCs w:val="24"/>
          <w14:ligatures w14:val="none"/>
        </w:rPr>
        <w:t xml:space="preserve"> These include</w:t>
      </w:r>
      <w:r w:rsidR="003E4295">
        <w:rPr>
          <w:rFonts w:ascii="Times New Roman" w:eastAsia="Times New Roman" w:hAnsi="Times New Roman" w:cs="Times New Roman"/>
          <w:kern w:val="0"/>
          <w:sz w:val="24"/>
          <w:szCs w:val="24"/>
          <w14:ligatures w14:val="none"/>
        </w:rPr>
        <w:t>d</w:t>
      </w:r>
      <w:r w:rsidR="00FA52B1" w:rsidRPr="00E80438">
        <w:rPr>
          <w:rFonts w:ascii="Times New Roman" w:eastAsia="Times New Roman" w:hAnsi="Times New Roman" w:cs="Times New Roman"/>
          <w:kern w:val="0"/>
          <w:sz w:val="24"/>
          <w:szCs w:val="24"/>
          <w14:ligatures w14:val="none"/>
        </w:rPr>
        <w:t xml:space="preserve"> </w:t>
      </w:r>
      <w:r w:rsidR="007A7236">
        <w:rPr>
          <w:rFonts w:ascii="Times New Roman" w:eastAsia="Times New Roman" w:hAnsi="Times New Roman" w:cs="Times New Roman"/>
          <w:kern w:val="0"/>
          <w:sz w:val="24"/>
          <w:szCs w:val="24"/>
          <w14:ligatures w14:val="none"/>
        </w:rPr>
        <w:t xml:space="preserve">bounds on </w:t>
      </w:r>
      <w:r w:rsidR="00FA52B1" w:rsidRPr="00E80438">
        <w:rPr>
          <w:rFonts w:ascii="Times New Roman" w:eastAsia="Times New Roman" w:hAnsi="Times New Roman" w:cs="Times New Roman"/>
          <w:kern w:val="0"/>
          <w:sz w:val="24"/>
          <w:szCs w:val="24"/>
          <w14:ligatures w14:val="none"/>
        </w:rPr>
        <w:t xml:space="preserve">total </w:t>
      </w:r>
      <w:r w:rsidR="003E4295">
        <w:rPr>
          <w:rFonts w:ascii="Times New Roman" w:eastAsia="Times New Roman" w:hAnsi="Times New Roman" w:cs="Times New Roman"/>
          <w:kern w:val="0"/>
          <w:sz w:val="24"/>
          <w:szCs w:val="24"/>
          <w14:ligatures w14:val="none"/>
        </w:rPr>
        <w:t xml:space="preserve">vessel </w:t>
      </w:r>
      <w:r w:rsidR="00112CEC">
        <w:rPr>
          <w:rFonts w:ascii="Times New Roman" w:eastAsia="Times New Roman" w:hAnsi="Times New Roman" w:cs="Times New Roman"/>
          <w:kern w:val="0"/>
          <w:sz w:val="24"/>
          <w:szCs w:val="24"/>
          <w14:ligatures w14:val="none"/>
        </w:rPr>
        <w:t xml:space="preserve">catch </w:t>
      </w:r>
      <w:r w:rsidR="00FA52B1" w:rsidRPr="00E80438">
        <w:rPr>
          <w:rFonts w:ascii="Times New Roman" w:eastAsia="Times New Roman" w:hAnsi="Times New Roman" w:cs="Times New Roman"/>
          <w:kern w:val="0"/>
          <w:sz w:val="24"/>
          <w:szCs w:val="24"/>
          <w14:ligatures w14:val="none"/>
        </w:rPr>
        <w:t>share</w:t>
      </w:r>
      <w:r w:rsidR="007A7236">
        <w:rPr>
          <w:rFonts w:ascii="Times New Roman" w:eastAsia="Times New Roman" w:hAnsi="Times New Roman" w:cs="Times New Roman"/>
          <w:kern w:val="0"/>
          <w:sz w:val="24"/>
          <w:szCs w:val="24"/>
          <w14:ligatures w14:val="none"/>
        </w:rPr>
        <w:t>s</w:t>
      </w:r>
      <w:r w:rsidR="00934721">
        <w:rPr>
          <w:rFonts w:ascii="Times New Roman" w:eastAsia="Times New Roman" w:hAnsi="Times New Roman" w:cs="Times New Roman"/>
          <w:kern w:val="0"/>
          <w:sz w:val="24"/>
          <w:szCs w:val="24"/>
          <w14:ligatures w14:val="none"/>
        </w:rPr>
        <w:t xml:space="preserve"> held</w:t>
      </w:r>
      <w:r w:rsidR="007A7236">
        <w:rPr>
          <w:rFonts w:ascii="Times New Roman" w:eastAsia="Times New Roman" w:hAnsi="Times New Roman" w:cs="Times New Roman"/>
          <w:kern w:val="0"/>
          <w:sz w:val="24"/>
          <w:szCs w:val="24"/>
          <w14:ligatures w14:val="none"/>
        </w:rPr>
        <w:t xml:space="preserve">, </w:t>
      </w:r>
      <w:r w:rsidR="00FA52B1" w:rsidRPr="00E80438">
        <w:rPr>
          <w:rFonts w:ascii="Times New Roman" w:eastAsia="Times New Roman" w:hAnsi="Times New Roman" w:cs="Times New Roman"/>
          <w:kern w:val="0"/>
          <w:sz w:val="24"/>
          <w:szCs w:val="24"/>
          <w14:ligatures w14:val="none"/>
        </w:rPr>
        <w:t xml:space="preserve">requirements for crew and </w:t>
      </w:r>
      <w:r w:rsidR="007A7236">
        <w:rPr>
          <w:rFonts w:ascii="Times New Roman" w:eastAsia="Times New Roman" w:hAnsi="Times New Roman" w:cs="Times New Roman"/>
          <w:kern w:val="0"/>
          <w:sz w:val="24"/>
          <w:szCs w:val="24"/>
          <w14:ligatures w14:val="none"/>
        </w:rPr>
        <w:t xml:space="preserve">onboard </w:t>
      </w:r>
      <w:r w:rsidR="00FA52B1" w:rsidRPr="00E80438">
        <w:rPr>
          <w:rFonts w:ascii="Times New Roman" w:eastAsia="Times New Roman" w:hAnsi="Times New Roman" w:cs="Times New Roman"/>
          <w:kern w:val="0"/>
          <w:sz w:val="24"/>
          <w:szCs w:val="24"/>
          <w14:ligatures w14:val="none"/>
        </w:rPr>
        <w:t xml:space="preserve">captain </w:t>
      </w:r>
      <w:r w:rsidR="007A7236">
        <w:rPr>
          <w:rFonts w:ascii="Times New Roman" w:eastAsia="Times New Roman" w:hAnsi="Times New Roman" w:cs="Times New Roman"/>
          <w:kern w:val="0"/>
          <w:sz w:val="24"/>
          <w:szCs w:val="24"/>
          <w14:ligatures w14:val="none"/>
        </w:rPr>
        <w:t>exchange</w:t>
      </w:r>
      <w:r w:rsidR="00934721">
        <w:rPr>
          <w:rFonts w:ascii="Times New Roman" w:eastAsia="Times New Roman" w:hAnsi="Times New Roman" w:cs="Times New Roman"/>
          <w:kern w:val="0"/>
          <w:sz w:val="24"/>
          <w:szCs w:val="24"/>
          <w14:ligatures w14:val="none"/>
        </w:rPr>
        <w:t>s</w:t>
      </w:r>
      <w:r w:rsidR="00FA52B1" w:rsidRPr="00E80438">
        <w:rPr>
          <w:rFonts w:ascii="Times New Roman" w:eastAsia="Times New Roman" w:hAnsi="Times New Roman" w:cs="Times New Roman"/>
          <w:kern w:val="0"/>
          <w:sz w:val="24"/>
          <w:szCs w:val="24"/>
          <w14:ligatures w14:val="none"/>
        </w:rPr>
        <w:t xml:space="preserve">, </w:t>
      </w:r>
      <w:r w:rsidR="003E4295">
        <w:rPr>
          <w:rFonts w:ascii="Times New Roman" w:eastAsia="Times New Roman" w:hAnsi="Times New Roman" w:cs="Times New Roman"/>
          <w:kern w:val="0"/>
          <w:sz w:val="24"/>
          <w:szCs w:val="24"/>
          <w14:ligatures w14:val="none"/>
        </w:rPr>
        <w:t xml:space="preserve">and </w:t>
      </w:r>
      <w:r w:rsidR="007A7236">
        <w:rPr>
          <w:rFonts w:ascii="Times New Roman" w:eastAsia="Times New Roman" w:hAnsi="Times New Roman" w:cs="Times New Roman"/>
          <w:kern w:val="0"/>
          <w:sz w:val="24"/>
          <w:szCs w:val="24"/>
          <w14:ligatures w14:val="none"/>
        </w:rPr>
        <w:t xml:space="preserve">caps on </w:t>
      </w:r>
      <w:r w:rsidR="00FA52B1" w:rsidRPr="00E80438">
        <w:rPr>
          <w:rFonts w:ascii="Times New Roman" w:eastAsia="Times New Roman" w:hAnsi="Times New Roman" w:cs="Times New Roman"/>
          <w:kern w:val="0"/>
          <w:sz w:val="24"/>
          <w:szCs w:val="24"/>
          <w14:ligatures w14:val="none"/>
        </w:rPr>
        <w:t>total vessel capacit</w:t>
      </w:r>
      <w:r w:rsidR="007A7236">
        <w:rPr>
          <w:rFonts w:ascii="Times New Roman" w:eastAsia="Times New Roman" w:hAnsi="Times New Roman" w:cs="Times New Roman"/>
          <w:kern w:val="0"/>
          <w:sz w:val="24"/>
          <w:szCs w:val="24"/>
          <w14:ligatures w14:val="none"/>
        </w:rPr>
        <w:t>ies</w:t>
      </w:r>
      <w:r w:rsidR="00934721">
        <w:rPr>
          <w:rFonts w:ascii="Times New Roman" w:eastAsia="Times New Roman" w:hAnsi="Times New Roman" w:cs="Times New Roman"/>
          <w:kern w:val="0"/>
          <w:sz w:val="24"/>
          <w:szCs w:val="24"/>
          <w14:ligatures w14:val="none"/>
        </w:rPr>
        <w:t xml:space="preserve"> to promote s</w:t>
      </w:r>
      <w:r w:rsidR="00FA52B1" w:rsidRPr="00E80438">
        <w:rPr>
          <w:rFonts w:ascii="Times New Roman" w:eastAsia="Times New Roman" w:hAnsi="Times New Roman" w:cs="Times New Roman"/>
          <w:kern w:val="0"/>
          <w:sz w:val="24"/>
          <w:szCs w:val="24"/>
          <w14:ligatures w14:val="none"/>
        </w:rPr>
        <w:t xml:space="preserve">maller vessels.  Processor fishing quotas </w:t>
      </w:r>
      <w:r w:rsidR="003E4295">
        <w:rPr>
          <w:rFonts w:ascii="Times New Roman" w:eastAsia="Times New Roman" w:hAnsi="Times New Roman" w:cs="Times New Roman"/>
          <w:kern w:val="0"/>
          <w:sz w:val="24"/>
          <w:szCs w:val="24"/>
          <w14:ligatures w14:val="none"/>
        </w:rPr>
        <w:t xml:space="preserve">were </w:t>
      </w:r>
      <w:r w:rsidR="00FA52B1" w:rsidRPr="00E80438">
        <w:rPr>
          <w:rFonts w:ascii="Times New Roman" w:eastAsia="Times New Roman" w:hAnsi="Times New Roman" w:cs="Times New Roman"/>
          <w:kern w:val="0"/>
          <w:sz w:val="24"/>
          <w:szCs w:val="24"/>
          <w14:ligatures w14:val="none"/>
        </w:rPr>
        <w:t>transfer</w:t>
      </w:r>
      <w:r w:rsidR="003E4295">
        <w:rPr>
          <w:rFonts w:ascii="Times New Roman" w:eastAsia="Times New Roman" w:hAnsi="Times New Roman" w:cs="Times New Roman"/>
          <w:kern w:val="0"/>
          <w:sz w:val="24"/>
          <w:szCs w:val="24"/>
          <w14:ligatures w14:val="none"/>
        </w:rPr>
        <w:t xml:space="preserve">able, typically </w:t>
      </w:r>
      <w:r w:rsidR="00FA52B1" w:rsidRPr="00E80438">
        <w:rPr>
          <w:rFonts w:ascii="Times New Roman" w:eastAsia="Times New Roman" w:hAnsi="Times New Roman" w:cs="Times New Roman"/>
          <w:kern w:val="0"/>
          <w:sz w:val="24"/>
          <w:szCs w:val="24"/>
          <w14:ligatures w14:val="none"/>
        </w:rPr>
        <w:t xml:space="preserve">only among </w:t>
      </w:r>
      <w:r w:rsidR="00FA52B1" w:rsidRPr="00E80438">
        <w:rPr>
          <w:rFonts w:ascii="Times New Roman" w:eastAsia="Times New Roman" w:hAnsi="Times New Roman" w:cs="Times New Roman"/>
          <w:kern w:val="0"/>
          <w:sz w:val="24"/>
          <w:szCs w:val="24"/>
          <w14:ligatures w14:val="none"/>
        </w:rPr>
        <w:lastRenderedPageBreak/>
        <w:t>processors.</w:t>
      </w:r>
      <w:r w:rsidR="00061C62" w:rsidRPr="00061C62">
        <w:rPr>
          <w:rFonts w:ascii="Times New Roman" w:eastAsia="Times New Roman" w:hAnsi="Times New Roman" w:cs="Times New Roman"/>
          <w:color w:val="181717"/>
          <w:sz w:val="24"/>
          <w:szCs w:val="24"/>
          <w:vertAlign w:val="superscript"/>
          <w14:ligatures w14:val="none"/>
        </w:rPr>
        <w:t xml:space="preserve"> </w:t>
      </w:r>
      <w:r w:rsidR="00061C62" w:rsidRPr="00E80438">
        <w:rPr>
          <w:rFonts w:ascii="Times New Roman" w:eastAsia="Times New Roman" w:hAnsi="Times New Roman" w:cs="Times New Roman"/>
          <w:color w:val="181717"/>
          <w:sz w:val="24"/>
          <w:szCs w:val="24"/>
          <w:vertAlign w:val="superscript"/>
          <w14:ligatures w14:val="none"/>
        </w:rPr>
        <w:footnoteReference w:id="67"/>
      </w:r>
      <w:bookmarkStart w:id="6" w:name="_Hlk157693215"/>
      <w:r w:rsidR="00C85076">
        <w:rPr>
          <w:rFonts w:ascii="Times New Roman" w:eastAsia="Times New Roman" w:hAnsi="Times New Roman" w:cs="Times New Roman"/>
          <w:color w:val="181717"/>
          <w:sz w:val="24"/>
          <w:szCs w:val="24"/>
          <w14:ligatures w14:val="none"/>
        </w:rPr>
        <w:t xml:space="preserve"> Fishery individual quota values were reduced relative to those held in New Zealand, for example, where rights were property and transferable.</w:t>
      </w:r>
      <w:r w:rsidR="00C85076">
        <w:rPr>
          <w:rStyle w:val="FootnoteReference"/>
          <w:rFonts w:ascii="Times New Roman" w:hAnsi="Times New Roman" w:cs="Times New Roman"/>
          <w:sz w:val="24"/>
          <w:szCs w:val="24"/>
        </w:rPr>
        <w:footnoteReference w:id="68"/>
      </w:r>
      <w:r w:rsidR="00C85076">
        <w:rPr>
          <w:rFonts w:ascii="Times New Roman" w:hAnsi="Times New Roman" w:cs="Times New Roman"/>
          <w:sz w:val="24"/>
          <w:szCs w:val="24"/>
        </w:rPr>
        <w:t xml:space="preserve"> </w:t>
      </w:r>
    </w:p>
    <w:bookmarkEnd w:id="6"/>
    <w:p w14:paraId="65A9F59B" w14:textId="10C4C4D8" w:rsidR="00DE2F17" w:rsidRDefault="006D18E5" w:rsidP="00112CEC">
      <w:pPr>
        <w:shd w:val="clear" w:color="auto" w:fill="FFFFFF"/>
        <w:spacing w:after="0" w:line="360" w:lineRule="auto"/>
        <w:ind w:firstLine="720"/>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color w:val="222222"/>
          <w:kern w:val="0"/>
          <w:sz w:val="24"/>
          <w:szCs w:val="24"/>
          <w14:ligatures w14:val="none"/>
        </w:rPr>
        <w:t>The conflicts</w:t>
      </w:r>
      <w:r w:rsidR="00FA52B1">
        <w:rPr>
          <w:rFonts w:ascii="Times New Roman" w:eastAsia="Times New Roman" w:hAnsi="Times New Roman" w:cs="Times New Roman"/>
          <w:color w:val="222222"/>
          <w:kern w:val="0"/>
          <w:sz w:val="24"/>
          <w:szCs w:val="24"/>
          <w14:ligatures w14:val="none"/>
        </w:rPr>
        <w:t xml:space="preserve"> over rights assignment; the complexity of th</w:t>
      </w:r>
      <w:r w:rsidR="003E4295">
        <w:rPr>
          <w:rFonts w:ascii="Times New Roman" w:eastAsia="Times New Roman" w:hAnsi="Times New Roman" w:cs="Times New Roman"/>
          <w:color w:val="222222"/>
          <w:kern w:val="0"/>
          <w:sz w:val="24"/>
          <w:szCs w:val="24"/>
          <w14:ligatures w14:val="none"/>
        </w:rPr>
        <w:t>ose</w:t>
      </w:r>
      <w:r w:rsidR="00FA52B1">
        <w:rPr>
          <w:rFonts w:ascii="Times New Roman" w:eastAsia="Times New Roman" w:hAnsi="Times New Roman" w:cs="Times New Roman"/>
          <w:color w:val="222222"/>
          <w:kern w:val="0"/>
          <w:sz w:val="24"/>
          <w:szCs w:val="24"/>
          <w14:ligatures w14:val="none"/>
        </w:rPr>
        <w:t xml:space="preserve"> granted; transferability </w:t>
      </w:r>
      <w:r w:rsidR="003E4295">
        <w:rPr>
          <w:rFonts w:ascii="Times New Roman" w:eastAsia="Times New Roman" w:hAnsi="Times New Roman" w:cs="Times New Roman"/>
          <w:color w:val="222222"/>
          <w:kern w:val="0"/>
          <w:sz w:val="24"/>
          <w:szCs w:val="24"/>
          <w14:ligatures w14:val="none"/>
        </w:rPr>
        <w:t>controls</w:t>
      </w:r>
      <w:r w:rsidR="00FA52B1">
        <w:rPr>
          <w:rFonts w:ascii="Times New Roman" w:eastAsia="Times New Roman" w:hAnsi="Times New Roman" w:cs="Times New Roman"/>
          <w:color w:val="222222"/>
          <w:kern w:val="0"/>
          <w:sz w:val="24"/>
          <w:szCs w:val="24"/>
          <w14:ligatures w14:val="none"/>
        </w:rPr>
        <w:t xml:space="preserve">; and the qualification that they were </w:t>
      </w:r>
      <w:r w:rsidR="00112CEC">
        <w:rPr>
          <w:rFonts w:ascii="Times New Roman" w:eastAsia="Times New Roman" w:hAnsi="Times New Roman" w:cs="Times New Roman"/>
          <w:color w:val="222222"/>
          <w:kern w:val="0"/>
          <w:sz w:val="24"/>
          <w:szCs w:val="24"/>
          <w14:ligatures w14:val="none"/>
        </w:rPr>
        <w:t xml:space="preserve">not </w:t>
      </w:r>
      <w:r w:rsidR="00FA52B1">
        <w:rPr>
          <w:rFonts w:ascii="Times New Roman" w:eastAsia="Times New Roman" w:hAnsi="Times New Roman" w:cs="Times New Roman"/>
          <w:color w:val="222222"/>
          <w:kern w:val="0"/>
          <w:sz w:val="24"/>
          <w:szCs w:val="24"/>
          <w14:ligatures w14:val="none"/>
        </w:rPr>
        <w:t>legally</w:t>
      </w:r>
      <w:r w:rsidR="00A07673">
        <w:rPr>
          <w:rFonts w:ascii="Times New Roman" w:eastAsia="Times New Roman" w:hAnsi="Times New Roman" w:cs="Times New Roman"/>
          <w:color w:val="222222"/>
          <w:kern w:val="0"/>
          <w:sz w:val="24"/>
          <w:szCs w:val="24"/>
          <w14:ligatures w14:val="none"/>
        </w:rPr>
        <w:t xml:space="preserve"> </w:t>
      </w:r>
      <w:r w:rsidR="00FA52B1">
        <w:rPr>
          <w:rFonts w:ascii="Times New Roman" w:eastAsia="Times New Roman" w:hAnsi="Times New Roman" w:cs="Times New Roman"/>
          <w:color w:val="222222"/>
          <w:kern w:val="0"/>
          <w:sz w:val="24"/>
          <w:szCs w:val="24"/>
          <w14:ligatures w14:val="none"/>
        </w:rPr>
        <w:t>recognized property rights, underscore political rent seeking</w:t>
      </w:r>
      <w:r w:rsidR="00112CEC">
        <w:rPr>
          <w:rFonts w:ascii="Times New Roman" w:eastAsia="Times New Roman" w:hAnsi="Times New Roman" w:cs="Times New Roman"/>
          <w:color w:val="222222"/>
          <w:kern w:val="0"/>
          <w:sz w:val="24"/>
          <w:szCs w:val="24"/>
          <w14:ligatures w14:val="none"/>
        </w:rPr>
        <w:t xml:space="preserve"> in property rights assignment and </w:t>
      </w:r>
      <w:r w:rsidR="003E4295">
        <w:rPr>
          <w:rFonts w:ascii="Times New Roman" w:eastAsia="Times New Roman" w:hAnsi="Times New Roman" w:cs="Times New Roman"/>
          <w:color w:val="222222"/>
          <w:kern w:val="0"/>
          <w:sz w:val="24"/>
          <w:szCs w:val="24"/>
          <w14:ligatures w14:val="none"/>
        </w:rPr>
        <w:t xml:space="preserve">constraints </w:t>
      </w:r>
      <w:r w:rsidR="00112CEC">
        <w:rPr>
          <w:rFonts w:ascii="Times New Roman" w:eastAsia="Times New Roman" w:hAnsi="Times New Roman" w:cs="Times New Roman"/>
          <w:color w:val="222222"/>
          <w:kern w:val="0"/>
          <w:sz w:val="24"/>
          <w:szCs w:val="24"/>
          <w14:ligatures w14:val="none"/>
        </w:rPr>
        <w:t>on market exchange</w:t>
      </w:r>
      <w:r w:rsidR="00FA52B1">
        <w:rPr>
          <w:rFonts w:ascii="Times New Roman" w:eastAsia="Times New Roman" w:hAnsi="Times New Roman" w:cs="Times New Roman"/>
          <w:color w:val="222222"/>
          <w:kern w:val="0"/>
          <w:sz w:val="24"/>
          <w:szCs w:val="24"/>
          <w14:ligatures w14:val="none"/>
        </w:rPr>
        <w:t xml:space="preserve">. </w:t>
      </w:r>
      <w:r w:rsidR="00DA76F2">
        <w:rPr>
          <w:rFonts w:ascii="Times New Roman" w:eastAsia="Times New Roman" w:hAnsi="Times New Roman" w:cs="Times New Roman"/>
          <w:color w:val="222222"/>
          <w:kern w:val="0"/>
          <w:sz w:val="24"/>
          <w:szCs w:val="24"/>
          <w14:ligatures w14:val="none"/>
        </w:rPr>
        <w:t>The</w:t>
      </w:r>
      <w:r w:rsidR="00340EC3">
        <w:rPr>
          <w:rFonts w:ascii="Times New Roman" w:eastAsia="Times New Roman" w:hAnsi="Times New Roman" w:cs="Times New Roman"/>
          <w:color w:val="222222"/>
          <w:kern w:val="0"/>
          <w:sz w:val="24"/>
          <w:szCs w:val="24"/>
          <w14:ligatures w14:val="none"/>
        </w:rPr>
        <w:t xml:space="preserve">y </w:t>
      </w:r>
      <w:r w:rsidR="003E4295">
        <w:rPr>
          <w:rFonts w:ascii="Times New Roman" w:eastAsia="Times New Roman" w:hAnsi="Times New Roman" w:cs="Times New Roman"/>
          <w:color w:val="222222"/>
          <w:kern w:val="0"/>
          <w:sz w:val="24"/>
          <w:szCs w:val="24"/>
          <w14:ligatures w14:val="none"/>
        </w:rPr>
        <w:t>were</w:t>
      </w:r>
      <w:r w:rsidR="00DA76F2">
        <w:rPr>
          <w:rFonts w:ascii="Times New Roman" w:eastAsia="Times New Roman" w:hAnsi="Times New Roman" w:cs="Times New Roman"/>
          <w:color w:val="222222"/>
          <w:kern w:val="0"/>
          <w:sz w:val="24"/>
          <w:szCs w:val="24"/>
          <w14:ligatures w14:val="none"/>
        </w:rPr>
        <w:t xml:space="preserve"> improvements over </w:t>
      </w:r>
      <w:r w:rsidR="00112CEC">
        <w:rPr>
          <w:rFonts w:ascii="Times New Roman" w:eastAsia="Times New Roman" w:hAnsi="Times New Roman" w:cs="Times New Roman"/>
          <w:color w:val="222222"/>
          <w:kern w:val="0"/>
          <w:sz w:val="24"/>
          <w:szCs w:val="24"/>
          <w14:ligatures w14:val="none"/>
        </w:rPr>
        <w:t xml:space="preserve">previous </w:t>
      </w:r>
      <w:r w:rsidR="00DA76F2">
        <w:rPr>
          <w:rFonts w:ascii="Times New Roman" w:eastAsia="Times New Roman" w:hAnsi="Times New Roman" w:cs="Times New Roman"/>
          <w:color w:val="222222"/>
          <w:kern w:val="0"/>
          <w:sz w:val="24"/>
          <w:szCs w:val="24"/>
          <w14:ligatures w14:val="none"/>
        </w:rPr>
        <w:t>Pigouvian regulated limited entry</w:t>
      </w:r>
      <w:r w:rsidR="00112CEC">
        <w:rPr>
          <w:rFonts w:ascii="Times New Roman" w:eastAsia="Times New Roman" w:hAnsi="Times New Roman" w:cs="Times New Roman"/>
          <w:color w:val="222222"/>
          <w:kern w:val="0"/>
          <w:sz w:val="24"/>
          <w:szCs w:val="24"/>
          <w14:ligatures w14:val="none"/>
        </w:rPr>
        <w:t xml:space="preserve"> regulation.  Th</w:t>
      </w:r>
      <w:r w:rsidR="00DA76F2">
        <w:rPr>
          <w:rFonts w:ascii="Times New Roman" w:eastAsia="Times New Roman" w:hAnsi="Times New Roman" w:cs="Times New Roman"/>
          <w:color w:val="222222"/>
          <w:kern w:val="0"/>
          <w:sz w:val="24"/>
          <w:szCs w:val="24"/>
          <w14:ligatures w14:val="none"/>
        </w:rPr>
        <w:t>ey</w:t>
      </w:r>
      <w:r w:rsidR="003E4295">
        <w:rPr>
          <w:rFonts w:ascii="Times New Roman" w:eastAsia="Times New Roman" w:hAnsi="Times New Roman" w:cs="Times New Roman"/>
          <w:color w:val="222222"/>
          <w:kern w:val="0"/>
          <w:sz w:val="24"/>
          <w:szCs w:val="24"/>
          <w14:ligatures w14:val="none"/>
        </w:rPr>
        <w:t xml:space="preserve"> were</w:t>
      </w:r>
      <w:r w:rsidR="00DA76F2">
        <w:rPr>
          <w:rFonts w:ascii="Times New Roman" w:eastAsia="Times New Roman" w:hAnsi="Times New Roman" w:cs="Times New Roman"/>
          <w:color w:val="222222"/>
          <w:kern w:val="0"/>
          <w:sz w:val="24"/>
          <w:szCs w:val="24"/>
          <w14:ligatures w14:val="none"/>
        </w:rPr>
        <w:t xml:space="preserve"> not the property rights envisioned by Coase to efficiently confront </w:t>
      </w:r>
      <w:r w:rsidR="003E4295">
        <w:rPr>
          <w:rFonts w:ascii="Times New Roman" w:eastAsia="Times New Roman" w:hAnsi="Times New Roman" w:cs="Times New Roman"/>
          <w:color w:val="222222"/>
          <w:kern w:val="0"/>
          <w:sz w:val="24"/>
          <w:szCs w:val="24"/>
          <w14:ligatures w14:val="none"/>
        </w:rPr>
        <w:t xml:space="preserve">the </w:t>
      </w:r>
      <w:r w:rsidR="00112CEC">
        <w:rPr>
          <w:rFonts w:ascii="Times New Roman" w:eastAsia="Times New Roman" w:hAnsi="Times New Roman" w:cs="Times New Roman"/>
          <w:color w:val="222222"/>
          <w:kern w:val="0"/>
          <w:sz w:val="24"/>
          <w:szCs w:val="24"/>
          <w14:ligatures w14:val="none"/>
        </w:rPr>
        <w:t xml:space="preserve">race to fish </w:t>
      </w:r>
      <w:r w:rsidR="00DA76F2">
        <w:rPr>
          <w:rFonts w:ascii="Times New Roman" w:eastAsia="Times New Roman" w:hAnsi="Times New Roman" w:cs="Times New Roman"/>
          <w:color w:val="222222"/>
          <w:kern w:val="0"/>
          <w:sz w:val="24"/>
          <w:szCs w:val="24"/>
          <w14:ligatures w14:val="none"/>
        </w:rPr>
        <w:t>externalities</w:t>
      </w:r>
      <w:r w:rsidR="00424C3A">
        <w:rPr>
          <w:rFonts w:ascii="Times New Roman" w:eastAsia="Times New Roman" w:hAnsi="Times New Roman" w:cs="Times New Roman"/>
          <w:color w:val="222222"/>
          <w:kern w:val="0"/>
          <w:sz w:val="24"/>
          <w:szCs w:val="24"/>
          <w14:ligatures w14:val="none"/>
        </w:rPr>
        <w:t xml:space="preserve"> and </w:t>
      </w:r>
      <w:r w:rsidR="003E4295">
        <w:rPr>
          <w:rFonts w:ascii="Times New Roman" w:eastAsia="Times New Roman" w:hAnsi="Times New Roman" w:cs="Times New Roman"/>
          <w:color w:val="222222"/>
          <w:kern w:val="0"/>
          <w:sz w:val="24"/>
          <w:szCs w:val="24"/>
          <w14:ligatures w14:val="none"/>
        </w:rPr>
        <w:t xml:space="preserve">to </w:t>
      </w:r>
      <w:r w:rsidR="00424C3A">
        <w:rPr>
          <w:rFonts w:ascii="Times New Roman" w:eastAsia="Times New Roman" w:hAnsi="Times New Roman" w:cs="Times New Roman"/>
          <w:color w:val="222222"/>
          <w:kern w:val="0"/>
          <w:sz w:val="24"/>
          <w:szCs w:val="24"/>
          <w14:ligatures w14:val="none"/>
        </w:rPr>
        <w:t xml:space="preserve">maximize fishing </w:t>
      </w:r>
      <w:r w:rsidR="00112CEC">
        <w:rPr>
          <w:rFonts w:ascii="Times New Roman" w:eastAsia="Times New Roman" w:hAnsi="Times New Roman" w:cs="Times New Roman"/>
          <w:color w:val="222222"/>
          <w:kern w:val="0"/>
          <w:sz w:val="24"/>
          <w:szCs w:val="24"/>
          <w14:ligatures w14:val="none"/>
        </w:rPr>
        <w:t xml:space="preserve">economic </w:t>
      </w:r>
      <w:r w:rsidR="00424C3A">
        <w:rPr>
          <w:rFonts w:ascii="Times New Roman" w:eastAsia="Times New Roman" w:hAnsi="Times New Roman" w:cs="Times New Roman"/>
          <w:color w:val="222222"/>
          <w:kern w:val="0"/>
          <w:sz w:val="24"/>
          <w:szCs w:val="24"/>
          <w14:ligatures w14:val="none"/>
        </w:rPr>
        <w:t>net returns</w:t>
      </w:r>
      <w:r w:rsidR="00DA76F2">
        <w:rPr>
          <w:rFonts w:ascii="Times New Roman" w:eastAsia="Times New Roman" w:hAnsi="Times New Roman" w:cs="Times New Roman"/>
          <w:color w:val="222222"/>
          <w:kern w:val="0"/>
          <w:sz w:val="24"/>
          <w:szCs w:val="24"/>
          <w14:ligatures w14:val="none"/>
        </w:rPr>
        <w:t>.</w:t>
      </w:r>
      <w:r w:rsidR="00424C3A">
        <w:rPr>
          <w:rFonts w:ascii="Times New Roman" w:eastAsia="Times New Roman" w:hAnsi="Times New Roman" w:cs="Times New Roman"/>
          <w:color w:val="222222"/>
          <w:kern w:val="0"/>
          <w:sz w:val="24"/>
          <w:szCs w:val="24"/>
          <w14:ligatures w14:val="none"/>
        </w:rPr>
        <w:t xml:space="preserve"> </w:t>
      </w:r>
      <w:r w:rsidR="00FE5F3A">
        <w:rPr>
          <w:rFonts w:ascii="Times New Roman" w:eastAsia="Times New Roman" w:hAnsi="Times New Roman" w:cs="Times New Roman"/>
          <w:color w:val="222222"/>
          <w:kern w:val="0"/>
          <w:sz w:val="24"/>
          <w:szCs w:val="24"/>
          <w14:ligatures w14:val="none"/>
        </w:rPr>
        <w:t>Had the rights been delegated politically as above, but made secure</w:t>
      </w:r>
      <w:r w:rsidR="007C24A6">
        <w:rPr>
          <w:rFonts w:ascii="Times New Roman" w:eastAsia="Times New Roman" w:hAnsi="Times New Roman" w:cs="Times New Roman"/>
          <w:color w:val="222222"/>
          <w:kern w:val="0"/>
          <w:sz w:val="24"/>
          <w:szCs w:val="24"/>
          <w14:ligatures w14:val="none"/>
        </w:rPr>
        <w:t>, long</w:t>
      </w:r>
      <w:r w:rsidR="008A59A4">
        <w:rPr>
          <w:rFonts w:ascii="Times New Roman" w:eastAsia="Times New Roman" w:hAnsi="Times New Roman" w:cs="Times New Roman"/>
          <w:color w:val="222222"/>
          <w:kern w:val="0"/>
          <w:sz w:val="24"/>
          <w:szCs w:val="24"/>
          <w14:ligatures w14:val="none"/>
        </w:rPr>
        <w:t xml:space="preserve"> </w:t>
      </w:r>
      <w:r w:rsidR="007C24A6">
        <w:rPr>
          <w:rFonts w:ascii="Times New Roman" w:eastAsia="Times New Roman" w:hAnsi="Times New Roman" w:cs="Times New Roman"/>
          <w:color w:val="222222"/>
          <w:kern w:val="0"/>
          <w:sz w:val="24"/>
          <w:szCs w:val="24"/>
          <w14:ligatures w14:val="none"/>
        </w:rPr>
        <w:t>term,</w:t>
      </w:r>
      <w:r w:rsidR="00FE5F3A">
        <w:rPr>
          <w:rFonts w:ascii="Times New Roman" w:eastAsia="Times New Roman" w:hAnsi="Times New Roman" w:cs="Times New Roman"/>
          <w:color w:val="222222"/>
          <w:kern w:val="0"/>
          <w:sz w:val="24"/>
          <w:szCs w:val="24"/>
          <w14:ligatures w14:val="none"/>
        </w:rPr>
        <w:t xml:space="preserve"> and freely transferable, the economic consequences would have been limited, but that was not the case.</w:t>
      </w:r>
    </w:p>
    <w:p w14:paraId="605FA0B6" w14:textId="77777777" w:rsidR="00112CEC" w:rsidRDefault="00112CEC" w:rsidP="00112CEC">
      <w:pPr>
        <w:shd w:val="clear" w:color="auto" w:fill="FFFFFF"/>
        <w:spacing w:after="0" w:line="360" w:lineRule="auto"/>
        <w:ind w:firstLine="720"/>
        <w:rPr>
          <w:rFonts w:ascii="Times New Roman" w:hAnsi="Times New Roman" w:cs="Times New Roman"/>
          <w:sz w:val="24"/>
          <w:szCs w:val="24"/>
        </w:rPr>
      </w:pPr>
    </w:p>
    <w:p w14:paraId="7B5983D8" w14:textId="24A9FC34" w:rsidR="00E80438" w:rsidRPr="00E80438" w:rsidRDefault="00511683" w:rsidP="00987CDA">
      <w:pPr>
        <w:spacing w:after="0" w:line="360" w:lineRule="auto"/>
        <w:rPr>
          <w:rFonts w:ascii="Times New Roman" w:hAnsi="Times New Roman" w:cs="Times New Roman"/>
          <w:sz w:val="24"/>
          <w:szCs w:val="24"/>
        </w:rPr>
      </w:pPr>
      <w:r w:rsidRPr="00E80438">
        <w:rPr>
          <w:rFonts w:ascii="Times New Roman" w:hAnsi="Times New Roman" w:cs="Times New Roman"/>
          <w:b/>
          <w:bCs/>
          <w:sz w:val="24"/>
          <w:szCs w:val="24"/>
        </w:rPr>
        <w:t xml:space="preserve"> </w:t>
      </w:r>
      <w:r w:rsidR="00DE2F17">
        <w:rPr>
          <w:rFonts w:ascii="Times New Roman" w:hAnsi="Times New Roman" w:cs="Times New Roman"/>
          <w:b/>
          <w:bCs/>
          <w:sz w:val="24"/>
          <w:szCs w:val="24"/>
        </w:rPr>
        <w:t xml:space="preserve">V. </w:t>
      </w:r>
      <w:r w:rsidR="00E72807">
        <w:rPr>
          <w:rFonts w:ascii="Times New Roman" w:hAnsi="Times New Roman" w:cs="Times New Roman"/>
          <w:b/>
          <w:bCs/>
          <w:sz w:val="24"/>
          <w:szCs w:val="24"/>
        </w:rPr>
        <w:t>Rent Seeking</w:t>
      </w:r>
      <w:r w:rsidR="00735CF8">
        <w:rPr>
          <w:rFonts w:ascii="Times New Roman" w:hAnsi="Times New Roman" w:cs="Times New Roman"/>
          <w:b/>
          <w:bCs/>
          <w:sz w:val="24"/>
          <w:szCs w:val="24"/>
        </w:rPr>
        <w:t xml:space="preserve"> </w:t>
      </w:r>
      <w:r w:rsidRPr="00E80438">
        <w:rPr>
          <w:rFonts w:ascii="Times New Roman" w:hAnsi="Times New Roman" w:cs="Times New Roman"/>
          <w:b/>
          <w:bCs/>
          <w:sz w:val="24"/>
          <w:szCs w:val="24"/>
        </w:rPr>
        <w:t>and the Endangered Species Act.</w:t>
      </w:r>
    </w:p>
    <w:p w14:paraId="384ED738" w14:textId="5FDD668B" w:rsidR="00AE59F1" w:rsidRDefault="00F854F9" w:rsidP="00AE59F1">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987CDA">
        <w:rPr>
          <w:rFonts w:ascii="Times New Roman" w:hAnsi="Times New Roman" w:cs="Times New Roman"/>
          <w:sz w:val="24"/>
          <w:szCs w:val="24"/>
        </w:rPr>
        <w:t xml:space="preserve">third </w:t>
      </w:r>
      <w:r>
        <w:rPr>
          <w:rFonts w:ascii="Times New Roman" w:hAnsi="Times New Roman" w:cs="Times New Roman"/>
          <w:sz w:val="24"/>
          <w:szCs w:val="24"/>
        </w:rPr>
        <w:t>environmental legislation examined is the Endangered Species Act</w:t>
      </w:r>
      <w:r w:rsidR="00AB6742">
        <w:rPr>
          <w:rFonts w:ascii="Times New Roman" w:hAnsi="Times New Roman" w:cs="Times New Roman"/>
          <w:sz w:val="24"/>
          <w:szCs w:val="24"/>
        </w:rPr>
        <w:t xml:space="preserve"> (ESA) of </w:t>
      </w:r>
      <w:r w:rsidR="00AB6742" w:rsidRPr="00E10F91">
        <w:rPr>
          <w:rFonts w:ascii="Times New Roman" w:hAnsi="Times New Roman" w:cs="Times New Roman"/>
          <w:sz w:val="24"/>
          <w:szCs w:val="24"/>
        </w:rPr>
        <w:t>1973 (</w:t>
      </w:r>
      <w:r w:rsidR="00AB6742" w:rsidRPr="00E10F91">
        <w:rPr>
          <w:rFonts w:ascii="Times New Roman" w:hAnsi="Times New Roman" w:cs="Times New Roman"/>
          <w:color w:val="222222"/>
          <w:kern w:val="0"/>
          <w:sz w:val="24"/>
          <w:szCs w:val="24"/>
          <w14:ligatures w14:val="none"/>
        </w:rPr>
        <w:t>16 USC 1531)</w:t>
      </w:r>
      <w:r w:rsidRPr="00E10F91">
        <w:rPr>
          <w:rFonts w:ascii="Times New Roman" w:hAnsi="Times New Roman" w:cs="Times New Roman"/>
          <w:sz w:val="24"/>
          <w:szCs w:val="24"/>
        </w:rPr>
        <w:t xml:space="preserve">. </w:t>
      </w:r>
      <w:r w:rsidR="007A4FE7" w:rsidRPr="00E10F91">
        <w:rPr>
          <w:rFonts w:ascii="Times New Roman" w:hAnsi="Times New Roman" w:cs="Times New Roman"/>
          <w:sz w:val="24"/>
          <w:szCs w:val="24"/>
        </w:rPr>
        <w:t>The</w:t>
      </w:r>
      <w:r w:rsidR="007A4FE7">
        <w:rPr>
          <w:rFonts w:ascii="Times New Roman" w:hAnsi="Times New Roman" w:cs="Times New Roman"/>
          <w:sz w:val="24"/>
          <w:szCs w:val="24"/>
        </w:rPr>
        <w:t xml:space="preserve"> legislative history and empirical evidence demonstrate the role of </w:t>
      </w:r>
      <w:r w:rsidR="00C85076">
        <w:rPr>
          <w:rFonts w:ascii="Times New Roman" w:hAnsi="Times New Roman" w:cs="Times New Roman"/>
          <w:sz w:val="24"/>
          <w:szCs w:val="24"/>
        </w:rPr>
        <w:t xml:space="preserve">rent seeking </w:t>
      </w:r>
      <w:r w:rsidR="0075611C">
        <w:rPr>
          <w:rFonts w:ascii="Times New Roman" w:hAnsi="Times New Roman" w:cs="Times New Roman"/>
          <w:sz w:val="24"/>
          <w:szCs w:val="24"/>
        </w:rPr>
        <w:t xml:space="preserve">as well as what is lost in externality mitigation when Pigou, rather than </w:t>
      </w:r>
      <w:r w:rsidR="00A07673">
        <w:rPr>
          <w:rFonts w:ascii="Times New Roman" w:hAnsi="Times New Roman" w:cs="Times New Roman"/>
          <w:sz w:val="24"/>
          <w:szCs w:val="24"/>
        </w:rPr>
        <w:t>Coase,</w:t>
      </w:r>
      <w:r w:rsidR="0075611C">
        <w:rPr>
          <w:rFonts w:ascii="Times New Roman" w:hAnsi="Times New Roman" w:cs="Times New Roman"/>
          <w:sz w:val="24"/>
          <w:szCs w:val="24"/>
        </w:rPr>
        <w:t xml:space="preserve"> is used. </w:t>
      </w:r>
      <w:r w:rsidR="00AE59F1">
        <w:rPr>
          <w:rFonts w:ascii="Times New Roman" w:hAnsi="Times New Roman" w:cs="Times New Roman"/>
          <w:sz w:val="24"/>
          <w:szCs w:val="24"/>
        </w:rPr>
        <w:t xml:space="preserve">The feasibility of a Coasean alternative is described. </w:t>
      </w:r>
      <w:r w:rsidR="003D0652">
        <w:rPr>
          <w:rFonts w:ascii="Times New Roman" w:hAnsi="Times New Roman" w:cs="Times New Roman"/>
          <w:sz w:val="24"/>
          <w:szCs w:val="24"/>
        </w:rPr>
        <w:t xml:space="preserve">For terrestrial species, the regulatory agency is the Fish and Wildlife Service (FWS) and for marine, the National Oceanic and Atmospheric Administration (NOAA). </w:t>
      </w:r>
      <w:r w:rsidRPr="00E80438">
        <w:rPr>
          <w:rFonts w:ascii="Times New Roman" w:hAnsi="Times New Roman" w:cs="Times New Roman"/>
          <w:sz w:val="24"/>
          <w:szCs w:val="24"/>
        </w:rPr>
        <w:t>The E</w:t>
      </w:r>
      <w:r w:rsidR="00AB6742">
        <w:rPr>
          <w:rFonts w:ascii="Times New Roman" w:hAnsi="Times New Roman" w:cs="Times New Roman"/>
          <w:sz w:val="24"/>
          <w:szCs w:val="24"/>
        </w:rPr>
        <w:t xml:space="preserve">SA </w:t>
      </w:r>
      <w:r w:rsidRPr="00E80438">
        <w:rPr>
          <w:rFonts w:ascii="Times New Roman" w:hAnsi="Times New Roman" w:cs="Times New Roman"/>
          <w:sz w:val="24"/>
          <w:szCs w:val="24"/>
        </w:rPr>
        <w:t>has been labeled the most powerful environmental law in the country, if not the world.</w:t>
      </w:r>
      <w:r w:rsidRPr="00E80438">
        <w:rPr>
          <w:rFonts w:ascii="Times New Roman" w:hAnsi="Times New Roman" w:cs="Times New Roman"/>
          <w:sz w:val="24"/>
          <w:szCs w:val="24"/>
          <w:vertAlign w:val="superscript"/>
        </w:rPr>
        <w:footnoteReference w:id="69"/>
      </w:r>
      <w:r w:rsidR="007C24A6">
        <w:rPr>
          <w:rFonts w:ascii="Times New Roman" w:hAnsi="Times New Roman" w:cs="Times New Roman"/>
          <w:sz w:val="24"/>
          <w:szCs w:val="24"/>
        </w:rPr>
        <w:t xml:space="preserve"> </w:t>
      </w:r>
      <w:r w:rsidRPr="00E80438">
        <w:rPr>
          <w:rFonts w:ascii="Times New Roman" w:hAnsi="Times New Roman" w:cs="Times New Roman"/>
          <w:sz w:val="24"/>
          <w:szCs w:val="24"/>
        </w:rPr>
        <w:t xml:space="preserve">This judgement follows from its </w:t>
      </w:r>
      <w:r w:rsidR="00AB6742">
        <w:rPr>
          <w:rFonts w:ascii="Times New Roman" w:hAnsi="Times New Roman" w:cs="Times New Roman"/>
          <w:sz w:val="24"/>
          <w:szCs w:val="24"/>
        </w:rPr>
        <w:t xml:space="preserve">strict </w:t>
      </w:r>
      <w:r w:rsidRPr="00E80438">
        <w:rPr>
          <w:rFonts w:ascii="Times New Roman" w:hAnsi="Times New Roman" w:cs="Times New Roman"/>
          <w:sz w:val="24"/>
          <w:szCs w:val="24"/>
        </w:rPr>
        <w:t xml:space="preserve">prohibition of human actions that could harm targeted species, enforced by civil and criminal penalties. </w:t>
      </w:r>
      <w:r w:rsidR="00AB6742">
        <w:rPr>
          <w:rFonts w:ascii="Times New Roman" w:hAnsi="Times New Roman" w:cs="Times New Roman"/>
          <w:sz w:val="24"/>
          <w:szCs w:val="24"/>
        </w:rPr>
        <w:t>As such, it</w:t>
      </w:r>
      <w:r w:rsidR="00E10F91">
        <w:rPr>
          <w:rFonts w:ascii="Times New Roman" w:hAnsi="Times New Roman" w:cs="Times New Roman"/>
          <w:sz w:val="24"/>
          <w:szCs w:val="24"/>
        </w:rPr>
        <w:t>s</w:t>
      </w:r>
      <w:r>
        <w:rPr>
          <w:rFonts w:ascii="Times New Roman" w:hAnsi="Times New Roman" w:cs="Times New Roman"/>
          <w:sz w:val="24"/>
          <w:szCs w:val="24"/>
        </w:rPr>
        <w:t xml:space="preserve"> thrust is </w:t>
      </w:r>
      <w:r w:rsidR="00AB6742">
        <w:rPr>
          <w:rFonts w:ascii="Times New Roman" w:hAnsi="Times New Roman" w:cs="Times New Roman"/>
          <w:sz w:val="24"/>
          <w:szCs w:val="24"/>
        </w:rPr>
        <w:t xml:space="preserve">clearly Pigouvian. The judgement </w:t>
      </w:r>
      <w:r w:rsidRPr="00E80438">
        <w:rPr>
          <w:rFonts w:ascii="Times New Roman" w:hAnsi="Times New Roman" w:cs="Times New Roman"/>
          <w:sz w:val="24"/>
          <w:szCs w:val="24"/>
        </w:rPr>
        <w:t>is not from demonstrated successes</w:t>
      </w:r>
      <w:r w:rsidR="0075611C">
        <w:rPr>
          <w:rFonts w:ascii="Times New Roman" w:hAnsi="Times New Roman" w:cs="Times New Roman"/>
          <w:sz w:val="24"/>
          <w:szCs w:val="24"/>
        </w:rPr>
        <w:t xml:space="preserve">. </w:t>
      </w:r>
    </w:p>
    <w:p w14:paraId="61E3D1AA" w14:textId="2FBF5D2A" w:rsidR="007A4FE7" w:rsidRDefault="00F854F9" w:rsidP="007A4FE7">
      <w:pPr>
        <w:spacing w:after="0" w:line="360" w:lineRule="auto"/>
        <w:ind w:firstLine="720"/>
        <w:rPr>
          <w:rFonts w:ascii="Times New Roman" w:hAnsi="Times New Roman" w:cs="Times New Roman"/>
          <w:sz w:val="24"/>
          <w:szCs w:val="24"/>
        </w:rPr>
      </w:pPr>
      <w:r w:rsidRPr="00E80438">
        <w:rPr>
          <w:rFonts w:ascii="Times New Roman" w:hAnsi="Times New Roman" w:cs="Times New Roman"/>
          <w:sz w:val="24"/>
          <w:szCs w:val="24"/>
        </w:rPr>
        <w:lastRenderedPageBreak/>
        <w:t>What is clear is that the law has become a lightning rod, surrounded by rancorous debate</w:t>
      </w:r>
      <w:r w:rsidR="00AE59F1">
        <w:rPr>
          <w:rFonts w:ascii="Times New Roman" w:hAnsi="Times New Roman" w:cs="Times New Roman"/>
          <w:sz w:val="24"/>
          <w:szCs w:val="24"/>
        </w:rPr>
        <w:t xml:space="preserve"> in political competition over policy and the rents it provides</w:t>
      </w:r>
      <w:r w:rsidRPr="00E80438">
        <w:rPr>
          <w:rFonts w:ascii="Times New Roman" w:hAnsi="Times New Roman" w:cs="Times New Roman"/>
          <w:sz w:val="24"/>
          <w:szCs w:val="24"/>
        </w:rPr>
        <w:t>.</w:t>
      </w:r>
      <w:r w:rsidRPr="00E80438">
        <w:rPr>
          <w:rFonts w:ascii="Times New Roman" w:hAnsi="Times New Roman" w:cs="Times New Roman"/>
          <w:sz w:val="24"/>
          <w:szCs w:val="24"/>
          <w:vertAlign w:val="superscript"/>
        </w:rPr>
        <w:footnoteReference w:id="70"/>
      </w:r>
      <w:r w:rsidRPr="00E80438">
        <w:rPr>
          <w:rFonts w:ascii="Times New Roman" w:hAnsi="Times New Roman" w:cs="Times New Roman"/>
          <w:sz w:val="24"/>
          <w:szCs w:val="24"/>
        </w:rPr>
        <w:t xml:space="preserve"> </w:t>
      </w:r>
      <w:r w:rsidR="008C1452">
        <w:rPr>
          <w:rFonts w:ascii="Times New Roman" w:hAnsi="Times New Roman" w:cs="Times New Roman"/>
          <w:sz w:val="24"/>
          <w:szCs w:val="24"/>
        </w:rPr>
        <w:t xml:space="preserve">The </w:t>
      </w:r>
      <w:r w:rsidR="00AE59F1">
        <w:rPr>
          <w:rFonts w:ascii="Times New Roman" w:hAnsi="Times New Roman" w:cs="Times New Roman"/>
          <w:sz w:val="24"/>
          <w:szCs w:val="24"/>
        </w:rPr>
        <w:t>ESA</w:t>
      </w:r>
      <w:r w:rsidR="008C1452">
        <w:rPr>
          <w:rFonts w:ascii="Times New Roman" w:hAnsi="Times New Roman" w:cs="Times New Roman"/>
          <w:sz w:val="24"/>
          <w:szCs w:val="24"/>
        </w:rPr>
        <w:t xml:space="preserve"> has not been reauthorized since 19</w:t>
      </w:r>
      <w:r w:rsidR="00337880">
        <w:rPr>
          <w:rFonts w:ascii="Times New Roman" w:hAnsi="Times New Roman" w:cs="Times New Roman"/>
          <w:sz w:val="24"/>
          <w:szCs w:val="24"/>
        </w:rPr>
        <w:t>88</w:t>
      </w:r>
      <w:r w:rsidR="00E10F91">
        <w:rPr>
          <w:rFonts w:ascii="Times New Roman" w:hAnsi="Times New Roman" w:cs="Times New Roman"/>
          <w:sz w:val="24"/>
          <w:szCs w:val="24"/>
        </w:rPr>
        <w:t>, although it continues under previous legislation,</w:t>
      </w:r>
      <w:r w:rsidR="008C1452">
        <w:rPr>
          <w:rFonts w:ascii="Times New Roman" w:hAnsi="Times New Roman" w:cs="Times New Roman"/>
          <w:sz w:val="24"/>
          <w:szCs w:val="24"/>
        </w:rPr>
        <w:t xml:space="preserve"> and budgets have been </w:t>
      </w:r>
      <w:r w:rsidR="0032024B">
        <w:rPr>
          <w:rFonts w:ascii="Times New Roman" w:hAnsi="Times New Roman" w:cs="Times New Roman"/>
          <w:sz w:val="24"/>
          <w:szCs w:val="24"/>
        </w:rPr>
        <w:t xml:space="preserve">more </w:t>
      </w:r>
      <w:r w:rsidR="008C1452">
        <w:rPr>
          <w:rFonts w:ascii="Times New Roman" w:hAnsi="Times New Roman" w:cs="Times New Roman"/>
          <w:sz w:val="24"/>
          <w:szCs w:val="24"/>
        </w:rPr>
        <w:t>limited</w:t>
      </w:r>
      <w:r w:rsidR="0032024B">
        <w:rPr>
          <w:rFonts w:ascii="Times New Roman" w:hAnsi="Times New Roman" w:cs="Times New Roman"/>
          <w:sz w:val="24"/>
          <w:szCs w:val="24"/>
        </w:rPr>
        <w:t xml:space="preserve"> than biologists believe necessary for species recovery</w:t>
      </w:r>
      <w:r w:rsidR="008C1452">
        <w:rPr>
          <w:rFonts w:ascii="Times New Roman" w:hAnsi="Times New Roman" w:cs="Times New Roman"/>
          <w:sz w:val="24"/>
          <w:szCs w:val="24"/>
        </w:rPr>
        <w:t>.</w:t>
      </w:r>
      <w:r w:rsidR="00337880" w:rsidRPr="00337880">
        <w:rPr>
          <w:rFonts w:ascii="Times New Roman" w:hAnsi="Times New Roman" w:cs="Times New Roman"/>
          <w:sz w:val="24"/>
          <w:szCs w:val="24"/>
        </w:rPr>
        <w:t xml:space="preserve"> </w:t>
      </w:r>
      <w:r w:rsidR="00337880" w:rsidRPr="00E80438">
        <w:rPr>
          <w:rFonts w:ascii="Times New Roman" w:hAnsi="Times New Roman" w:cs="Times New Roman"/>
          <w:sz w:val="24"/>
          <w:szCs w:val="24"/>
        </w:rPr>
        <w:t>Efforts to amend and reauthorize the law have not made it out of committee for Congressional vote.  Mired in disagreement</w:t>
      </w:r>
      <w:r w:rsidR="002E2A65">
        <w:rPr>
          <w:rFonts w:ascii="Times New Roman" w:hAnsi="Times New Roman" w:cs="Times New Roman"/>
          <w:sz w:val="24"/>
          <w:szCs w:val="24"/>
        </w:rPr>
        <w:t>,</w:t>
      </w:r>
      <w:r w:rsidR="00337880" w:rsidRPr="00E80438">
        <w:rPr>
          <w:rFonts w:ascii="Times New Roman" w:hAnsi="Times New Roman" w:cs="Times New Roman"/>
          <w:sz w:val="24"/>
          <w:szCs w:val="24"/>
        </w:rPr>
        <w:t xml:space="preserve"> funding has been constrained by congressional opponents.</w:t>
      </w:r>
      <w:r w:rsidR="00337880" w:rsidRPr="00E80438">
        <w:rPr>
          <w:rFonts w:ascii="Times New Roman" w:hAnsi="Times New Roman" w:cs="Times New Roman"/>
          <w:sz w:val="24"/>
          <w:szCs w:val="24"/>
          <w:vertAlign w:val="superscript"/>
        </w:rPr>
        <w:footnoteReference w:id="71"/>
      </w:r>
      <w:r w:rsidR="00337880" w:rsidRPr="00E80438">
        <w:rPr>
          <w:rFonts w:ascii="Times New Roman" w:hAnsi="Times New Roman" w:cs="Times New Roman"/>
          <w:sz w:val="24"/>
          <w:szCs w:val="24"/>
        </w:rPr>
        <w:t xml:space="preserve">  </w:t>
      </w:r>
    </w:p>
    <w:p w14:paraId="23A35F69" w14:textId="30BF83F3" w:rsidR="007A4FE7" w:rsidRDefault="004C42A0" w:rsidP="007A4FE7">
      <w:pPr>
        <w:spacing w:after="0" w:line="360" w:lineRule="auto"/>
        <w:ind w:firstLine="720"/>
        <w:rPr>
          <w:rFonts w:ascii="Times New Roman" w:hAnsi="Times New Roman" w:cs="Times New Roman"/>
          <w:sz w:val="24"/>
          <w:szCs w:val="24"/>
        </w:rPr>
      </w:pPr>
      <w:r w:rsidRPr="00E80438">
        <w:rPr>
          <w:rFonts w:ascii="Times New Roman" w:hAnsi="Times New Roman" w:cs="Times New Roman"/>
          <w:sz w:val="24"/>
          <w:szCs w:val="24"/>
        </w:rPr>
        <w:t>S</w:t>
      </w:r>
      <w:r w:rsidRPr="00E80438">
        <w:rPr>
          <w:rFonts w:ascii="Times New Roman" w:hAnsi="Times New Roman" w:cs="Times New Roman"/>
          <w:color w:val="212121"/>
          <w:sz w:val="24"/>
          <w:szCs w:val="24"/>
        </w:rPr>
        <w:t>ection 4 of the ESA require</w:t>
      </w:r>
      <w:r>
        <w:rPr>
          <w:rFonts w:ascii="Times New Roman" w:hAnsi="Times New Roman" w:cs="Times New Roman"/>
          <w:color w:val="212121"/>
          <w:sz w:val="24"/>
          <w:szCs w:val="24"/>
        </w:rPr>
        <w:t xml:space="preserve">s </w:t>
      </w:r>
      <w:r w:rsidRPr="00E80438">
        <w:rPr>
          <w:rFonts w:ascii="Times New Roman" w:hAnsi="Times New Roman" w:cs="Times New Roman"/>
          <w:color w:val="212121"/>
          <w:sz w:val="24"/>
          <w:szCs w:val="24"/>
        </w:rPr>
        <w:t xml:space="preserve">that </w:t>
      </w:r>
      <w:r w:rsidR="00924F08">
        <w:rPr>
          <w:rFonts w:ascii="Times New Roman" w:hAnsi="Times New Roman" w:cs="Times New Roman"/>
          <w:color w:val="212121"/>
          <w:sz w:val="24"/>
          <w:szCs w:val="24"/>
        </w:rPr>
        <w:t>species</w:t>
      </w:r>
      <w:r w:rsidR="00892FC7">
        <w:rPr>
          <w:rFonts w:ascii="Times New Roman" w:hAnsi="Times New Roman" w:cs="Times New Roman"/>
          <w:color w:val="212121"/>
          <w:sz w:val="24"/>
          <w:szCs w:val="24"/>
        </w:rPr>
        <w:t xml:space="preserve"> </w:t>
      </w:r>
      <w:r w:rsidR="002E2A65">
        <w:rPr>
          <w:rFonts w:ascii="Times New Roman" w:hAnsi="Times New Roman" w:cs="Times New Roman"/>
          <w:color w:val="212121"/>
          <w:sz w:val="24"/>
          <w:szCs w:val="24"/>
        </w:rPr>
        <w:t>listed</w:t>
      </w:r>
      <w:r w:rsidRPr="00E80438">
        <w:rPr>
          <w:rFonts w:ascii="Times New Roman" w:hAnsi="Times New Roman" w:cs="Times New Roman"/>
          <w:color w:val="212121"/>
          <w:sz w:val="24"/>
          <w:szCs w:val="24"/>
        </w:rPr>
        <w:t xml:space="preserve"> </w:t>
      </w:r>
      <w:r w:rsidR="00924F08">
        <w:rPr>
          <w:rFonts w:ascii="Times New Roman" w:hAnsi="Times New Roman" w:cs="Times New Roman"/>
          <w:color w:val="212121"/>
          <w:sz w:val="24"/>
          <w:szCs w:val="24"/>
        </w:rPr>
        <w:t>for the law’s protections</w:t>
      </w:r>
      <w:r w:rsidRPr="00E80438">
        <w:rPr>
          <w:rFonts w:ascii="Times New Roman" w:hAnsi="Times New Roman" w:cs="Times New Roman"/>
          <w:color w:val="212121"/>
          <w:sz w:val="24"/>
          <w:szCs w:val="24"/>
        </w:rPr>
        <w:t xml:space="preserve"> </w:t>
      </w:r>
      <w:r>
        <w:rPr>
          <w:rFonts w:ascii="Times New Roman" w:hAnsi="Times New Roman" w:cs="Times New Roman"/>
          <w:color w:val="212121"/>
          <w:sz w:val="24"/>
          <w:szCs w:val="24"/>
        </w:rPr>
        <w:t xml:space="preserve">are </w:t>
      </w:r>
      <w:r w:rsidRPr="00E80438">
        <w:rPr>
          <w:rFonts w:ascii="Times New Roman" w:hAnsi="Times New Roman" w:cs="Times New Roman"/>
          <w:color w:val="212121"/>
          <w:sz w:val="24"/>
          <w:szCs w:val="24"/>
        </w:rPr>
        <w:t>to be based solely on the best available science “</w:t>
      </w:r>
      <w:r w:rsidRPr="00E80438">
        <w:rPr>
          <w:rFonts w:ascii="Times New Roman" w:hAnsi="Times New Roman" w:cs="Times New Roman"/>
          <w:i/>
          <w:iCs/>
          <w:color w:val="212121"/>
          <w:sz w:val="24"/>
          <w:szCs w:val="24"/>
        </w:rPr>
        <w:t>without reference to possible economic or other impacts of such determination</w:t>
      </w:r>
      <w:r w:rsidR="002A223D">
        <w:rPr>
          <w:rFonts w:ascii="Times New Roman" w:hAnsi="Times New Roman" w:cs="Times New Roman"/>
          <w:color w:val="212121"/>
          <w:sz w:val="24"/>
          <w:szCs w:val="24"/>
        </w:rPr>
        <w:t xml:space="preserve"> [italics added]</w:t>
      </w:r>
      <w:r w:rsidRPr="00E80438">
        <w:rPr>
          <w:rFonts w:ascii="Times New Roman" w:hAnsi="Times New Roman" w:cs="Times New Roman"/>
          <w:color w:val="212121"/>
          <w:sz w:val="24"/>
          <w:szCs w:val="24"/>
        </w:rPr>
        <w:t xml:space="preserve">.” </w:t>
      </w:r>
      <w:r>
        <w:rPr>
          <w:rFonts w:ascii="Times New Roman" w:hAnsi="Times New Roman" w:cs="Times New Roman"/>
          <w:color w:val="212121"/>
          <w:sz w:val="24"/>
          <w:szCs w:val="24"/>
        </w:rPr>
        <w:t>Although a 1978 amendment allowed for economic factors to be considered in c</w:t>
      </w:r>
      <w:r w:rsidRPr="00E80438">
        <w:rPr>
          <w:rFonts w:ascii="Times New Roman" w:hAnsi="Times New Roman" w:cs="Times New Roman"/>
          <w:color w:val="212121"/>
          <w:sz w:val="24"/>
          <w:szCs w:val="24"/>
        </w:rPr>
        <w:t>ritical habitat</w:t>
      </w:r>
      <w:r>
        <w:rPr>
          <w:rFonts w:ascii="Times New Roman" w:hAnsi="Times New Roman" w:cs="Times New Roman"/>
          <w:color w:val="212121"/>
          <w:sz w:val="24"/>
          <w:szCs w:val="24"/>
        </w:rPr>
        <w:t xml:space="preserve"> designation</w:t>
      </w:r>
      <w:r w:rsidR="007A4FE7">
        <w:rPr>
          <w:rFonts w:ascii="Times New Roman" w:hAnsi="Times New Roman" w:cs="Times New Roman"/>
          <w:color w:val="212121"/>
          <w:sz w:val="24"/>
          <w:szCs w:val="24"/>
        </w:rPr>
        <w:t xml:space="preserve"> (not listings)</w:t>
      </w:r>
      <w:r>
        <w:rPr>
          <w:rFonts w:ascii="Times New Roman" w:hAnsi="Times New Roman" w:cs="Times New Roman"/>
          <w:color w:val="212121"/>
          <w:sz w:val="24"/>
          <w:szCs w:val="24"/>
        </w:rPr>
        <w:t>, t</w:t>
      </w:r>
      <w:r w:rsidRPr="00E80438">
        <w:rPr>
          <w:rFonts w:ascii="Times New Roman" w:hAnsi="Times New Roman" w:cs="Times New Roman"/>
          <w:color w:val="212121"/>
          <w:sz w:val="24"/>
          <w:szCs w:val="24"/>
        </w:rPr>
        <w:t xml:space="preserve">he </w:t>
      </w:r>
      <w:r w:rsidR="00AE59F1">
        <w:rPr>
          <w:rFonts w:ascii="Times New Roman" w:hAnsi="Times New Roman" w:cs="Times New Roman"/>
          <w:color w:val="212121"/>
          <w:sz w:val="24"/>
          <w:szCs w:val="24"/>
        </w:rPr>
        <w:t xml:space="preserve">centerpieces </w:t>
      </w:r>
      <w:r w:rsidR="002A223D">
        <w:rPr>
          <w:rFonts w:ascii="Times New Roman" w:hAnsi="Times New Roman" w:cs="Times New Roman"/>
          <w:color w:val="212121"/>
          <w:sz w:val="24"/>
          <w:szCs w:val="24"/>
        </w:rPr>
        <w:t xml:space="preserve">of the law remain </w:t>
      </w:r>
      <w:r w:rsidRPr="00E80438">
        <w:rPr>
          <w:rFonts w:ascii="Times New Roman" w:hAnsi="Times New Roman" w:cs="Times New Roman"/>
          <w:color w:val="212121"/>
          <w:sz w:val="24"/>
          <w:szCs w:val="24"/>
        </w:rPr>
        <w:t xml:space="preserve">biological mandates and not </w:t>
      </w:r>
      <w:r w:rsidR="00AE59F1">
        <w:rPr>
          <w:rFonts w:ascii="Times New Roman" w:hAnsi="Times New Roman" w:cs="Times New Roman"/>
          <w:color w:val="212121"/>
          <w:sz w:val="24"/>
          <w:szCs w:val="24"/>
        </w:rPr>
        <w:t>collaborative, comparatively efficient, and potentially effective solutions as Coase suggested.</w:t>
      </w:r>
      <w:r w:rsidRPr="00E80438">
        <w:rPr>
          <w:rFonts w:ascii="Times New Roman" w:hAnsi="Times New Roman" w:cs="Times New Roman"/>
          <w:sz w:val="24"/>
          <w:szCs w:val="24"/>
          <w:vertAlign w:val="superscript"/>
        </w:rPr>
        <w:t xml:space="preserve"> </w:t>
      </w:r>
      <w:r w:rsidRPr="00E80438">
        <w:rPr>
          <w:rFonts w:ascii="Times New Roman" w:hAnsi="Times New Roman" w:cs="Times New Roman"/>
          <w:sz w:val="24"/>
          <w:szCs w:val="24"/>
          <w:vertAlign w:val="superscript"/>
        </w:rPr>
        <w:footnoteReference w:id="72"/>
      </w:r>
      <w:r w:rsidRPr="0006431D">
        <w:rPr>
          <w:rFonts w:ascii="Times New Roman" w:hAnsi="Times New Roman" w:cs="Times New Roman"/>
          <w:sz w:val="24"/>
          <w:szCs w:val="24"/>
        </w:rPr>
        <w:t xml:space="preserve"> </w:t>
      </w:r>
    </w:p>
    <w:p w14:paraId="0483C566" w14:textId="38C5255D" w:rsidR="007A4FE7" w:rsidRDefault="008C1452" w:rsidP="007A4FE7">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There is no </w:t>
      </w:r>
      <w:r w:rsidR="004C0DE3">
        <w:rPr>
          <w:rFonts w:ascii="Times New Roman" w:hAnsi="Times New Roman" w:cs="Times New Roman"/>
          <w:sz w:val="24"/>
          <w:szCs w:val="24"/>
        </w:rPr>
        <w:t xml:space="preserve">agency </w:t>
      </w:r>
      <w:r>
        <w:rPr>
          <w:rFonts w:ascii="Times New Roman" w:hAnsi="Times New Roman" w:cs="Times New Roman"/>
          <w:sz w:val="24"/>
          <w:szCs w:val="24"/>
        </w:rPr>
        <w:t>cost/benefit analysis that might otherwise focus attention on species most apt to recover</w:t>
      </w:r>
      <w:r w:rsidR="004C42A0">
        <w:rPr>
          <w:rFonts w:ascii="Times New Roman" w:hAnsi="Times New Roman" w:cs="Times New Roman"/>
          <w:sz w:val="24"/>
          <w:szCs w:val="24"/>
        </w:rPr>
        <w:t xml:space="preserve"> or</w:t>
      </w:r>
      <w:r w:rsidR="00D042CD">
        <w:rPr>
          <w:rFonts w:ascii="Times New Roman" w:hAnsi="Times New Roman" w:cs="Times New Roman"/>
          <w:sz w:val="24"/>
          <w:szCs w:val="24"/>
        </w:rPr>
        <w:t xml:space="preserve"> to</w:t>
      </w:r>
      <w:r w:rsidR="004C42A0">
        <w:rPr>
          <w:rFonts w:ascii="Times New Roman" w:hAnsi="Times New Roman" w:cs="Times New Roman"/>
          <w:sz w:val="24"/>
          <w:szCs w:val="24"/>
        </w:rPr>
        <w:t xml:space="preserve"> inform </w:t>
      </w:r>
      <w:r w:rsidR="00924F08">
        <w:rPr>
          <w:rFonts w:ascii="Times New Roman" w:hAnsi="Times New Roman" w:cs="Times New Roman"/>
          <w:sz w:val="24"/>
          <w:szCs w:val="24"/>
        </w:rPr>
        <w:t xml:space="preserve">agency </w:t>
      </w:r>
      <w:r w:rsidR="004C42A0">
        <w:rPr>
          <w:rFonts w:ascii="Times New Roman" w:hAnsi="Times New Roman" w:cs="Times New Roman"/>
          <w:sz w:val="24"/>
          <w:szCs w:val="24"/>
        </w:rPr>
        <w:t xml:space="preserve">budget </w:t>
      </w:r>
      <w:r w:rsidR="00924F08">
        <w:rPr>
          <w:rFonts w:ascii="Times New Roman" w:hAnsi="Times New Roman" w:cs="Times New Roman"/>
          <w:sz w:val="24"/>
          <w:szCs w:val="24"/>
        </w:rPr>
        <w:t xml:space="preserve">allocation </w:t>
      </w:r>
      <w:r w:rsidR="004C42A0">
        <w:rPr>
          <w:rFonts w:ascii="Times New Roman" w:hAnsi="Times New Roman" w:cs="Times New Roman"/>
          <w:sz w:val="24"/>
          <w:szCs w:val="24"/>
        </w:rPr>
        <w:t xml:space="preserve">and actions. </w:t>
      </w:r>
      <w:r w:rsidR="007A4FE7">
        <w:rPr>
          <w:rFonts w:ascii="Times New Roman" w:hAnsi="Times New Roman" w:cs="Times New Roman"/>
          <w:sz w:val="24"/>
          <w:szCs w:val="24"/>
        </w:rPr>
        <w:t>Under the law, the FWS must devote scarce resources to listed species, regardless of recovery potential.</w:t>
      </w:r>
      <w:r w:rsidR="007A4FE7" w:rsidRPr="007A4FE7">
        <w:rPr>
          <w:rFonts w:ascii="Times New Roman" w:hAnsi="Times New Roman" w:cs="Times New Roman"/>
          <w:sz w:val="24"/>
          <w:szCs w:val="24"/>
        </w:rPr>
        <w:t xml:space="preserve"> </w:t>
      </w:r>
      <w:r w:rsidR="007A4FE7" w:rsidRPr="00E80438">
        <w:rPr>
          <w:rFonts w:ascii="Times New Roman" w:hAnsi="Times New Roman" w:cs="Times New Roman"/>
          <w:sz w:val="24"/>
          <w:szCs w:val="24"/>
        </w:rPr>
        <w:t xml:space="preserve">The </w:t>
      </w:r>
      <w:r w:rsidR="007A4FE7">
        <w:rPr>
          <w:rFonts w:ascii="Times New Roman" w:hAnsi="Times New Roman" w:cs="Times New Roman"/>
          <w:sz w:val="24"/>
          <w:szCs w:val="24"/>
        </w:rPr>
        <w:t>agency</w:t>
      </w:r>
      <w:r w:rsidR="0075611C">
        <w:rPr>
          <w:rFonts w:ascii="Times New Roman" w:hAnsi="Times New Roman" w:cs="Times New Roman"/>
          <w:sz w:val="24"/>
          <w:szCs w:val="24"/>
        </w:rPr>
        <w:t xml:space="preserve"> is</w:t>
      </w:r>
      <w:r w:rsidR="007A4FE7">
        <w:rPr>
          <w:rFonts w:ascii="Times New Roman" w:hAnsi="Times New Roman" w:cs="Times New Roman"/>
          <w:sz w:val="24"/>
          <w:szCs w:val="24"/>
        </w:rPr>
        <w:t xml:space="preserve"> </w:t>
      </w:r>
      <w:r w:rsidR="007A4FE7" w:rsidRPr="00E80438">
        <w:rPr>
          <w:rFonts w:ascii="Times New Roman" w:hAnsi="Times New Roman" w:cs="Times New Roman"/>
          <w:sz w:val="24"/>
          <w:szCs w:val="24"/>
        </w:rPr>
        <w:t xml:space="preserve">to conserve species listed as endangered or threatened by using “all methods and procedures which are necessary to bring any endangered species or threatened species to the point at which the measures provided pursuant to this chapter are no longer necessary.” </w:t>
      </w:r>
      <w:r w:rsidR="007A4FE7" w:rsidRPr="00E80438">
        <w:rPr>
          <w:rFonts w:ascii="Times New Roman" w:hAnsi="Times New Roman" w:cs="Times New Roman"/>
          <w:sz w:val="24"/>
          <w:szCs w:val="24"/>
          <w:vertAlign w:val="superscript"/>
        </w:rPr>
        <w:footnoteReference w:id="73"/>
      </w:r>
    </w:p>
    <w:p w14:paraId="75ACF026" w14:textId="28CC1CC3" w:rsidR="00C62C81" w:rsidRDefault="0006431D" w:rsidP="0006431D">
      <w:pPr>
        <w:spacing w:after="0" w:line="360" w:lineRule="auto"/>
        <w:ind w:firstLine="720"/>
        <w:rPr>
          <w:rFonts w:ascii="Times New Roman" w:hAnsi="Times New Roman" w:cs="Times New Roman"/>
          <w:sz w:val="24"/>
          <w:szCs w:val="24"/>
        </w:rPr>
      </w:pPr>
      <w:r w:rsidRPr="00E80438">
        <w:rPr>
          <w:rFonts w:ascii="Times New Roman" w:hAnsi="Times New Roman" w:cs="Times New Roman"/>
          <w:sz w:val="24"/>
          <w:szCs w:val="24"/>
        </w:rPr>
        <w:t>Section 9 prohibit</w:t>
      </w:r>
      <w:r>
        <w:rPr>
          <w:rFonts w:ascii="Times New Roman" w:hAnsi="Times New Roman" w:cs="Times New Roman"/>
          <w:sz w:val="24"/>
          <w:szCs w:val="24"/>
        </w:rPr>
        <w:t>s</w:t>
      </w:r>
      <w:r w:rsidRPr="00E80438">
        <w:rPr>
          <w:rFonts w:ascii="Times New Roman" w:hAnsi="Times New Roman" w:cs="Times New Roman"/>
          <w:sz w:val="24"/>
          <w:szCs w:val="24"/>
        </w:rPr>
        <w:t xml:space="preserve"> any unauthorized “taking” of endangered species on private lands (16 USC</w:t>
      </w:r>
      <w:r w:rsidRPr="00E80438">
        <w:rPr>
          <w:rFonts w:ascii="Times New Roman" w:hAnsi="Times New Roman" w:cs="Times New Roman"/>
          <w:color w:val="1F1F1F"/>
          <w:sz w:val="24"/>
          <w:szCs w:val="24"/>
          <w:shd w:val="clear" w:color="auto" w:fill="FFFFFF"/>
        </w:rPr>
        <w:t xml:space="preserve"> §</w:t>
      </w:r>
      <w:r w:rsidRPr="00E80438">
        <w:rPr>
          <w:rFonts w:ascii="Times New Roman" w:hAnsi="Times New Roman" w:cs="Times New Roman"/>
          <w:sz w:val="24"/>
          <w:szCs w:val="24"/>
        </w:rPr>
        <w:t>1538).  Taking not only include</w:t>
      </w:r>
      <w:r>
        <w:rPr>
          <w:rFonts w:ascii="Times New Roman" w:hAnsi="Times New Roman" w:cs="Times New Roman"/>
          <w:sz w:val="24"/>
          <w:szCs w:val="24"/>
        </w:rPr>
        <w:t>s</w:t>
      </w:r>
      <w:r w:rsidRPr="00E80438">
        <w:rPr>
          <w:rFonts w:ascii="Times New Roman" w:hAnsi="Times New Roman" w:cs="Times New Roman"/>
          <w:sz w:val="24"/>
          <w:szCs w:val="24"/>
        </w:rPr>
        <w:t xml:space="preserve"> killing, wounding, or capturing an endangered species, but also destroying or adversely modifying its habitat. Violators </w:t>
      </w:r>
      <w:r>
        <w:rPr>
          <w:rFonts w:ascii="Times New Roman" w:hAnsi="Times New Roman" w:cs="Times New Roman"/>
          <w:sz w:val="24"/>
          <w:szCs w:val="24"/>
        </w:rPr>
        <w:t xml:space="preserve">are </w:t>
      </w:r>
      <w:r w:rsidRPr="00E80438">
        <w:rPr>
          <w:rFonts w:ascii="Times New Roman" w:hAnsi="Times New Roman" w:cs="Times New Roman"/>
          <w:sz w:val="24"/>
          <w:szCs w:val="24"/>
        </w:rPr>
        <w:t xml:space="preserve">subject to fines and other civil and criminal penalties. </w:t>
      </w:r>
    </w:p>
    <w:p w14:paraId="0887DD78" w14:textId="21AB7F56" w:rsidR="005953AD" w:rsidRDefault="00C62C81" w:rsidP="005953AD">
      <w:pPr>
        <w:spacing w:after="0" w:line="360" w:lineRule="auto"/>
        <w:ind w:firstLine="720"/>
        <w:rPr>
          <w:rFonts w:ascii="Times New Roman" w:hAnsi="Times New Roman" w:cs="Times New Roman"/>
          <w:sz w:val="24"/>
          <w:szCs w:val="24"/>
        </w:rPr>
      </w:pPr>
      <w:r w:rsidRPr="00C62C81">
        <w:rPr>
          <w:rFonts w:ascii="Times New Roman" w:hAnsi="Times New Roman" w:cs="Times New Roman"/>
          <w:sz w:val="24"/>
          <w:szCs w:val="24"/>
        </w:rPr>
        <w:t xml:space="preserve"> </w:t>
      </w:r>
      <w:r w:rsidRPr="00E80438">
        <w:rPr>
          <w:rFonts w:ascii="Times New Roman" w:hAnsi="Times New Roman" w:cs="Times New Roman"/>
          <w:sz w:val="24"/>
          <w:szCs w:val="24"/>
        </w:rPr>
        <w:t xml:space="preserve">Overall, economic impacts </w:t>
      </w:r>
      <w:r w:rsidR="002A223D">
        <w:rPr>
          <w:rFonts w:ascii="Times New Roman" w:hAnsi="Times New Roman" w:cs="Times New Roman"/>
          <w:sz w:val="24"/>
          <w:szCs w:val="24"/>
        </w:rPr>
        <w:t xml:space="preserve">are </w:t>
      </w:r>
      <w:r w:rsidRPr="00E80438">
        <w:rPr>
          <w:rFonts w:ascii="Times New Roman" w:hAnsi="Times New Roman" w:cs="Times New Roman"/>
          <w:sz w:val="24"/>
          <w:szCs w:val="24"/>
        </w:rPr>
        <w:t>not integral to policy</w:t>
      </w:r>
      <w:r w:rsidR="002A223D">
        <w:rPr>
          <w:rFonts w:ascii="Times New Roman" w:hAnsi="Times New Roman" w:cs="Times New Roman"/>
          <w:sz w:val="24"/>
          <w:szCs w:val="24"/>
        </w:rPr>
        <w:t xml:space="preserve"> as is the case with </w:t>
      </w:r>
      <w:r w:rsidR="00A357CA">
        <w:rPr>
          <w:rFonts w:ascii="Times New Roman" w:hAnsi="Times New Roman" w:cs="Times New Roman"/>
          <w:sz w:val="24"/>
          <w:szCs w:val="24"/>
        </w:rPr>
        <w:t xml:space="preserve">other </w:t>
      </w:r>
      <w:r w:rsidR="002A223D">
        <w:rPr>
          <w:rFonts w:ascii="Times New Roman" w:hAnsi="Times New Roman" w:cs="Times New Roman"/>
          <w:sz w:val="24"/>
          <w:szCs w:val="24"/>
        </w:rPr>
        <w:t>environmental legislation in Table 1</w:t>
      </w:r>
      <w:r>
        <w:rPr>
          <w:rFonts w:ascii="Times New Roman" w:hAnsi="Times New Roman" w:cs="Times New Roman"/>
          <w:sz w:val="24"/>
          <w:szCs w:val="24"/>
        </w:rPr>
        <w:t>.</w:t>
      </w:r>
      <w:r w:rsidRPr="00E80438">
        <w:rPr>
          <w:rFonts w:ascii="Times New Roman" w:hAnsi="Times New Roman" w:cs="Times New Roman"/>
          <w:sz w:val="24"/>
          <w:szCs w:val="24"/>
        </w:rPr>
        <w:t xml:space="preserve"> </w:t>
      </w:r>
      <w:r w:rsidR="005953AD" w:rsidRPr="00E80438">
        <w:rPr>
          <w:rFonts w:ascii="Times New Roman" w:hAnsi="Times New Roman" w:cs="Times New Roman"/>
          <w:sz w:val="24"/>
          <w:szCs w:val="24"/>
        </w:rPr>
        <w:t xml:space="preserve">Indeed, in 1978 in </w:t>
      </w:r>
      <w:r w:rsidR="005953AD" w:rsidRPr="00E80438">
        <w:rPr>
          <w:rFonts w:ascii="Times New Roman" w:hAnsi="Times New Roman" w:cs="Times New Roman"/>
          <w:i/>
          <w:iCs/>
          <w:sz w:val="24"/>
          <w:szCs w:val="24"/>
        </w:rPr>
        <w:t xml:space="preserve">Tennessee Valley Authority v. Hill </w:t>
      </w:r>
      <w:r w:rsidR="005953AD" w:rsidRPr="00E80438">
        <w:rPr>
          <w:rFonts w:ascii="Times New Roman" w:hAnsi="Times New Roman" w:cs="Times New Roman"/>
          <w:sz w:val="24"/>
          <w:szCs w:val="24"/>
        </w:rPr>
        <w:t xml:space="preserve">the </w:t>
      </w:r>
      <w:r w:rsidR="005953AD" w:rsidRPr="00E80438">
        <w:rPr>
          <w:rFonts w:ascii="Times New Roman" w:hAnsi="Times New Roman" w:cs="Times New Roman"/>
          <w:sz w:val="24"/>
          <w:szCs w:val="24"/>
        </w:rPr>
        <w:lastRenderedPageBreak/>
        <w:t xml:space="preserve">U.S. Supreme Court held that the ESA explicitly placed species conservation above other social goals when in conflict. The court held that “The plain intent of Congress in enacting this stature was to halt and reverse the trend toward species extinction, </w:t>
      </w:r>
      <w:r w:rsidR="005953AD" w:rsidRPr="00E80438">
        <w:rPr>
          <w:rFonts w:ascii="Times New Roman" w:hAnsi="Times New Roman" w:cs="Times New Roman"/>
          <w:i/>
          <w:iCs/>
          <w:sz w:val="24"/>
          <w:szCs w:val="24"/>
        </w:rPr>
        <w:t>whatever the cost</w:t>
      </w:r>
      <w:r w:rsidR="00EE05EA">
        <w:rPr>
          <w:rFonts w:ascii="Times New Roman" w:hAnsi="Times New Roman" w:cs="Times New Roman"/>
          <w:i/>
          <w:iCs/>
          <w:sz w:val="24"/>
          <w:szCs w:val="24"/>
        </w:rPr>
        <w:t>.”</w:t>
      </w:r>
      <w:r w:rsidR="00EE05EA">
        <w:rPr>
          <w:rFonts w:ascii="Times New Roman" w:hAnsi="Times New Roman" w:cs="Times New Roman"/>
          <w:sz w:val="24"/>
          <w:szCs w:val="24"/>
        </w:rPr>
        <w:t xml:space="preserve"> </w:t>
      </w:r>
      <w:r w:rsidR="002A223D">
        <w:rPr>
          <w:rFonts w:ascii="Times New Roman" w:hAnsi="Times New Roman" w:cs="Times New Roman"/>
          <w:sz w:val="24"/>
          <w:szCs w:val="24"/>
        </w:rPr>
        <w:t>[italics added]</w:t>
      </w:r>
      <w:r w:rsidR="005953AD" w:rsidRPr="00E80438">
        <w:rPr>
          <w:rFonts w:ascii="Times New Roman" w:hAnsi="Times New Roman" w:cs="Times New Roman"/>
          <w:i/>
          <w:iCs/>
          <w:sz w:val="24"/>
          <w:szCs w:val="24"/>
        </w:rPr>
        <w:t xml:space="preserve"> </w:t>
      </w:r>
      <w:r w:rsidR="005953AD" w:rsidRPr="00E80438">
        <w:rPr>
          <w:rFonts w:ascii="Times New Roman" w:hAnsi="Times New Roman" w:cs="Times New Roman"/>
          <w:sz w:val="24"/>
          <w:szCs w:val="24"/>
        </w:rPr>
        <w:t>(437 US 153, 184. 1978).</w:t>
      </w:r>
      <w:r w:rsidR="005953AD" w:rsidRPr="005953AD">
        <w:rPr>
          <w:rFonts w:ascii="Times New Roman" w:hAnsi="Times New Roman" w:cs="Times New Roman"/>
          <w:sz w:val="24"/>
          <w:szCs w:val="24"/>
        </w:rPr>
        <w:t xml:space="preserve"> </w:t>
      </w:r>
    </w:p>
    <w:p w14:paraId="5F9CF5AC" w14:textId="1303557D" w:rsidR="005953AD" w:rsidRPr="00E80438" w:rsidRDefault="005953AD" w:rsidP="00353651">
      <w:pPr>
        <w:spacing w:after="0" w:line="360" w:lineRule="auto"/>
        <w:ind w:firstLine="720"/>
        <w:rPr>
          <w:rFonts w:ascii="Times New Roman" w:hAnsi="Times New Roman" w:cs="Times New Roman"/>
          <w:sz w:val="24"/>
          <w:szCs w:val="24"/>
        </w:rPr>
      </w:pPr>
      <w:r w:rsidRPr="00E80438">
        <w:rPr>
          <w:rFonts w:ascii="Times New Roman" w:hAnsi="Times New Roman" w:cs="Times New Roman"/>
          <w:sz w:val="24"/>
          <w:szCs w:val="24"/>
        </w:rPr>
        <w:t xml:space="preserve">With </w:t>
      </w:r>
      <w:r w:rsidR="002A223D">
        <w:rPr>
          <w:rFonts w:ascii="Times New Roman" w:hAnsi="Times New Roman" w:cs="Times New Roman"/>
          <w:sz w:val="24"/>
          <w:szCs w:val="24"/>
        </w:rPr>
        <w:t>policy rent seeking</w:t>
      </w:r>
      <w:r w:rsidRPr="00E80438">
        <w:rPr>
          <w:rFonts w:ascii="Times New Roman" w:hAnsi="Times New Roman" w:cs="Times New Roman"/>
          <w:sz w:val="24"/>
          <w:szCs w:val="24"/>
        </w:rPr>
        <w:t xml:space="preserve"> it is difficult to answer the question of how far restrictions on private resource use should go. For advocates, they should go far enough to bring the target species back from the edge of extinction. The costs involved would be those necessary to achieve the goal. </w:t>
      </w:r>
      <w:r w:rsidR="00EE05EA">
        <w:rPr>
          <w:rFonts w:ascii="Times New Roman" w:hAnsi="Times New Roman" w:cs="Times New Roman"/>
          <w:sz w:val="24"/>
          <w:szCs w:val="24"/>
        </w:rPr>
        <w:t xml:space="preserve">For landowners regulated under the law, </w:t>
      </w:r>
      <w:r w:rsidR="00353651">
        <w:rPr>
          <w:rFonts w:ascii="Times New Roman" w:hAnsi="Times New Roman" w:cs="Times New Roman"/>
          <w:sz w:val="24"/>
          <w:szCs w:val="24"/>
        </w:rPr>
        <w:t xml:space="preserve">the </w:t>
      </w:r>
      <w:r w:rsidR="00EE05EA">
        <w:rPr>
          <w:rFonts w:ascii="Times New Roman" w:hAnsi="Times New Roman" w:cs="Times New Roman"/>
          <w:sz w:val="24"/>
          <w:szCs w:val="24"/>
        </w:rPr>
        <w:t xml:space="preserve">costs they bear </w:t>
      </w:r>
      <w:r w:rsidR="00A357CA">
        <w:rPr>
          <w:rFonts w:ascii="Times New Roman" w:hAnsi="Times New Roman" w:cs="Times New Roman"/>
          <w:sz w:val="24"/>
          <w:szCs w:val="24"/>
        </w:rPr>
        <w:t xml:space="preserve">to provide a public good </w:t>
      </w:r>
      <w:r w:rsidR="00EE05EA">
        <w:rPr>
          <w:rFonts w:ascii="Times New Roman" w:hAnsi="Times New Roman" w:cs="Times New Roman"/>
          <w:sz w:val="24"/>
          <w:szCs w:val="24"/>
        </w:rPr>
        <w:t>should be paramount. There are no clear grounds for negotiation and compromise.</w:t>
      </w:r>
      <w:r w:rsidR="00353651">
        <w:rPr>
          <w:rFonts w:ascii="Times New Roman" w:hAnsi="Times New Roman" w:cs="Times New Roman"/>
          <w:sz w:val="24"/>
          <w:szCs w:val="24"/>
        </w:rPr>
        <w:t xml:space="preserve">  </w:t>
      </w:r>
      <w:r w:rsidR="007301B4">
        <w:rPr>
          <w:rFonts w:ascii="Times New Roman" w:hAnsi="Times New Roman" w:cs="Times New Roman"/>
          <w:sz w:val="24"/>
          <w:szCs w:val="24"/>
        </w:rPr>
        <w:t>The d</w:t>
      </w:r>
      <w:r w:rsidR="00353651">
        <w:rPr>
          <w:rFonts w:ascii="Times New Roman" w:hAnsi="Times New Roman" w:cs="Times New Roman"/>
          <w:sz w:val="24"/>
          <w:szCs w:val="24"/>
        </w:rPr>
        <w:t>ifferential</w:t>
      </w:r>
      <w:r w:rsidR="00892FC7">
        <w:rPr>
          <w:rFonts w:ascii="Times New Roman" w:hAnsi="Times New Roman" w:cs="Times New Roman"/>
          <w:sz w:val="24"/>
          <w:szCs w:val="24"/>
        </w:rPr>
        <w:t xml:space="preserve"> incidents of </w:t>
      </w:r>
      <w:r w:rsidR="00353651">
        <w:rPr>
          <w:rFonts w:ascii="Times New Roman" w:hAnsi="Times New Roman" w:cs="Times New Roman"/>
          <w:sz w:val="24"/>
          <w:szCs w:val="24"/>
        </w:rPr>
        <w:t xml:space="preserve">costs undermine collective efforts at species protection and </w:t>
      </w:r>
      <w:r w:rsidR="00A357CA">
        <w:rPr>
          <w:rFonts w:ascii="Times New Roman" w:hAnsi="Times New Roman" w:cs="Times New Roman"/>
          <w:sz w:val="24"/>
          <w:szCs w:val="24"/>
        </w:rPr>
        <w:t xml:space="preserve">likely contribute to </w:t>
      </w:r>
      <w:r w:rsidR="00353651">
        <w:rPr>
          <w:rFonts w:ascii="Times New Roman" w:hAnsi="Times New Roman" w:cs="Times New Roman"/>
          <w:sz w:val="24"/>
          <w:szCs w:val="24"/>
        </w:rPr>
        <w:t xml:space="preserve">ESA’s limited recovery results.  </w:t>
      </w:r>
    </w:p>
    <w:p w14:paraId="1D272B67" w14:textId="5BDA9BC9" w:rsidR="00C62C81" w:rsidRDefault="00C62C81" w:rsidP="00C62C81">
      <w:pPr>
        <w:pStyle w:val="NormalWeb"/>
        <w:shd w:val="clear" w:color="auto" w:fill="FFFFFF"/>
        <w:spacing w:before="0" w:beforeAutospacing="0" w:after="0" w:afterAutospacing="0" w:line="360" w:lineRule="auto"/>
        <w:ind w:firstLine="720"/>
        <w:rPr>
          <w:color w:val="333333"/>
        </w:rPr>
      </w:pPr>
      <w:r>
        <w:rPr>
          <w:color w:val="333333"/>
        </w:rPr>
        <w:t xml:space="preserve">Although the ESA was not to consider economic costs in listings, </w:t>
      </w:r>
      <w:r w:rsidR="00DE4FE1">
        <w:rPr>
          <w:color w:val="333333"/>
        </w:rPr>
        <w:t xml:space="preserve">some </w:t>
      </w:r>
      <w:r>
        <w:rPr>
          <w:color w:val="333333"/>
        </w:rPr>
        <w:t>cost assessments shifted sharply when they became politically significant, as with Congress’s overriding of delay in construction of the Tellico Dam in Tennessee</w:t>
      </w:r>
      <w:r w:rsidR="00DE4FE1">
        <w:rPr>
          <w:color w:val="333333"/>
        </w:rPr>
        <w:t>. There were</w:t>
      </w:r>
      <w:r w:rsidR="00FC0857">
        <w:rPr>
          <w:color w:val="333333"/>
        </w:rPr>
        <w:t xml:space="preserve"> litigated concerns about the endangered snail darter</w:t>
      </w:r>
      <w:r>
        <w:rPr>
          <w:color w:val="333333"/>
        </w:rPr>
        <w:t>.</w:t>
      </w:r>
      <w:r w:rsidR="00FC0857">
        <w:rPr>
          <w:rStyle w:val="FootnoteReference"/>
          <w:color w:val="333333"/>
        </w:rPr>
        <w:footnoteReference w:id="74"/>
      </w:r>
      <w:r>
        <w:rPr>
          <w:color w:val="333333"/>
        </w:rPr>
        <w:t xml:space="preserve"> Congress responded in 1978 by amending the ESA to require economic considerations in critical habitat declarations.</w:t>
      </w:r>
      <w:r>
        <w:rPr>
          <w:rStyle w:val="FootnoteReference"/>
          <w:color w:val="333333"/>
        </w:rPr>
        <w:footnoteReference w:id="75"/>
      </w:r>
      <w:r>
        <w:rPr>
          <w:color w:val="333333"/>
        </w:rPr>
        <w:t xml:space="preserve"> After the dam controversy, the snail darter was found to have other populations</w:t>
      </w:r>
      <w:r w:rsidR="00EE05EA">
        <w:rPr>
          <w:color w:val="333333"/>
        </w:rPr>
        <w:t>;</w:t>
      </w:r>
      <w:r>
        <w:rPr>
          <w:color w:val="333333"/>
        </w:rPr>
        <w:t xml:space="preserve"> moved from being categorized as endangered to threatened</w:t>
      </w:r>
      <w:r w:rsidR="00EE05EA">
        <w:rPr>
          <w:color w:val="333333"/>
        </w:rPr>
        <w:t>;</w:t>
      </w:r>
      <w:r>
        <w:rPr>
          <w:color w:val="333333"/>
        </w:rPr>
        <w:t xml:space="preserve"> and finally delisted as recovered in 2022.</w:t>
      </w:r>
      <w:r w:rsidR="00B7608B">
        <w:rPr>
          <w:rStyle w:val="FootnoteReference"/>
          <w:color w:val="333333"/>
        </w:rPr>
        <w:footnoteReference w:id="76"/>
      </w:r>
    </w:p>
    <w:p w14:paraId="6C105C1A" w14:textId="3A11A9CF" w:rsidR="001B4A7D" w:rsidRDefault="00FC0857" w:rsidP="00900A79">
      <w:pPr>
        <w:tabs>
          <w:tab w:val="left" w:pos="4430"/>
        </w:tabs>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 general neglect of </w:t>
      </w:r>
      <w:r w:rsidR="00C62C81" w:rsidRPr="00E80438">
        <w:rPr>
          <w:rFonts w:ascii="Times New Roman" w:hAnsi="Times New Roman" w:cs="Times New Roman"/>
          <w:sz w:val="24"/>
          <w:szCs w:val="24"/>
        </w:rPr>
        <w:t xml:space="preserve">costs </w:t>
      </w:r>
      <w:r>
        <w:rPr>
          <w:rFonts w:ascii="Times New Roman" w:hAnsi="Times New Roman" w:cs="Times New Roman"/>
          <w:sz w:val="24"/>
          <w:szCs w:val="24"/>
        </w:rPr>
        <w:t xml:space="preserve">can lead </w:t>
      </w:r>
      <w:r w:rsidR="00A6445C">
        <w:rPr>
          <w:rFonts w:ascii="Times New Roman" w:hAnsi="Times New Roman" w:cs="Times New Roman"/>
          <w:sz w:val="24"/>
          <w:szCs w:val="24"/>
        </w:rPr>
        <w:t xml:space="preserve">potentially </w:t>
      </w:r>
      <w:r>
        <w:rPr>
          <w:rFonts w:ascii="Times New Roman" w:hAnsi="Times New Roman" w:cs="Times New Roman"/>
          <w:sz w:val="24"/>
          <w:szCs w:val="24"/>
        </w:rPr>
        <w:t xml:space="preserve">to </w:t>
      </w:r>
      <w:r w:rsidR="00C62C81" w:rsidRPr="00E80438">
        <w:rPr>
          <w:rFonts w:ascii="Times New Roman" w:hAnsi="Times New Roman" w:cs="Times New Roman"/>
          <w:sz w:val="24"/>
          <w:szCs w:val="24"/>
        </w:rPr>
        <w:t xml:space="preserve">too much </w:t>
      </w:r>
      <w:r>
        <w:rPr>
          <w:rFonts w:ascii="Times New Roman" w:hAnsi="Times New Roman" w:cs="Times New Roman"/>
          <w:sz w:val="24"/>
          <w:szCs w:val="24"/>
        </w:rPr>
        <w:t xml:space="preserve">costly </w:t>
      </w:r>
      <w:r w:rsidR="00C62C81" w:rsidRPr="00E80438">
        <w:rPr>
          <w:rFonts w:ascii="Times New Roman" w:hAnsi="Times New Roman" w:cs="Times New Roman"/>
          <w:sz w:val="24"/>
          <w:szCs w:val="24"/>
        </w:rPr>
        <w:t>protection</w:t>
      </w:r>
      <w:r>
        <w:rPr>
          <w:rFonts w:ascii="Times New Roman" w:hAnsi="Times New Roman" w:cs="Times New Roman"/>
          <w:sz w:val="24"/>
          <w:szCs w:val="24"/>
        </w:rPr>
        <w:t xml:space="preserve"> as Coase warned.  </w:t>
      </w:r>
      <w:r w:rsidR="001F00BA">
        <w:rPr>
          <w:rFonts w:ascii="Times New Roman" w:hAnsi="Times New Roman" w:cs="Times New Roman"/>
          <w:sz w:val="24"/>
          <w:szCs w:val="24"/>
        </w:rPr>
        <w:t>None of the examples of high costs necessarily are evidence that costs exceeded benefits. The required cost/benefit assessments were not done.</w:t>
      </w:r>
      <w:r w:rsidR="00C85076">
        <w:rPr>
          <w:rFonts w:ascii="Times New Roman" w:hAnsi="Times New Roman" w:cs="Times New Roman"/>
          <w:sz w:val="24"/>
          <w:szCs w:val="24"/>
        </w:rPr>
        <w:t xml:space="preserve">  </w:t>
      </w:r>
      <w:r w:rsidR="00C62C81" w:rsidRPr="00E80438">
        <w:rPr>
          <w:rFonts w:ascii="Times New Roman" w:hAnsi="Times New Roman" w:cs="Times New Roman"/>
          <w:sz w:val="24"/>
          <w:szCs w:val="24"/>
        </w:rPr>
        <w:t xml:space="preserve">The possibility </w:t>
      </w:r>
      <w:r w:rsidR="00C62C81">
        <w:rPr>
          <w:rFonts w:ascii="Times New Roman" w:hAnsi="Times New Roman" w:cs="Times New Roman"/>
          <w:sz w:val="24"/>
          <w:szCs w:val="24"/>
        </w:rPr>
        <w:t xml:space="preserve">of excessive regulation </w:t>
      </w:r>
      <w:r w:rsidR="00C62C81" w:rsidRPr="00E80438">
        <w:rPr>
          <w:rFonts w:ascii="Times New Roman" w:hAnsi="Times New Roman" w:cs="Times New Roman"/>
          <w:sz w:val="24"/>
          <w:szCs w:val="24"/>
        </w:rPr>
        <w:t xml:space="preserve">was illustrated by </w:t>
      </w:r>
      <w:r>
        <w:rPr>
          <w:rFonts w:ascii="Times New Roman" w:hAnsi="Times New Roman" w:cs="Times New Roman"/>
          <w:sz w:val="24"/>
          <w:szCs w:val="24"/>
        </w:rPr>
        <w:t xml:space="preserve">the dusty gopher frog (listed in 2001) case in </w:t>
      </w:r>
      <w:r w:rsidR="00C62C81" w:rsidRPr="00E80438">
        <w:rPr>
          <w:rFonts w:ascii="Times New Roman" w:hAnsi="Times New Roman" w:cs="Times New Roman"/>
          <w:sz w:val="24"/>
          <w:szCs w:val="24"/>
        </w:rPr>
        <w:t xml:space="preserve">2018 </w:t>
      </w:r>
      <w:r>
        <w:rPr>
          <w:rFonts w:ascii="Times New Roman" w:hAnsi="Times New Roman" w:cs="Times New Roman"/>
          <w:sz w:val="24"/>
          <w:szCs w:val="24"/>
        </w:rPr>
        <w:t>(</w:t>
      </w:r>
      <w:r w:rsidR="00C62C81" w:rsidRPr="00E80438">
        <w:rPr>
          <w:rFonts w:ascii="Times New Roman" w:hAnsi="Times New Roman" w:cs="Times New Roman"/>
          <w:i/>
          <w:iCs/>
          <w:sz w:val="24"/>
          <w:szCs w:val="24"/>
        </w:rPr>
        <w:t>Weyerhaeuser Co. v. U.S. Fish and Wildlife Service</w:t>
      </w:r>
      <w:r>
        <w:rPr>
          <w:rFonts w:ascii="Times New Roman" w:hAnsi="Times New Roman" w:cs="Times New Roman"/>
          <w:sz w:val="24"/>
          <w:szCs w:val="24"/>
        </w:rPr>
        <w:t>).</w:t>
      </w:r>
      <w:r w:rsidR="00C62C81" w:rsidRPr="00E80438">
        <w:rPr>
          <w:rFonts w:ascii="Times New Roman" w:hAnsi="Times New Roman" w:cs="Times New Roman"/>
          <w:sz w:val="24"/>
          <w:szCs w:val="24"/>
          <w:vertAlign w:val="superscript"/>
        </w:rPr>
        <w:footnoteReference w:id="77"/>
      </w:r>
      <w:r w:rsidR="00C62C81" w:rsidRPr="00E80438">
        <w:rPr>
          <w:rFonts w:ascii="Times New Roman" w:hAnsi="Times New Roman" w:cs="Times New Roman"/>
          <w:sz w:val="24"/>
          <w:szCs w:val="24"/>
        </w:rPr>
        <w:t xml:space="preserve"> The </w:t>
      </w:r>
      <w:r w:rsidR="00C62C81">
        <w:rPr>
          <w:rFonts w:ascii="Times New Roman" w:hAnsi="Times New Roman" w:cs="Times New Roman"/>
          <w:sz w:val="24"/>
          <w:szCs w:val="24"/>
        </w:rPr>
        <w:t xml:space="preserve">FWS </w:t>
      </w:r>
      <w:r>
        <w:rPr>
          <w:rFonts w:ascii="Times New Roman" w:hAnsi="Times New Roman" w:cs="Times New Roman"/>
          <w:sz w:val="24"/>
          <w:szCs w:val="24"/>
        </w:rPr>
        <w:t xml:space="preserve">had </w:t>
      </w:r>
      <w:r w:rsidR="00C62C81">
        <w:rPr>
          <w:rFonts w:ascii="Times New Roman" w:hAnsi="Times New Roman" w:cs="Times New Roman"/>
          <w:sz w:val="24"/>
          <w:szCs w:val="24"/>
        </w:rPr>
        <w:t xml:space="preserve">designated </w:t>
      </w:r>
      <w:r w:rsidR="00C62C81" w:rsidRPr="00E80438">
        <w:rPr>
          <w:rFonts w:ascii="Times New Roman" w:hAnsi="Times New Roman" w:cs="Times New Roman"/>
          <w:sz w:val="24"/>
          <w:szCs w:val="24"/>
        </w:rPr>
        <w:t xml:space="preserve">critical habitat for </w:t>
      </w:r>
      <w:r>
        <w:rPr>
          <w:rFonts w:ascii="Times New Roman" w:hAnsi="Times New Roman" w:cs="Times New Roman"/>
          <w:sz w:val="24"/>
          <w:szCs w:val="24"/>
        </w:rPr>
        <w:t xml:space="preserve">lands that </w:t>
      </w:r>
      <w:r w:rsidR="00C62C81" w:rsidRPr="00E80438">
        <w:rPr>
          <w:rFonts w:ascii="Times New Roman" w:hAnsi="Times New Roman" w:cs="Times New Roman"/>
          <w:sz w:val="24"/>
          <w:szCs w:val="24"/>
        </w:rPr>
        <w:lastRenderedPageBreak/>
        <w:t>the frog had not been found</w:t>
      </w:r>
      <w:r w:rsidR="007301B4">
        <w:rPr>
          <w:rFonts w:ascii="Times New Roman" w:hAnsi="Times New Roman" w:cs="Times New Roman"/>
          <w:sz w:val="24"/>
          <w:szCs w:val="24"/>
        </w:rPr>
        <w:t xml:space="preserve"> historically</w:t>
      </w:r>
      <w:r>
        <w:rPr>
          <w:rFonts w:ascii="Times New Roman" w:hAnsi="Times New Roman" w:cs="Times New Roman"/>
          <w:sz w:val="24"/>
          <w:szCs w:val="24"/>
        </w:rPr>
        <w:t xml:space="preserve">. </w:t>
      </w:r>
      <w:r w:rsidR="00C62C81" w:rsidRPr="00E80438">
        <w:rPr>
          <w:rFonts w:ascii="Times New Roman" w:hAnsi="Times New Roman" w:cs="Times New Roman"/>
          <w:sz w:val="24"/>
          <w:szCs w:val="24"/>
        </w:rPr>
        <w:t xml:space="preserve">The court ruled that the action was </w:t>
      </w:r>
      <w:r w:rsidR="00C62C81">
        <w:rPr>
          <w:rFonts w:ascii="Times New Roman" w:hAnsi="Times New Roman" w:cs="Times New Roman"/>
          <w:sz w:val="24"/>
          <w:szCs w:val="24"/>
        </w:rPr>
        <w:t>unwarranted.</w:t>
      </w:r>
      <w:r w:rsidR="00C62C81" w:rsidRPr="00E80438">
        <w:rPr>
          <w:rFonts w:ascii="Times New Roman" w:hAnsi="Times New Roman" w:cs="Times New Roman"/>
          <w:sz w:val="24"/>
          <w:szCs w:val="24"/>
        </w:rPr>
        <w:t xml:space="preserve"> </w:t>
      </w:r>
      <w:r w:rsidR="00900A79">
        <w:rPr>
          <w:rFonts w:ascii="Times New Roman" w:hAnsi="Times New Roman" w:cs="Times New Roman"/>
          <w:sz w:val="24"/>
          <w:szCs w:val="24"/>
        </w:rPr>
        <w:t xml:space="preserve"> Additionally, </w:t>
      </w:r>
      <w:r w:rsidR="00C62C81" w:rsidRPr="00E80438">
        <w:rPr>
          <w:rFonts w:ascii="Times New Roman" w:hAnsi="Times New Roman" w:cs="Times New Roman"/>
          <w:sz w:val="24"/>
          <w:szCs w:val="24"/>
        </w:rPr>
        <w:t xml:space="preserve">Auffhammer et al (2020) </w:t>
      </w:r>
      <w:r w:rsidR="00C62C81" w:rsidRPr="00E80438">
        <w:rPr>
          <w:rFonts w:ascii="Times New Roman" w:eastAsia="Times New Roman" w:hAnsi="Times New Roman" w:cs="Times New Roman"/>
          <w:kern w:val="0"/>
          <w:sz w:val="24"/>
          <w:szCs w:val="24"/>
          <w14:ligatures w14:val="none"/>
        </w:rPr>
        <w:t>estimate</w:t>
      </w:r>
      <w:r>
        <w:rPr>
          <w:rFonts w:ascii="Times New Roman" w:eastAsia="Times New Roman" w:hAnsi="Times New Roman" w:cs="Times New Roman"/>
          <w:kern w:val="0"/>
          <w:sz w:val="24"/>
          <w:szCs w:val="24"/>
          <w14:ligatures w14:val="none"/>
        </w:rPr>
        <w:t>d</w:t>
      </w:r>
      <w:r w:rsidR="005953AD">
        <w:rPr>
          <w:rFonts w:ascii="Times New Roman" w:eastAsia="Times New Roman" w:hAnsi="Times New Roman" w:cs="Times New Roman"/>
          <w:kern w:val="0"/>
          <w:sz w:val="24"/>
          <w:szCs w:val="24"/>
          <w14:ligatures w14:val="none"/>
        </w:rPr>
        <w:t xml:space="preserve"> that </w:t>
      </w:r>
      <w:r w:rsidR="00C62C81" w:rsidRPr="00E80438">
        <w:rPr>
          <w:rFonts w:ascii="Times New Roman" w:eastAsia="Times New Roman" w:hAnsi="Times New Roman" w:cs="Times New Roman"/>
          <w:kern w:val="0"/>
          <w:sz w:val="24"/>
          <w:szCs w:val="24"/>
          <w14:ligatures w14:val="none"/>
        </w:rPr>
        <w:t>critical habitat declaration</w:t>
      </w:r>
      <w:r w:rsidR="005953AD">
        <w:rPr>
          <w:rFonts w:ascii="Times New Roman" w:eastAsia="Times New Roman" w:hAnsi="Times New Roman" w:cs="Times New Roman"/>
          <w:kern w:val="0"/>
          <w:sz w:val="24"/>
          <w:szCs w:val="24"/>
          <w14:ligatures w14:val="none"/>
        </w:rPr>
        <w:t xml:space="preserve"> </w:t>
      </w:r>
      <w:r w:rsidR="00900A79" w:rsidRPr="00900A79">
        <w:rPr>
          <w:rFonts w:ascii="Times New Roman" w:eastAsia="Times New Roman" w:hAnsi="Times New Roman" w:cs="Times New Roman"/>
          <w:kern w:val="0"/>
          <w:sz w:val="24"/>
          <w:szCs w:val="24"/>
          <w14:ligatures w14:val="none"/>
        </w:rPr>
        <w:t xml:space="preserve">under the ESA </w:t>
      </w:r>
      <w:r w:rsidR="005953AD" w:rsidRPr="00900A79">
        <w:rPr>
          <w:rFonts w:ascii="Times New Roman" w:eastAsia="Times New Roman" w:hAnsi="Times New Roman" w:cs="Times New Roman"/>
          <w:kern w:val="0"/>
          <w:sz w:val="24"/>
          <w:szCs w:val="24"/>
          <w14:ligatures w14:val="none"/>
        </w:rPr>
        <w:t xml:space="preserve">lowered vacant </w:t>
      </w:r>
      <w:r w:rsidR="005953AD" w:rsidRPr="00900A79">
        <w:rPr>
          <w:rFonts w:ascii="Times New Roman" w:hAnsi="Times New Roman" w:cs="Times New Roman"/>
          <w:sz w:val="24"/>
          <w:szCs w:val="24"/>
        </w:rPr>
        <w:t>land values near the Bay Area of California by 48% to 78%.</w:t>
      </w:r>
      <w:r w:rsidR="00C62C81" w:rsidRPr="00900A79">
        <w:rPr>
          <w:rFonts w:ascii="Times New Roman" w:hAnsi="Times New Roman" w:cs="Times New Roman"/>
          <w:sz w:val="24"/>
          <w:szCs w:val="24"/>
          <w:vertAlign w:val="superscript"/>
        </w:rPr>
        <w:t xml:space="preserve"> </w:t>
      </w:r>
      <w:r w:rsidR="00C62C81" w:rsidRPr="00900A79">
        <w:rPr>
          <w:rFonts w:ascii="Times New Roman" w:hAnsi="Times New Roman" w:cs="Times New Roman"/>
          <w:sz w:val="24"/>
          <w:szCs w:val="24"/>
          <w:vertAlign w:val="superscript"/>
        </w:rPr>
        <w:footnoteReference w:id="78"/>
      </w:r>
      <w:r w:rsidR="0006431D" w:rsidRPr="00900A79">
        <w:rPr>
          <w:rFonts w:ascii="Times New Roman" w:hAnsi="Times New Roman" w:cs="Times New Roman"/>
          <w:sz w:val="24"/>
          <w:szCs w:val="24"/>
        </w:rPr>
        <w:t xml:space="preserve"> </w:t>
      </w:r>
      <w:r w:rsidR="00900A79" w:rsidRPr="00900A79">
        <w:rPr>
          <w:rFonts w:ascii="Times New Roman" w:hAnsi="Times New Roman" w:cs="Times New Roman"/>
          <w:sz w:val="24"/>
          <w:szCs w:val="24"/>
        </w:rPr>
        <w:t>Finally, t</w:t>
      </w:r>
      <w:r w:rsidR="001B4A7D" w:rsidRPr="00900A79">
        <w:rPr>
          <w:rFonts w:ascii="Times New Roman" w:hAnsi="Times New Roman" w:cs="Times New Roman"/>
          <w:sz w:val="24"/>
          <w:szCs w:val="24"/>
        </w:rPr>
        <w:t>he northern spotted owl’s 1990 listing in the Pacific Northwest led to reduced logging in federal forests by 80%</w:t>
      </w:r>
      <w:r w:rsidR="001F00BA">
        <w:rPr>
          <w:rFonts w:ascii="Times New Roman" w:hAnsi="Times New Roman" w:cs="Times New Roman"/>
          <w:sz w:val="24"/>
          <w:szCs w:val="24"/>
        </w:rPr>
        <w:t>;</w:t>
      </w:r>
      <w:r w:rsidR="001B4A7D" w:rsidRPr="00900A79">
        <w:rPr>
          <w:rFonts w:ascii="Times New Roman" w:hAnsi="Times New Roman" w:cs="Times New Roman"/>
          <w:sz w:val="24"/>
          <w:szCs w:val="24"/>
        </w:rPr>
        <w:t xml:space="preserve"> </w:t>
      </w:r>
      <w:r w:rsidR="001F00BA">
        <w:rPr>
          <w:rFonts w:ascii="Times New Roman" w:hAnsi="Times New Roman" w:cs="Times New Roman"/>
          <w:sz w:val="24"/>
          <w:szCs w:val="24"/>
        </w:rPr>
        <w:t xml:space="preserve">the loss of </w:t>
      </w:r>
      <w:r w:rsidR="001B4A7D" w:rsidRPr="00900A79">
        <w:rPr>
          <w:rFonts w:ascii="Times New Roman" w:hAnsi="Times New Roman" w:cs="Times New Roman"/>
          <w:sz w:val="24"/>
          <w:szCs w:val="24"/>
        </w:rPr>
        <w:t>32,000 blue</w:t>
      </w:r>
      <w:r w:rsidR="00A07673">
        <w:rPr>
          <w:rFonts w:ascii="Times New Roman" w:hAnsi="Times New Roman" w:cs="Times New Roman"/>
          <w:sz w:val="24"/>
          <w:szCs w:val="24"/>
        </w:rPr>
        <w:t>-</w:t>
      </w:r>
      <w:r w:rsidR="001B4A7D" w:rsidRPr="00900A79">
        <w:rPr>
          <w:rFonts w:ascii="Times New Roman" w:hAnsi="Times New Roman" w:cs="Times New Roman"/>
          <w:sz w:val="24"/>
          <w:szCs w:val="24"/>
        </w:rPr>
        <w:t>color jobs, 14% to 28% of timber industry employment in the counties with northern spotted owl habitat</w:t>
      </w:r>
      <w:r w:rsidR="007C24A6">
        <w:rPr>
          <w:rFonts w:ascii="Times New Roman" w:hAnsi="Times New Roman" w:cs="Times New Roman"/>
          <w:sz w:val="24"/>
          <w:szCs w:val="24"/>
        </w:rPr>
        <w:t xml:space="preserve">; </w:t>
      </w:r>
      <w:r w:rsidR="001B4A7D" w:rsidRPr="00900A79">
        <w:rPr>
          <w:rFonts w:ascii="Times New Roman" w:hAnsi="Times New Roman" w:cs="Times New Roman"/>
          <w:sz w:val="24"/>
          <w:szCs w:val="24"/>
        </w:rPr>
        <w:t>along with lower property values and out</w:t>
      </w:r>
      <w:r w:rsidR="007301B4">
        <w:rPr>
          <w:rFonts w:ascii="Times New Roman" w:hAnsi="Times New Roman" w:cs="Times New Roman"/>
          <w:sz w:val="24"/>
          <w:szCs w:val="24"/>
        </w:rPr>
        <w:t xml:space="preserve"> </w:t>
      </w:r>
      <w:r w:rsidR="001B4A7D" w:rsidRPr="00900A79">
        <w:rPr>
          <w:rFonts w:ascii="Times New Roman" w:hAnsi="Times New Roman" w:cs="Times New Roman"/>
          <w:sz w:val="24"/>
          <w:szCs w:val="24"/>
        </w:rPr>
        <w:t xml:space="preserve">migration from lumbering communities. </w:t>
      </w:r>
      <w:r w:rsidR="00A07673">
        <w:rPr>
          <w:rFonts w:ascii="Times New Roman" w:hAnsi="Times New Roman" w:cs="Times New Roman"/>
          <w:sz w:val="24"/>
          <w:szCs w:val="24"/>
        </w:rPr>
        <w:t>During</w:t>
      </w:r>
      <w:r w:rsidR="001F00BA">
        <w:rPr>
          <w:rFonts w:ascii="Times New Roman" w:hAnsi="Times New Roman" w:cs="Times New Roman"/>
          <w:sz w:val="24"/>
          <w:szCs w:val="24"/>
        </w:rPr>
        <w:t xml:space="preserve"> </w:t>
      </w:r>
      <w:r w:rsidR="001B4A7D" w:rsidRPr="00900A79">
        <w:rPr>
          <w:rFonts w:ascii="Times New Roman" w:hAnsi="Times New Roman" w:cs="Times New Roman"/>
          <w:sz w:val="24"/>
          <w:szCs w:val="24"/>
        </w:rPr>
        <w:t xml:space="preserve">ongoing conflict between rural inhabitants and environmental groups, the owl’s population has continued to decline in the face of habitat loss from wildfires and the </w:t>
      </w:r>
      <w:r w:rsidR="001F00BA">
        <w:rPr>
          <w:rFonts w:ascii="Times New Roman" w:hAnsi="Times New Roman" w:cs="Times New Roman"/>
          <w:sz w:val="24"/>
          <w:szCs w:val="24"/>
        </w:rPr>
        <w:t xml:space="preserve">intrusion </w:t>
      </w:r>
      <w:r w:rsidR="001B4A7D" w:rsidRPr="00900A79">
        <w:rPr>
          <w:rFonts w:ascii="Times New Roman" w:hAnsi="Times New Roman" w:cs="Times New Roman"/>
          <w:sz w:val="24"/>
          <w:szCs w:val="24"/>
        </w:rPr>
        <w:t>of a</w:t>
      </w:r>
      <w:r w:rsidR="001F00BA">
        <w:rPr>
          <w:rFonts w:ascii="Times New Roman" w:hAnsi="Times New Roman" w:cs="Times New Roman"/>
          <w:sz w:val="24"/>
          <w:szCs w:val="24"/>
        </w:rPr>
        <w:t>n aggressive</w:t>
      </w:r>
      <w:r w:rsidR="001B4A7D" w:rsidRPr="00900A79">
        <w:rPr>
          <w:rFonts w:ascii="Times New Roman" w:hAnsi="Times New Roman" w:cs="Times New Roman"/>
          <w:sz w:val="24"/>
          <w:szCs w:val="24"/>
        </w:rPr>
        <w:t xml:space="preserve"> competitor, the barred owl.</w:t>
      </w:r>
      <w:r w:rsidR="001B4A7D" w:rsidRPr="00900A79">
        <w:rPr>
          <w:rStyle w:val="FootnoteReference"/>
          <w:rFonts w:ascii="Times New Roman" w:hAnsi="Times New Roman" w:cs="Times New Roman"/>
          <w:sz w:val="24"/>
          <w:szCs w:val="24"/>
        </w:rPr>
        <w:footnoteReference w:id="79"/>
      </w:r>
      <w:r w:rsidR="001B4A7D" w:rsidRPr="00900A79">
        <w:rPr>
          <w:rFonts w:ascii="Times New Roman" w:hAnsi="Times New Roman" w:cs="Times New Roman"/>
          <w:sz w:val="24"/>
          <w:szCs w:val="24"/>
        </w:rPr>
        <w:t xml:space="preserve"> </w:t>
      </w:r>
    </w:p>
    <w:p w14:paraId="53507891" w14:textId="1B48A238" w:rsidR="007C24A6" w:rsidRDefault="00900A79" w:rsidP="00114A72">
      <w:pPr>
        <w:spacing w:after="0" w:line="360" w:lineRule="auto"/>
        <w:ind w:firstLine="720"/>
        <w:rPr>
          <w:rFonts w:ascii="Times New Roman" w:hAnsi="Times New Roman" w:cs="Times New Roman"/>
          <w:sz w:val="24"/>
          <w:szCs w:val="24"/>
        </w:rPr>
      </w:pPr>
      <w:r w:rsidRPr="00E80438">
        <w:rPr>
          <w:rFonts w:ascii="Times New Roman" w:hAnsi="Times New Roman" w:cs="Times New Roman"/>
          <w:sz w:val="24"/>
          <w:szCs w:val="24"/>
        </w:rPr>
        <w:t>Figure 1 lists annual ESA endangered or threatened species listings, recoveries, and extinctions from 1967-2024. Figure 2 reports cumulative data for listings, recover</w:t>
      </w:r>
      <w:r>
        <w:rPr>
          <w:rFonts w:ascii="Times New Roman" w:hAnsi="Times New Roman" w:cs="Times New Roman"/>
          <w:sz w:val="24"/>
          <w:szCs w:val="24"/>
        </w:rPr>
        <w:t>ies</w:t>
      </w:r>
      <w:r w:rsidRPr="00E80438">
        <w:rPr>
          <w:rFonts w:ascii="Times New Roman" w:hAnsi="Times New Roman" w:cs="Times New Roman"/>
          <w:sz w:val="24"/>
          <w:szCs w:val="24"/>
        </w:rPr>
        <w:t>, and extinctions.</w:t>
      </w:r>
      <w:r>
        <w:rPr>
          <w:rFonts w:ascii="Times New Roman" w:hAnsi="Times New Roman" w:cs="Times New Roman"/>
          <w:sz w:val="24"/>
          <w:szCs w:val="24"/>
        </w:rPr>
        <w:t xml:space="preserve"> The axes in Figure 2 are differently enumerated to include the three measures. Listings far exceed recoveries or extinctions.  </w:t>
      </w:r>
      <w:r w:rsidRPr="00E80438">
        <w:rPr>
          <w:rFonts w:ascii="Times New Roman" w:hAnsi="Times New Roman" w:cs="Times New Roman"/>
          <w:sz w:val="24"/>
          <w:szCs w:val="24"/>
        </w:rPr>
        <w:t xml:space="preserve">It is not obvious </w:t>
      </w:r>
      <w:r>
        <w:rPr>
          <w:rFonts w:ascii="Times New Roman" w:hAnsi="Times New Roman" w:cs="Times New Roman"/>
          <w:sz w:val="24"/>
          <w:szCs w:val="24"/>
        </w:rPr>
        <w:t xml:space="preserve">in the data </w:t>
      </w:r>
      <w:r w:rsidRPr="00E80438">
        <w:rPr>
          <w:rFonts w:ascii="Times New Roman" w:hAnsi="Times New Roman" w:cs="Times New Roman"/>
          <w:sz w:val="24"/>
          <w:szCs w:val="24"/>
        </w:rPr>
        <w:t xml:space="preserve">that the law is a success. </w:t>
      </w:r>
      <w:r>
        <w:rPr>
          <w:rFonts w:ascii="Times New Roman" w:hAnsi="Times New Roman" w:cs="Times New Roman"/>
          <w:sz w:val="24"/>
          <w:szCs w:val="24"/>
        </w:rPr>
        <w:t>Endangered or threatened species listings that trigger ESA land use controls</w:t>
      </w:r>
      <w:r w:rsidR="00A357CA">
        <w:rPr>
          <w:rFonts w:ascii="Times New Roman" w:hAnsi="Times New Roman" w:cs="Times New Roman"/>
          <w:sz w:val="24"/>
          <w:szCs w:val="24"/>
        </w:rPr>
        <w:t>, however,</w:t>
      </w:r>
      <w:r>
        <w:rPr>
          <w:rFonts w:ascii="Times New Roman" w:hAnsi="Times New Roman" w:cs="Times New Roman"/>
          <w:sz w:val="24"/>
          <w:szCs w:val="24"/>
        </w:rPr>
        <w:t xml:space="preserve"> continue to rise. </w:t>
      </w:r>
      <w:r w:rsidRPr="00E80438">
        <w:rPr>
          <w:rFonts w:ascii="Times New Roman" w:hAnsi="Times New Roman" w:cs="Times New Roman"/>
          <w:sz w:val="24"/>
          <w:szCs w:val="24"/>
        </w:rPr>
        <w:t xml:space="preserve"> Recoveries</w:t>
      </w:r>
      <w:r>
        <w:rPr>
          <w:rFonts w:ascii="Times New Roman" w:hAnsi="Times New Roman" w:cs="Times New Roman"/>
          <w:sz w:val="24"/>
          <w:szCs w:val="24"/>
        </w:rPr>
        <w:t xml:space="preserve"> so that species are removed from listings (and extinctions)</w:t>
      </w:r>
      <w:r w:rsidRPr="00E80438">
        <w:rPr>
          <w:rFonts w:ascii="Times New Roman" w:hAnsi="Times New Roman" w:cs="Times New Roman"/>
          <w:sz w:val="24"/>
          <w:szCs w:val="24"/>
        </w:rPr>
        <w:t xml:space="preserve"> </w:t>
      </w:r>
      <w:r>
        <w:rPr>
          <w:rFonts w:ascii="Times New Roman" w:hAnsi="Times New Roman" w:cs="Times New Roman"/>
          <w:sz w:val="24"/>
          <w:szCs w:val="24"/>
        </w:rPr>
        <w:t xml:space="preserve">are comparatively </w:t>
      </w:r>
      <w:r w:rsidRPr="00E80438">
        <w:rPr>
          <w:rFonts w:ascii="Times New Roman" w:hAnsi="Times New Roman" w:cs="Times New Roman"/>
          <w:sz w:val="24"/>
          <w:szCs w:val="24"/>
        </w:rPr>
        <w:t xml:space="preserve">slim. </w:t>
      </w:r>
      <w:r>
        <w:rPr>
          <w:rFonts w:ascii="Times New Roman" w:hAnsi="Times New Roman" w:cs="Times New Roman"/>
          <w:sz w:val="24"/>
          <w:szCs w:val="24"/>
        </w:rPr>
        <w:t>Only 3% of listed species have recovered.</w:t>
      </w:r>
      <w:r>
        <w:rPr>
          <w:rStyle w:val="FootnoteReference"/>
          <w:rFonts w:ascii="Times New Roman" w:hAnsi="Times New Roman" w:cs="Times New Roman"/>
          <w:sz w:val="24"/>
          <w:szCs w:val="24"/>
        </w:rPr>
        <w:footnoteReference w:id="80"/>
      </w:r>
      <w:r>
        <w:rPr>
          <w:rFonts w:ascii="Times New Roman" w:hAnsi="Times New Roman" w:cs="Times New Roman"/>
          <w:sz w:val="24"/>
          <w:szCs w:val="24"/>
        </w:rPr>
        <w:t xml:space="preserve"> </w:t>
      </w:r>
      <w:r w:rsidRPr="00E80438">
        <w:rPr>
          <w:rFonts w:ascii="Times New Roman" w:hAnsi="Times New Roman" w:cs="Times New Roman"/>
          <w:sz w:val="24"/>
          <w:szCs w:val="24"/>
        </w:rPr>
        <w:t xml:space="preserve">While the ESA calls for recovery, there </w:t>
      </w:r>
      <w:r>
        <w:rPr>
          <w:rFonts w:ascii="Times New Roman" w:hAnsi="Times New Roman" w:cs="Times New Roman"/>
          <w:sz w:val="24"/>
          <w:szCs w:val="24"/>
        </w:rPr>
        <w:t>are politically</w:t>
      </w:r>
      <w:r w:rsidR="00C11E85">
        <w:rPr>
          <w:rFonts w:ascii="Times New Roman" w:hAnsi="Times New Roman" w:cs="Times New Roman"/>
          <w:sz w:val="24"/>
          <w:szCs w:val="24"/>
        </w:rPr>
        <w:t xml:space="preserve"> </w:t>
      </w:r>
      <w:r>
        <w:rPr>
          <w:rFonts w:ascii="Times New Roman" w:hAnsi="Times New Roman" w:cs="Times New Roman"/>
          <w:sz w:val="24"/>
          <w:szCs w:val="24"/>
        </w:rPr>
        <w:t xml:space="preserve">controversial </w:t>
      </w:r>
      <w:r w:rsidRPr="00E80438">
        <w:rPr>
          <w:rFonts w:ascii="Times New Roman" w:hAnsi="Times New Roman" w:cs="Times New Roman"/>
          <w:sz w:val="24"/>
          <w:szCs w:val="24"/>
        </w:rPr>
        <w:t>baseline</w:t>
      </w:r>
      <w:r>
        <w:rPr>
          <w:rFonts w:ascii="Times New Roman" w:hAnsi="Times New Roman" w:cs="Times New Roman"/>
          <w:sz w:val="24"/>
          <w:szCs w:val="24"/>
        </w:rPr>
        <w:t>s</w:t>
      </w:r>
      <w:r w:rsidRPr="00E80438">
        <w:rPr>
          <w:rFonts w:ascii="Times New Roman" w:hAnsi="Times New Roman" w:cs="Times New Roman"/>
          <w:sz w:val="24"/>
          <w:szCs w:val="24"/>
        </w:rPr>
        <w:t xml:space="preserve"> for evaluation</w:t>
      </w:r>
      <w:r>
        <w:rPr>
          <w:rFonts w:ascii="Times New Roman" w:hAnsi="Times New Roman" w:cs="Times New Roman"/>
          <w:sz w:val="24"/>
          <w:szCs w:val="24"/>
        </w:rPr>
        <w:t xml:space="preserve"> and reassessment</w:t>
      </w:r>
      <w:r w:rsidRPr="00E80438">
        <w:rPr>
          <w:rFonts w:ascii="Times New Roman" w:hAnsi="Times New Roman" w:cs="Times New Roman"/>
          <w:sz w:val="24"/>
          <w:szCs w:val="24"/>
        </w:rPr>
        <w:t xml:space="preserve">. The law does not require it, nor do the competing parties </w:t>
      </w:r>
      <w:r>
        <w:rPr>
          <w:rFonts w:ascii="Times New Roman" w:hAnsi="Times New Roman" w:cs="Times New Roman"/>
          <w:sz w:val="24"/>
          <w:szCs w:val="24"/>
        </w:rPr>
        <w:t xml:space="preserve">(conservationists and landowners) </w:t>
      </w:r>
      <w:r w:rsidRPr="00E80438">
        <w:rPr>
          <w:rFonts w:ascii="Times New Roman" w:hAnsi="Times New Roman" w:cs="Times New Roman"/>
          <w:sz w:val="24"/>
          <w:szCs w:val="24"/>
        </w:rPr>
        <w:t xml:space="preserve">have </w:t>
      </w:r>
      <w:r>
        <w:rPr>
          <w:rFonts w:ascii="Times New Roman" w:hAnsi="Times New Roman" w:cs="Times New Roman"/>
          <w:sz w:val="24"/>
          <w:szCs w:val="24"/>
        </w:rPr>
        <w:t xml:space="preserve">an </w:t>
      </w:r>
      <w:r w:rsidRPr="00E80438">
        <w:rPr>
          <w:rFonts w:ascii="Times New Roman" w:hAnsi="Times New Roman" w:cs="Times New Roman"/>
          <w:sz w:val="24"/>
          <w:szCs w:val="24"/>
        </w:rPr>
        <w:t xml:space="preserve">incentive to provide </w:t>
      </w:r>
      <w:r>
        <w:rPr>
          <w:rFonts w:ascii="Times New Roman" w:hAnsi="Times New Roman" w:cs="Times New Roman"/>
          <w:sz w:val="24"/>
          <w:szCs w:val="24"/>
        </w:rPr>
        <w:t xml:space="preserve">a target </w:t>
      </w:r>
      <w:r w:rsidRPr="00E80438">
        <w:rPr>
          <w:rFonts w:ascii="Times New Roman" w:hAnsi="Times New Roman" w:cs="Times New Roman"/>
          <w:sz w:val="24"/>
          <w:szCs w:val="24"/>
        </w:rPr>
        <w:t xml:space="preserve">that weighs expected benefits and costs. </w:t>
      </w:r>
    </w:p>
    <w:p w14:paraId="6E353C55" w14:textId="309EB347" w:rsidR="00900A79" w:rsidRDefault="00900A79" w:rsidP="00114A72">
      <w:pPr>
        <w:spacing w:after="0" w:line="360" w:lineRule="auto"/>
        <w:ind w:firstLine="720"/>
        <w:rPr>
          <w:rFonts w:ascii="Times New Roman" w:hAnsi="Times New Roman" w:cs="Times New Roman"/>
          <w:b/>
          <w:bCs/>
          <w:sz w:val="24"/>
          <w:szCs w:val="24"/>
        </w:rPr>
      </w:pPr>
      <w:r w:rsidRPr="00E80438">
        <w:rPr>
          <w:rFonts w:ascii="Times New Roman" w:hAnsi="Times New Roman" w:cs="Times New Roman"/>
          <w:sz w:val="24"/>
          <w:szCs w:val="24"/>
        </w:rPr>
        <w:t xml:space="preserve">  </w:t>
      </w:r>
    </w:p>
    <w:p w14:paraId="0A73C08C" w14:textId="575B8CCB" w:rsidR="00114A72" w:rsidRPr="00E80438" w:rsidRDefault="00114A72" w:rsidP="00114A72">
      <w:pPr>
        <w:spacing w:after="0" w:line="360" w:lineRule="auto"/>
        <w:ind w:firstLine="720"/>
        <w:rPr>
          <w:rFonts w:ascii="Times New Roman" w:hAnsi="Times New Roman" w:cs="Times New Roman"/>
          <w:b/>
          <w:bCs/>
          <w:sz w:val="24"/>
          <w:szCs w:val="24"/>
        </w:rPr>
      </w:pPr>
      <w:r w:rsidRPr="00E80438">
        <w:rPr>
          <w:rFonts w:ascii="Times New Roman" w:hAnsi="Times New Roman" w:cs="Times New Roman"/>
          <w:b/>
          <w:bCs/>
          <w:sz w:val="24"/>
          <w:szCs w:val="24"/>
        </w:rPr>
        <w:t>Figure 1 Annual ESA Endangered or Threatened Listings, Recoveries, Extinctions</w:t>
      </w:r>
    </w:p>
    <w:p w14:paraId="15AE63B3" w14:textId="77777777" w:rsidR="00114A72" w:rsidRPr="00E80438" w:rsidRDefault="00114A72" w:rsidP="00114A72">
      <w:pPr>
        <w:spacing w:after="0" w:line="360" w:lineRule="auto"/>
        <w:ind w:firstLine="720"/>
        <w:rPr>
          <w:rFonts w:ascii="Times New Roman" w:hAnsi="Times New Roman" w:cs="Times New Roman"/>
          <w:sz w:val="24"/>
          <w:szCs w:val="24"/>
        </w:rPr>
      </w:pPr>
      <w:r w:rsidRPr="00E80438">
        <w:rPr>
          <w:rFonts w:ascii="Times New Roman" w:hAnsi="Times New Roman" w:cs="Times New Roman"/>
          <w:noProof/>
          <w:sz w:val="24"/>
          <w:szCs w:val="24"/>
        </w:rPr>
        <w:lastRenderedPageBreak/>
        <w:drawing>
          <wp:inline distT="0" distB="0" distL="0" distR="0" wp14:anchorId="26E05EF9" wp14:editId="0BF04AEA">
            <wp:extent cx="5943032" cy="2771335"/>
            <wp:effectExtent l="0" t="0" r="635" b="0"/>
            <wp:docPr id="13099350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6054"/>
                    <a:stretch/>
                  </pic:blipFill>
                  <pic:spPr bwMode="auto">
                    <a:xfrm>
                      <a:off x="0" y="0"/>
                      <a:ext cx="5956633" cy="2777677"/>
                    </a:xfrm>
                    <a:prstGeom prst="rect">
                      <a:avLst/>
                    </a:prstGeom>
                    <a:noFill/>
                    <a:ln>
                      <a:noFill/>
                    </a:ln>
                    <a:extLst>
                      <a:ext uri="{53640926-AAD7-44D8-BBD7-CCE9431645EC}">
                        <a14:shadowObscured xmlns:a14="http://schemas.microsoft.com/office/drawing/2010/main"/>
                      </a:ext>
                    </a:extLst>
                  </pic:spPr>
                </pic:pic>
              </a:graphicData>
            </a:graphic>
          </wp:inline>
        </w:drawing>
      </w:r>
    </w:p>
    <w:p w14:paraId="5E337D47" w14:textId="77777777" w:rsidR="00114A72" w:rsidRPr="00E80438" w:rsidRDefault="00114A72" w:rsidP="00114A72">
      <w:pPr>
        <w:spacing w:after="0" w:line="360" w:lineRule="auto"/>
        <w:ind w:firstLine="720"/>
        <w:rPr>
          <w:rFonts w:ascii="Times New Roman" w:hAnsi="Times New Roman" w:cs="Times New Roman"/>
          <w:sz w:val="20"/>
          <w:szCs w:val="20"/>
        </w:rPr>
      </w:pPr>
      <w:r w:rsidRPr="00E80438">
        <w:rPr>
          <w:rFonts w:ascii="Times New Roman" w:hAnsi="Times New Roman" w:cs="Times New Roman"/>
          <w:i/>
          <w:iCs/>
          <w:sz w:val="20"/>
          <w:szCs w:val="20"/>
        </w:rPr>
        <w:t xml:space="preserve">Source: </w:t>
      </w:r>
      <w:r w:rsidRPr="00E80438">
        <w:rPr>
          <w:rFonts w:ascii="Times New Roman" w:hAnsi="Times New Roman" w:cs="Times New Roman"/>
          <w:sz w:val="20"/>
          <w:szCs w:val="20"/>
        </w:rPr>
        <w:t>US Fish and Wildlife Service, ECOS dataset.</w:t>
      </w:r>
    </w:p>
    <w:p w14:paraId="7859EFEC" w14:textId="77777777" w:rsidR="00114A72" w:rsidRDefault="00114A72" w:rsidP="00114A72">
      <w:pPr>
        <w:spacing w:after="0" w:line="360" w:lineRule="auto"/>
        <w:ind w:firstLine="720"/>
        <w:rPr>
          <w:rFonts w:ascii="Times New Roman" w:hAnsi="Times New Roman" w:cs="Times New Roman"/>
          <w:sz w:val="20"/>
          <w:szCs w:val="20"/>
        </w:rPr>
      </w:pPr>
    </w:p>
    <w:p w14:paraId="30BB1DEF" w14:textId="77777777" w:rsidR="000C4225" w:rsidRDefault="000C4225" w:rsidP="00114A72">
      <w:pPr>
        <w:spacing w:after="0" w:line="360" w:lineRule="auto"/>
        <w:ind w:firstLine="720"/>
        <w:rPr>
          <w:rFonts w:ascii="Times New Roman" w:hAnsi="Times New Roman" w:cs="Times New Roman"/>
          <w:sz w:val="20"/>
          <w:szCs w:val="20"/>
        </w:rPr>
      </w:pPr>
    </w:p>
    <w:p w14:paraId="3C77740E" w14:textId="77777777" w:rsidR="000C4225" w:rsidRDefault="000C4225" w:rsidP="00114A72">
      <w:pPr>
        <w:spacing w:after="0" w:line="360" w:lineRule="auto"/>
        <w:ind w:firstLine="720"/>
        <w:rPr>
          <w:rFonts w:ascii="Times New Roman" w:hAnsi="Times New Roman" w:cs="Times New Roman"/>
          <w:sz w:val="20"/>
          <w:szCs w:val="20"/>
        </w:rPr>
      </w:pPr>
    </w:p>
    <w:p w14:paraId="5D7F9933" w14:textId="77777777" w:rsidR="000C4225" w:rsidRDefault="000C4225" w:rsidP="00114A72">
      <w:pPr>
        <w:spacing w:after="0" w:line="360" w:lineRule="auto"/>
        <w:ind w:firstLine="720"/>
        <w:rPr>
          <w:rFonts w:ascii="Times New Roman" w:hAnsi="Times New Roman" w:cs="Times New Roman"/>
          <w:sz w:val="20"/>
          <w:szCs w:val="20"/>
        </w:rPr>
      </w:pPr>
    </w:p>
    <w:p w14:paraId="4344ADB7" w14:textId="77777777" w:rsidR="000C4225" w:rsidRDefault="000C4225" w:rsidP="00114A72">
      <w:pPr>
        <w:spacing w:after="0" w:line="360" w:lineRule="auto"/>
        <w:ind w:firstLine="720"/>
        <w:rPr>
          <w:rFonts w:ascii="Times New Roman" w:hAnsi="Times New Roman" w:cs="Times New Roman"/>
          <w:sz w:val="20"/>
          <w:szCs w:val="20"/>
        </w:rPr>
      </w:pPr>
    </w:p>
    <w:p w14:paraId="07D2575A" w14:textId="77777777" w:rsidR="000C4225" w:rsidRDefault="000C4225" w:rsidP="00114A72">
      <w:pPr>
        <w:spacing w:after="0" w:line="360" w:lineRule="auto"/>
        <w:ind w:firstLine="720"/>
        <w:rPr>
          <w:rFonts w:ascii="Times New Roman" w:hAnsi="Times New Roman" w:cs="Times New Roman"/>
          <w:sz w:val="20"/>
          <w:szCs w:val="20"/>
        </w:rPr>
      </w:pPr>
    </w:p>
    <w:p w14:paraId="2D7FCF83" w14:textId="77777777" w:rsidR="000C4225" w:rsidRPr="00E80438" w:rsidRDefault="000C4225" w:rsidP="00114A72">
      <w:pPr>
        <w:spacing w:after="0" w:line="360" w:lineRule="auto"/>
        <w:ind w:firstLine="720"/>
        <w:rPr>
          <w:rFonts w:ascii="Times New Roman" w:hAnsi="Times New Roman" w:cs="Times New Roman"/>
          <w:sz w:val="20"/>
          <w:szCs w:val="20"/>
        </w:rPr>
      </w:pPr>
    </w:p>
    <w:p w14:paraId="5C7354B0" w14:textId="77777777" w:rsidR="00900A79" w:rsidRDefault="00900A79" w:rsidP="00114A72">
      <w:pPr>
        <w:spacing w:after="0" w:line="360" w:lineRule="auto"/>
        <w:ind w:firstLine="720"/>
        <w:rPr>
          <w:rFonts w:ascii="Times New Roman" w:hAnsi="Times New Roman" w:cs="Times New Roman"/>
          <w:b/>
          <w:bCs/>
          <w:sz w:val="24"/>
          <w:szCs w:val="24"/>
        </w:rPr>
      </w:pPr>
    </w:p>
    <w:p w14:paraId="7DE94B0F" w14:textId="77777777" w:rsidR="000C4225" w:rsidRDefault="000C4225" w:rsidP="00114A72">
      <w:pPr>
        <w:spacing w:after="0" w:line="360" w:lineRule="auto"/>
        <w:ind w:firstLine="720"/>
        <w:rPr>
          <w:rFonts w:ascii="Times New Roman" w:hAnsi="Times New Roman" w:cs="Times New Roman"/>
          <w:b/>
          <w:bCs/>
          <w:sz w:val="24"/>
          <w:szCs w:val="24"/>
        </w:rPr>
      </w:pPr>
    </w:p>
    <w:p w14:paraId="2D56167D" w14:textId="4C83F8B6" w:rsidR="00114A72" w:rsidRPr="00E80438" w:rsidRDefault="00114A72" w:rsidP="00114A72">
      <w:pPr>
        <w:spacing w:after="0" w:line="360" w:lineRule="auto"/>
        <w:ind w:firstLine="720"/>
        <w:rPr>
          <w:rFonts w:ascii="Times New Roman" w:hAnsi="Times New Roman" w:cs="Times New Roman"/>
          <w:b/>
          <w:bCs/>
          <w:sz w:val="24"/>
          <w:szCs w:val="24"/>
        </w:rPr>
      </w:pPr>
      <w:r w:rsidRPr="00E80438">
        <w:rPr>
          <w:rFonts w:ascii="Times New Roman" w:hAnsi="Times New Roman" w:cs="Times New Roman"/>
          <w:b/>
          <w:bCs/>
          <w:sz w:val="24"/>
          <w:szCs w:val="24"/>
        </w:rPr>
        <w:t>Figure 2: Cumulative ESA Listings, Recoveries, Extinction 1967-2024.</w:t>
      </w:r>
    </w:p>
    <w:p w14:paraId="5AA986A9" w14:textId="77777777" w:rsidR="00114A72" w:rsidRPr="00E80438" w:rsidRDefault="00114A72" w:rsidP="00114A72">
      <w:pPr>
        <w:spacing w:after="0" w:line="360" w:lineRule="auto"/>
        <w:ind w:firstLine="720"/>
        <w:rPr>
          <w:rFonts w:ascii="Times New Roman" w:hAnsi="Times New Roman" w:cs="Times New Roman"/>
          <w:sz w:val="24"/>
          <w:szCs w:val="24"/>
        </w:rPr>
      </w:pPr>
      <w:r w:rsidRPr="00946650">
        <w:rPr>
          <w:rFonts w:ascii="Times New Roman" w:hAnsi="Times New Roman" w:cs="Times New Roman"/>
          <w:noProof/>
          <w:sz w:val="24"/>
          <w:szCs w:val="24"/>
        </w:rPr>
        <w:drawing>
          <wp:inline distT="0" distB="0" distL="0" distR="0" wp14:anchorId="3C008693" wp14:editId="7B3791A3">
            <wp:extent cx="5943600" cy="2510790"/>
            <wp:effectExtent l="0" t="0" r="0" b="3810"/>
            <wp:docPr id="318492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2510790"/>
                    </a:xfrm>
                    <a:prstGeom prst="rect">
                      <a:avLst/>
                    </a:prstGeom>
                    <a:noFill/>
                    <a:ln>
                      <a:noFill/>
                    </a:ln>
                  </pic:spPr>
                </pic:pic>
              </a:graphicData>
            </a:graphic>
          </wp:inline>
        </w:drawing>
      </w:r>
    </w:p>
    <w:p w14:paraId="349FE5A6" w14:textId="77777777" w:rsidR="00114A72" w:rsidRPr="00E80438" w:rsidRDefault="00114A72" w:rsidP="00114A72">
      <w:pPr>
        <w:spacing w:after="0" w:line="360" w:lineRule="auto"/>
        <w:ind w:firstLine="720"/>
        <w:rPr>
          <w:rFonts w:ascii="Times New Roman" w:hAnsi="Times New Roman" w:cs="Times New Roman"/>
          <w:sz w:val="20"/>
          <w:szCs w:val="20"/>
        </w:rPr>
      </w:pPr>
      <w:r w:rsidRPr="00E80438">
        <w:rPr>
          <w:rFonts w:ascii="Times New Roman" w:hAnsi="Times New Roman" w:cs="Times New Roman"/>
          <w:i/>
          <w:iCs/>
          <w:sz w:val="20"/>
          <w:szCs w:val="20"/>
        </w:rPr>
        <w:t xml:space="preserve">Source: </w:t>
      </w:r>
      <w:r w:rsidRPr="00E80438">
        <w:rPr>
          <w:rFonts w:ascii="Times New Roman" w:hAnsi="Times New Roman" w:cs="Times New Roman"/>
          <w:sz w:val="20"/>
          <w:szCs w:val="20"/>
        </w:rPr>
        <w:t>US Fish and Wildlife Service, ECOS dataset.</w:t>
      </w:r>
    </w:p>
    <w:p w14:paraId="7539EC7D" w14:textId="77777777" w:rsidR="00114A72" w:rsidRDefault="00114A72" w:rsidP="00114A72">
      <w:pPr>
        <w:spacing w:after="0" w:line="360" w:lineRule="auto"/>
        <w:ind w:firstLine="720"/>
        <w:rPr>
          <w:rFonts w:ascii="Times New Roman" w:hAnsi="Times New Roman" w:cs="Times New Roman"/>
          <w:sz w:val="24"/>
          <w:szCs w:val="24"/>
        </w:rPr>
      </w:pPr>
    </w:p>
    <w:p w14:paraId="249F153F" w14:textId="1F436D00" w:rsidR="00324567" w:rsidRDefault="003C6673" w:rsidP="00324567">
      <w:pPr>
        <w:shd w:val="clear" w:color="auto" w:fill="FFFFFF"/>
        <w:spacing w:after="0" w:line="360" w:lineRule="auto"/>
        <w:ind w:firstLine="720"/>
        <w:rPr>
          <w:rFonts w:ascii="Times New Roman" w:eastAsia="Times New Roman" w:hAnsi="Times New Roman" w:cs="Times New Roman"/>
          <w:kern w:val="0"/>
          <w:sz w:val="24"/>
          <w:szCs w:val="24"/>
          <w14:ligatures w14:val="none"/>
        </w:rPr>
      </w:pPr>
      <w:r w:rsidRPr="00A11796">
        <w:rPr>
          <w:rFonts w:ascii="Times New Roman" w:eastAsia="Times New Roman" w:hAnsi="Times New Roman" w:cs="Times New Roman"/>
          <w:color w:val="000000"/>
          <w:sz w:val="24"/>
          <w:szCs w:val="24"/>
        </w:rPr>
        <w:t>The ESA directs the administering agencies</w:t>
      </w:r>
      <w:r>
        <w:rPr>
          <w:rFonts w:ascii="Times New Roman" w:eastAsia="Times New Roman" w:hAnsi="Times New Roman" w:cs="Times New Roman"/>
          <w:color w:val="000000"/>
          <w:sz w:val="24"/>
          <w:szCs w:val="24"/>
        </w:rPr>
        <w:t>, primarily FWS</w:t>
      </w:r>
      <w:r w:rsidR="00C5349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A11796">
        <w:rPr>
          <w:rFonts w:ascii="Times New Roman" w:eastAsia="Times New Roman" w:hAnsi="Times New Roman" w:cs="Times New Roman"/>
          <w:color w:val="000000"/>
          <w:sz w:val="24"/>
          <w:szCs w:val="24"/>
        </w:rPr>
        <w:t xml:space="preserve">to develop and maintain a list of species designated as endangered or threatened. </w:t>
      </w:r>
      <w:r w:rsidR="004C0DE3">
        <w:rPr>
          <w:rFonts w:ascii="Times New Roman" w:eastAsia="Times New Roman" w:hAnsi="Times New Roman" w:cs="Times New Roman"/>
          <w:color w:val="000000"/>
          <w:sz w:val="24"/>
          <w:szCs w:val="24"/>
        </w:rPr>
        <w:t xml:space="preserve">Listing is to be based upon </w:t>
      </w:r>
      <w:r w:rsidR="00182E25">
        <w:rPr>
          <w:rFonts w:ascii="Times New Roman" w:eastAsia="Times New Roman" w:hAnsi="Times New Roman" w:cs="Times New Roman"/>
          <w:color w:val="000000"/>
          <w:sz w:val="24"/>
          <w:szCs w:val="24"/>
        </w:rPr>
        <w:t xml:space="preserve">biological evidence that a </w:t>
      </w:r>
      <w:r w:rsidRPr="00A11796">
        <w:rPr>
          <w:rFonts w:ascii="Times New Roman" w:eastAsia="Times New Roman" w:hAnsi="Times New Roman" w:cs="Times New Roman"/>
          <w:color w:val="000000"/>
          <w:sz w:val="24"/>
          <w:szCs w:val="24"/>
        </w:rPr>
        <w:t xml:space="preserve">species is in danger of extinction. Once </w:t>
      </w:r>
      <w:r w:rsidR="00582D85">
        <w:rPr>
          <w:rFonts w:ascii="Times New Roman" w:eastAsia="Times New Roman" w:hAnsi="Times New Roman" w:cs="Times New Roman"/>
          <w:color w:val="000000"/>
          <w:sz w:val="24"/>
          <w:szCs w:val="24"/>
        </w:rPr>
        <w:t>listed</w:t>
      </w:r>
      <w:r w:rsidRPr="00A11796">
        <w:rPr>
          <w:rFonts w:ascii="Times New Roman" w:eastAsia="Times New Roman" w:hAnsi="Times New Roman" w:cs="Times New Roman"/>
          <w:color w:val="000000"/>
          <w:sz w:val="24"/>
          <w:szCs w:val="24"/>
        </w:rPr>
        <w:t>, it becomes illegal for anyone to take that species, where take is defined as “to harass, harm, pursue, hunt, shoot, wound, kill, trap, capture, or collect” a member of the species.</w:t>
      </w:r>
      <w:r w:rsidR="00582D85" w:rsidRPr="00582D85">
        <w:rPr>
          <w:rStyle w:val="FootnoteReference"/>
          <w:rFonts w:ascii="Times New Roman" w:eastAsia="Times New Roman" w:hAnsi="Times New Roman" w:cs="Times New Roman"/>
          <w:color w:val="000000"/>
          <w:sz w:val="24"/>
          <w:szCs w:val="24"/>
        </w:rPr>
        <w:t xml:space="preserve"> </w:t>
      </w:r>
      <w:r w:rsidR="00582D85">
        <w:rPr>
          <w:rStyle w:val="FootnoteReference"/>
          <w:rFonts w:ascii="Times New Roman" w:eastAsia="Times New Roman" w:hAnsi="Times New Roman" w:cs="Times New Roman"/>
          <w:color w:val="000000"/>
          <w:sz w:val="24"/>
          <w:szCs w:val="24"/>
        </w:rPr>
        <w:footnoteReference w:id="81"/>
      </w:r>
      <w:r w:rsidR="00582D85" w:rsidRPr="00A11796">
        <w:rPr>
          <w:rFonts w:ascii="Times New Roman" w:eastAsia="Times New Roman" w:hAnsi="Times New Roman" w:cs="Times New Roman"/>
          <w:color w:val="000000"/>
          <w:sz w:val="24"/>
          <w:szCs w:val="24"/>
        </w:rPr>
        <w:t xml:space="preserve"> </w:t>
      </w:r>
      <w:r w:rsidRPr="00A11796">
        <w:rPr>
          <w:rFonts w:ascii="Times New Roman" w:eastAsia="Times New Roman" w:hAnsi="Times New Roman" w:cs="Times New Roman"/>
          <w:color w:val="000000"/>
          <w:sz w:val="24"/>
          <w:szCs w:val="24"/>
        </w:rPr>
        <w:t xml:space="preserve"> </w:t>
      </w:r>
      <w:r w:rsidR="00582D85">
        <w:rPr>
          <w:rFonts w:ascii="Times New Roman" w:eastAsia="Times New Roman" w:hAnsi="Times New Roman" w:cs="Times New Roman"/>
          <w:color w:val="000000"/>
          <w:sz w:val="24"/>
          <w:szCs w:val="24"/>
        </w:rPr>
        <w:t xml:space="preserve">Listing can bring </w:t>
      </w:r>
      <w:r w:rsidRPr="00A11796">
        <w:rPr>
          <w:rFonts w:ascii="Times New Roman" w:eastAsia="Times New Roman" w:hAnsi="Times New Roman" w:cs="Times New Roman"/>
          <w:color w:val="000000"/>
          <w:sz w:val="24"/>
          <w:szCs w:val="24"/>
        </w:rPr>
        <w:t xml:space="preserve">restrictions on how </w:t>
      </w:r>
      <w:r w:rsidR="00324567">
        <w:rPr>
          <w:rFonts w:ascii="Times New Roman" w:eastAsia="Times New Roman" w:hAnsi="Times New Roman" w:cs="Times New Roman"/>
          <w:color w:val="000000"/>
          <w:sz w:val="24"/>
          <w:szCs w:val="24"/>
        </w:rPr>
        <w:t xml:space="preserve">private and government </w:t>
      </w:r>
      <w:r w:rsidRPr="00A11796">
        <w:rPr>
          <w:rFonts w:ascii="Times New Roman" w:eastAsia="Times New Roman" w:hAnsi="Times New Roman" w:cs="Times New Roman"/>
          <w:color w:val="000000"/>
          <w:sz w:val="24"/>
          <w:szCs w:val="24"/>
        </w:rPr>
        <w:t xml:space="preserve">land can be used. </w:t>
      </w:r>
      <w:r w:rsidR="00324567" w:rsidRPr="006F450E">
        <w:rPr>
          <w:rFonts w:ascii="Times New Roman" w:eastAsia="Times New Roman" w:hAnsi="Times New Roman" w:cs="Times New Roman"/>
          <w:kern w:val="0"/>
          <w:sz w:val="24"/>
          <w:szCs w:val="24"/>
          <w14:ligatures w14:val="none"/>
        </w:rPr>
        <w:t xml:space="preserve">Critical habitat designation also can trigger a variety of </w:t>
      </w:r>
      <w:r w:rsidR="00324567">
        <w:rPr>
          <w:rFonts w:ascii="Times New Roman" w:eastAsia="Times New Roman" w:hAnsi="Times New Roman" w:cs="Times New Roman"/>
          <w:kern w:val="0"/>
          <w:sz w:val="24"/>
          <w:szCs w:val="24"/>
          <w14:ligatures w14:val="none"/>
        </w:rPr>
        <w:t xml:space="preserve">property </w:t>
      </w:r>
      <w:r w:rsidR="00324567" w:rsidRPr="006F450E">
        <w:rPr>
          <w:rFonts w:ascii="Times New Roman" w:eastAsia="Times New Roman" w:hAnsi="Times New Roman" w:cs="Times New Roman"/>
          <w:kern w:val="0"/>
          <w:sz w:val="24"/>
          <w:szCs w:val="24"/>
          <w14:ligatures w14:val="none"/>
        </w:rPr>
        <w:t>re</w:t>
      </w:r>
      <w:r w:rsidR="00324567">
        <w:rPr>
          <w:rFonts w:ascii="Times New Roman" w:eastAsia="Times New Roman" w:hAnsi="Times New Roman" w:cs="Times New Roman"/>
          <w:kern w:val="0"/>
          <w:sz w:val="24"/>
          <w:szCs w:val="24"/>
          <w14:ligatures w14:val="none"/>
        </w:rPr>
        <w:t>gulations</w:t>
      </w:r>
      <w:r w:rsidR="00324567" w:rsidRPr="006F450E">
        <w:rPr>
          <w:rFonts w:ascii="Times New Roman" w:eastAsia="Times New Roman" w:hAnsi="Times New Roman" w:cs="Times New Roman"/>
          <w:kern w:val="0"/>
          <w:sz w:val="24"/>
          <w:szCs w:val="24"/>
          <w14:ligatures w14:val="none"/>
        </w:rPr>
        <w:t>, permitting delays</w:t>
      </w:r>
      <w:r w:rsidR="00324567">
        <w:rPr>
          <w:rFonts w:ascii="Times New Roman" w:eastAsia="Times New Roman" w:hAnsi="Times New Roman" w:cs="Times New Roman"/>
          <w:kern w:val="0"/>
          <w:sz w:val="24"/>
          <w:szCs w:val="24"/>
          <w14:ligatures w14:val="none"/>
        </w:rPr>
        <w:t>,</w:t>
      </w:r>
      <w:r w:rsidR="00324567" w:rsidRPr="006F450E">
        <w:rPr>
          <w:rFonts w:ascii="Times New Roman" w:eastAsia="Times New Roman" w:hAnsi="Times New Roman" w:cs="Times New Roman"/>
          <w:kern w:val="0"/>
          <w:sz w:val="24"/>
          <w:szCs w:val="24"/>
          <w14:ligatures w14:val="none"/>
        </w:rPr>
        <w:t xml:space="preserve"> and environmental impact studies.  There are winners and losers in the process</w:t>
      </w:r>
      <w:r w:rsidR="00324567">
        <w:rPr>
          <w:rFonts w:ascii="Times New Roman" w:eastAsia="Times New Roman" w:hAnsi="Times New Roman" w:cs="Times New Roman"/>
          <w:kern w:val="0"/>
          <w:sz w:val="24"/>
          <w:szCs w:val="24"/>
          <w14:ligatures w14:val="none"/>
        </w:rPr>
        <w:t>.  With much at stake</w:t>
      </w:r>
      <w:r w:rsidR="00ED6FE3">
        <w:rPr>
          <w:rFonts w:ascii="Times New Roman" w:eastAsia="Times New Roman" w:hAnsi="Times New Roman" w:cs="Times New Roman"/>
          <w:kern w:val="0"/>
          <w:sz w:val="24"/>
          <w:szCs w:val="24"/>
          <w14:ligatures w14:val="none"/>
        </w:rPr>
        <w:t>,</w:t>
      </w:r>
      <w:r w:rsidR="00324567">
        <w:rPr>
          <w:rFonts w:ascii="Times New Roman" w:eastAsia="Times New Roman" w:hAnsi="Times New Roman" w:cs="Times New Roman"/>
          <w:kern w:val="0"/>
          <w:sz w:val="24"/>
          <w:szCs w:val="24"/>
          <w14:ligatures w14:val="none"/>
        </w:rPr>
        <w:t xml:space="preserve"> i</w:t>
      </w:r>
      <w:r w:rsidR="00324567" w:rsidRPr="006F450E">
        <w:rPr>
          <w:rFonts w:ascii="Times New Roman" w:eastAsia="Times New Roman" w:hAnsi="Times New Roman" w:cs="Times New Roman"/>
          <w:kern w:val="0"/>
          <w:sz w:val="24"/>
          <w:szCs w:val="24"/>
          <w14:ligatures w14:val="none"/>
        </w:rPr>
        <w:t xml:space="preserve">nterest groups lobby </w:t>
      </w:r>
      <w:r w:rsidR="00324567">
        <w:rPr>
          <w:rFonts w:ascii="Times New Roman" w:eastAsia="Times New Roman" w:hAnsi="Times New Roman" w:cs="Times New Roman"/>
          <w:kern w:val="0"/>
          <w:sz w:val="24"/>
          <w:szCs w:val="24"/>
          <w14:ligatures w14:val="none"/>
        </w:rPr>
        <w:t xml:space="preserve">Congress and the FWS </w:t>
      </w:r>
      <w:r w:rsidR="00324567" w:rsidRPr="006F450E">
        <w:rPr>
          <w:rFonts w:ascii="Times New Roman" w:eastAsia="Times New Roman" w:hAnsi="Times New Roman" w:cs="Times New Roman"/>
          <w:kern w:val="0"/>
          <w:sz w:val="24"/>
          <w:szCs w:val="24"/>
          <w14:ligatures w14:val="none"/>
        </w:rPr>
        <w:t>for listings or their delay</w:t>
      </w:r>
      <w:r w:rsidR="00324567">
        <w:rPr>
          <w:rFonts w:ascii="Times New Roman" w:eastAsia="Times New Roman" w:hAnsi="Times New Roman" w:cs="Times New Roman"/>
          <w:kern w:val="0"/>
          <w:sz w:val="24"/>
          <w:szCs w:val="24"/>
          <w14:ligatures w14:val="none"/>
        </w:rPr>
        <w:t xml:space="preserve"> (</w:t>
      </w:r>
      <w:r w:rsidR="00324567" w:rsidRPr="00E80438">
        <w:rPr>
          <w:rFonts w:ascii="Times New Roman" w:eastAsia="Times New Roman" w:hAnsi="Times New Roman" w:cs="Times New Roman"/>
          <w:kern w:val="0"/>
          <w:sz w:val="24"/>
          <w:szCs w:val="24"/>
          <w14:ligatures w14:val="none"/>
        </w:rPr>
        <w:t>Ando 1999, 2001, 2003)</w:t>
      </w:r>
      <w:r w:rsidR="00324567" w:rsidRPr="006F450E">
        <w:rPr>
          <w:rFonts w:ascii="Times New Roman" w:eastAsia="Times New Roman" w:hAnsi="Times New Roman" w:cs="Times New Roman"/>
          <w:kern w:val="0"/>
          <w:sz w:val="24"/>
          <w:szCs w:val="24"/>
          <w14:ligatures w14:val="none"/>
        </w:rPr>
        <w:t>.</w:t>
      </w:r>
      <w:r w:rsidR="00324567" w:rsidRPr="008B770D">
        <w:rPr>
          <w:rFonts w:ascii="Times New Roman" w:eastAsia="Times New Roman" w:hAnsi="Times New Roman" w:cs="Times New Roman"/>
          <w:kern w:val="0"/>
          <w:sz w:val="24"/>
          <w:szCs w:val="24"/>
          <w:vertAlign w:val="superscript"/>
          <w14:ligatures w14:val="none"/>
        </w:rPr>
        <w:t xml:space="preserve"> </w:t>
      </w:r>
      <w:r w:rsidR="00324567" w:rsidRPr="00E80438">
        <w:rPr>
          <w:rFonts w:ascii="Times New Roman" w:eastAsia="Times New Roman" w:hAnsi="Times New Roman" w:cs="Times New Roman"/>
          <w:kern w:val="0"/>
          <w:sz w:val="24"/>
          <w:szCs w:val="24"/>
          <w:vertAlign w:val="superscript"/>
          <w14:ligatures w14:val="none"/>
        </w:rPr>
        <w:footnoteReference w:id="82"/>
      </w:r>
      <w:r w:rsidR="00324567" w:rsidRPr="006F450E">
        <w:rPr>
          <w:rFonts w:ascii="Times New Roman" w:eastAsia="Times New Roman" w:hAnsi="Times New Roman" w:cs="Times New Roman"/>
          <w:kern w:val="0"/>
          <w:sz w:val="24"/>
          <w:szCs w:val="24"/>
          <w14:ligatures w14:val="none"/>
        </w:rPr>
        <w:t xml:space="preserve"> These groups include</w:t>
      </w:r>
      <w:r w:rsidR="00324567" w:rsidRPr="00E80438">
        <w:rPr>
          <w:rFonts w:ascii="Times New Roman" w:eastAsia="Times New Roman" w:hAnsi="Times New Roman" w:cs="Times New Roman"/>
          <w:kern w:val="0"/>
          <w:sz w:val="24"/>
          <w:szCs w:val="24"/>
          <w14:ligatures w14:val="none"/>
        </w:rPr>
        <w:t xml:space="preserve"> </w:t>
      </w:r>
      <w:r w:rsidR="00ED6FE3">
        <w:rPr>
          <w:rFonts w:ascii="Times New Roman" w:eastAsia="Times New Roman" w:hAnsi="Times New Roman" w:cs="Times New Roman"/>
          <w:kern w:val="0"/>
          <w:sz w:val="24"/>
          <w:szCs w:val="24"/>
          <w14:ligatures w14:val="none"/>
        </w:rPr>
        <w:t xml:space="preserve">landowners and economic development organizations </w:t>
      </w:r>
      <w:r w:rsidR="00324567" w:rsidRPr="00E80438">
        <w:rPr>
          <w:rFonts w:ascii="Times New Roman" w:eastAsia="Times New Roman" w:hAnsi="Times New Roman" w:cs="Times New Roman"/>
          <w:kern w:val="0"/>
          <w:sz w:val="24"/>
          <w:szCs w:val="24"/>
          <w14:ligatures w14:val="none"/>
        </w:rPr>
        <w:t xml:space="preserve">versus environmental NGOs.  </w:t>
      </w:r>
    </w:p>
    <w:p w14:paraId="7114CFAB" w14:textId="50943EB8" w:rsidR="00C5349D" w:rsidRDefault="00324567" w:rsidP="00025E66">
      <w:pPr>
        <w:shd w:val="clear" w:color="auto" w:fill="FFFFFF"/>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political process is complex</w:t>
      </w:r>
      <w:r w:rsidR="006213C9">
        <w:rPr>
          <w:rFonts w:ascii="Times New Roman" w:eastAsia="Times New Roman" w:hAnsi="Times New Roman" w:cs="Times New Roman"/>
          <w:kern w:val="0"/>
          <w:sz w:val="24"/>
          <w:szCs w:val="24"/>
          <w14:ligatures w14:val="none"/>
        </w:rPr>
        <w:t xml:space="preserve">, </w:t>
      </w:r>
      <w:r w:rsidR="00182EAC">
        <w:rPr>
          <w:rFonts w:ascii="Times New Roman" w:eastAsia="Times New Roman" w:hAnsi="Times New Roman" w:cs="Times New Roman"/>
          <w:kern w:val="0"/>
          <w:sz w:val="24"/>
          <w:szCs w:val="24"/>
          <w14:ligatures w14:val="none"/>
        </w:rPr>
        <w:t>as it is with most environmental legislation in Table 1</w:t>
      </w:r>
      <w:r w:rsidR="00ED6FE3">
        <w:rPr>
          <w:rFonts w:ascii="Times New Roman" w:eastAsia="Times New Roman" w:hAnsi="Times New Roman" w:cs="Times New Roman"/>
          <w:kern w:val="0"/>
          <w:sz w:val="24"/>
          <w:szCs w:val="24"/>
          <w14:ligatures w14:val="none"/>
        </w:rPr>
        <w:t>.</w:t>
      </w:r>
      <w:r w:rsidR="00C5349D">
        <w:rPr>
          <w:rFonts w:ascii="Times New Roman" w:eastAsia="Times New Roman" w:hAnsi="Times New Roman" w:cs="Times New Roman"/>
          <w:kern w:val="0"/>
          <w:sz w:val="24"/>
          <w:szCs w:val="24"/>
          <w14:ligatures w14:val="none"/>
        </w:rPr>
        <w:t xml:space="preserve"> </w:t>
      </w:r>
      <w:r w:rsidR="00ED6FE3">
        <w:rPr>
          <w:rFonts w:ascii="Times New Roman" w:eastAsia="Times New Roman" w:hAnsi="Times New Roman" w:cs="Times New Roman"/>
          <w:kern w:val="0"/>
          <w:sz w:val="24"/>
          <w:szCs w:val="24"/>
          <w14:ligatures w14:val="none"/>
        </w:rPr>
        <w:t>T</w:t>
      </w:r>
      <w:r w:rsidR="00C5349D">
        <w:rPr>
          <w:rFonts w:ascii="Times New Roman" w:eastAsia="Times New Roman" w:hAnsi="Times New Roman" w:cs="Times New Roman"/>
          <w:kern w:val="0"/>
          <w:sz w:val="24"/>
          <w:szCs w:val="24"/>
          <w14:ligatures w14:val="none"/>
        </w:rPr>
        <w:t>here is a mix of public and private goods provided that is difficult for citizens to disentangle</w:t>
      </w:r>
      <w:r w:rsidR="00182EAC">
        <w:rPr>
          <w:rFonts w:ascii="Times New Roman" w:eastAsia="Times New Roman" w:hAnsi="Times New Roman" w:cs="Times New Roman"/>
          <w:kern w:val="0"/>
          <w:sz w:val="24"/>
          <w:szCs w:val="24"/>
          <w14:ligatures w14:val="none"/>
        </w:rPr>
        <w:t xml:space="preserve">. </w:t>
      </w:r>
      <w:r w:rsidR="00671997">
        <w:rPr>
          <w:rFonts w:ascii="Times New Roman" w:eastAsia="Times New Roman" w:hAnsi="Times New Roman" w:cs="Times New Roman"/>
          <w:kern w:val="0"/>
          <w:sz w:val="24"/>
          <w:szCs w:val="24"/>
          <w14:ligatures w14:val="none"/>
        </w:rPr>
        <w:t xml:space="preserve">Those who receive rents </w:t>
      </w:r>
      <w:r w:rsidR="00C5349D">
        <w:rPr>
          <w:rFonts w:ascii="Times New Roman" w:eastAsia="Times New Roman" w:hAnsi="Times New Roman" w:cs="Times New Roman"/>
          <w:kern w:val="0"/>
          <w:sz w:val="24"/>
          <w:szCs w:val="24"/>
          <w14:ligatures w14:val="none"/>
        </w:rPr>
        <w:t>have little incentive to</w:t>
      </w:r>
      <w:r w:rsidR="00182EAC">
        <w:rPr>
          <w:rFonts w:ascii="Times New Roman" w:eastAsia="Times New Roman" w:hAnsi="Times New Roman" w:cs="Times New Roman"/>
          <w:kern w:val="0"/>
          <w:sz w:val="24"/>
          <w:szCs w:val="24"/>
          <w14:ligatures w14:val="none"/>
        </w:rPr>
        <w:t xml:space="preserve"> </w:t>
      </w:r>
      <w:r w:rsidR="00C5349D">
        <w:rPr>
          <w:rFonts w:ascii="Times New Roman" w:eastAsia="Times New Roman" w:hAnsi="Times New Roman" w:cs="Times New Roman"/>
          <w:kern w:val="0"/>
          <w:sz w:val="24"/>
          <w:szCs w:val="24"/>
          <w14:ligatures w14:val="none"/>
        </w:rPr>
        <w:t xml:space="preserve">provide information on the relative benefits or overall costs and benefits. </w:t>
      </w:r>
    </w:p>
    <w:p w14:paraId="61BBF9A7" w14:textId="7A2653BA" w:rsidR="00025E66" w:rsidRDefault="00182EAC" w:rsidP="00025E66">
      <w:pPr>
        <w:shd w:val="clear" w:color="auto" w:fill="FFFFFF"/>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This setting </w:t>
      </w:r>
      <w:r w:rsidR="006213C9">
        <w:rPr>
          <w:rFonts w:ascii="Times New Roman" w:eastAsia="Times New Roman" w:hAnsi="Times New Roman" w:cs="Times New Roman"/>
          <w:kern w:val="0"/>
          <w:sz w:val="24"/>
          <w:szCs w:val="24"/>
          <w14:ligatures w14:val="none"/>
        </w:rPr>
        <w:t xml:space="preserve">may explain the </w:t>
      </w:r>
      <w:r>
        <w:rPr>
          <w:rFonts w:ascii="Times New Roman" w:eastAsia="Times New Roman" w:hAnsi="Times New Roman" w:cs="Times New Roman"/>
          <w:kern w:val="0"/>
          <w:sz w:val="24"/>
          <w:szCs w:val="24"/>
          <w14:ligatures w14:val="none"/>
        </w:rPr>
        <w:t>ESA’s</w:t>
      </w:r>
      <w:r w:rsidR="006213C9">
        <w:rPr>
          <w:rFonts w:ascii="Times New Roman" w:eastAsia="Times New Roman" w:hAnsi="Times New Roman" w:cs="Times New Roman"/>
          <w:kern w:val="0"/>
          <w:sz w:val="24"/>
          <w:szCs w:val="24"/>
          <w14:ligatures w14:val="none"/>
        </w:rPr>
        <w:t xml:space="preserve"> continuation</w:t>
      </w:r>
      <w:r>
        <w:rPr>
          <w:rFonts w:ascii="Times New Roman" w:eastAsia="Times New Roman" w:hAnsi="Times New Roman" w:cs="Times New Roman"/>
          <w:kern w:val="0"/>
          <w:sz w:val="24"/>
          <w:szCs w:val="24"/>
          <w14:ligatures w14:val="none"/>
        </w:rPr>
        <w:t xml:space="preserve"> with apparent </w:t>
      </w:r>
      <w:r w:rsidR="006213C9">
        <w:rPr>
          <w:rFonts w:ascii="Times New Roman" w:eastAsia="Times New Roman" w:hAnsi="Times New Roman" w:cs="Times New Roman"/>
          <w:kern w:val="0"/>
          <w:sz w:val="24"/>
          <w:szCs w:val="24"/>
          <w14:ligatures w14:val="none"/>
        </w:rPr>
        <w:t>limited budget</w:t>
      </w:r>
      <w:r>
        <w:rPr>
          <w:rFonts w:ascii="Times New Roman" w:eastAsia="Times New Roman" w:hAnsi="Times New Roman" w:cs="Times New Roman"/>
          <w:kern w:val="0"/>
          <w:sz w:val="24"/>
          <w:szCs w:val="24"/>
          <w14:ligatures w14:val="none"/>
        </w:rPr>
        <w:t xml:space="preserve">s </w:t>
      </w:r>
      <w:r w:rsidR="006213C9">
        <w:rPr>
          <w:rFonts w:ascii="Times New Roman" w:eastAsia="Times New Roman" w:hAnsi="Times New Roman" w:cs="Times New Roman"/>
          <w:kern w:val="0"/>
          <w:sz w:val="24"/>
          <w:szCs w:val="24"/>
          <w14:ligatures w14:val="none"/>
        </w:rPr>
        <w:t>and without congressional reauthorization</w:t>
      </w:r>
      <w:r w:rsidR="00324567">
        <w:rPr>
          <w:rFonts w:ascii="Times New Roman" w:eastAsia="Times New Roman" w:hAnsi="Times New Roman" w:cs="Times New Roman"/>
          <w:kern w:val="0"/>
          <w:sz w:val="24"/>
          <w:szCs w:val="24"/>
          <w14:ligatures w14:val="none"/>
        </w:rPr>
        <w:t xml:space="preserve">. On the one hand, the ESA has been broadly popular. ESA </w:t>
      </w:r>
      <w:r w:rsidR="002A390C">
        <w:rPr>
          <w:rFonts w:ascii="Times New Roman" w:eastAsia="Times New Roman" w:hAnsi="Times New Roman" w:cs="Times New Roman"/>
          <w:kern w:val="0"/>
          <w:sz w:val="24"/>
          <w:szCs w:val="24"/>
          <w14:ligatures w14:val="none"/>
        </w:rPr>
        <w:t xml:space="preserve">regulatory </w:t>
      </w:r>
      <w:r w:rsidR="00324567">
        <w:rPr>
          <w:rFonts w:ascii="Times New Roman" w:eastAsia="Times New Roman" w:hAnsi="Times New Roman" w:cs="Times New Roman"/>
          <w:kern w:val="0"/>
          <w:sz w:val="24"/>
          <w:szCs w:val="24"/>
          <w14:ligatures w14:val="none"/>
        </w:rPr>
        <w:t xml:space="preserve">costs are spread across all citizens so that </w:t>
      </w:r>
      <w:r w:rsidR="002A390C">
        <w:rPr>
          <w:rFonts w:ascii="Times New Roman" w:eastAsia="Times New Roman" w:hAnsi="Times New Roman" w:cs="Times New Roman"/>
          <w:kern w:val="0"/>
          <w:sz w:val="24"/>
          <w:szCs w:val="24"/>
          <w14:ligatures w14:val="none"/>
        </w:rPr>
        <w:t xml:space="preserve">individual shares </w:t>
      </w:r>
      <w:r w:rsidR="00324567">
        <w:rPr>
          <w:rFonts w:ascii="Times New Roman" w:eastAsia="Times New Roman" w:hAnsi="Times New Roman" w:cs="Times New Roman"/>
          <w:kern w:val="0"/>
          <w:sz w:val="24"/>
          <w:szCs w:val="24"/>
          <w14:ligatures w14:val="none"/>
        </w:rPr>
        <w:t xml:space="preserve">are </w:t>
      </w:r>
      <w:r w:rsidR="002A390C">
        <w:rPr>
          <w:rFonts w:ascii="Times New Roman" w:eastAsia="Times New Roman" w:hAnsi="Times New Roman" w:cs="Times New Roman"/>
          <w:kern w:val="0"/>
          <w:sz w:val="24"/>
          <w:szCs w:val="24"/>
          <w14:ligatures w14:val="none"/>
        </w:rPr>
        <w:t xml:space="preserve">small.  Moreover, </w:t>
      </w:r>
      <w:r w:rsidR="006213C9">
        <w:rPr>
          <w:rFonts w:ascii="Times New Roman" w:eastAsia="Times New Roman" w:hAnsi="Times New Roman" w:cs="Times New Roman"/>
          <w:kern w:val="0"/>
          <w:sz w:val="24"/>
          <w:szCs w:val="24"/>
          <w14:ligatures w14:val="none"/>
        </w:rPr>
        <w:t>t</w:t>
      </w:r>
      <w:r w:rsidR="00324567">
        <w:rPr>
          <w:rFonts w:ascii="Times New Roman" w:eastAsia="Times New Roman" w:hAnsi="Times New Roman" w:cs="Times New Roman"/>
          <w:kern w:val="0"/>
          <w:sz w:val="24"/>
          <w:szCs w:val="24"/>
          <w14:ligatures w14:val="none"/>
        </w:rPr>
        <w:t>he attraction of saving species</w:t>
      </w:r>
      <w:r w:rsidR="006213C9">
        <w:rPr>
          <w:rFonts w:ascii="Times New Roman" w:eastAsia="Times New Roman" w:hAnsi="Times New Roman" w:cs="Times New Roman"/>
          <w:kern w:val="0"/>
          <w:sz w:val="24"/>
          <w:szCs w:val="24"/>
          <w14:ligatures w14:val="none"/>
        </w:rPr>
        <w:t xml:space="preserve"> is appealin</w:t>
      </w:r>
      <w:r w:rsidR="002A390C">
        <w:rPr>
          <w:rFonts w:ascii="Times New Roman" w:eastAsia="Times New Roman" w:hAnsi="Times New Roman" w:cs="Times New Roman"/>
          <w:kern w:val="0"/>
          <w:sz w:val="24"/>
          <w:szCs w:val="24"/>
          <w14:ligatures w14:val="none"/>
        </w:rPr>
        <w:t>g</w:t>
      </w:r>
      <w:r w:rsidR="006213C9">
        <w:rPr>
          <w:rFonts w:ascii="Times New Roman" w:eastAsia="Times New Roman" w:hAnsi="Times New Roman" w:cs="Times New Roman"/>
          <w:kern w:val="0"/>
          <w:sz w:val="24"/>
          <w:szCs w:val="24"/>
          <w14:ligatures w14:val="none"/>
        </w:rPr>
        <w:t xml:space="preserve"> </w:t>
      </w:r>
      <w:r w:rsidR="002A390C">
        <w:rPr>
          <w:rFonts w:ascii="Times New Roman" w:eastAsia="Times New Roman" w:hAnsi="Times New Roman" w:cs="Times New Roman"/>
          <w:kern w:val="0"/>
          <w:sz w:val="24"/>
          <w:szCs w:val="24"/>
          <w14:ligatures w14:val="none"/>
        </w:rPr>
        <w:t xml:space="preserve">so that </w:t>
      </w:r>
      <w:r w:rsidR="006213C9">
        <w:rPr>
          <w:rFonts w:ascii="Times New Roman" w:eastAsia="Times New Roman" w:hAnsi="Times New Roman" w:cs="Times New Roman"/>
          <w:kern w:val="0"/>
          <w:sz w:val="24"/>
          <w:szCs w:val="24"/>
          <w14:ligatures w14:val="none"/>
        </w:rPr>
        <w:t>the law re</w:t>
      </w:r>
      <w:r w:rsidR="00E720EF">
        <w:rPr>
          <w:rFonts w:ascii="Times New Roman" w:eastAsia="Times New Roman" w:hAnsi="Times New Roman" w:cs="Times New Roman"/>
          <w:kern w:val="0"/>
          <w:sz w:val="24"/>
          <w:szCs w:val="24"/>
          <w14:ligatures w14:val="none"/>
        </w:rPr>
        <w:t>tains overall support</w:t>
      </w:r>
      <w:r w:rsidR="00C5349D">
        <w:rPr>
          <w:rFonts w:ascii="Times New Roman" w:eastAsia="Times New Roman" w:hAnsi="Times New Roman" w:cs="Times New Roman"/>
          <w:kern w:val="0"/>
          <w:sz w:val="24"/>
          <w:szCs w:val="24"/>
          <w14:ligatures w14:val="none"/>
        </w:rPr>
        <w:t xml:space="preserve">. </w:t>
      </w:r>
      <w:r w:rsidR="00ED6FE3">
        <w:rPr>
          <w:rFonts w:ascii="Times New Roman" w:eastAsia="Times New Roman" w:hAnsi="Times New Roman" w:cs="Times New Roman"/>
          <w:kern w:val="0"/>
          <w:sz w:val="24"/>
          <w:szCs w:val="24"/>
          <w14:ligatures w14:val="none"/>
        </w:rPr>
        <w:t>With limited information, individual c</w:t>
      </w:r>
      <w:r w:rsidR="006213C9">
        <w:rPr>
          <w:rFonts w:ascii="Times New Roman" w:eastAsia="Times New Roman" w:hAnsi="Times New Roman" w:cs="Times New Roman"/>
          <w:kern w:val="0"/>
          <w:sz w:val="24"/>
          <w:szCs w:val="24"/>
          <w14:ligatures w14:val="none"/>
        </w:rPr>
        <w:t xml:space="preserve">itizen </w:t>
      </w:r>
      <w:r w:rsidR="00324567">
        <w:rPr>
          <w:rFonts w:ascii="Times New Roman" w:eastAsia="Times New Roman" w:hAnsi="Times New Roman" w:cs="Times New Roman"/>
          <w:kern w:val="0"/>
          <w:sz w:val="24"/>
          <w:szCs w:val="24"/>
          <w14:ligatures w14:val="none"/>
        </w:rPr>
        <w:t xml:space="preserve">assessment of </w:t>
      </w:r>
      <w:r w:rsidR="00ED6FE3">
        <w:rPr>
          <w:rFonts w:ascii="Times New Roman" w:eastAsia="Times New Roman" w:hAnsi="Times New Roman" w:cs="Times New Roman"/>
          <w:kern w:val="0"/>
          <w:sz w:val="24"/>
          <w:szCs w:val="24"/>
          <w14:ligatures w14:val="none"/>
        </w:rPr>
        <w:t xml:space="preserve">the law’s </w:t>
      </w:r>
      <w:r w:rsidR="00E720EF">
        <w:rPr>
          <w:rFonts w:ascii="Times New Roman" w:eastAsia="Times New Roman" w:hAnsi="Times New Roman" w:cs="Times New Roman"/>
          <w:kern w:val="0"/>
          <w:sz w:val="24"/>
          <w:szCs w:val="24"/>
          <w14:ligatures w14:val="none"/>
        </w:rPr>
        <w:t xml:space="preserve">general </w:t>
      </w:r>
      <w:r w:rsidR="00324567">
        <w:rPr>
          <w:rFonts w:ascii="Times New Roman" w:eastAsia="Times New Roman" w:hAnsi="Times New Roman" w:cs="Times New Roman"/>
          <w:kern w:val="0"/>
          <w:sz w:val="24"/>
          <w:szCs w:val="24"/>
          <w14:ligatures w14:val="none"/>
        </w:rPr>
        <w:t>benefits</w:t>
      </w:r>
      <w:r w:rsidR="00E720EF">
        <w:rPr>
          <w:rFonts w:ascii="Times New Roman" w:eastAsia="Times New Roman" w:hAnsi="Times New Roman" w:cs="Times New Roman"/>
          <w:kern w:val="0"/>
          <w:sz w:val="24"/>
          <w:szCs w:val="24"/>
          <w14:ligatures w14:val="none"/>
        </w:rPr>
        <w:t>, costs,</w:t>
      </w:r>
      <w:r w:rsidR="00324567">
        <w:rPr>
          <w:rFonts w:ascii="Times New Roman" w:eastAsia="Times New Roman" w:hAnsi="Times New Roman" w:cs="Times New Roman"/>
          <w:kern w:val="0"/>
          <w:sz w:val="24"/>
          <w:szCs w:val="24"/>
          <w14:ligatures w14:val="none"/>
        </w:rPr>
        <w:t xml:space="preserve"> and performance</w:t>
      </w:r>
      <w:r w:rsidR="00ED6FE3">
        <w:rPr>
          <w:rFonts w:ascii="Times New Roman" w:eastAsia="Times New Roman" w:hAnsi="Times New Roman" w:cs="Times New Roman"/>
          <w:kern w:val="0"/>
          <w:sz w:val="24"/>
          <w:szCs w:val="24"/>
          <w14:ligatures w14:val="none"/>
        </w:rPr>
        <w:t>, however,</w:t>
      </w:r>
      <w:r w:rsidR="006213C9">
        <w:rPr>
          <w:rFonts w:ascii="Times New Roman" w:eastAsia="Times New Roman" w:hAnsi="Times New Roman" w:cs="Times New Roman"/>
          <w:kern w:val="0"/>
          <w:sz w:val="24"/>
          <w:szCs w:val="24"/>
          <w14:ligatures w14:val="none"/>
        </w:rPr>
        <w:t xml:space="preserve"> </w:t>
      </w:r>
      <w:r w:rsidR="00E720EF">
        <w:rPr>
          <w:rFonts w:ascii="Times New Roman" w:eastAsia="Times New Roman" w:hAnsi="Times New Roman" w:cs="Times New Roman"/>
          <w:kern w:val="0"/>
          <w:sz w:val="24"/>
          <w:szCs w:val="24"/>
          <w14:ligatures w14:val="none"/>
        </w:rPr>
        <w:t xml:space="preserve">would be very </w:t>
      </w:r>
      <w:r w:rsidR="00C5349D">
        <w:rPr>
          <w:rFonts w:ascii="Times New Roman" w:eastAsia="Times New Roman" w:hAnsi="Times New Roman" w:cs="Times New Roman"/>
          <w:kern w:val="0"/>
          <w:sz w:val="24"/>
          <w:szCs w:val="24"/>
          <w14:ligatures w14:val="none"/>
        </w:rPr>
        <w:t>problematic</w:t>
      </w:r>
      <w:r w:rsidR="006213C9">
        <w:rPr>
          <w:rFonts w:ascii="Times New Roman" w:eastAsia="Times New Roman" w:hAnsi="Times New Roman" w:cs="Times New Roman"/>
          <w:kern w:val="0"/>
          <w:sz w:val="24"/>
          <w:szCs w:val="24"/>
          <w14:ligatures w14:val="none"/>
        </w:rPr>
        <w:t xml:space="preserve">.  </w:t>
      </w:r>
    </w:p>
    <w:p w14:paraId="6EB3696B" w14:textId="78B957B6" w:rsidR="0005718A" w:rsidRDefault="002A390C" w:rsidP="00025E66">
      <w:pPr>
        <w:shd w:val="clear" w:color="auto" w:fill="FFFFFF"/>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Citizens </w:t>
      </w:r>
      <w:r w:rsidR="006213C9">
        <w:rPr>
          <w:rFonts w:ascii="Times New Roman" w:eastAsia="Times New Roman" w:hAnsi="Times New Roman" w:cs="Times New Roman"/>
          <w:kern w:val="0"/>
          <w:sz w:val="24"/>
          <w:szCs w:val="24"/>
          <w14:ligatures w14:val="none"/>
        </w:rPr>
        <w:t xml:space="preserve">lack the relevant </w:t>
      </w:r>
      <w:r w:rsidR="00ED6FE3">
        <w:rPr>
          <w:rFonts w:ascii="Times New Roman" w:eastAsia="Times New Roman" w:hAnsi="Times New Roman" w:cs="Times New Roman"/>
          <w:kern w:val="0"/>
          <w:sz w:val="24"/>
          <w:szCs w:val="24"/>
          <w14:ligatures w14:val="none"/>
        </w:rPr>
        <w:t>data</w:t>
      </w:r>
      <w:r w:rsidR="006213C9">
        <w:rPr>
          <w:rFonts w:ascii="Times New Roman" w:eastAsia="Times New Roman" w:hAnsi="Times New Roman" w:cs="Times New Roman"/>
          <w:kern w:val="0"/>
          <w:sz w:val="24"/>
          <w:szCs w:val="24"/>
          <w14:ligatures w14:val="none"/>
        </w:rPr>
        <w:t xml:space="preserve">, and </w:t>
      </w:r>
      <w:r w:rsidR="00851782">
        <w:rPr>
          <w:rFonts w:ascii="Times New Roman" w:eastAsia="Times New Roman" w:hAnsi="Times New Roman" w:cs="Times New Roman"/>
          <w:kern w:val="0"/>
          <w:sz w:val="24"/>
          <w:szCs w:val="24"/>
          <w14:ligatures w14:val="none"/>
        </w:rPr>
        <w:t xml:space="preserve">competition among </w:t>
      </w:r>
      <w:r w:rsidR="002C5326">
        <w:rPr>
          <w:rFonts w:ascii="Times New Roman" w:eastAsia="Times New Roman" w:hAnsi="Times New Roman" w:cs="Times New Roman"/>
          <w:kern w:val="0"/>
          <w:sz w:val="24"/>
          <w:szCs w:val="24"/>
          <w14:ligatures w14:val="none"/>
        </w:rPr>
        <w:t xml:space="preserve">more directly affected </w:t>
      </w:r>
      <w:r w:rsidR="00E720EF">
        <w:rPr>
          <w:rFonts w:ascii="Times New Roman" w:eastAsia="Times New Roman" w:hAnsi="Times New Roman" w:cs="Times New Roman"/>
          <w:kern w:val="0"/>
          <w:sz w:val="24"/>
          <w:szCs w:val="24"/>
          <w14:ligatures w14:val="none"/>
        </w:rPr>
        <w:t xml:space="preserve">interest groups </w:t>
      </w:r>
      <w:r w:rsidR="002C5326">
        <w:rPr>
          <w:rFonts w:ascii="Times New Roman" w:eastAsia="Times New Roman" w:hAnsi="Times New Roman" w:cs="Times New Roman"/>
          <w:kern w:val="0"/>
          <w:sz w:val="24"/>
          <w:szCs w:val="24"/>
          <w14:ligatures w14:val="none"/>
        </w:rPr>
        <w:t xml:space="preserve">likely generates biased </w:t>
      </w:r>
      <w:r w:rsidR="00BF2482">
        <w:rPr>
          <w:rFonts w:ascii="Times New Roman" w:eastAsia="Times New Roman" w:hAnsi="Times New Roman" w:cs="Times New Roman"/>
          <w:kern w:val="0"/>
          <w:sz w:val="24"/>
          <w:szCs w:val="24"/>
          <w14:ligatures w14:val="none"/>
        </w:rPr>
        <w:t>views</w:t>
      </w:r>
      <w:r w:rsidR="00E720EF">
        <w:rPr>
          <w:rFonts w:ascii="Times New Roman" w:eastAsia="Times New Roman" w:hAnsi="Times New Roman" w:cs="Times New Roman"/>
          <w:kern w:val="0"/>
          <w:sz w:val="24"/>
          <w:szCs w:val="24"/>
          <w14:ligatures w14:val="none"/>
        </w:rPr>
        <w:t xml:space="preserve"> that are difficult to balance</w:t>
      </w:r>
      <w:r w:rsidR="00BF2482">
        <w:rPr>
          <w:rFonts w:ascii="Times New Roman" w:eastAsia="Times New Roman" w:hAnsi="Times New Roman" w:cs="Times New Roman"/>
          <w:kern w:val="0"/>
          <w:sz w:val="24"/>
          <w:szCs w:val="24"/>
          <w14:ligatures w14:val="none"/>
        </w:rPr>
        <w:t>.</w:t>
      </w:r>
      <w:r w:rsidR="002C5326">
        <w:rPr>
          <w:rFonts w:ascii="Times New Roman" w:eastAsia="Times New Roman" w:hAnsi="Times New Roman" w:cs="Times New Roman"/>
          <w:kern w:val="0"/>
          <w:sz w:val="24"/>
          <w:szCs w:val="24"/>
          <w14:ligatures w14:val="none"/>
        </w:rPr>
        <w:t xml:space="preserve"> L</w:t>
      </w:r>
      <w:r w:rsidR="006213C9" w:rsidRPr="00E80438">
        <w:rPr>
          <w:rFonts w:ascii="Times New Roman" w:eastAsia="Times New Roman" w:hAnsi="Times New Roman" w:cs="Times New Roman"/>
          <w:kern w:val="0"/>
          <w:sz w:val="24"/>
          <w:szCs w:val="24"/>
          <w14:ligatures w14:val="none"/>
        </w:rPr>
        <w:t xml:space="preserve">andowner associations, economic development groups, firms, </w:t>
      </w:r>
      <w:r w:rsidR="002C5326">
        <w:rPr>
          <w:rFonts w:ascii="Times New Roman" w:eastAsia="Times New Roman" w:hAnsi="Times New Roman" w:cs="Times New Roman"/>
          <w:kern w:val="0"/>
          <w:sz w:val="24"/>
          <w:szCs w:val="24"/>
          <w14:ligatures w14:val="none"/>
        </w:rPr>
        <w:t xml:space="preserve">and </w:t>
      </w:r>
      <w:r w:rsidR="006213C9" w:rsidRPr="00E80438">
        <w:rPr>
          <w:rFonts w:ascii="Times New Roman" w:eastAsia="Times New Roman" w:hAnsi="Times New Roman" w:cs="Times New Roman"/>
          <w:kern w:val="0"/>
          <w:sz w:val="24"/>
          <w:szCs w:val="24"/>
          <w14:ligatures w14:val="none"/>
        </w:rPr>
        <w:t>labor unions</w:t>
      </w:r>
      <w:r w:rsidR="002C5326">
        <w:rPr>
          <w:rFonts w:ascii="Times New Roman" w:eastAsia="Times New Roman" w:hAnsi="Times New Roman" w:cs="Times New Roman"/>
          <w:kern w:val="0"/>
          <w:sz w:val="24"/>
          <w:szCs w:val="24"/>
          <w14:ligatures w14:val="none"/>
        </w:rPr>
        <w:t xml:space="preserve">, representing regulated parties, </w:t>
      </w:r>
      <w:r w:rsidR="00043A34">
        <w:rPr>
          <w:rFonts w:ascii="Times New Roman" w:eastAsia="Times New Roman" w:hAnsi="Times New Roman" w:cs="Times New Roman"/>
          <w:kern w:val="0"/>
          <w:sz w:val="24"/>
          <w:szCs w:val="24"/>
          <w14:ligatures w14:val="none"/>
        </w:rPr>
        <w:t xml:space="preserve">release information on </w:t>
      </w:r>
      <w:r w:rsidR="00025E66">
        <w:rPr>
          <w:rFonts w:ascii="Times New Roman" w:eastAsia="Times New Roman" w:hAnsi="Times New Roman" w:cs="Times New Roman"/>
          <w:kern w:val="0"/>
          <w:sz w:val="24"/>
          <w:szCs w:val="24"/>
          <w14:ligatures w14:val="none"/>
        </w:rPr>
        <w:t xml:space="preserve">local </w:t>
      </w:r>
      <w:r w:rsidR="00043A34">
        <w:rPr>
          <w:rFonts w:ascii="Times New Roman" w:eastAsia="Times New Roman" w:hAnsi="Times New Roman" w:cs="Times New Roman"/>
          <w:kern w:val="0"/>
          <w:sz w:val="24"/>
          <w:szCs w:val="24"/>
          <w14:ligatures w14:val="none"/>
        </w:rPr>
        <w:t xml:space="preserve">costs, but these </w:t>
      </w:r>
      <w:r w:rsidR="002C5326">
        <w:rPr>
          <w:rFonts w:ascii="Times New Roman" w:eastAsia="Times New Roman" w:hAnsi="Times New Roman" w:cs="Times New Roman"/>
          <w:kern w:val="0"/>
          <w:sz w:val="24"/>
          <w:szCs w:val="24"/>
          <w14:ligatures w14:val="none"/>
        </w:rPr>
        <w:t>c</w:t>
      </w:r>
      <w:r w:rsidR="00BF2482">
        <w:rPr>
          <w:rFonts w:ascii="Times New Roman" w:eastAsia="Times New Roman" w:hAnsi="Times New Roman" w:cs="Times New Roman"/>
          <w:kern w:val="0"/>
          <w:sz w:val="24"/>
          <w:szCs w:val="24"/>
          <w14:ligatures w14:val="none"/>
        </w:rPr>
        <w:t xml:space="preserve">an </w:t>
      </w:r>
      <w:r w:rsidR="00043A34">
        <w:rPr>
          <w:rFonts w:ascii="Times New Roman" w:eastAsia="Times New Roman" w:hAnsi="Times New Roman" w:cs="Times New Roman"/>
          <w:kern w:val="0"/>
          <w:sz w:val="24"/>
          <w:szCs w:val="24"/>
          <w14:ligatures w14:val="none"/>
        </w:rPr>
        <w:t xml:space="preserve">be interpreted as narrow concerns. </w:t>
      </w:r>
      <w:r w:rsidR="002A1996">
        <w:rPr>
          <w:rFonts w:ascii="Times New Roman" w:eastAsia="Times New Roman" w:hAnsi="Times New Roman" w:cs="Times New Roman"/>
          <w:kern w:val="0"/>
          <w:sz w:val="24"/>
          <w:szCs w:val="24"/>
          <w14:ligatures w14:val="none"/>
        </w:rPr>
        <w:t xml:space="preserve">Environmental </w:t>
      </w:r>
      <w:r w:rsidR="002A1996">
        <w:rPr>
          <w:rFonts w:ascii="Times New Roman" w:eastAsia="Times New Roman" w:hAnsi="Times New Roman" w:cs="Times New Roman"/>
          <w:kern w:val="0"/>
          <w:sz w:val="24"/>
          <w:szCs w:val="24"/>
          <w14:ligatures w14:val="none"/>
        </w:rPr>
        <w:lastRenderedPageBreak/>
        <w:t>NGOs, however</w:t>
      </w:r>
      <w:r w:rsidR="00BF2482">
        <w:rPr>
          <w:rFonts w:ascii="Times New Roman" w:eastAsia="Times New Roman" w:hAnsi="Times New Roman" w:cs="Times New Roman"/>
          <w:kern w:val="0"/>
          <w:sz w:val="24"/>
          <w:szCs w:val="24"/>
          <w14:ligatures w14:val="none"/>
        </w:rPr>
        <w:t xml:space="preserve">, </w:t>
      </w:r>
      <w:r w:rsidR="002A1996">
        <w:rPr>
          <w:rFonts w:ascii="Times New Roman" w:eastAsia="Times New Roman" w:hAnsi="Times New Roman" w:cs="Times New Roman"/>
          <w:kern w:val="0"/>
          <w:sz w:val="24"/>
          <w:szCs w:val="24"/>
          <w14:ligatures w14:val="none"/>
        </w:rPr>
        <w:t>release information about broad ecosystem benefits</w:t>
      </w:r>
      <w:r w:rsidR="00BF2482">
        <w:rPr>
          <w:rFonts w:ascii="Times New Roman" w:eastAsia="Times New Roman" w:hAnsi="Times New Roman" w:cs="Times New Roman"/>
          <w:kern w:val="0"/>
          <w:sz w:val="24"/>
          <w:szCs w:val="24"/>
          <w14:ligatures w14:val="none"/>
        </w:rPr>
        <w:t xml:space="preserve"> that can be interpreted as public goods.  </w:t>
      </w:r>
    </w:p>
    <w:p w14:paraId="75B6AB56" w14:textId="180E3BA8" w:rsidR="003C6673" w:rsidRDefault="00BF2482" w:rsidP="00025E66">
      <w:pPr>
        <w:shd w:val="clear" w:color="auto" w:fill="FFFFFF"/>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kern w:val="0"/>
          <w:sz w:val="24"/>
          <w:szCs w:val="24"/>
          <w14:ligatures w14:val="none"/>
        </w:rPr>
        <w:t>Because members of environmental NGOs primarily bear only direct lobby costs</w:t>
      </w:r>
      <w:r w:rsidR="00025E66">
        <w:rPr>
          <w:rFonts w:ascii="Times New Roman" w:eastAsia="Times New Roman" w:hAnsi="Times New Roman" w:cs="Times New Roman"/>
          <w:kern w:val="0"/>
          <w:sz w:val="24"/>
          <w:szCs w:val="24"/>
          <w14:ligatures w14:val="none"/>
        </w:rPr>
        <w:t xml:space="preserve">, they can </w:t>
      </w:r>
      <w:r w:rsidR="005E23B9">
        <w:rPr>
          <w:rFonts w:ascii="Times New Roman" w:eastAsia="Times New Roman" w:hAnsi="Times New Roman" w:cs="Times New Roman"/>
          <w:kern w:val="0"/>
          <w:sz w:val="24"/>
          <w:szCs w:val="24"/>
          <w14:ligatures w14:val="none"/>
        </w:rPr>
        <w:t xml:space="preserve">seek </w:t>
      </w:r>
      <w:r w:rsidR="00025E66">
        <w:rPr>
          <w:rFonts w:ascii="Times New Roman" w:eastAsia="Times New Roman" w:hAnsi="Times New Roman" w:cs="Times New Roman"/>
          <w:kern w:val="0"/>
          <w:sz w:val="24"/>
          <w:szCs w:val="24"/>
          <w14:ligatures w14:val="none"/>
        </w:rPr>
        <w:t>listings</w:t>
      </w:r>
      <w:r w:rsidR="00C5349D">
        <w:rPr>
          <w:rFonts w:ascii="Times New Roman" w:eastAsia="Times New Roman" w:hAnsi="Times New Roman" w:cs="Times New Roman"/>
          <w:kern w:val="0"/>
          <w:sz w:val="24"/>
          <w:szCs w:val="24"/>
          <w14:ligatures w14:val="none"/>
        </w:rPr>
        <w:t xml:space="preserve"> that might not pass any </w:t>
      </w:r>
      <w:r w:rsidR="00C5349D" w:rsidRPr="00C5349D">
        <w:rPr>
          <w:rFonts w:ascii="Times New Roman" w:eastAsia="Times New Roman" w:hAnsi="Times New Roman" w:cs="Times New Roman"/>
          <w:i/>
          <w:iCs/>
          <w:kern w:val="0"/>
          <w:sz w:val="24"/>
          <w:szCs w:val="24"/>
          <w14:ligatures w14:val="none"/>
        </w:rPr>
        <w:t>ex</w:t>
      </w:r>
      <w:r w:rsidR="00C5349D">
        <w:rPr>
          <w:rFonts w:ascii="Times New Roman" w:eastAsia="Times New Roman" w:hAnsi="Times New Roman" w:cs="Times New Roman"/>
          <w:i/>
          <w:iCs/>
          <w:kern w:val="0"/>
          <w:sz w:val="24"/>
          <w:szCs w:val="24"/>
          <w14:ligatures w14:val="none"/>
        </w:rPr>
        <w:t>-</w:t>
      </w:r>
      <w:r w:rsidR="00C5349D" w:rsidRPr="00C5349D">
        <w:rPr>
          <w:rFonts w:ascii="Times New Roman" w:eastAsia="Times New Roman" w:hAnsi="Times New Roman" w:cs="Times New Roman"/>
          <w:i/>
          <w:iCs/>
          <w:kern w:val="0"/>
          <w:sz w:val="24"/>
          <w:szCs w:val="24"/>
          <w14:ligatures w14:val="none"/>
        </w:rPr>
        <w:t>ante</w:t>
      </w:r>
      <w:r w:rsidR="00C5349D">
        <w:rPr>
          <w:rFonts w:ascii="Times New Roman" w:eastAsia="Times New Roman" w:hAnsi="Times New Roman" w:cs="Times New Roman"/>
          <w:kern w:val="0"/>
          <w:sz w:val="24"/>
          <w:szCs w:val="24"/>
          <w14:ligatures w14:val="none"/>
        </w:rPr>
        <w:t xml:space="preserve"> cost/benefit calculus</w:t>
      </w:r>
      <w:r w:rsidR="00025E66">
        <w:rPr>
          <w:rFonts w:ascii="Times New Roman" w:eastAsia="Times New Roman" w:hAnsi="Times New Roman" w:cs="Times New Roman"/>
          <w:kern w:val="0"/>
          <w:sz w:val="24"/>
          <w:szCs w:val="24"/>
          <w14:ligatures w14:val="none"/>
        </w:rPr>
        <w:t xml:space="preserve">. They may have strong personal preferences for species protection and for </w:t>
      </w:r>
      <w:r w:rsidR="00892FC7" w:rsidRPr="00A11796">
        <w:rPr>
          <w:rFonts w:ascii="Times New Roman" w:eastAsia="Times New Roman" w:hAnsi="Times New Roman" w:cs="Times New Roman"/>
          <w:color w:val="000000"/>
          <w:sz w:val="24"/>
          <w:szCs w:val="24"/>
        </w:rPr>
        <w:t>shieldi</w:t>
      </w:r>
      <w:r w:rsidR="00892FC7">
        <w:rPr>
          <w:rFonts w:ascii="Times New Roman" w:eastAsia="Times New Roman" w:hAnsi="Times New Roman" w:cs="Times New Roman"/>
          <w:color w:val="000000"/>
          <w:sz w:val="24"/>
          <w:szCs w:val="24"/>
        </w:rPr>
        <w:t>ng</w:t>
      </w:r>
      <w:r w:rsidR="00025E66">
        <w:rPr>
          <w:rFonts w:ascii="Times New Roman" w:eastAsia="Times New Roman" w:hAnsi="Times New Roman" w:cs="Times New Roman"/>
          <w:color w:val="000000"/>
          <w:sz w:val="24"/>
          <w:szCs w:val="24"/>
        </w:rPr>
        <w:t xml:space="preserve"> the </w:t>
      </w:r>
      <w:r w:rsidR="003C6673" w:rsidRPr="00A11796">
        <w:rPr>
          <w:rFonts w:ascii="Times New Roman" w:eastAsia="Times New Roman" w:hAnsi="Times New Roman" w:cs="Times New Roman"/>
          <w:color w:val="000000"/>
          <w:sz w:val="24"/>
          <w:szCs w:val="24"/>
        </w:rPr>
        <w:t>land</w:t>
      </w:r>
      <w:r w:rsidR="00025E66">
        <w:rPr>
          <w:rFonts w:ascii="Times New Roman" w:eastAsia="Times New Roman" w:hAnsi="Times New Roman" w:cs="Times New Roman"/>
          <w:color w:val="000000"/>
          <w:sz w:val="24"/>
          <w:szCs w:val="24"/>
        </w:rPr>
        <w:t>s</w:t>
      </w:r>
      <w:r w:rsidR="003C6673" w:rsidRPr="00A11796">
        <w:rPr>
          <w:rFonts w:ascii="Times New Roman" w:eastAsia="Times New Roman" w:hAnsi="Times New Roman" w:cs="Times New Roman"/>
          <w:color w:val="000000"/>
          <w:sz w:val="24"/>
          <w:szCs w:val="24"/>
        </w:rPr>
        <w:t xml:space="preserve"> upon which </w:t>
      </w:r>
      <w:r w:rsidR="00025E66">
        <w:rPr>
          <w:rFonts w:ascii="Times New Roman" w:eastAsia="Times New Roman" w:hAnsi="Times New Roman" w:cs="Times New Roman"/>
          <w:color w:val="000000"/>
          <w:sz w:val="24"/>
          <w:szCs w:val="24"/>
        </w:rPr>
        <w:t xml:space="preserve">the </w:t>
      </w:r>
      <w:r w:rsidR="003C6673" w:rsidRPr="00A11796">
        <w:rPr>
          <w:rFonts w:ascii="Times New Roman" w:eastAsia="Times New Roman" w:hAnsi="Times New Roman" w:cs="Times New Roman"/>
          <w:color w:val="000000"/>
          <w:sz w:val="24"/>
          <w:szCs w:val="24"/>
        </w:rPr>
        <w:t>species depends for aesthetic, recreational</w:t>
      </w:r>
      <w:r w:rsidR="00025E66">
        <w:rPr>
          <w:rFonts w:ascii="Times New Roman" w:eastAsia="Times New Roman" w:hAnsi="Times New Roman" w:cs="Times New Roman"/>
          <w:color w:val="000000"/>
          <w:sz w:val="24"/>
          <w:szCs w:val="24"/>
        </w:rPr>
        <w:t>,</w:t>
      </w:r>
      <w:r w:rsidR="003C6673" w:rsidRPr="00A11796">
        <w:rPr>
          <w:rFonts w:ascii="Times New Roman" w:eastAsia="Times New Roman" w:hAnsi="Times New Roman" w:cs="Times New Roman"/>
          <w:color w:val="000000"/>
          <w:sz w:val="24"/>
          <w:szCs w:val="24"/>
        </w:rPr>
        <w:t xml:space="preserve"> or moral reasons</w:t>
      </w:r>
      <w:r w:rsidR="00025E66">
        <w:rPr>
          <w:rFonts w:ascii="Times New Roman" w:eastAsia="Times New Roman" w:hAnsi="Times New Roman" w:cs="Times New Roman"/>
          <w:color w:val="000000"/>
          <w:sz w:val="24"/>
          <w:szCs w:val="24"/>
        </w:rPr>
        <w:t xml:space="preserve"> (Ando 200</w:t>
      </w:r>
      <w:r w:rsidR="00C5393C">
        <w:rPr>
          <w:rFonts w:ascii="Times New Roman" w:eastAsia="Times New Roman" w:hAnsi="Times New Roman" w:cs="Times New Roman"/>
          <w:color w:val="000000"/>
          <w:sz w:val="24"/>
          <w:szCs w:val="24"/>
        </w:rPr>
        <w:t>3</w:t>
      </w:r>
      <w:r w:rsidR="00025E66">
        <w:rPr>
          <w:rFonts w:ascii="Times New Roman" w:eastAsia="Times New Roman" w:hAnsi="Times New Roman" w:cs="Times New Roman"/>
          <w:color w:val="000000"/>
          <w:sz w:val="24"/>
          <w:szCs w:val="24"/>
        </w:rPr>
        <w:t>)</w:t>
      </w:r>
      <w:r w:rsidR="003C6673" w:rsidRPr="00A11796">
        <w:rPr>
          <w:rFonts w:ascii="Times New Roman" w:eastAsia="Times New Roman" w:hAnsi="Times New Roman" w:cs="Times New Roman"/>
          <w:color w:val="000000"/>
          <w:sz w:val="24"/>
          <w:szCs w:val="24"/>
        </w:rPr>
        <w:t xml:space="preserve">. </w:t>
      </w:r>
      <w:r w:rsidR="00025E66">
        <w:rPr>
          <w:rFonts w:ascii="Times New Roman" w:eastAsia="Times New Roman" w:hAnsi="Times New Roman" w:cs="Times New Roman"/>
          <w:color w:val="000000"/>
          <w:sz w:val="24"/>
          <w:szCs w:val="24"/>
        </w:rPr>
        <w:t>But because they do not have to pay for these environmental benefits, there is no reason for them to be constrained by</w:t>
      </w:r>
      <w:r w:rsidR="002A31C1">
        <w:rPr>
          <w:rFonts w:ascii="Times New Roman" w:eastAsia="Times New Roman" w:hAnsi="Times New Roman" w:cs="Times New Roman"/>
          <w:color w:val="000000"/>
          <w:sz w:val="24"/>
          <w:szCs w:val="24"/>
        </w:rPr>
        <w:t xml:space="preserve"> ba</w:t>
      </w:r>
      <w:r w:rsidR="00025E66">
        <w:rPr>
          <w:rFonts w:ascii="Times New Roman" w:eastAsia="Times New Roman" w:hAnsi="Times New Roman" w:cs="Times New Roman"/>
          <w:color w:val="000000"/>
          <w:sz w:val="24"/>
          <w:szCs w:val="24"/>
        </w:rPr>
        <w:t>lancing marginal social and private costs in listings</w:t>
      </w:r>
      <w:r w:rsidR="00A15F7F">
        <w:rPr>
          <w:rFonts w:ascii="Times New Roman" w:eastAsia="Times New Roman" w:hAnsi="Times New Roman" w:cs="Times New Roman"/>
          <w:color w:val="000000"/>
          <w:sz w:val="24"/>
          <w:szCs w:val="24"/>
        </w:rPr>
        <w:t xml:space="preserve"> as a theoretical Pigouvian approach would imply</w:t>
      </w:r>
      <w:r w:rsidR="00025E66">
        <w:rPr>
          <w:rFonts w:ascii="Times New Roman" w:eastAsia="Times New Roman" w:hAnsi="Times New Roman" w:cs="Times New Roman"/>
          <w:color w:val="000000"/>
          <w:sz w:val="24"/>
          <w:szCs w:val="24"/>
        </w:rPr>
        <w:t xml:space="preserve">.  </w:t>
      </w:r>
      <w:r w:rsidR="002A31C1">
        <w:rPr>
          <w:rFonts w:ascii="Times New Roman" w:eastAsia="Times New Roman" w:hAnsi="Times New Roman" w:cs="Times New Roman"/>
          <w:color w:val="000000"/>
          <w:sz w:val="24"/>
          <w:szCs w:val="24"/>
        </w:rPr>
        <w:t>Similarly, because landowner groups confront immediate, uncompensated private costs while internalizing</w:t>
      </w:r>
      <w:r w:rsidR="00545B02">
        <w:rPr>
          <w:rFonts w:ascii="Times New Roman" w:eastAsia="Times New Roman" w:hAnsi="Times New Roman" w:cs="Times New Roman"/>
          <w:color w:val="000000"/>
          <w:sz w:val="24"/>
          <w:szCs w:val="24"/>
        </w:rPr>
        <w:t xml:space="preserve"> only</w:t>
      </w:r>
      <w:r w:rsidR="002A31C1">
        <w:rPr>
          <w:rFonts w:ascii="Times New Roman" w:eastAsia="Times New Roman" w:hAnsi="Times New Roman" w:cs="Times New Roman"/>
          <w:color w:val="000000"/>
          <w:sz w:val="24"/>
          <w:szCs w:val="24"/>
        </w:rPr>
        <w:t xml:space="preserve"> small portions of any public goods generated, they have </w:t>
      </w:r>
      <w:r w:rsidR="00545B02">
        <w:rPr>
          <w:rFonts w:ascii="Times New Roman" w:eastAsia="Times New Roman" w:hAnsi="Times New Roman" w:cs="Times New Roman"/>
          <w:color w:val="000000"/>
          <w:sz w:val="24"/>
          <w:szCs w:val="24"/>
        </w:rPr>
        <w:t xml:space="preserve">an </w:t>
      </w:r>
      <w:r w:rsidR="002A31C1">
        <w:rPr>
          <w:rFonts w:ascii="Times New Roman" w:eastAsia="Times New Roman" w:hAnsi="Times New Roman" w:cs="Times New Roman"/>
          <w:color w:val="000000"/>
          <w:sz w:val="24"/>
          <w:szCs w:val="24"/>
        </w:rPr>
        <w:t xml:space="preserve">incentive </w:t>
      </w:r>
      <w:r w:rsidR="00545B02">
        <w:rPr>
          <w:rFonts w:ascii="Times New Roman" w:eastAsia="Times New Roman" w:hAnsi="Times New Roman" w:cs="Times New Roman"/>
          <w:color w:val="000000"/>
          <w:sz w:val="24"/>
          <w:szCs w:val="24"/>
        </w:rPr>
        <w:t xml:space="preserve">for under provision in listings. </w:t>
      </w:r>
      <w:r w:rsidR="002A31C1">
        <w:rPr>
          <w:rFonts w:ascii="Times New Roman" w:eastAsia="Times New Roman" w:hAnsi="Times New Roman" w:cs="Times New Roman"/>
          <w:color w:val="000000"/>
          <w:sz w:val="24"/>
          <w:szCs w:val="24"/>
        </w:rPr>
        <w:t xml:space="preserve">Absent </w:t>
      </w:r>
      <w:r w:rsidR="00ED6FE3">
        <w:rPr>
          <w:rFonts w:ascii="Times New Roman" w:eastAsia="Times New Roman" w:hAnsi="Times New Roman" w:cs="Times New Roman"/>
          <w:color w:val="000000"/>
          <w:sz w:val="24"/>
          <w:szCs w:val="24"/>
        </w:rPr>
        <w:t xml:space="preserve">evidence </w:t>
      </w:r>
      <w:r w:rsidR="00A15F7F">
        <w:rPr>
          <w:rFonts w:ascii="Times New Roman" w:eastAsia="Times New Roman" w:hAnsi="Times New Roman" w:cs="Times New Roman"/>
          <w:color w:val="000000"/>
          <w:sz w:val="24"/>
          <w:szCs w:val="24"/>
        </w:rPr>
        <w:t xml:space="preserve">on relative </w:t>
      </w:r>
      <w:r w:rsidR="002A31C1">
        <w:rPr>
          <w:rFonts w:ascii="Times New Roman" w:eastAsia="Times New Roman" w:hAnsi="Times New Roman" w:cs="Times New Roman"/>
          <w:color w:val="000000"/>
          <w:sz w:val="24"/>
          <w:szCs w:val="24"/>
        </w:rPr>
        <w:t>cost</w:t>
      </w:r>
      <w:r w:rsidR="00A15F7F">
        <w:rPr>
          <w:rFonts w:ascii="Times New Roman" w:eastAsia="Times New Roman" w:hAnsi="Times New Roman" w:cs="Times New Roman"/>
          <w:color w:val="000000"/>
          <w:sz w:val="24"/>
          <w:szCs w:val="24"/>
        </w:rPr>
        <w:t>s and benefits</w:t>
      </w:r>
      <w:r w:rsidR="002A31C1">
        <w:rPr>
          <w:rFonts w:ascii="Times New Roman" w:eastAsia="Times New Roman" w:hAnsi="Times New Roman" w:cs="Times New Roman"/>
          <w:color w:val="000000"/>
          <w:sz w:val="24"/>
          <w:szCs w:val="24"/>
        </w:rPr>
        <w:t xml:space="preserve"> there are no benchmarks for citizen assessments. </w:t>
      </w:r>
    </w:p>
    <w:p w14:paraId="1D73BE12" w14:textId="6C56F97C" w:rsidR="00552844" w:rsidRDefault="00B53DF7" w:rsidP="00552844">
      <w:pPr>
        <w:shd w:val="clear" w:color="auto" w:fill="FFFFFF"/>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w:t>
      </w:r>
      <w:r w:rsidR="00552844">
        <w:rPr>
          <w:rFonts w:ascii="Times New Roman" w:eastAsia="Times New Roman" w:hAnsi="Times New Roman" w:cs="Times New Roman"/>
          <w:kern w:val="0"/>
          <w:sz w:val="24"/>
          <w:szCs w:val="24"/>
          <w14:ligatures w14:val="none"/>
        </w:rPr>
        <w:t xml:space="preserve">t </w:t>
      </w:r>
      <w:r w:rsidR="00A15F7F">
        <w:rPr>
          <w:rFonts w:ascii="Times New Roman" w:eastAsia="Times New Roman" w:hAnsi="Times New Roman" w:cs="Times New Roman"/>
          <w:kern w:val="0"/>
          <w:sz w:val="24"/>
          <w:szCs w:val="24"/>
          <w14:ligatures w14:val="none"/>
        </w:rPr>
        <w:t xml:space="preserve">also </w:t>
      </w:r>
      <w:r w:rsidR="00552844">
        <w:rPr>
          <w:rFonts w:ascii="Times New Roman" w:eastAsia="Times New Roman" w:hAnsi="Times New Roman" w:cs="Times New Roman"/>
          <w:kern w:val="0"/>
          <w:sz w:val="24"/>
          <w:szCs w:val="24"/>
          <w14:ligatures w14:val="none"/>
        </w:rPr>
        <w:t>seems plausible that differences in collective action costs affect the effectiveness of environmental group</w:t>
      </w:r>
      <w:r w:rsidR="00A15F7F">
        <w:rPr>
          <w:rFonts w:ascii="Times New Roman" w:eastAsia="Times New Roman" w:hAnsi="Times New Roman" w:cs="Times New Roman"/>
          <w:kern w:val="0"/>
          <w:sz w:val="24"/>
          <w:szCs w:val="24"/>
          <w14:ligatures w14:val="none"/>
        </w:rPr>
        <w:t>s</w:t>
      </w:r>
      <w:r w:rsidR="00552844">
        <w:rPr>
          <w:rFonts w:ascii="Times New Roman" w:eastAsia="Times New Roman" w:hAnsi="Times New Roman" w:cs="Times New Roman"/>
          <w:kern w:val="0"/>
          <w:sz w:val="24"/>
          <w:szCs w:val="24"/>
          <w14:ligatures w14:val="none"/>
        </w:rPr>
        <w:t xml:space="preserve"> versus landowner</w:t>
      </w:r>
      <w:r w:rsidR="00A15F7F">
        <w:rPr>
          <w:rFonts w:ascii="Times New Roman" w:eastAsia="Times New Roman" w:hAnsi="Times New Roman" w:cs="Times New Roman"/>
          <w:kern w:val="0"/>
          <w:sz w:val="24"/>
          <w:szCs w:val="24"/>
          <w14:ligatures w14:val="none"/>
        </w:rPr>
        <w:t>s in</w:t>
      </w:r>
      <w:r w:rsidR="00552844">
        <w:rPr>
          <w:rFonts w:ascii="Times New Roman" w:eastAsia="Times New Roman" w:hAnsi="Times New Roman" w:cs="Times New Roman"/>
          <w:kern w:val="0"/>
          <w:sz w:val="24"/>
          <w:szCs w:val="24"/>
          <w14:ligatures w14:val="none"/>
        </w:rPr>
        <w:t xml:space="preserve"> lobbying politicians. Environmental groups can rally around shared ecosystem and species concerns.  </w:t>
      </w:r>
      <w:r w:rsidR="00C11E85">
        <w:rPr>
          <w:rFonts w:ascii="Times New Roman" w:eastAsia="Times New Roman" w:hAnsi="Times New Roman" w:cs="Times New Roman"/>
          <w:kern w:val="0"/>
          <w:sz w:val="24"/>
          <w:szCs w:val="24"/>
          <w14:ligatures w14:val="none"/>
        </w:rPr>
        <w:t xml:space="preserve">Statistical analysis of </w:t>
      </w:r>
      <w:r w:rsidR="00D943A4">
        <w:rPr>
          <w:rFonts w:ascii="Times New Roman" w:eastAsia="Times New Roman" w:hAnsi="Times New Roman" w:cs="Times New Roman"/>
          <w:kern w:val="0"/>
          <w:sz w:val="24"/>
          <w:szCs w:val="24"/>
          <w14:ligatures w14:val="none"/>
        </w:rPr>
        <w:t>e</w:t>
      </w:r>
      <w:r w:rsidR="00552844">
        <w:rPr>
          <w:rFonts w:ascii="Times New Roman" w:eastAsia="Times New Roman" w:hAnsi="Times New Roman" w:cs="Times New Roman"/>
          <w:kern w:val="0"/>
          <w:sz w:val="24"/>
          <w:szCs w:val="24"/>
          <w14:ligatures w14:val="none"/>
        </w:rPr>
        <w:t>nvironmental group</w:t>
      </w:r>
      <w:r w:rsidR="00A15F7F">
        <w:rPr>
          <w:rFonts w:ascii="Times New Roman" w:eastAsia="Times New Roman" w:hAnsi="Times New Roman" w:cs="Times New Roman"/>
          <w:kern w:val="0"/>
          <w:sz w:val="24"/>
          <w:szCs w:val="24"/>
          <w14:ligatures w14:val="none"/>
        </w:rPr>
        <w:t xml:space="preserve"> membership characteristics or how they benefit from policy successes in greater donations or affiliations</w:t>
      </w:r>
      <w:r w:rsidR="00C11E85">
        <w:rPr>
          <w:rFonts w:ascii="Times New Roman" w:eastAsia="Times New Roman" w:hAnsi="Times New Roman" w:cs="Times New Roman"/>
          <w:kern w:val="0"/>
          <w:sz w:val="24"/>
          <w:szCs w:val="24"/>
          <w14:ligatures w14:val="none"/>
        </w:rPr>
        <w:t xml:space="preserve"> is seemingly absent</w:t>
      </w:r>
      <w:r w:rsidR="00A15F7F">
        <w:rPr>
          <w:rFonts w:ascii="Times New Roman" w:eastAsia="Times New Roman" w:hAnsi="Times New Roman" w:cs="Times New Roman"/>
          <w:kern w:val="0"/>
          <w:sz w:val="24"/>
          <w:szCs w:val="24"/>
          <w14:ligatures w14:val="none"/>
        </w:rPr>
        <w:t xml:space="preserve">. What evidence on membership exists </w:t>
      </w:r>
      <w:r w:rsidR="00DE5BB4">
        <w:rPr>
          <w:rFonts w:ascii="Times New Roman" w:eastAsia="Times New Roman" w:hAnsi="Times New Roman" w:cs="Times New Roman"/>
          <w:kern w:val="0"/>
          <w:sz w:val="24"/>
          <w:szCs w:val="24"/>
          <w14:ligatures w14:val="none"/>
        </w:rPr>
        <w:t>suggest</w:t>
      </w:r>
      <w:r w:rsidR="00A15F7F">
        <w:rPr>
          <w:rFonts w:ascii="Times New Roman" w:eastAsia="Times New Roman" w:hAnsi="Times New Roman" w:cs="Times New Roman"/>
          <w:kern w:val="0"/>
          <w:sz w:val="24"/>
          <w:szCs w:val="24"/>
          <w14:ligatures w14:val="none"/>
        </w:rPr>
        <w:t xml:space="preserve">s that they </w:t>
      </w:r>
      <w:r w:rsidR="00DE5BB4">
        <w:rPr>
          <w:rFonts w:ascii="Times New Roman" w:eastAsia="Times New Roman" w:hAnsi="Times New Roman" w:cs="Times New Roman"/>
          <w:kern w:val="0"/>
          <w:sz w:val="24"/>
          <w:szCs w:val="24"/>
          <w14:ligatures w14:val="none"/>
        </w:rPr>
        <w:t>have higher income and education levels</w:t>
      </w:r>
      <w:r w:rsidR="00ED6FE3">
        <w:rPr>
          <w:rFonts w:ascii="Times New Roman" w:eastAsia="Times New Roman" w:hAnsi="Times New Roman" w:cs="Times New Roman"/>
          <w:kern w:val="0"/>
          <w:sz w:val="24"/>
          <w:szCs w:val="24"/>
          <w14:ligatures w14:val="none"/>
        </w:rPr>
        <w:t xml:space="preserve"> and are from more urban areas</w:t>
      </w:r>
      <w:r w:rsidR="00DE5BB4">
        <w:rPr>
          <w:rFonts w:ascii="Times New Roman" w:eastAsia="Times New Roman" w:hAnsi="Times New Roman" w:cs="Times New Roman"/>
          <w:kern w:val="0"/>
          <w:sz w:val="24"/>
          <w:szCs w:val="24"/>
          <w14:ligatures w14:val="none"/>
        </w:rPr>
        <w:t xml:space="preserve"> than the broad electorate.</w:t>
      </w:r>
      <w:r w:rsidR="00DF793D">
        <w:rPr>
          <w:rStyle w:val="FootnoteReference"/>
          <w:rFonts w:ascii="Times New Roman" w:hAnsi="Times New Roman" w:cs="Times New Roman"/>
          <w:sz w:val="24"/>
          <w:szCs w:val="24"/>
        </w:rPr>
        <w:footnoteReference w:id="83"/>
      </w:r>
      <w:r w:rsidR="00DE5BB4">
        <w:rPr>
          <w:rFonts w:ascii="Times New Roman" w:eastAsia="Times New Roman" w:hAnsi="Times New Roman" w:cs="Times New Roman"/>
          <w:kern w:val="0"/>
          <w:sz w:val="24"/>
          <w:szCs w:val="24"/>
          <w14:ligatures w14:val="none"/>
        </w:rPr>
        <w:t xml:space="preserve"> </w:t>
      </w:r>
      <w:r w:rsidR="00DF793D">
        <w:rPr>
          <w:rFonts w:ascii="Times New Roman" w:eastAsia="Times New Roman" w:hAnsi="Times New Roman" w:cs="Times New Roman"/>
          <w:kern w:val="0"/>
          <w:sz w:val="24"/>
          <w:szCs w:val="24"/>
          <w14:ligatures w14:val="none"/>
        </w:rPr>
        <w:t xml:space="preserve">These factors would lower collective action costs. </w:t>
      </w:r>
      <w:r w:rsidR="00D85EDA">
        <w:rPr>
          <w:rFonts w:ascii="Times New Roman" w:eastAsia="Times New Roman" w:hAnsi="Times New Roman" w:cs="Times New Roman"/>
          <w:kern w:val="0"/>
          <w:sz w:val="24"/>
          <w:szCs w:val="24"/>
          <w14:ligatures w14:val="none"/>
        </w:rPr>
        <w:t>By contrast, the composition of landowner groups, urban development associations, and labor unions would be more heterogeneous</w:t>
      </w:r>
      <w:r w:rsidR="00A15F7F">
        <w:rPr>
          <w:rFonts w:ascii="Times New Roman" w:eastAsia="Times New Roman" w:hAnsi="Times New Roman" w:cs="Times New Roman"/>
          <w:kern w:val="0"/>
          <w:sz w:val="24"/>
          <w:szCs w:val="24"/>
          <w14:ligatures w14:val="none"/>
        </w:rPr>
        <w:t xml:space="preserve"> because of the local nature of imposed costs, raising the costs of collective action</w:t>
      </w:r>
      <w:r w:rsidR="00D85EDA">
        <w:rPr>
          <w:rFonts w:ascii="Times New Roman" w:eastAsia="Times New Roman" w:hAnsi="Times New Roman" w:cs="Times New Roman"/>
          <w:kern w:val="0"/>
          <w:sz w:val="24"/>
          <w:szCs w:val="24"/>
          <w14:ligatures w14:val="none"/>
        </w:rPr>
        <w:t>.</w:t>
      </w:r>
    </w:p>
    <w:p w14:paraId="2FE834A6" w14:textId="50420BA6" w:rsidR="00543806" w:rsidRDefault="00C5393C" w:rsidP="00543806">
      <w:pPr>
        <w:shd w:val="clear" w:color="auto" w:fill="FFFFFF"/>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Ando’s (1999</w:t>
      </w:r>
      <w:r w:rsidR="001E7B3C">
        <w:rPr>
          <w:rFonts w:ascii="Times New Roman" w:eastAsia="Times New Roman" w:hAnsi="Times New Roman" w:cs="Times New Roman"/>
          <w:kern w:val="0"/>
          <w:sz w:val="24"/>
          <w:szCs w:val="24"/>
          <w14:ligatures w14:val="none"/>
        </w:rPr>
        <w:t>, 39</w:t>
      </w:r>
      <w:r>
        <w:rPr>
          <w:rFonts w:ascii="Times New Roman" w:eastAsia="Times New Roman" w:hAnsi="Times New Roman" w:cs="Times New Roman"/>
          <w:kern w:val="0"/>
          <w:sz w:val="24"/>
          <w:szCs w:val="24"/>
          <w14:ligatures w14:val="none"/>
        </w:rPr>
        <w:t>) analysis of lobbying for listings or their delay focuses upon members o</w:t>
      </w:r>
      <w:r w:rsidR="0073036B">
        <w:rPr>
          <w:rFonts w:ascii="Times New Roman" w:eastAsia="Times New Roman" w:hAnsi="Times New Roman" w:cs="Times New Roman"/>
          <w:kern w:val="0"/>
          <w:sz w:val="24"/>
          <w:szCs w:val="24"/>
          <w14:ligatures w14:val="none"/>
        </w:rPr>
        <w:t>n</w:t>
      </w:r>
      <w:r>
        <w:rPr>
          <w:rFonts w:ascii="Times New Roman" w:eastAsia="Times New Roman" w:hAnsi="Times New Roman" w:cs="Times New Roman"/>
          <w:kern w:val="0"/>
          <w:sz w:val="24"/>
          <w:szCs w:val="24"/>
          <w14:ligatures w14:val="none"/>
        </w:rPr>
        <w:t xml:space="preserve"> reauthorizing subcommittees in Congress</w:t>
      </w:r>
      <w:r w:rsidR="00435F33">
        <w:rPr>
          <w:rFonts w:ascii="Times New Roman" w:eastAsia="Times New Roman" w:hAnsi="Times New Roman" w:cs="Times New Roman"/>
          <w:kern w:val="0"/>
          <w:sz w:val="24"/>
          <w:szCs w:val="24"/>
          <w14:ligatures w14:val="none"/>
        </w:rPr>
        <w:t xml:space="preserve"> who have significant influence on the FWS</w:t>
      </w:r>
      <w:r>
        <w:rPr>
          <w:rFonts w:ascii="Times New Roman" w:eastAsia="Times New Roman" w:hAnsi="Times New Roman" w:cs="Times New Roman"/>
          <w:kern w:val="0"/>
          <w:sz w:val="24"/>
          <w:szCs w:val="24"/>
          <w14:ligatures w14:val="none"/>
        </w:rPr>
        <w:t xml:space="preserve">.  </w:t>
      </w:r>
      <w:r w:rsidR="004838C3">
        <w:rPr>
          <w:rFonts w:ascii="Times New Roman" w:eastAsia="Times New Roman" w:hAnsi="Times New Roman" w:cs="Times New Roman"/>
          <w:kern w:val="0"/>
          <w:sz w:val="24"/>
          <w:szCs w:val="24"/>
          <w14:ligatures w14:val="none"/>
        </w:rPr>
        <w:t>She suggests tha</w:t>
      </w:r>
      <w:r w:rsidR="00435F33">
        <w:rPr>
          <w:rFonts w:ascii="Times New Roman" w:eastAsia="Times New Roman" w:hAnsi="Times New Roman" w:cs="Times New Roman"/>
          <w:kern w:val="0"/>
          <w:sz w:val="24"/>
          <w:szCs w:val="24"/>
          <w14:ligatures w14:val="none"/>
        </w:rPr>
        <w:t xml:space="preserve">t </w:t>
      </w:r>
      <w:r>
        <w:rPr>
          <w:rFonts w:ascii="Times New Roman" w:eastAsia="Times New Roman" w:hAnsi="Times New Roman" w:cs="Times New Roman"/>
          <w:kern w:val="0"/>
          <w:sz w:val="24"/>
          <w:szCs w:val="24"/>
          <w14:ligatures w14:val="none"/>
        </w:rPr>
        <w:t>politicians</w:t>
      </w:r>
      <w:r w:rsidR="004838C3">
        <w:rPr>
          <w:rFonts w:ascii="Times New Roman" w:eastAsia="Times New Roman" w:hAnsi="Times New Roman" w:cs="Times New Roman"/>
          <w:kern w:val="0"/>
          <w:sz w:val="24"/>
          <w:szCs w:val="24"/>
          <w14:ligatures w14:val="none"/>
        </w:rPr>
        <w:t xml:space="preserve"> </w:t>
      </w:r>
      <w:r w:rsidR="00B7608B">
        <w:rPr>
          <w:rFonts w:ascii="Times New Roman" w:eastAsia="Times New Roman" w:hAnsi="Times New Roman" w:cs="Times New Roman"/>
          <w:kern w:val="0"/>
          <w:sz w:val="24"/>
          <w:szCs w:val="24"/>
          <w14:ligatures w14:val="none"/>
        </w:rPr>
        <w:t>self-select</w:t>
      </w:r>
      <w:r>
        <w:rPr>
          <w:rFonts w:ascii="Times New Roman" w:eastAsia="Times New Roman" w:hAnsi="Times New Roman" w:cs="Times New Roman"/>
          <w:kern w:val="0"/>
          <w:sz w:val="24"/>
          <w:szCs w:val="24"/>
          <w14:ligatures w14:val="none"/>
        </w:rPr>
        <w:t xml:space="preserve"> </w:t>
      </w:r>
      <w:r w:rsidR="004838C3">
        <w:rPr>
          <w:rFonts w:ascii="Times New Roman" w:eastAsia="Times New Roman" w:hAnsi="Times New Roman" w:cs="Times New Roman"/>
          <w:kern w:val="0"/>
          <w:sz w:val="24"/>
          <w:szCs w:val="24"/>
          <w14:ligatures w14:val="none"/>
        </w:rPr>
        <w:t xml:space="preserve">to serve on such committees based on their constituent preferences. </w:t>
      </w:r>
      <w:r w:rsidR="00D85EDA">
        <w:rPr>
          <w:rFonts w:ascii="Times New Roman" w:eastAsia="Times New Roman" w:hAnsi="Times New Roman" w:cs="Times New Roman"/>
          <w:kern w:val="0"/>
          <w:sz w:val="24"/>
          <w:szCs w:val="24"/>
          <w14:ligatures w14:val="none"/>
        </w:rPr>
        <w:t xml:space="preserve">This setting may be more effective for environmental NGOs with more uniform, homogeneous objectives for the ESA than for more heterogeneous landowner groups whose congressional representatives may face a broader array of economic demands beyond those associated with the </w:t>
      </w:r>
      <w:r w:rsidR="00892FC7">
        <w:rPr>
          <w:rFonts w:ascii="Times New Roman" w:eastAsia="Times New Roman" w:hAnsi="Times New Roman" w:cs="Times New Roman"/>
          <w:kern w:val="0"/>
          <w:sz w:val="24"/>
          <w:szCs w:val="24"/>
          <w14:ligatures w14:val="none"/>
        </w:rPr>
        <w:t>law</w:t>
      </w:r>
      <w:r w:rsidR="00D85EDA">
        <w:rPr>
          <w:rFonts w:ascii="Times New Roman" w:eastAsia="Times New Roman" w:hAnsi="Times New Roman" w:cs="Times New Roman"/>
          <w:kern w:val="0"/>
          <w:sz w:val="24"/>
          <w:szCs w:val="24"/>
          <w14:ligatures w14:val="none"/>
        </w:rPr>
        <w:t xml:space="preserve">. </w:t>
      </w:r>
    </w:p>
    <w:p w14:paraId="58850BF7" w14:textId="0438A7A5" w:rsidR="008A3DC3" w:rsidRDefault="001E7B3C" w:rsidP="008A3DC3">
      <w:pPr>
        <w:shd w:val="clear" w:color="auto" w:fill="FFFFFF"/>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In her analysis (</w:t>
      </w:r>
      <w:r w:rsidR="00ED6FE3">
        <w:rPr>
          <w:rFonts w:ascii="Times New Roman" w:eastAsia="Times New Roman" w:hAnsi="Times New Roman" w:cs="Times New Roman"/>
          <w:kern w:val="0"/>
          <w:sz w:val="24"/>
          <w:szCs w:val="24"/>
          <w14:ligatures w14:val="none"/>
        </w:rPr>
        <w:t xml:space="preserve">Ando </w:t>
      </w:r>
      <w:r>
        <w:rPr>
          <w:rFonts w:ascii="Times New Roman" w:eastAsia="Times New Roman" w:hAnsi="Times New Roman" w:cs="Times New Roman"/>
          <w:kern w:val="0"/>
          <w:sz w:val="24"/>
          <w:szCs w:val="24"/>
          <w14:ligatures w14:val="none"/>
        </w:rPr>
        <w:t>1999,</w:t>
      </w:r>
      <w:r w:rsidR="00A34317">
        <w:rPr>
          <w:rFonts w:ascii="Times New Roman" w:eastAsia="Times New Roman" w:hAnsi="Times New Roman" w:cs="Times New Roman"/>
          <w:kern w:val="0"/>
          <w:sz w:val="24"/>
          <w:szCs w:val="24"/>
          <w14:ligatures w14:val="none"/>
        </w:rPr>
        <w:t xml:space="preserve"> </w:t>
      </w:r>
      <w:r w:rsidR="00A0779D">
        <w:rPr>
          <w:rFonts w:ascii="Times New Roman" w:eastAsia="Times New Roman" w:hAnsi="Times New Roman" w:cs="Times New Roman"/>
          <w:kern w:val="0"/>
          <w:sz w:val="24"/>
          <w:szCs w:val="24"/>
          <w14:ligatures w14:val="none"/>
        </w:rPr>
        <w:t>47-53)</w:t>
      </w:r>
      <w:r>
        <w:rPr>
          <w:rFonts w:ascii="Times New Roman" w:eastAsia="Times New Roman" w:hAnsi="Times New Roman" w:cs="Times New Roman"/>
          <w:kern w:val="0"/>
          <w:sz w:val="24"/>
          <w:szCs w:val="24"/>
          <w14:ligatures w14:val="none"/>
        </w:rPr>
        <w:t xml:space="preserve"> of </w:t>
      </w:r>
      <w:r w:rsidR="00A0779D">
        <w:rPr>
          <w:rFonts w:ascii="Times New Roman" w:eastAsia="Times New Roman" w:hAnsi="Times New Roman" w:cs="Times New Roman"/>
          <w:kern w:val="0"/>
          <w:sz w:val="24"/>
          <w:szCs w:val="24"/>
          <w14:ligatures w14:val="none"/>
        </w:rPr>
        <w:t xml:space="preserve">ESA </w:t>
      </w:r>
      <w:r>
        <w:rPr>
          <w:rFonts w:ascii="Times New Roman" w:eastAsia="Times New Roman" w:hAnsi="Times New Roman" w:cs="Times New Roman"/>
          <w:kern w:val="0"/>
          <w:sz w:val="24"/>
          <w:szCs w:val="24"/>
          <w14:ligatures w14:val="none"/>
        </w:rPr>
        <w:t xml:space="preserve">listings in 1989, 1990, 1993, and 1994, </w:t>
      </w:r>
      <w:r w:rsidR="00A0779D">
        <w:rPr>
          <w:rFonts w:ascii="Times New Roman" w:eastAsia="Times New Roman" w:hAnsi="Times New Roman" w:cs="Times New Roman"/>
          <w:kern w:val="0"/>
          <w:sz w:val="24"/>
          <w:szCs w:val="24"/>
          <w14:ligatures w14:val="none"/>
        </w:rPr>
        <w:t xml:space="preserve">Ando </w:t>
      </w:r>
      <w:r>
        <w:rPr>
          <w:rFonts w:ascii="Times New Roman" w:eastAsia="Times New Roman" w:hAnsi="Times New Roman" w:cs="Times New Roman"/>
          <w:kern w:val="0"/>
          <w:sz w:val="24"/>
          <w:szCs w:val="24"/>
          <w14:ligatures w14:val="none"/>
        </w:rPr>
        <w:t xml:space="preserve">finds that oversite committee members responded to petitions </w:t>
      </w:r>
      <w:r w:rsidR="00A0779D">
        <w:rPr>
          <w:rFonts w:ascii="Times New Roman" w:eastAsia="Times New Roman" w:hAnsi="Times New Roman" w:cs="Times New Roman"/>
          <w:kern w:val="0"/>
          <w:sz w:val="24"/>
          <w:szCs w:val="24"/>
          <w14:ligatures w14:val="none"/>
        </w:rPr>
        <w:t xml:space="preserve">from </w:t>
      </w:r>
      <w:r>
        <w:rPr>
          <w:rFonts w:ascii="Times New Roman" w:eastAsia="Times New Roman" w:hAnsi="Times New Roman" w:cs="Times New Roman"/>
          <w:kern w:val="0"/>
          <w:sz w:val="24"/>
          <w:szCs w:val="24"/>
          <w14:ligatures w14:val="none"/>
        </w:rPr>
        <w:t xml:space="preserve">relevant environmental or landowner constituencies. </w:t>
      </w:r>
      <w:r w:rsidR="00D87BA8">
        <w:rPr>
          <w:rFonts w:ascii="Times New Roman" w:eastAsia="Times New Roman" w:hAnsi="Times New Roman" w:cs="Times New Roman"/>
          <w:kern w:val="0"/>
          <w:sz w:val="24"/>
          <w:szCs w:val="24"/>
          <w14:ligatures w14:val="none"/>
        </w:rPr>
        <w:t xml:space="preserve">Species promoted by congressional representatives with environmental group </w:t>
      </w:r>
      <w:r w:rsidR="00A0779D">
        <w:rPr>
          <w:rFonts w:ascii="Times New Roman" w:eastAsia="Times New Roman" w:hAnsi="Times New Roman" w:cs="Times New Roman"/>
          <w:kern w:val="0"/>
          <w:sz w:val="24"/>
          <w:szCs w:val="24"/>
          <w14:ligatures w14:val="none"/>
        </w:rPr>
        <w:t>residents</w:t>
      </w:r>
      <w:r w:rsidR="00D87BA8">
        <w:rPr>
          <w:rFonts w:ascii="Times New Roman" w:eastAsia="Times New Roman" w:hAnsi="Times New Roman" w:cs="Times New Roman"/>
          <w:kern w:val="0"/>
          <w:sz w:val="24"/>
          <w:szCs w:val="24"/>
          <w14:ligatures w14:val="none"/>
        </w:rPr>
        <w:t xml:space="preserve"> </w:t>
      </w:r>
      <w:r w:rsidR="00A0779D">
        <w:rPr>
          <w:rFonts w:ascii="Times New Roman" w:eastAsia="Times New Roman" w:hAnsi="Times New Roman" w:cs="Times New Roman"/>
          <w:kern w:val="0"/>
          <w:sz w:val="24"/>
          <w:szCs w:val="24"/>
          <w14:ligatures w14:val="none"/>
        </w:rPr>
        <w:t xml:space="preserve">were </w:t>
      </w:r>
      <w:r w:rsidR="00D87BA8">
        <w:rPr>
          <w:rFonts w:ascii="Times New Roman" w:eastAsia="Times New Roman" w:hAnsi="Times New Roman" w:cs="Times New Roman"/>
          <w:kern w:val="0"/>
          <w:sz w:val="24"/>
          <w:szCs w:val="24"/>
          <w14:ligatures w14:val="none"/>
        </w:rPr>
        <w:t xml:space="preserve">listed more quickly, while </w:t>
      </w:r>
      <w:r w:rsidR="00A0779D">
        <w:rPr>
          <w:rFonts w:ascii="Times New Roman" w:eastAsia="Times New Roman" w:hAnsi="Times New Roman" w:cs="Times New Roman"/>
          <w:kern w:val="0"/>
          <w:sz w:val="24"/>
          <w:szCs w:val="24"/>
          <w14:ligatures w14:val="none"/>
        </w:rPr>
        <w:t>species opposed by representatives with landowner residents faced listing delays.</w:t>
      </w:r>
      <w:r w:rsidR="00CE777B">
        <w:rPr>
          <w:rFonts w:ascii="Times New Roman" w:eastAsia="Times New Roman" w:hAnsi="Times New Roman" w:cs="Times New Roman"/>
          <w:kern w:val="0"/>
          <w:sz w:val="24"/>
          <w:szCs w:val="24"/>
          <w14:ligatures w14:val="none"/>
        </w:rPr>
        <w:t xml:space="preserve">  When there were competing petitions to multiple committee members, pr</w:t>
      </w:r>
      <w:r w:rsidR="0073036B">
        <w:rPr>
          <w:rFonts w:ascii="Times New Roman" w:eastAsia="Times New Roman" w:hAnsi="Times New Roman" w:cs="Times New Roman"/>
          <w:kern w:val="0"/>
          <w:sz w:val="24"/>
          <w:szCs w:val="24"/>
          <w14:ligatures w14:val="none"/>
        </w:rPr>
        <w:t>o</w:t>
      </w:r>
      <w:r w:rsidR="00B53DF7">
        <w:rPr>
          <w:rFonts w:ascii="Times New Roman" w:eastAsia="Times New Roman" w:hAnsi="Times New Roman" w:cs="Times New Roman"/>
          <w:kern w:val="0"/>
          <w:sz w:val="24"/>
          <w:szCs w:val="24"/>
          <w14:ligatures w14:val="none"/>
        </w:rPr>
        <w:t xml:space="preserve"> </w:t>
      </w:r>
      <w:r w:rsidR="00CE777B">
        <w:rPr>
          <w:rFonts w:ascii="Times New Roman" w:eastAsia="Times New Roman" w:hAnsi="Times New Roman" w:cs="Times New Roman"/>
          <w:kern w:val="0"/>
          <w:sz w:val="24"/>
          <w:szCs w:val="24"/>
          <w14:ligatures w14:val="none"/>
        </w:rPr>
        <w:t xml:space="preserve">listing advocates typically prevailed. Ando concludes that the patterns of interest group lobbying </w:t>
      </w:r>
      <w:r w:rsidR="00B53DF7">
        <w:rPr>
          <w:rFonts w:ascii="Times New Roman" w:eastAsia="Times New Roman" w:hAnsi="Times New Roman" w:cs="Times New Roman"/>
          <w:kern w:val="0"/>
          <w:sz w:val="24"/>
          <w:szCs w:val="24"/>
          <w14:ligatures w14:val="none"/>
        </w:rPr>
        <w:t xml:space="preserve">may be </w:t>
      </w:r>
      <w:r w:rsidR="00CE777B">
        <w:rPr>
          <w:rFonts w:ascii="Times New Roman" w:eastAsia="Times New Roman" w:hAnsi="Times New Roman" w:cs="Times New Roman"/>
          <w:kern w:val="0"/>
          <w:sz w:val="24"/>
          <w:szCs w:val="24"/>
          <w14:ligatures w14:val="none"/>
        </w:rPr>
        <w:t xml:space="preserve">found </w:t>
      </w:r>
      <w:r w:rsidR="0073036B">
        <w:rPr>
          <w:rFonts w:ascii="Times New Roman" w:eastAsia="Times New Roman" w:hAnsi="Times New Roman" w:cs="Times New Roman"/>
          <w:kern w:val="0"/>
          <w:sz w:val="24"/>
          <w:szCs w:val="24"/>
          <w14:ligatures w14:val="none"/>
        </w:rPr>
        <w:t xml:space="preserve">in other </w:t>
      </w:r>
      <w:r w:rsidR="00CE7E53">
        <w:rPr>
          <w:rFonts w:ascii="Times New Roman" w:eastAsia="Times New Roman" w:hAnsi="Times New Roman" w:cs="Times New Roman"/>
          <w:kern w:val="0"/>
          <w:sz w:val="24"/>
          <w:szCs w:val="24"/>
          <w14:ligatures w14:val="none"/>
        </w:rPr>
        <w:t xml:space="preserve">environmental </w:t>
      </w:r>
      <w:r w:rsidR="0073036B">
        <w:rPr>
          <w:rFonts w:ascii="Times New Roman" w:eastAsia="Times New Roman" w:hAnsi="Times New Roman" w:cs="Times New Roman"/>
          <w:kern w:val="0"/>
          <w:sz w:val="24"/>
          <w:szCs w:val="24"/>
          <w14:ligatures w14:val="none"/>
        </w:rPr>
        <w:t>policies</w:t>
      </w:r>
      <w:r w:rsidR="00CE7E53">
        <w:rPr>
          <w:rFonts w:ascii="Times New Roman" w:eastAsia="Times New Roman" w:hAnsi="Times New Roman" w:cs="Times New Roman"/>
          <w:kern w:val="0"/>
          <w:sz w:val="24"/>
          <w:szCs w:val="24"/>
          <w14:ligatures w14:val="none"/>
        </w:rPr>
        <w:t xml:space="preserve">. </w:t>
      </w:r>
      <w:r w:rsidR="008A3DC3">
        <w:rPr>
          <w:rFonts w:ascii="Times New Roman" w:eastAsia="Times New Roman" w:hAnsi="Times New Roman" w:cs="Times New Roman"/>
          <w:kern w:val="0"/>
          <w:sz w:val="24"/>
          <w:szCs w:val="24"/>
          <w14:ligatures w14:val="none"/>
        </w:rPr>
        <w:t xml:space="preserve"> </w:t>
      </w:r>
    </w:p>
    <w:p w14:paraId="3610AA78" w14:textId="4E7A5CC1" w:rsidR="001E7B3C" w:rsidRDefault="008A3DC3" w:rsidP="00543806">
      <w:pPr>
        <w:shd w:val="clear" w:color="auto" w:fill="FFFFFF"/>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In a related study Ando (2003) examines interest group comments to 172 proposed listings between 1989 and 1994. </w:t>
      </w:r>
      <w:r w:rsidR="0073036B">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kern w:val="0"/>
          <w:sz w:val="24"/>
          <w:szCs w:val="24"/>
          <w14:ligatures w14:val="none"/>
        </w:rPr>
        <w:t xml:space="preserve">he does not find that </w:t>
      </w:r>
      <w:r w:rsidR="0087350B">
        <w:rPr>
          <w:rFonts w:ascii="Times New Roman" w:eastAsia="Times New Roman" w:hAnsi="Times New Roman" w:cs="Times New Roman"/>
          <w:kern w:val="0"/>
          <w:sz w:val="24"/>
          <w:szCs w:val="24"/>
          <w14:ligatures w14:val="none"/>
        </w:rPr>
        <w:t xml:space="preserve">competitive </w:t>
      </w:r>
      <w:r w:rsidR="009B228A">
        <w:rPr>
          <w:rFonts w:ascii="Times New Roman" w:eastAsia="Times New Roman" w:hAnsi="Times New Roman" w:cs="Times New Roman"/>
          <w:kern w:val="0"/>
          <w:sz w:val="24"/>
          <w:szCs w:val="24"/>
          <w14:ligatures w14:val="none"/>
        </w:rPr>
        <w:t xml:space="preserve">interest group lobbying </w:t>
      </w:r>
      <w:r w:rsidR="0073036B">
        <w:rPr>
          <w:rFonts w:ascii="Times New Roman" w:eastAsia="Times New Roman" w:hAnsi="Times New Roman" w:cs="Times New Roman"/>
          <w:kern w:val="0"/>
          <w:sz w:val="24"/>
          <w:szCs w:val="24"/>
          <w14:ligatures w14:val="none"/>
        </w:rPr>
        <w:t xml:space="preserve">led to an efficient </w:t>
      </w:r>
      <w:r w:rsidR="002F1C14">
        <w:rPr>
          <w:rFonts w:ascii="Times New Roman" w:eastAsia="Times New Roman" w:hAnsi="Times New Roman" w:cs="Times New Roman"/>
          <w:kern w:val="0"/>
          <w:sz w:val="24"/>
          <w:szCs w:val="24"/>
          <w14:ligatures w14:val="none"/>
        </w:rPr>
        <w:t>balanc</w:t>
      </w:r>
      <w:r w:rsidR="0073036B">
        <w:rPr>
          <w:rFonts w:ascii="Times New Roman" w:eastAsia="Times New Roman" w:hAnsi="Times New Roman" w:cs="Times New Roman"/>
          <w:kern w:val="0"/>
          <w:sz w:val="24"/>
          <w:szCs w:val="24"/>
          <w14:ligatures w14:val="none"/>
        </w:rPr>
        <w:t>ing of</w:t>
      </w:r>
      <w:r w:rsidR="009B228A">
        <w:rPr>
          <w:rFonts w:ascii="Times New Roman" w:eastAsia="Times New Roman" w:hAnsi="Times New Roman" w:cs="Times New Roman"/>
          <w:kern w:val="0"/>
          <w:sz w:val="24"/>
          <w:szCs w:val="24"/>
          <w14:ligatures w14:val="none"/>
        </w:rPr>
        <w:t xml:space="preserve"> </w:t>
      </w:r>
      <w:r w:rsidR="002F1C14">
        <w:rPr>
          <w:rFonts w:ascii="Times New Roman" w:eastAsia="Times New Roman" w:hAnsi="Times New Roman" w:cs="Times New Roman"/>
          <w:kern w:val="0"/>
          <w:sz w:val="24"/>
          <w:szCs w:val="24"/>
          <w14:ligatures w14:val="none"/>
        </w:rPr>
        <w:t>costs and benefits</w:t>
      </w:r>
      <w:r>
        <w:rPr>
          <w:rFonts w:ascii="Times New Roman" w:eastAsia="Times New Roman" w:hAnsi="Times New Roman" w:cs="Times New Roman"/>
          <w:kern w:val="0"/>
          <w:sz w:val="24"/>
          <w:szCs w:val="24"/>
          <w14:ligatures w14:val="none"/>
        </w:rPr>
        <w:t xml:space="preserve"> as </w:t>
      </w:r>
      <w:r w:rsidR="002F1C14">
        <w:rPr>
          <w:rFonts w:ascii="Times New Roman" w:eastAsia="Times New Roman" w:hAnsi="Times New Roman" w:cs="Times New Roman"/>
          <w:kern w:val="0"/>
          <w:sz w:val="24"/>
          <w:szCs w:val="24"/>
          <w14:ligatures w14:val="none"/>
        </w:rPr>
        <w:t>hypothesized by Becker (1983</w:t>
      </w:r>
      <w:r w:rsidR="009B228A">
        <w:rPr>
          <w:rFonts w:ascii="Times New Roman" w:eastAsia="Times New Roman" w:hAnsi="Times New Roman" w:cs="Times New Roman"/>
          <w:kern w:val="0"/>
          <w:sz w:val="24"/>
          <w:szCs w:val="24"/>
          <w14:ligatures w14:val="none"/>
        </w:rPr>
        <w:t>, 396</w:t>
      </w:r>
      <w:r w:rsidR="002F1C14">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009B228A">
        <w:rPr>
          <w:rFonts w:ascii="Times New Roman" w:eastAsia="Times New Roman" w:hAnsi="Times New Roman" w:cs="Times New Roman"/>
          <w:kern w:val="0"/>
          <w:sz w:val="24"/>
          <w:szCs w:val="24"/>
          <w14:ligatures w14:val="none"/>
        </w:rPr>
        <w:t>R</w:t>
      </w:r>
      <w:r w:rsidR="002F1C14">
        <w:rPr>
          <w:rFonts w:ascii="Times New Roman" w:eastAsia="Times New Roman" w:hAnsi="Times New Roman" w:cs="Times New Roman"/>
          <w:kern w:val="0"/>
          <w:sz w:val="24"/>
          <w:szCs w:val="24"/>
          <w14:ligatures w14:val="none"/>
        </w:rPr>
        <w:t xml:space="preserve">ather </w:t>
      </w:r>
      <w:r w:rsidR="0078329F">
        <w:rPr>
          <w:rFonts w:ascii="Times New Roman" w:eastAsia="Times New Roman" w:hAnsi="Times New Roman" w:cs="Times New Roman"/>
          <w:kern w:val="0"/>
          <w:sz w:val="24"/>
          <w:szCs w:val="24"/>
          <w14:ligatures w14:val="none"/>
        </w:rPr>
        <w:t xml:space="preserve">groups </w:t>
      </w:r>
      <w:r>
        <w:rPr>
          <w:rFonts w:ascii="Times New Roman" w:eastAsia="Times New Roman" w:hAnsi="Times New Roman" w:cs="Times New Roman"/>
          <w:kern w:val="0"/>
          <w:sz w:val="24"/>
          <w:szCs w:val="24"/>
          <w14:ligatures w14:val="none"/>
        </w:rPr>
        <w:t xml:space="preserve">were </w:t>
      </w:r>
      <w:r w:rsidR="002F1C14">
        <w:rPr>
          <w:rFonts w:ascii="Times New Roman" w:eastAsia="Times New Roman" w:hAnsi="Times New Roman" w:cs="Times New Roman"/>
          <w:kern w:val="0"/>
          <w:sz w:val="24"/>
          <w:szCs w:val="24"/>
          <w14:ligatures w14:val="none"/>
        </w:rPr>
        <w:t>concerned about narrow net returns</w:t>
      </w:r>
      <w:r w:rsidR="0087350B">
        <w:rPr>
          <w:rFonts w:ascii="Times New Roman" w:eastAsia="Times New Roman" w:hAnsi="Times New Roman" w:cs="Times New Roman"/>
          <w:kern w:val="0"/>
          <w:sz w:val="24"/>
          <w:szCs w:val="24"/>
          <w14:ligatures w14:val="none"/>
        </w:rPr>
        <w:t xml:space="preserve"> as they advocate</w:t>
      </w:r>
      <w:r w:rsidR="00F52A43">
        <w:rPr>
          <w:rFonts w:ascii="Times New Roman" w:eastAsia="Times New Roman" w:hAnsi="Times New Roman" w:cs="Times New Roman"/>
          <w:kern w:val="0"/>
          <w:sz w:val="24"/>
          <w:szCs w:val="24"/>
          <w14:ligatures w14:val="none"/>
        </w:rPr>
        <w:t>d</w:t>
      </w:r>
      <w:r w:rsidR="0087350B">
        <w:rPr>
          <w:rFonts w:ascii="Times New Roman" w:eastAsia="Times New Roman" w:hAnsi="Times New Roman" w:cs="Times New Roman"/>
          <w:kern w:val="0"/>
          <w:sz w:val="24"/>
          <w:szCs w:val="24"/>
          <w14:ligatures w14:val="none"/>
        </w:rPr>
        <w:t xml:space="preserve"> or oppose</w:t>
      </w:r>
      <w:r w:rsidR="00F52A43">
        <w:rPr>
          <w:rFonts w:ascii="Times New Roman" w:eastAsia="Times New Roman" w:hAnsi="Times New Roman" w:cs="Times New Roman"/>
          <w:kern w:val="0"/>
          <w:sz w:val="24"/>
          <w:szCs w:val="24"/>
          <w14:ligatures w14:val="none"/>
        </w:rPr>
        <w:t>d</w:t>
      </w:r>
      <w:r w:rsidR="0087350B">
        <w:rPr>
          <w:rFonts w:ascii="Times New Roman" w:eastAsia="Times New Roman" w:hAnsi="Times New Roman" w:cs="Times New Roman"/>
          <w:kern w:val="0"/>
          <w:sz w:val="24"/>
          <w:szCs w:val="24"/>
          <w14:ligatures w14:val="none"/>
        </w:rPr>
        <w:t xml:space="preserve"> </w:t>
      </w:r>
      <w:r w:rsidR="00F52A43">
        <w:rPr>
          <w:rFonts w:ascii="Times New Roman" w:eastAsia="Times New Roman" w:hAnsi="Times New Roman" w:cs="Times New Roman"/>
          <w:kern w:val="0"/>
          <w:sz w:val="24"/>
          <w:szCs w:val="24"/>
          <w14:ligatures w14:val="none"/>
        </w:rPr>
        <w:t>FWS l</w:t>
      </w:r>
      <w:r w:rsidR="0087350B">
        <w:rPr>
          <w:rFonts w:ascii="Times New Roman" w:eastAsia="Times New Roman" w:hAnsi="Times New Roman" w:cs="Times New Roman"/>
          <w:kern w:val="0"/>
          <w:sz w:val="24"/>
          <w:szCs w:val="24"/>
          <w14:ligatures w14:val="none"/>
        </w:rPr>
        <w:t>istings</w:t>
      </w:r>
      <w:r w:rsidR="002F1C14">
        <w:rPr>
          <w:rFonts w:ascii="Times New Roman" w:eastAsia="Times New Roman" w:hAnsi="Times New Roman" w:cs="Times New Roman"/>
          <w:kern w:val="0"/>
          <w:sz w:val="24"/>
          <w:szCs w:val="24"/>
          <w14:ligatures w14:val="none"/>
        </w:rPr>
        <w:t>.</w:t>
      </w:r>
      <w:r w:rsidR="002F1C14">
        <w:rPr>
          <w:rStyle w:val="FootnoteReference"/>
          <w:rFonts w:ascii="Times New Roman" w:eastAsia="Times New Roman" w:hAnsi="Times New Roman" w:cs="Times New Roman"/>
          <w:kern w:val="0"/>
          <w:sz w:val="24"/>
          <w:szCs w:val="24"/>
          <w14:ligatures w14:val="none"/>
        </w:rPr>
        <w:footnoteReference w:id="84"/>
      </w:r>
      <w:r w:rsidR="002F1C14">
        <w:rPr>
          <w:rFonts w:ascii="Times New Roman" w:eastAsia="Times New Roman" w:hAnsi="Times New Roman" w:cs="Times New Roman"/>
          <w:kern w:val="0"/>
          <w:sz w:val="24"/>
          <w:szCs w:val="24"/>
          <w14:ligatures w14:val="none"/>
        </w:rPr>
        <w:t xml:space="preserve"> This finding is consistent with Coase’s </w:t>
      </w:r>
      <w:r w:rsidR="009B228A">
        <w:rPr>
          <w:rFonts w:ascii="Times New Roman" w:eastAsia="Times New Roman" w:hAnsi="Times New Roman" w:cs="Times New Roman"/>
          <w:kern w:val="0"/>
          <w:sz w:val="24"/>
          <w:szCs w:val="24"/>
          <w14:ligatures w14:val="none"/>
        </w:rPr>
        <w:t xml:space="preserve">warning of </w:t>
      </w:r>
      <w:r w:rsidR="0073036B">
        <w:rPr>
          <w:rFonts w:ascii="Times New Roman" w:eastAsia="Times New Roman" w:hAnsi="Times New Roman" w:cs="Times New Roman"/>
          <w:kern w:val="0"/>
          <w:sz w:val="24"/>
          <w:szCs w:val="24"/>
          <w14:ligatures w14:val="none"/>
        </w:rPr>
        <w:t xml:space="preserve">potentially </w:t>
      </w:r>
      <w:r w:rsidR="002F1C14">
        <w:rPr>
          <w:rFonts w:ascii="Times New Roman" w:eastAsia="Times New Roman" w:hAnsi="Times New Roman" w:cs="Times New Roman"/>
          <w:kern w:val="0"/>
          <w:sz w:val="24"/>
          <w:szCs w:val="24"/>
          <w14:ligatures w14:val="none"/>
        </w:rPr>
        <w:t>undu</w:t>
      </w:r>
      <w:r w:rsidR="00B00F98">
        <w:rPr>
          <w:rFonts w:ascii="Times New Roman" w:eastAsia="Times New Roman" w:hAnsi="Times New Roman" w:cs="Times New Roman"/>
          <w:kern w:val="0"/>
          <w:sz w:val="24"/>
          <w:szCs w:val="24"/>
          <w14:ligatures w14:val="none"/>
        </w:rPr>
        <w:t xml:space="preserve">ly restrictive </w:t>
      </w:r>
      <w:r w:rsidR="002F1C14">
        <w:rPr>
          <w:rFonts w:ascii="Times New Roman" w:eastAsia="Times New Roman" w:hAnsi="Times New Roman" w:cs="Times New Roman"/>
          <w:kern w:val="0"/>
          <w:sz w:val="24"/>
          <w:szCs w:val="24"/>
          <w14:ligatures w14:val="none"/>
        </w:rPr>
        <w:t xml:space="preserve">Pigouvian </w:t>
      </w:r>
      <w:r w:rsidR="00B00F98">
        <w:rPr>
          <w:rFonts w:ascii="Times New Roman" w:eastAsia="Times New Roman" w:hAnsi="Times New Roman" w:cs="Times New Roman"/>
          <w:kern w:val="0"/>
          <w:sz w:val="24"/>
          <w:szCs w:val="24"/>
          <w14:ligatures w14:val="none"/>
        </w:rPr>
        <w:t>policies</w:t>
      </w:r>
      <w:r w:rsidR="0073036B">
        <w:rPr>
          <w:rFonts w:ascii="Times New Roman" w:eastAsia="Times New Roman" w:hAnsi="Times New Roman" w:cs="Times New Roman"/>
          <w:kern w:val="0"/>
          <w:sz w:val="24"/>
          <w:szCs w:val="24"/>
          <w14:ligatures w14:val="none"/>
        </w:rPr>
        <w:t xml:space="preserve">. </w:t>
      </w:r>
    </w:p>
    <w:p w14:paraId="7A38A004" w14:textId="2D2B14FF" w:rsidR="00543806" w:rsidRPr="00E80438" w:rsidRDefault="00543806" w:rsidP="00543806">
      <w:pPr>
        <w:spacing w:after="0" w:line="360" w:lineRule="auto"/>
        <w:ind w:firstLine="720"/>
        <w:rPr>
          <w:rFonts w:ascii="Times New Roman" w:hAnsi="Times New Roman" w:cs="Times New Roman"/>
          <w:sz w:val="24"/>
          <w:szCs w:val="24"/>
        </w:rPr>
      </w:pPr>
      <w:r w:rsidRPr="00E80438">
        <w:rPr>
          <w:rFonts w:ascii="Times New Roman" w:hAnsi="Times New Roman" w:cs="Times New Roman"/>
          <w:sz w:val="24"/>
          <w:szCs w:val="24"/>
        </w:rPr>
        <w:t xml:space="preserve">In addition to lobbying, litigation </w:t>
      </w:r>
      <w:r w:rsidR="00900A79">
        <w:rPr>
          <w:rFonts w:ascii="Times New Roman" w:hAnsi="Times New Roman" w:cs="Times New Roman"/>
          <w:sz w:val="24"/>
          <w:szCs w:val="24"/>
        </w:rPr>
        <w:t xml:space="preserve">also </w:t>
      </w:r>
      <w:r w:rsidRPr="00E80438">
        <w:rPr>
          <w:rFonts w:ascii="Times New Roman" w:hAnsi="Times New Roman" w:cs="Times New Roman"/>
          <w:sz w:val="24"/>
          <w:szCs w:val="24"/>
        </w:rPr>
        <w:t>force</w:t>
      </w:r>
      <w:r w:rsidR="00924F08">
        <w:rPr>
          <w:rFonts w:ascii="Times New Roman" w:hAnsi="Times New Roman" w:cs="Times New Roman"/>
          <w:sz w:val="24"/>
          <w:szCs w:val="24"/>
        </w:rPr>
        <w:t>s</w:t>
      </w:r>
      <w:r w:rsidRPr="00E80438">
        <w:rPr>
          <w:rFonts w:ascii="Times New Roman" w:hAnsi="Times New Roman" w:cs="Times New Roman"/>
          <w:sz w:val="24"/>
          <w:szCs w:val="24"/>
        </w:rPr>
        <w:t xml:space="preserve"> listings by the FWS.  Langpap (2022) analyzes litigation by environmental NGOs to compel listing, critical habitat designation, and funding for imperiled species.</w:t>
      </w:r>
      <w:r w:rsidRPr="00E80438">
        <w:rPr>
          <w:rFonts w:ascii="Times New Roman" w:hAnsi="Times New Roman" w:cs="Times New Roman"/>
          <w:sz w:val="24"/>
          <w:szCs w:val="24"/>
          <w:vertAlign w:val="superscript"/>
        </w:rPr>
        <w:footnoteReference w:id="85"/>
      </w:r>
      <w:r w:rsidRPr="00E80438">
        <w:rPr>
          <w:rFonts w:ascii="Times New Roman" w:hAnsi="Times New Roman" w:cs="Times New Roman"/>
          <w:sz w:val="24"/>
          <w:szCs w:val="24"/>
        </w:rPr>
        <w:t xml:space="preserve"> Such organizations file hundreds of law suits, and he finds that litigation accelerates or expands listings, critical habitat designation and size, as well as expenditures for targeted species.</w:t>
      </w:r>
      <w:r w:rsidRPr="00E80438">
        <w:rPr>
          <w:rFonts w:ascii="Times New Roman" w:hAnsi="Times New Roman" w:cs="Times New Roman"/>
          <w:sz w:val="24"/>
          <w:szCs w:val="24"/>
          <w:vertAlign w:val="superscript"/>
        </w:rPr>
        <w:footnoteReference w:id="86"/>
      </w:r>
      <w:r w:rsidRPr="00E80438">
        <w:rPr>
          <w:rFonts w:ascii="Times New Roman" w:hAnsi="Times New Roman" w:cs="Times New Roman"/>
          <w:sz w:val="24"/>
          <w:szCs w:val="24"/>
        </w:rPr>
        <w:t xml:space="preserve"> B</w:t>
      </w:r>
      <w:r w:rsidR="00900A79">
        <w:rPr>
          <w:rFonts w:ascii="Times New Roman" w:hAnsi="Times New Roman" w:cs="Times New Roman"/>
          <w:sz w:val="24"/>
          <w:szCs w:val="24"/>
        </w:rPr>
        <w:t>ecause b</w:t>
      </w:r>
      <w:r w:rsidRPr="00E80438">
        <w:rPr>
          <w:rFonts w:ascii="Times New Roman" w:hAnsi="Times New Roman" w:cs="Times New Roman"/>
          <w:sz w:val="24"/>
          <w:szCs w:val="24"/>
        </w:rPr>
        <w:t>udgets are constrained</w:t>
      </w:r>
      <w:r w:rsidR="00900A79">
        <w:rPr>
          <w:rFonts w:ascii="Times New Roman" w:hAnsi="Times New Roman" w:cs="Times New Roman"/>
          <w:sz w:val="24"/>
          <w:szCs w:val="24"/>
        </w:rPr>
        <w:t xml:space="preserve">, </w:t>
      </w:r>
      <w:r w:rsidRPr="00E80438">
        <w:rPr>
          <w:rFonts w:ascii="Times New Roman" w:hAnsi="Times New Roman" w:cs="Times New Roman"/>
          <w:sz w:val="24"/>
          <w:szCs w:val="24"/>
        </w:rPr>
        <w:t xml:space="preserve">outlays are </w:t>
      </w:r>
      <w:r w:rsidR="002867FA">
        <w:rPr>
          <w:rFonts w:ascii="Times New Roman" w:hAnsi="Times New Roman" w:cs="Times New Roman"/>
          <w:sz w:val="24"/>
          <w:szCs w:val="24"/>
        </w:rPr>
        <w:t>aimed at poli</w:t>
      </w:r>
      <w:r w:rsidRPr="00E80438">
        <w:rPr>
          <w:rFonts w:ascii="Times New Roman" w:hAnsi="Times New Roman" w:cs="Times New Roman"/>
          <w:sz w:val="24"/>
          <w:szCs w:val="24"/>
        </w:rPr>
        <w:t>tically</w:t>
      </w:r>
      <w:r w:rsidR="00B53DF7">
        <w:rPr>
          <w:rFonts w:ascii="Times New Roman" w:hAnsi="Times New Roman" w:cs="Times New Roman"/>
          <w:sz w:val="24"/>
          <w:szCs w:val="24"/>
        </w:rPr>
        <w:t xml:space="preserve"> </w:t>
      </w:r>
      <w:r w:rsidR="00AD0A89">
        <w:rPr>
          <w:rFonts w:ascii="Times New Roman" w:hAnsi="Times New Roman" w:cs="Times New Roman"/>
          <w:sz w:val="24"/>
          <w:szCs w:val="24"/>
        </w:rPr>
        <w:t xml:space="preserve">important </w:t>
      </w:r>
      <w:r w:rsidRPr="00E80438">
        <w:rPr>
          <w:rFonts w:ascii="Times New Roman" w:hAnsi="Times New Roman" w:cs="Times New Roman"/>
          <w:sz w:val="24"/>
          <w:szCs w:val="24"/>
        </w:rPr>
        <w:t>species (Ferraro et al 2007).</w:t>
      </w:r>
      <w:r w:rsidRPr="00E80438">
        <w:rPr>
          <w:rFonts w:ascii="Times New Roman" w:hAnsi="Times New Roman" w:cs="Times New Roman"/>
          <w:sz w:val="24"/>
          <w:szCs w:val="24"/>
          <w:vertAlign w:val="superscript"/>
        </w:rPr>
        <w:footnoteReference w:id="87"/>
      </w:r>
      <w:r w:rsidRPr="00E80438">
        <w:rPr>
          <w:rFonts w:ascii="Times New Roman" w:hAnsi="Times New Roman" w:cs="Times New Roman"/>
          <w:sz w:val="24"/>
          <w:szCs w:val="24"/>
        </w:rPr>
        <w:t xml:space="preserve"> Although listing </w:t>
      </w:r>
      <w:r w:rsidR="002867FA">
        <w:rPr>
          <w:rFonts w:ascii="Times New Roman" w:hAnsi="Times New Roman" w:cs="Times New Roman"/>
          <w:sz w:val="24"/>
          <w:szCs w:val="24"/>
        </w:rPr>
        <w:t>and increased species</w:t>
      </w:r>
      <w:r w:rsidR="00B53DF7">
        <w:rPr>
          <w:rFonts w:ascii="Times New Roman" w:hAnsi="Times New Roman" w:cs="Times New Roman"/>
          <w:sz w:val="24"/>
          <w:szCs w:val="24"/>
        </w:rPr>
        <w:t xml:space="preserve"> </w:t>
      </w:r>
      <w:r w:rsidR="002867FA">
        <w:rPr>
          <w:rFonts w:ascii="Times New Roman" w:hAnsi="Times New Roman" w:cs="Times New Roman"/>
          <w:sz w:val="24"/>
          <w:szCs w:val="24"/>
        </w:rPr>
        <w:t xml:space="preserve">specific expenditures </w:t>
      </w:r>
      <w:r w:rsidRPr="00E80438">
        <w:rPr>
          <w:rFonts w:ascii="Times New Roman" w:hAnsi="Times New Roman" w:cs="Times New Roman"/>
          <w:sz w:val="24"/>
          <w:szCs w:val="24"/>
        </w:rPr>
        <w:t xml:space="preserve">can bring status improvement, </w:t>
      </w:r>
      <w:r w:rsidR="008B770D">
        <w:rPr>
          <w:rFonts w:ascii="Times New Roman" w:hAnsi="Times New Roman" w:cs="Times New Roman"/>
          <w:sz w:val="24"/>
          <w:szCs w:val="24"/>
        </w:rPr>
        <w:t xml:space="preserve">it </w:t>
      </w:r>
      <w:r w:rsidRPr="00E80438">
        <w:rPr>
          <w:rFonts w:ascii="Times New Roman" w:hAnsi="Times New Roman" w:cs="Times New Roman"/>
          <w:sz w:val="24"/>
          <w:szCs w:val="24"/>
        </w:rPr>
        <w:t>may have adverse consequences by signaling land</w:t>
      </w:r>
      <w:r w:rsidR="008B770D">
        <w:rPr>
          <w:rFonts w:ascii="Times New Roman" w:hAnsi="Times New Roman" w:cs="Times New Roman"/>
          <w:sz w:val="24"/>
          <w:szCs w:val="24"/>
        </w:rPr>
        <w:t>owners</w:t>
      </w:r>
      <w:r w:rsidRPr="00E80438">
        <w:rPr>
          <w:rFonts w:ascii="Times New Roman" w:hAnsi="Times New Roman" w:cs="Times New Roman"/>
          <w:sz w:val="24"/>
          <w:szCs w:val="24"/>
        </w:rPr>
        <w:t xml:space="preserve"> of forthcoming agency action. </w:t>
      </w:r>
      <w:r w:rsidR="00AD7DB8">
        <w:rPr>
          <w:rFonts w:ascii="Times New Roman" w:hAnsi="Times New Roman" w:cs="Times New Roman"/>
          <w:sz w:val="24"/>
          <w:szCs w:val="24"/>
        </w:rPr>
        <w:t xml:space="preserve">Ferraro et al (2007) suggest </w:t>
      </w:r>
      <w:r w:rsidRPr="00E80438">
        <w:rPr>
          <w:rFonts w:ascii="Times New Roman" w:hAnsi="Times New Roman" w:cs="Times New Roman"/>
          <w:sz w:val="24"/>
          <w:szCs w:val="24"/>
        </w:rPr>
        <w:t xml:space="preserve">that </w:t>
      </w:r>
      <w:r w:rsidR="002867FA">
        <w:rPr>
          <w:rFonts w:ascii="Times New Roman" w:hAnsi="Times New Roman" w:cs="Times New Roman"/>
          <w:sz w:val="24"/>
          <w:szCs w:val="24"/>
        </w:rPr>
        <w:t xml:space="preserve">devoting </w:t>
      </w:r>
      <w:r w:rsidR="002867FA">
        <w:rPr>
          <w:rFonts w:ascii="Times New Roman" w:hAnsi="Times New Roman" w:cs="Times New Roman"/>
          <w:sz w:val="24"/>
          <w:szCs w:val="24"/>
        </w:rPr>
        <w:lastRenderedPageBreak/>
        <w:t xml:space="preserve">FWS budgets to </w:t>
      </w:r>
      <w:r w:rsidRPr="00E80438">
        <w:rPr>
          <w:rFonts w:ascii="Times New Roman" w:hAnsi="Times New Roman" w:cs="Times New Roman"/>
          <w:sz w:val="24"/>
          <w:szCs w:val="24"/>
        </w:rPr>
        <w:t xml:space="preserve">the contentious process of listing may be less effective than </w:t>
      </w:r>
      <w:r w:rsidR="002867FA">
        <w:rPr>
          <w:rFonts w:ascii="Times New Roman" w:hAnsi="Times New Roman" w:cs="Times New Roman"/>
          <w:sz w:val="24"/>
          <w:szCs w:val="24"/>
        </w:rPr>
        <w:t>focusing on</w:t>
      </w:r>
      <w:r w:rsidRPr="00E80438">
        <w:rPr>
          <w:rFonts w:ascii="Times New Roman" w:hAnsi="Times New Roman" w:cs="Times New Roman"/>
          <w:sz w:val="24"/>
          <w:szCs w:val="24"/>
        </w:rPr>
        <w:t xml:space="preserve"> recovery. For litigants and lobbyists, however, listing is a primary objective. </w:t>
      </w:r>
    </w:p>
    <w:p w14:paraId="1A00ED95" w14:textId="41915EC5" w:rsidR="00AD0A89" w:rsidRDefault="00543806" w:rsidP="00543806">
      <w:pPr>
        <w:spacing w:after="0" w:line="360" w:lineRule="auto"/>
        <w:ind w:firstLine="720"/>
        <w:rPr>
          <w:rFonts w:ascii="Times New Roman" w:hAnsi="Times New Roman" w:cs="Times New Roman"/>
          <w:sz w:val="24"/>
          <w:szCs w:val="24"/>
        </w:rPr>
      </w:pPr>
      <w:r w:rsidRPr="00E80438">
        <w:rPr>
          <w:rFonts w:ascii="Times New Roman" w:hAnsi="Times New Roman" w:cs="Times New Roman"/>
          <w:sz w:val="24"/>
          <w:szCs w:val="24"/>
        </w:rPr>
        <w:t>Because two</w:t>
      </w:r>
      <w:r w:rsidR="00B53DF7">
        <w:rPr>
          <w:rFonts w:ascii="Times New Roman" w:hAnsi="Times New Roman" w:cs="Times New Roman"/>
          <w:sz w:val="24"/>
          <w:szCs w:val="24"/>
        </w:rPr>
        <w:t xml:space="preserve"> </w:t>
      </w:r>
      <w:r w:rsidRPr="00E80438">
        <w:rPr>
          <w:rFonts w:ascii="Times New Roman" w:hAnsi="Times New Roman" w:cs="Times New Roman"/>
          <w:sz w:val="24"/>
          <w:szCs w:val="24"/>
        </w:rPr>
        <w:t>thirds or more of endangered or threatened species are found on private land, the effectiveness of the ESA in achieving its recovery goals depends upon cooperation with landowners.</w:t>
      </w:r>
      <w:r w:rsidRPr="00E80438">
        <w:rPr>
          <w:rFonts w:ascii="Times New Roman" w:hAnsi="Times New Roman" w:cs="Times New Roman"/>
          <w:sz w:val="24"/>
          <w:szCs w:val="24"/>
          <w:vertAlign w:val="superscript"/>
        </w:rPr>
        <w:footnoteReference w:id="88"/>
      </w:r>
      <w:r w:rsidRPr="00E80438">
        <w:rPr>
          <w:rFonts w:ascii="Times New Roman" w:hAnsi="Times New Roman" w:cs="Times New Roman"/>
          <w:sz w:val="24"/>
          <w:szCs w:val="24"/>
        </w:rPr>
        <w:t xml:space="preserve"> </w:t>
      </w:r>
      <w:r w:rsidR="00825E11">
        <w:rPr>
          <w:rFonts w:ascii="Times New Roman" w:hAnsi="Times New Roman" w:cs="Times New Roman"/>
          <w:sz w:val="24"/>
          <w:szCs w:val="24"/>
        </w:rPr>
        <w:t xml:space="preserve">ESA’s Pigouvian </w:t>
      </w:r>
      <w:r w:rsidRPr="00E80438">
        <w:rPr>
          <w:rFonts w:ascii="Times New Roman" w:hAnsi="Times New Roman" w:cs="Times New Roman"/>
          <w:sz w:val="24"/>
          <w:szCs w:val="24"/>
        </w:rPr>
        <w:t>approach provide</w:t>
      </w:r>
      <w:r w:rsidR="002867FA">
        <w:rPr>
          <w:rFonts w:ascii="Times New Roman" w:hAnsi="Times New Roman" w:cs="Times New Roman"/>
          <w:sz w:val="24"/>
          <w:szCs w:val="24"/>
        </w:rPr>
        <w:t>s</w:t>
      </w:r>
      <w:r w:rsidRPr="00E80438">
        <w:rPr>
          <w:rFonts w:ascii="Times New Roman" w:hAnsi="Times New Roman" w:cs="Times New Roman"/>
          <w:sz w:val="24"/>
          <w:szCs w:val="24"/>
        </w:rPr>
        <w:t xml:space="preserve"> few incentives for active private stewardship of endangered species habitat. </w:t>
      </w:r>
      <w:r w:rsidR="00825E11">
        <w:rPr>
          <w:rFonts w:ascii="Times New Roman" w:hAnsi="Times New Roman" w:cs="Times New Roman"/>
          <w:sz w:val="24"/>
          <w:szCs w:val="24"/>
        </w:rPr>
        <w:t xml:space="preserve">Listing and designation of critical habitat can </w:t>
      </w:r>
      <w:r w:rsidRPr="00E80438">
        <w:rPr>
          <w:rFonts w:ascii="Times New Roman" w:hAnsi="Times New Roman" w:cs="Times New Roman"/>
          <w:sz w:val="24"/>
          <w:szCs w:val="24"/>
        </w:rPr>
        <w:t>place land</w:t>
      </w:r>
      <w:r w:rsidR="00825E11">
        <w:rPr>
          <w:rFonts w:ascii="Times New Roman" w:hAnsi="Times New Roman" w:cs="Times New Roman"/>
          <w:sz w:val="24"/>
          <w:szCs w:val="24"/>
        </w:rPr>
        <w:t xml:space="preserve">owners </w:t>
      </w:r>
      <w:r w:rsidRPr="00E80438">
        <w:rPr>
          <w:rFonts w:ascii="Times New Roman" w:hAnsi="Times New Roman" w:cs="Times New Roman"/>
          <w:sz w:val="24"/>
          <w:szCs w:val="24"/>
        </w:rPr>
        <w:t xml:space="preserve">at risk of </w:t>
      </w:r>
      <w:r w:rsidR="00825E11">
        <w:rPr>
          <w:rFonts w:ascii="Times New Roman" w:hAnsi="Times New Roman" w:cs="Times New Roman"/>
          <w:sz w:val="24"/>
          <w:szCs w:val="24"/>
        </w:rPr>
        <w:t xml:space="preserve">lower </w:t>
      </w:r>
      <w:r w:rsidRPr="00E80438">
        <w:rPr>
          <w:rFonts w:ascii="Times New Roman" w:hAnsi="Times New Roman" w:cs="Times New Roman"/>
          <w:sz w:val="24"/>
          <w:szCs w:val="24"/>
        </w:rPr>
        <w:t xml:space="preserve">land values and </w:t>
      </w:r>
      <w:r w:rsidR="00B00F98">
        <w:rPr>
          <w:rFonts w:ascii="Times New Roman" w:hAnsi="Times New Roman" w:cs="Times New Roman"/>
          <w:sz w:val="24"/>
          <w:szCs w:val="24"/>
        </w:rPr>
        <w:t xml:space="preserve">land </w:t>
      </w:r>
      <w:r w:rsidRPr="00E80438">
        <w:rPr>
          <w:rFonts w:ascii="Times New Roman" w:hAnsi="Times New Roman" w:cs="Times New Roman"/>
          <w:sz w:val="24"/>
          <w:szCs w:val="24"/>
        </w:rPr>
        <w:t xml:space="preserve">use options. </w:t>
      </w:r>
      <w:r w:rsidR="00651449" w:rsidRPr="00E80438">
        <w:rPr>
          <w:rFonts w:ascii="Times New Roman" w:hAnsi="Times New Roman" w:cs="Times New Roman"/>
          <w:sz w:val="24"/>
          <w:szCs w:val="24"/>
        </w:rPr>
        <w:t>Listing has led to documented declines in farmland values and employment in affected counties.</w:t>
      </w:r>
      <w:r w:rsidR="00651449" w:rsidRPr="00E80438">
        <w:rPr>
          <w:rFonts w:ascii="Times New Roman" w:hAnsi="Times New Roman" w:cs="Times New Roman"/>
          <w:sz w:val="24"/>
          <w:szCs w:val="24"/>
          <w:vertAlign w:val="superscript"/>
        </w:rPr>
        <w:footnoteReference w:id="89"/>
      </w:r>
      <w:r w:rsidR="00651449" w:rsidRPr="00E80438">
        <w:rPr>
          <w:rFonts w:ascii="Times New Roman" w:hAnsi="Times New Roman" w:cs="Times New Roman"/>
          <w:sz w:val="24"/>
          <w:szCs w:val="24"/>
        </w:rPr>
        <w:t xml:space="preserve"> </w:t>
      </w:r>
      <w:r w:rsidR="00651449">
        <w:rPr>
          <w:rFonts w:ascii="Times New Roman" w:hAnsi="Times New Roman" w:cs="Times New Roman"/>
          <w:sz w:val="24"/>
          <w:szCs w:val="24"/>
        </w:rPr>
        <w:t xml:space="preserve"> </w:t>
      </w:r>
    </w:p>
    <w:p w14:paraId="75D0B76C" w14:textId="04CCDC9F" w:rsidR="00543806" w:rsidRPr="00D93882" w:rsidRDefault="0073036B" w:rsidP="00543806">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As a result, l</w:t>
      </w:r>
      <w:r w:rsidR="00651449">
        <w:rPr>
          <w:rFonts w:ascii="Times New Roman" w:hAnsi="Times New Roman" w:cs="Times New Roman"/>
          <w:sz w:val="24"/>
          <w:szCs w:val="24"/>
        </w:rPr>
        <w:t xml:space="preserve">andowners are </w:t>
      </w:r>
      <w:r w:rsidR="00543806" w:rsidRPr="00E80438">
        <w:rPr>
          <w:rFonts w:ascii="Times New Roman" w:hAnsi="Times New Roman" w:cs="Times New Roman"/>
          <w:sz w:val="24"/>
          <w:szCs w:val="24"/>
        </w:rPr>
        <w:t xml:space="preserve">motivated to engage in preemptive harvests or other practices </w:t>
      </w:r>
      <w:r>
        <w:rPr>
          <w:rFonts w:ascii="Times New Roman" w:hAnsi="Times New Roman" w:cs="Times New Roman"/>
          <w:sz w:val="24"/>
          <w:szCs w:val="24"/>
        </w:rPr>
        <w:t xml:space="preserve">detrimental to critical habitat </w:t>
      </w:r>
      <w:r w:rsidR="00924F08">
        <w:rPr>
          <w:rFonts w:ascii="Times New Roman" w:hAnsi="Times New Roman" w:cs="Times New Roman"/>
          <w:sz w:val="24"/>
          <w:szCs w:val="24"/>
        </w:rPr>
        <w:t xml:space="preserve">to reduce the risk of ESA controls. </w:t>
      </w:r>
      <w:r w:rsidR="00543806" w:rsidRPr="00E80438">
        <w:rPr>
          <w:rFonts w:ascii="Times New Roman" w:hAnsi="Times New Roman" w:cs="Times New Roman"/>
          <w:sz w:val="24"/>
          <w:szCs w:val="24"/>
        </w:rPr>
        <w:t xml:space="preserve">Further, the law discourages </w:t>
      </w:r>
      <w:r w:rsidR="00543806" w:rsidRPr="00D93882">
        <w:rPr>
          <w:rFonts w:ascii="Times New Roman" w:hAnsi="Times New Roman" w:cs="Times New Roman"/>
          <w:sz w:val="24"/>
          <w:szCs w:val="24"/>
        </w:rPr>
        <w:t>information sharing about the location, number, and state of endangered species on their properties or leased areas by landowners or permit holders. Doing so could invite the onslaught of the law and its penalties.</w:t>
      </w:r>
      <w:r w:rsidR="00651449" w:rsidRPr="00D93882">
        <w:rPr>
          <w:rFonts w:ascii="Times New Roman" w:hAnsi="Times New Roman" w:cs="Times New Roman"/>
          <w:sz w:val="24"/>
          <w:szCs w:val="24"/>
          <w:vertAlign w:val="superscript"/>
        </w:rPr>
        <w:footnoteReference w:id="90"/>
      </w:r>
      <w:r w:rsidR="00543806" w:rsidRPr="00D93882">
        <w:rPr>
          <w:rFonts w:ascii="Times New Roman" w:hAnsi="Times New Roman" w:cs="Times New Roman"/>
          <w:sz w:val="24"/>
          <w:szCs w:val="24"/>
        </w:rPr>
        <w:t xml:space="preserve">  </w:t>
      </w:r>
    </w:p>
    <w:p w14:paraId="728D311F" w14:textId="2C6B1073" w:rsidR="00651449" w:rsidRDefault="00D93882" w:rsidP="00543806">
      <w:pPr>
        <w:shd w:val="clear" w:color="auto" w:fill="FFFFFF"/>
        <w:spacing w:after="0" w:line="360" w:lineRule="auto"/>
        <w:ind w:firstLine="720"/>
        <w:rPr>
          <w:rFonts w:ascii="Times New Roman" w:eastAsia="Times New Roman" w:hAnsi="Times New Roman" w:cs="Times New Roman"/>
          <w:kern w:val="0"/>
          <w:sz w:val="24"/>
          <w:szCs w:val="24"/>
          <w14:ligatures w14:val="none"/>
        </w:rPr>
      </w:pPr>
      <w:r w:rsidRPr="00D93882">
        <w:rPr>
          <w:rFonts w:ascii="Times New Roman" w:hAnsi="Times New Roman" w:cs="Times New Roman"/>
          <w:sz w:val="24"/>
          <w:szCs w:val="24"/>
        </w:rPr>
        <w:t>Preemptive critical habitat destruction or other proactive harm to endangered species to avoid ESA land use restrictions are illegal under the law. As a result, there is little information on such actions for systematic analysis</w:t>
      </w:r>
      <w:r w:rsidR="00C11E85">
        <w:rPr>
          <w:rFonts w:ascii="Times New Roman" w:hAnsi="Times New Roman" w:cs="Times New Roman"/>
          <w:sz w:val="24"/>
          <w:szCs w:val="24"/>
        </w:rPr>
        <w:t>.</w:t>
      </w:r>
      <w:r w:rsidRPr="00D93882">
        <w:rPr>
          <w:rFonts w:ascii="Times New Roman" w:hAnsi="Times New Roman" w:cs="Times New Roman"/>
          <w:sz w:val="24"/>
          <w:szCs w:val="24"/>
        </w:rPr>
        <w:t xml:space="preserve"> Two unusual illustrative examinations by Lueck and Michael (2003) and </w:t>
      </w:r>
      <w:r w:rsidRPr="00D93882">
        <w:rPr>
          <w:rFonts w:ascii="Times New Roman" w:hAnsi="Times New Roman" w:cs="Times New Roman"/>
          <w:sz w:val="24"/>
          <w:szCs w:val="24"/>
          <w:shd w:val="clear" w:color="auto" w:fill="FFFFFF"/>
        </w:rPr>
        <w:t>Zhang</w:t>
      </w:r>
      <w:r w:rsidRPr="00D93882">
        <w:rPr>
          <w:rFonts w:ascii="Times New Roman" w:hAnsi="Times New Roman" w:cs="Times New Roman"/>
          <w:sz w:val="24"/>
          <w:szCs w:val="24"/>
        </w:rPr>
        <w:t xml:space="preserve"> (2004), however, reveal both private incentives under the law and the potential negative effects on the target spe</w:t>
      </w:r>
      <w:r>
        <w:rPr>
          <w:rFonts w:ascii="Times New Roman" w:hAnsi="Times New Roman" w:cs="Times New Roman"/>
          <w:sz w:val="24"/>
          <w:szCs w:val="24"/>
        </w:rPr>
        <w:t>cies.</w:t>
      </w:r>
      <w:r w:rsidR="00543806" w:rsidRPr="00D93882">
        <w:rPr>
          <w:rFonts w:ascii="Times New Roman" w:eastAsia="Times New Roman" w:hAnsi="Times New Roman" w:cs="Times New Roman"/>
          <w:kern w:val="0"/>
          <w:sz w:val="24"/>
          <w:szCs w:val="24"/>
          <w:vertAlign w:val="superscript"/>
          <w14:ligatures w14:val="none"/>
        </w:rPr>
        <w:footnoteReference w:id="91"/>
      </w:r>
      <w:r w:rsidR="00543806" w:rsidRPr="00D93882">
        <w:rPr>
          <w:rFonts w:ascii="Times New Roman" w:eastAsia="Times New Roman" w:hAnsi="Times New Roman" w:cs="Times New Roman"/>
          <w:kern w:val="0"/>
          <w:sz w:val="24"/>
          <w:szCs w:val="24"/>
          <w14:ligatures w14:val="none"/>
        </w:rPr>
        <w:t xml:space="preserve"> The</w:t>
      </w:r>
      <w:r w:rsidR="00742198" w:rsidRPr="00D93882">
        <w:rPr>
          <w:rFonts w:ascii="Times New Roman" w:eastAsia="Times New Roman" w:hAnsi="Times New Roman" w:cs="Times New Roman"/>
          <w:kern w:val="0"/>
          <w:sz w:val="24"/>
          <w:szCs w:val="24"/>
          <w14:ligatures w14:val="none"/>
        </w:rPr>
        <w:t>y e</w:t>
      </w:r>
      <w:r w:rsidR="00543806" w:rsidRPr="00D93882">
        <w:rPr>
          <w:rFonts w:ascii="Times New Roman" w:eastAsia="Times New Roman" w:hAnsi="Times New Roman" w:cs="Times New Roman"/>
          <w:kern w:val="0"/>
          <w:sz w:val="24"/>
          <w:szCs w:val="24"/>
          <w14:ligatures w14:val="none"/>
        </w:rPr>
        <w:t xml:space="preserve">xamine </w:t>
      </w:r>
      <w:r w:rsidR="00DF1002" w:rsidRPr="00D93882">
        <w:rPr>
          <w:rFonts w:ascii="Times New Roman" w:eastAsia="Times New Roman" w:hAnsi="Times New Roman" w:cs="Times New Roman"/>
          <w:kern w:val="0"/>
          <w:sz w:val="24"/>
          <w:szCs w:val="24"/>
          <w14:ligatures w14:val="none"/>
        </w:rPr>
        <w:t xml:space="preserve">the </w:t>
      </w:r>
      <w:r w:rsidR="00543806" w:rsidRPr="00D93882">
        <w:rPr>
          <w:rFonts w:ascii="Times New Roman" w:eastAsia="Times New Roman" w:hAnsi="Times New Roman" w:cs="Times New Roman"/>
          <w:kern w:val="0"/>
          <w:sz w:val="24"/>
          <w:szCs w:val="24"/>
          <w14:ligatures w14:val="none"/>
        </w:rPr>
        <w:t xml:space="preserve">proximity of endangered red cockaded woodpecker nesting areas in North and South Carolina </w:t>
      </w:r>
      <w:r w:rsidR="002867FA" w:rsidRPr="00D93882">
        <w:rPr>
          <w:rFonts w:ascii="Times New Roman" w:eastAsia="Times New Roman" w:hAnsi="Times New Roman" w:cs="Times New Roman"/>
          <w:kern w:val="0"/>
          <w:sz w:val="24"/>
          <w:szCs w:val="24"/>
          <w14:ligatures w14:val="none"/>
        </w:rPr>
        <w:t xml:space="preserve">in </w:t>
      </w:r>
      <w:r w:rsidR="00DF1002" w:rsidRPr="00D93882">
        <w:rPr>
          <w:rFonts w:ascii="Times New Roman" w:eastAsia="Times New Roman" w:hAnsi="Times New Roman" w:cs="Times New Roman"/>
          <w:kern w:val="0"/>
          <w:sz w:val="24"/>
          <w:szCs w:val="24"/>
          <w14:ligatures w14:val="none"/>
        </w:rPr>
        <w:t xml:space="preserve">encouraging </w:t>
      </w:r>
      <w:r w:rsidR="002867FA" w:rsidRPr="00D93882">
        <w:rPr>
          <w:rFonts w:ascii="Times New Roman" w:eastAsia="Times New Roman" w:hAnsi="Times New Roman" w:cs="Times New Roman"/>
          <w:kern w:val="0"/>
          <w:sz w:val="24"/>
          <w:szCs w:val="24"/>
          <w14:ligatures w14:val="none"/>
        </w:rPr>
        <w:t>economically</w:t>
      </w:r>
      <w:r w:rsidR="00C11E85">
        <w:rPr>
          <w:rFonts w:ascii="Times New Roman" w:eastAsia="Times New Roman" w:hAnsi="Times New Roman" w:cs="Times New Roman"/>
          <w:kern w:val="0"/>
          <w:sz w:val="24"/>
          <w:szCs w:val="24"/>
          <w14:ligatures w14:val="none"/>
        </w:rPr>
        <w:t xml:space="preserve"> </w:t>
      </w:r>
      <w:r w:rsidR="002867FA" w:rsidRPr="00D93882">
        <w:rPr>
          <w:rFonts w:ascii="Times New Roman" w:eastAsia="Times New Roman" w:hAnsi="Times New Roman" w:cs="Times New Roman"/>
          <w:kern w:val="0"/>
          <w:sz w:val="24"/>
          <w:szCs w:val="24"/>
          <w14:ligatures w14:val="none"/>
        </w:rPr>
        <w:t>premature</w:t>
      </w:r>
      <w:r w:rsidR="002867FA">
        <w:rPr>
          <w:rFonts w:ascii="Times New Roman" w:eastAsia="Times New Roman" w:hAnsi="Times New Roman" w:cs="Times New Roman"/>
          <w:kern w:val="0"/>
          <w:sz w:val="24"/>
          <w:szCs w:val="24"/>
          <w14:ligatures w14:val="none"/>
        </w:rPr>
        <w:t xml:space="preserve"> </w:t>
      </w:r>
      <w:r w:rsidR="00543806" w:rsidRPr="00E80438">
        <w:rPr>
          <w:rFonts w:ascii="Times New Roman" w:eastAsia="Times New Roman" w:hAnsi="Times New Roman" w:cs="Times New Roman"/>
          <w:kern w:val="0"/>
          <w:sz w:val="24"/>
          <w:szCs w:val="24"/>
          <w14:ligatures w14:val="none"/>
        </w:rPr>
        <w:t>timber harvest</w:t>
      </w:r>
      <w:r w:rsidR="002867FA">
        <w:rPr>
          <w:rFonts w:ascii="Times New Roman" w:eastAsia="Times New Roman" w:hAnsi="Times New Roman" w:cs="Times New Roman"/>
          <w:kern w:val="0"/>
          <w:sz w:val="24"/>
          <w:szCs w:val="24"/>
          <w14:ligatures w14:val="none"/>
        </w:rPr>
        <w:t>s</w:t>
      </w:r>
      <w:r w:rsidR="00543806" w:rsidRPr="00E80438">
        <w:rPr>
          <w:rFonts w:ascii="Times New Roman" w:eastAsia="Times New Roman" w:hAnsi="Times New Roman" w:cs="Times New Roman"/>
          <w:kern w:val="0"/>
          <w:sz w:val="24"/>
          <w:szCs w:val="24"/>
          <w14:ligatures w14:val="none"/>
        </w:rPr>
        <w:t xml:space="preserve"> on private lands</w:t>
      </w:r>
      <w:r w:rsidR="002867FA">
        <w:rPr>
          <w:rFonts w:ascii="Times New Roman" w:eastAsia="Times New Roman" w:hAnsi="Times New Roman" w:cs="Times New Roman"/>
          <w:kern w:val="0"/>
          <w:sz w:val="24"/>
          <w:szCs w:val="24"/>
          <w14:ligatures w14:val="none"/>
        </w:rPr>
        <w:t>. The harvests</w:t>
      </w:r>
      <w:r w:rsidR="00543806" w:rsidRPr="00E80438">
        <w:rPr>
          <w:rFonts w:ascii="Times New Roman" w:eastAsia="Times New Roman" w:hAnsi="Times New Roman" w:cs="Times New Roman"/>
          <w:kern w:val="0"/>
          <w:sz w:val="24"/>
          <w:szCs w:val="24"/>
          <w14:ligatures w14:val="none"/>
        </w:rPr>
        <w:t xml:space="preserve"> eliminate old</w:t>
      </w:r>
      <w:r w:rsidR="00B53DF7">
        <w:rPr>
          <w:rFonts w:ascii="Times New Roman" w:eastAsia="Times New Roman" w:hAnsi="Times New Roman" w:cs="Times New Roman"/>
          <w:kern w:val="0"/>
          <w:sz w:val="24"/>
          <w:szCs w:val="24"/>
          <w14:ligatures w14:val="none"/>
        </w:rPr>
        <w:t xml:space="preserve"> </w:t>
      </w:r>
      <w:r w:rsidR="00543806" w:rsidRPr="00E80438">
        <w:rPr>
          <w:rFonts w:ascii="Times New Roman" w:eastAsia="Times New Roman" w:hAnsi="Times New Roman" w:cs="Times New Roman"/>
          <w:kern w:val="0"/>
          <w:sz w:val="24"/>
          <w:szCs w:val="24"/>
          <w14:ligatures w14:val="none"/>
        </w:rPr>
        <w:t>growth timber stands</w:t>
      </w:r>
      <w:r w:rsidR="002867FA">
        <w:rPr>
          <w:rFonts w:ascii="Times New Roman" w:eastAsia="Times New Roman" w:hAnsi="Times New Roman" w:cs="Times New Roman"/>
          <w:kern w:val="0"/>
          <w:sz w:val="24"/>
          <w:szCs w:val="24"/>
          <w14:ligatures w14:val="none"/>
        </w:rPr>
        <w:t xml:space="preserve"> as</w:t>
      </w:r>
      <w:r w:rsidR="00543806" w:rsidRPr="00E80438">
        <w:rPr>
          <w:rFonts w:ascii="Times New Roman" w:eastAsia="Times New Roman" w:hAnsi="Times New Roman" w:cs="Times New Roman"/>
          <w:kern w:val="0"/>
          <w:sz w:val="24"/>
          <w:szCs w:val="24"/>
          <w14:ligatures w14:val="none"/>
        </w:rPr>
        <w:t xml:space="preserve"> </w:t>
      </w:r>
      <w:r w:rsidR="00A25C73">
        <w:rPr>
          <w:rFonts w:ascii="Times New Roman" w:eastAsia="Times New Roman" w:hAnsi="Times New Roman" w:cs="Times New Roman"/>
          <w:kern w:val="0"/>
          <w:sz w:val="24"/>
          <w:szCs w:val="24"/>
          <w14:ligatures w14:val="none"/>
        </w:rPr>
        <w:t xml:space="preserve">potential </w:t>
      </w:r>
      <w:r w:rsidR="00543806" w:rsidRPr="00E80438">
        <w:rPr>
          <w:rFonts w:ascii="Times New Roman" w:eastAsia="Times New Roman" w:hAnsi="Times New Roman" w:cs="Times New Roman"/>
          <w:kern w:val="0"/>
          <w:sz w:val="24"/>
          <w:szCs w:val="24"/>
          <w14:ligatures w14:val="none"/>
        </w:rPr>
        <w:t xml:space="preserve">habitat for the woodpecker.  Providing habitat for a single woodpecker colony could cost up to $200,000 in foregone timber </w:t>
      </w:r>
      <w:r w:rsidR="00A25C73">
        <w:rPr>
          <w:rFonts w:ascii="Times New Roman" w:eastAsia="Times New Roman" w:hAnsi="Times New Roman" w:cs="Times New Roman"/>
          <w:kern w:val="0"/>
          <w:sz w:val="24"/>
          <w:szCs w:val="24"/>
          <w14:ligatures w14:val="none"/>
        </w:rPr>
        <w:t>sale</w:t>
      </w:r>
      <w:r w:rsidR="00543806" w:rsidRPr="00E80438">
        <w:rPr>
          <w:rFonts w:ascii="Times New Roman" w:eastAsia="Times New Roman" w:hAnsi="Times New Roman" w:cs="Times New Roman"/>
          <w:kern w:val="0"/>
          <w:sz w:val="24"/>
          <w:szCs w:val="24"/>
          <w14:ligatures w14:val="none"/>
        </w:rPr>
        <w:t xml:space="preserve">s.  </w:t>
      </w:r>
    </w:p>
    <w:p w14:paraId="2B0384FF" w14:textId="43D9950F" w:rsidR="00543806" w:rsidRPr="00E80438" w:rsidRDefault="00543806" w:rsidP="00543806">
      <w:pPr>
        <w:shd w:val="clear" w:color="auto" w:fill="FFFFFF"/>
        <w:spacing w:after="0" w:line="360" w:lineRule="auto"/>
        <w:ind w:firstLine="720"/>
        <w:rPr>
          <w:rFonts w:ascii="Times New Roman" w:eastAsia="Times New Roman" w:hAnsi="Times New Roman" w:cs="Times New Roman"/>
          <w:kern w:val="0"/>
          <w:sz w:val="24"/>
          <w:szCs w:val="24"/>
          <w14:ligatures w14:val="none"/>
        </w:rPr>
      </w:pPr>
      <w:r w:rsidRPr="00E80438">
        <w:rPr>
          <w:rFonts w:ascii="Times New Roman" w:eastAsia="Times New Roman" w:hAnsi="Times New Roman" w:cs="Times New Roman"/>
          <w:kern w:val="0"/>
          <w:sz w:val="24"/>
          <w:szCs w:val="24"/>
          <w14:ligatures w14:val="none"/>
        </w:rPr>
        <w:t xml:space="preserve">Lueck and Michael estimate that the observed </w:t>
      </w:r>
      <w:r w:rsidR="00DF1002">
        <w:rPr>
          <w:rFonts w:ascii="Times New Roman" w:eastAsia="Times New Roman" w:hAnsi="Times New Roman" w:cs="Times New Roman"/>
          <w:kern w:val="0"/>
          <w:sz w:val="24"/>
          <w:szCs w:val="24"/>
          <w14:ligatures w14:val="none"/>
        </w:rPr>
        <w:t xml:space="preserve">private </w:t>
      </w:r>
      <w:r w:rsidRPr="00E80438">
        <w:rPr>
          <w:rFonts w:ascii="Times New Roman" w:eastAsia="Times New Roman" w:hAnsi="Times New Roman" w:cs="Times New Roman"/>
          <w:kern w:val="0"/>
          <w:sz w:val="24"/>
          <w:szCs w:val="24"/>
          <w14:ligatures w14:val="none"/>
        </w:rPr>
        <w:t>reduction in habitat led to the potential loss of between 21 and 67 red cockaded nesting colonies, close to the estimated 84 private</w:t>
      </w:r>
      <w:r w:rsidR="00B53DF7">
        <w:rPr>
          <w:rFonts w:ascii="Times New Roman" w:eastAsia="Times New Roman" w:hAnsi="Times New Roman" w:cs="Times New Roman"/>
          <w:kern w:val="0"/>
          <w:sz w:val="24"/>
          <w:szCs w:val="24"/>
          <w14:ligatures w14:val="none"/>
        </w:rPr>
        <w:t xml:space="preserve"> </w:t>
      </w:r>
      <w:r w:rsidRPr="00E80438">
        <w:rPr>
          <w:rFonts w:ascii="Times New Roman" w:eastAsia="Times New Roman" w:hAnsi="Times New Roman" w:cs="Times New Roman"/>
          <w:kern w:val="0"/>
          <w:sz w:val="24"/>
          <w:szCs w:val="24"/>
          <w14:ligatures w14:val="none"/>
        </w:rPr>
        <w:t xml:space="preserve">land colonies already protected by the ESA. Zhang (2004, 160) found that </w:t>
      </w:r>
      <w:r w:rsidR="00A25C73">
        <w:rPr>
          <w:rFonts w:ascii="Times New Roman" w:eastAsia="Times New Roman" w:hAnsi="Times New Roman" w:cs="Times New Roman"/>
          <w:kern w:val="0"/>
          <w:sz w:val="24"/>
          <w:szCs w:val="24"/>
          <w14:ligatures w14:val="none"/>
        </w:rPr>
        <w:t xml:space="preserve">the ESA </w:t>
      </w:r>
      <w:r w:rsidRPr="00E80438">
        <w:rPr>
          <w:rFonts w:ascii="Times New Roman" w:eastAsia="Times New Roman" w:hAnsi="Times New Roman" w:cs="Times New Roman"/>
          <w:kern w:val="0"/>
          <w:sz w:val="24"/>
          <w:szCs w:val="24"/>
          <w14:ligatures w14:val="none"/>
        </w:rPr>
        <w:t xml:space="preserve">made </w:t>
      </w:r>
      <w:r w:rsidRPr="00E80438">
        <w:rPr>
          <w:rFonts w:ascii="Times New Roman" w:eastAsia="Times New Roman" w:hAnsi="Times New Roman" w:cs="Times New Roman"/>
          <w:kern w:val="0"/>
          <w:sz w:val="24"/>
          <w:szCs w:val="24"/>
          <w14:ligatures w14:val="none"/>
        </w:rPr>
        <w:lastRenderedPageBreak/>
        <w:t>landowner</w:t>
      </w:r>
      <w:r w:rsidR="00A25C73">
        <w:rPr>
          <w:rFonts w:ascii="Times New Roman" w:eastAsia="Times New Roman" w:hAnsi="Times New Roman" w:cs="Times New Roman"/>
          <w:kern w:val="0"/>
          <w:sz w:val="24"/>
          <w:szCs w:val="24"/>
          <w14:ligatures w14:val="none"/>
        </w:rPr>
        <w:t xml:space="preserve">s </w:t>
      </w:r>
      <w:r w:rsidRPr="00E80438">
        <w:rPr>
          <w:rFonts w:ascii="Times New Roman" w:eastAsia="Times New Roman" w:hAnsi="Times New Roman" w:cs="Times New Roman"/>
          <w:kern w:val="0"/>
          <w:sz w:val="24"/>
          <w:szCs w:val="24"/>
          <w14:ligatures w14:val="none"/>
        </w:rPr>
        <w:t xml:space="preserve">25% more likely to harvest forest if </w:t>
      </w:r>
      <w:r w:rsidR="008C0EAE">
        <w:rPr>
          <w:rFonts w:ascii="Times New Roman" w:eastAsia="Times New Roman" w:hAnsi="Times New Roman" w:cs="Times New Roman"/>
          <w:kern w:val="0"/>
          <w:sz w:val="24"/>
          <w:szCs w:val="24"/>
          <w14:ligatures w14:val="none"/>
        </w:rPr>
        <w:t xml:space="preserve">endangered </w:t>
      </w:r>
      <w:r w:rsidRPr="00E80438">
        <w:rPr>
          <w:rFonts w:ascii="Times New Roman" w:eastAsia="Times New Roman" w:hAnsi="Times New Roman" w:cs="Times New Roman"/>
          <w:kern w:val="0"/>
          <w:sz w:val="24"/>
          <w:szCs w:val="24"/>
          <w14:ligatures w14:val="none"/>
        </w:rPr>
        <w:t>red cockaded woodpeckers nested within a mile of the</w:t>
      </w:r>
      <w:r w:rsidR="008C0EAE">
        <w:rPr>
          <w:rFonts w:ascii="Times New Roman" w:eastAsia="Times New Roman" w:hAnsi="Times New Roman" w:cs="Times New Roman"/>
          <w:kern w:val="0"/>
          <w:sz w:val="24"/>
          <w:szCs w:val="24"/>
          <w14:ligatures w14:val="none"/>
        </w:rPr>
        <w:t>ir</w:t>
      </w:r>
      <w:r w:rsidRPr="00E80438">
        <w:rPr>
          <w:rFonts w:ascii="Times New Roman" w:eastAsia="Times New Roman" w:hAnsi="Times New Roman" w:cs="Times New Roman"/>
          <w:kern w:val="0"/>
          <w:sz w:val="24"/>
          <w:szCs w:val="24"/>
          <w14:ligatures w14:val="none"/>
        </w:rPr>
        <w:t xml:space="preserve"> propert</w:t>
      </w:r>
      <w:r w:rsidR="00A25C73">
        <w:rPr>
          <w:rFonts w:ascii="Times New Roman" w:eastAsia="Times New Roman" w:hAnsi="Times New Roman" w:cs="Times New Roman"/>
          <w:kern w:val="0"/>
          <w:sz w:val="24"/>
          <w:szCs w:val="24"/>
          <w14:ligatures w14:val="none"/>
        </w:rPr>
        <w:t>ies</w:t>
      </w:r>
      <w:r w:rsidRPr="00E80438">
        <w:rPr>
          <w:rFonts w:ascii="Times New Roman" w:eastAsia="Times New Roman" w:hAnsi="Times New Roman" w:cs="Times New Roman"/>
          <w:kern w:val="0"/>
          <w:sz w:val="24"/>
          <w:szCs w:val="24"/>
          <w14:ligatures w14:val="none"/>
        </w:rPr>
        <w:t>.</w:t>
      </w:r>
      <w:r w:rsidR="003D2C03">
        <w:rPr>
          <w:rStyle w:val="FootnoteReference"/>
          <w:rFonts w:ascii="Times New Roman" w:eastAsia="Times New Roman" w:hAnsi="Times New Roman" w:cs="Times New Roman"/>
          <w:kern w:val="0"/>
          <w:sz w:val="24"/>
          <w:szCs w:val="24"/>
          <w14:ligatures w14:val="none"/>
        </w:rPr>
        <w:footnoteReference w:id="92"/>
      </w:r>
      <w:r w:rsidRPr="00E80438">
        <w:rPr>
          <w:rFonts w:ascii="Times New Roman" w:eastAsia="Times New Roman" w:hAnsi="Times New Roman" w:cs="Times New Roman"/>
          <w:kern w:val="0"/>
          <w:sz w:val="24"/>
          <w:szCs w:val="24"/>
          <w14:ligatures w14:val="none"/>
        </w:rPr>
        <w:t xml:space="preserve"> </w:t>
      </w:r>
    </w:p>
    <w:p w14:paraId="0A2CF1AF" w14:textId="6B10EE56" w:rsidR="00114A72" w:rsidRPr="00E80438" w:rsidRDefault="00543806" w:rsidP="008C0EAE">
      <w:pPr>
        <w:shd w:val="clear" w:color="auto" w:fill="FFFFFF"/>
        <w:spacing w:after="0" w:line="360" w:lineRule="auto"/>
        <w:ind w:firstLine="720"/>
        <w:rPr>
          <w:rFonts w:ascii="Times New Roman" w:hAnsi="Times New Roman" w:cs="Times New Roman"/>
          <w:sz w:val="24"/>
          <w:szCs w:val="24"/>
        </w:rPr>
      </w:pPr>
      <w:r w:rsidRPr="006267C7">
        <w:rPr>
          <w:rFonts w:ascii="Times New Roman" w:hAnsi="Times New Roman" w:cs="Times New Roman"/>
          <w:b/>
          <w:bCs/>
          <w:sz w:val="24"/>
          <w:szCs w:val="24"/>
        </w:rPr>
        <w:t xml:space="preserve"> </w:t>
      </w:r>
      <w:r w:rsidR="005D0060">
        <w:rPr>
          <w:rFonts w:ascii="Times New Roman" w:hAnsi="Times New Roman" w:cs="Times New Roman"/>
          <w:sz w:val="24"/>
          <w:szCs w:val="24"/>
        </w:rPr>
        <w:t>R</w:t>
      </w:r>
      <w:r w:rsidR="008C0EAE">
        <w:rPr>
          <w:rFonts w:ascii="Times New Roman" w:eastAsia="Times New Roman" w:hAnsi="Times New Roman" w:cs="Times New Roman"/>
          <w:kern w:val="0"/>
          <w:sz w:val="24"/>
          <w:szCs w:val="24"/>
          <w14:ligatures w14:val="none"/>
        </w:rPr>
        <w:t>ent seeking under the ESA allows advocates</w:t>
      </w:r>
      <w:r w:rsidR="00B53DF7">
        <w:rPr>
          <w:rFonts w:ascii="Times New Roman" w:eastAsia="Times New Roman" w:hAnsi="Times New Roman" w:cs="Times New Roman"/>
          <w:kern w:val="0"/>
          <w:sz w:val="24"/>
          <w:szCs w:val="24"/>
          <w14:ligatures w14:val="none"/>
        </w:rPr>
        <w:t xml:space="preserve"> as </w:t>
      </w:r>
      <w:r w:rsidR="00EC56EE">
        <w:rPr>
          <w:rFonts w:ascii="Times New Roman" w:eastAsia="Times New Roman" w:hAnsi="Times New Roman" w:cs="Times New Roman"/>
          <w:kern w:val="0"/>
          <w:sz w:val="24"/>
          <w:szCs w:val="24"/>
          <w14:ligatures w14:val="none"/>
        </w:rPr>
        <w:t>nonland owners</w:t>
      </w:r>
      <w:r w:rsidR="008C0EAE">
        <w:rPr>
          <w:rFonts w:ascii="Times New Roman" w:eastAsia="Times New Roman" w:hAnsi="Times New Roman" w:cs="Times New Roman"/>
          <w:kern w:val="0"/>
          <w:sz w:val="24"/>
          <w:szCs w:val="24"/>
          <w14:ligatures w14:val="none"/>
        </w:rPr>
        <w:t xml:space="preserve"> to achieve desired policy goals with</w:t>
      </w:r>
      <w:r w:rsidR="00EC56EE">
        <w:rPr>
          <w:rFonts w:ascii="Times New Roman" w:eastAsia="Times New Roman" w:hAnsi="Times New Roman" w:cs="Times New Roman"/>
          <w:kern w:val="0"/>
          <w:sz w:val="24"/>
          <w:szCs w:val="24"/>
          <w14:ligatures w14:val="none"/>
        </w:rPr>
        <w:t xml:space="preserve"> relatively limited </w:t>
      </w:r>
      <w:r w:rsidR="008C0EAE" w:rsidRPr="00E80438">
        <w:rPr>
          <w:rFonts w:ascii="Times New Roman" w:eastAsia="Times New Roman" w:hAnsi="Times New Roman" w:cs="Times New Roman"/>
          <w:kern w:val="0"/>
          <w:sz w:val="24"/>
          <w:szCs w:val="24"/>
          <w14:ligatures w14:val="none"/>
        </w:rPr>
        <w:t xml:space="preserve">financial consequences. </w:t>
      </w:r>
      <w:r w:rsidR="007A54C8">
        <w:rPr>
          <w:rFonts w:ascii="Times New Roman" w:eastAsia="Times New Roman" w:hAnsi="Times New Roman" w:cs="Times New Roman"/>
          <w:kern w:val="0"/>
          <w:sz w:val="24"/>
          <w:szCs w:val="24"/>
          <w14:ligatures w14:val="none"/>
        </w:rPr>
        <w:t>As suggested earlier, t</w:t>
      </w:r>
      <w:r w:rsidR="008C0EAE" w:rsidRPr="00E80438">
        <w:rPr>
          <w:rFonts w:ascii="Times New Roman" w:eastAsia="Times New Roman" w:hAnsi="Times New Roman" w:cs="Times New Roman"/>
          <w:kern w:val="0"/>
          <w:sz w:val="24"/>
          <w:szCs w:val="24"/>
          <w14:ligatures w14:val="none"/>
        </w:rPr>
        <w:t xml:space="preserve">hey </w:t>
      </w:r>
      <w:r w:rsidR="008C0EAE">
        <w:rPr>
          <w:rFonts w:ascii="Times New Roman" w:eastAsia="Times New Roman" w:hAnsi="Times New Roman" w:cs="Times New Roman"/>
          <w:kern w:val="0"/>
          <w:sz w:val="24"/>
          <w:szCs w:val="24"/>
          <w14:ligatures w14:val="none"/>
        </w:rPr>
        <w:t xml:space="preserve">can </w:t>
      </w:r>
      <w:r w:rsidR="008C0EAE" w:rsidRPr="00E80438">
        <w:rPr>
          <w:rFonts w:ascii="Times New Roman" w:eastAsia="Times New Roman" w:hAnsi="Times New Roman" w:cs="Times New Roman"/>
          <w:kern w:val="0"/>
          <w:sz w:val="24"/>
          <w:szCs w:val="24"/>
          <w14:ligatures w14:val="none"/>
        </w:rPr>
        <w:t xml:space="preserve">lead policy to save species, with costs primarily those of organizing, lobbying, political donations, and litigation to ensure regulatory agency compliance. </w:t>
      </w:r>
      <w:r w:rsidR="008C0EAE">
        <w:rPr>
          <w:rFonts w:ascii="Times New Roman" w:eastAsia="Times New Roman" w:hAnsi="Times New Roman" w:cs="Times New Roman"/>
          <w:kern w:val="0"/>
          <w:sz w:val="24"/>
          <w:szCs w:val="24"/>
          <w14:ligatures w14:val="none"/>
        </w:rPr>
        <w:t>Landowners</w:t>
      </w:r>
      <w:r w:rsidR="00EC56EE">
        <w:rPr>
          <w:rFonts w:ascii="Times New Roman" w:eastAsia="Times New Roman" w:hAnsi="Times New Roman" w:cs="Times New Roman"/>
          <w:kern w:val="0"/>
          <w:sz w:val="24"/>
          <w:szCs w:val="24"/>
          <w14:ligatures w14:val="none"/>
        </w:rPr>
        <w:t>, however,</w:t>
      </w:r>
      <w:r w:rsidR="008C0EAE">
        <w:rPr>
          <w:rFonts w:ascii="Times New Roman" w:eastAsia="Times New Roman" w:hAnsi="Times New Roman" w:cs="Times New Roman"/>
          <w:kern w:val="0"/>
          <w:sz w:val="24"/>
          <w:szCs w:val="24"/>
          <w14:ligatures w14:val="none"/>
        </w:rPr>
        <w:t xml:space="preserve"> bear direct costs</w:t>
      </w:r>
      <w:r w:rsidR="00DF1002">
        <w:rPr>
          <w:rFonts w:ascii="Times New Roman" w:eastAsia="Times New Roman" w:hAnsi="Times New Roman" w:cs="Times New Roman"/>
          <w:kern w:val="0"/>
          <w:sz w:val="24"/>
          <w:szCs w:val="24"/>
          <w14:ligatures w14:val="none"/>
        </w:rPr>
        <w:t>.  B</w:t>
      </w:r>
      <w:r w:rsidR="008C0EAE">
        <w:rPr>
          <w:rFonts w:ascii="Times New Roman" w:eastAsia="Times New Roman" w:hAnsi="Times New Roman" w:cs="Times New Roman"/>
          <w:kern w:val="0"/>
          <w:sz w:val="24"/>
          <w:szCs w:val="24"/>
          <w14:ligatures w14:val="none"/>
        </w:rPr>
        <w:t xml:space="preserve">roader ESA costs and benefits </w:t>
      </w:r>
      <w:r w:rsidR="00EC56EE">
        <w:rPr>
          <w:rFonts w:ascii="Times New Roman" w:eastAsia="Times New Roman" w:hAnsi="Times New Roman" w:cs="Times New Roman"/>
          <w:kern w:val="0"/>
          <w:sz w:val="24"/>
          <w:szCs w:val="24"/>
          <w14:ligatures w14:val="none"/>
        </w:rPr>
        <w:t xml:space="preserve">generally </w:t>
      </w:r>
      <w:r w:rsidR="008C0EAE">
        <w:rPr>
          <w:rFonts w:ascii="Times New Roman" w:eastAsia="Times New Roman" w:hAnsi="Times New Roman" w:cs="Times New Roman"/>
          <w:kern w:val="0"/>
          <w:sz w:val="24"/>
          <w:szCs w:val="24"/>
          <w14:ligatures w14:val="none"/>
        </w:rPr>
        <w:t>are not advertised to voters.</w:t>
      </w:r>
      <w:r w:rsidR="00114A72" w:rsidRPr="00E80438">
        <w:t xml:space="preserve"> </w:t>
      </w:r>
      <w:r w:rsidR="00114A72" w:rsidRPr="00E80438">
        <w:rPr>
          <w:rFonts w:ascii="Times New Roman" w:hAnsi="Times New Roman" w:cs="Times New Roman"/>
          <w:sz w:val="24"/>
          <w:szCs w:val="24"/>
        </w:rPr>
        <w:t xml:space="preserve">Indeed, as argued by Wyman (2008, 510) direct compensatory payment to landholders would have made the costs of the ESA </w:t>
      </w:r>
      <w:r w:rsidR="00DF1002">
        <w:rPr>
          <w:rFonts w:ascii="Times New Roman" w:hAnsi="Times New Roman" w:cs="Times New Roman"/>
          <w:sz w:val="24"/>
          <w:szCs w:val="24"/>
        </w:rPr>
        <w:t xml:space="preserve">larger and </w:t>
      </w:r>
      <w:r w:rsidR="00114A72" w:rsidRPr="00E80438">
        <w:rPr>
          <w:rFonts w:ascii="Times New Roman" w:hAnsi="Times New Roman" w:cs="Times New Roman"/>
          <w:sz w:val="24"/>
          <w:szCs w:val="24"/>
        </w:rPr>
        <w:t xml:space="preserve">far more observable.  Moreover, because costs would have </w:t>
      </w:r>
      <w:r w:rsidR="008C0EAE">
        <w:rPr>
          <w:rFonts w:ascii="Times New Roman" w:hAnsi="Times New Roman" w:cs="Times New Roman"/>
          <w:sz w:val="24"/>
          <w:szCs w:val="24"/>
        </w:rPr>
        <w:t xml:space="preserve">to be </w:t>
      </w:r>
      <w:r w:rsidR="00114A72" w:rsidRPr="00E80438">
        <w:rPr>
          <w:rFonts w:ascii="Times New Roman" w:hAnsi="Times New Roman" w:cs="Times New Roman"/>
          <w:sz w:val="24"/>
          <w:szCs w:val="24"/>
        </w:rPr>
        <w:t>weighed across alternatives, focus might have been more on species where recovery was feasible and not on all at</w:t>
      </w:r>
      <w:r w:rsidR="00B53DF7">
        <w:rPr>
          <w:rFonts w:ascii="Times New Roman" w:hAnsi="Times New Roman" w:cs="Times New Roman"/>
          <w:sz w:val="24"/>
          <w:szCs w:val="24"/>
        </w:rPr>
        <w:t xml:space="preserve"> </w:t>
      </w:r>
      <w:r w:rsidR="00114A72" w:rsidRPr="00E80438">
        <w:rPr>
          <w:rFonts w:ascii="Times New Roman" w:hAnsi="Times New Roman" w:cs="Times New Roman"/>
          <w:sz w:val="24"/>
          <w:szCs w:val="24"/>
        </w:rPr>
        <w:t>risk species as desired by conservation advocates.</w:t>
      </w:r>
      <w:r w:rsidR="00114A72" w:rsidRPr="00E80438">
        <w:rPr>
          <w:rFonts w:ascii="Times New Roman" w:hAnsi="Times New Roman" w:cs="Times New Roman"/>
          <w:sz w:val="24"/>
          <w:szCs w:val="24"/>
          <w:vertAlign w:val="superscript"/>
        </w:rPr>
        <w:footnoteReference w:id="93"/>
      </w:r>
      <w:r w:rsidR="00114A72" w:rsidRPr="00E80438">
        <w:rPr>
          <w:rFonts w:ascii="Times New Roman" w:hAnsi="Times New Roman" w:cs="Times New Roman"/>
          <w:color w:val="333333"/>
          <w:sz w:val="24"/>
          <w:szCs w:val="24"/>
        </w:rPr>
        <w:t xml:space="preserve"> </w:t>
      </w:r>
    </w:p>
    <w:p w14:paraId="00991EE1" w14:textId="686AF6DD" w:rsidR="003072F8" w:rsidRDefault="00896D6A" w:rsidP="00896D6A">
      <w:pPr>
        <w:shd w:val="clear" w:color="auto" w:fill="FFFFFF"/>
        <w:spacing w:after="0" w:line="360" w:lineRule="auto"/>
        <w:ind w:firstLine="720"/>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 xml:space="preserve">What might have been a Coasean alternative? </w:t>
      </w:r>
      <w:r w:rsidR="00664BB9">
        <w:rPr>
          <w:rFonts w:ascii="Times New Roman" w:eastAsia="Times New Roman" w:hAnsi="Times New Roman" w:cs="Times New Roman"/>
          <w:kern w:val="0"/>
          <w:sz w:val="24"/>
          <w:szCs w:val="24"/>
          <w14:ligatures w14:val="none"/>
        </w:rPr>
        <w:t xml:space="preserve">It would have been the purchase of habitat or payments from advocates to landowners to adjust potentially damaging land use practices. </w:t>
      </w:r>
      <w:r w:rsidR="00997980" w:rsidRPr="00E80438">
        <w:rPr>
          <w:rFonts w:ascii="Times New Roman" w:hAnsi="Times New Roman" w:cs="Times New Roman"/>
          <w:sz w:val="24"/>
          <w:szCs w:val="24"/>
        </w:rPr>
        <w:t>Although Ronald Coase did not address extinction, it certainly fit within the range of externalities of concern to him.  If private parties acted in ways that threatened the existence of some species, not weighing those costs would result in excessive land</w:t>
      </w:r>
      <w:r w:rsidR="008A387F">
        <w:rPr>
          <w:rFonts w:ascii="Times New Roman" w:hAnsi="Times New Roman" w:cs="Times New Roman"/>
          <w:sz w:val="24"/>
          <w:szCs w:val="24"/>
        </w:rPr>
        <w:t xml:space="preserve"> </w:t>
      </w:r>
      <w:r w:rsidR="00997980" w:rsidRPr="00E80438">
        <w:rPr>
          <w:rFonts w:ascii="Times New Roman" w:hAnsi="Times New Roman" w:cs="Times New Roman"/>
          <w:sz w:val="24"/>
          <w:szCs w:val="24"/>
        </w:rPr>
        <w:t>use</w:t>
      </w:r>
      <w:r w:rsidR="008A387F">
        <w:rPr>
          <w:rFonts w:ascii="Times New Roman" w:hAnsi="Times New Roman" w:cs="Times New Roman"/>
          <w:sz w:val="24"/>
          <w:szCs w:val="24"/>
        </w:rPr>
        <w:t>.</w:t>
      </w:r>
      <w:r w:rsidR="00997980" w:rsidRPr="00E80438">
        <w:rPr>
          <w:rFonts w:ascii="Times New Roman" w:hAnsi="Times New Roman" w:cs="Times New Roman"/>
          <w:sz w:val="24"/>
          <w:szCs w:val="24"/>
        </w:rPr>
        <w:t xml:space="preserve"> In such cases, those with economic property rights </w:t>
      </w:r>
      <w:r>
        <w:rPr>
          <w:rFonts w:ascii="Times New Roman" w:hAnsi="Times New Roman" w:cs="Times New Roman"/>
          <w:sz w:val="24"/>
          <w:szCs w:val="24"/>
        </w:rPr>
        <w:t>w</w:t>
      </w:r>
      <w:r w:rsidR="00997980" w:rsidRPr="00E80438">
        <w:rPr>
          <w:rFonts w:ascii="Times New Roman" w:hAnsi="Times New Roman" w:cs="Times New Roman"/>
          <w:sz w:val="24"/>
          <w:szCs w:val="24"/>
        </w:rPr>
        <w:t>ould bear opportunity costs in failing to capitalize on the rising value of critical plants, birds, and animals, as well as disregarding the impact of their land uses that w</w:t>
      </w:r>
      <w:r w:rsidR="00914F18">
        <w:rPr>
          <w:rFonts w:ascii="Times New Roman" w:hAnsi="Times New Roman" w:cs="Times New Roman"/>
          <w:sz w:val="24"/>
          <w:szCs w:val="24"/>
        </w:rPr>
        <w:t>ere</w:t>
      </w:r>
      <w:r w:rsidR="00997980" w:rsidRPr="00E80438">
        <w:rPr>
          <w:rFonts w:ascii="Times New Roman" w:hAnsi="Times New Roman" w:cs="Times New Roman"/>
          <w:sz w:val="24"/>
          <w:szCs w:val="24"/>
        </w:rPr>
        <w:t xml:space="preserve"> of concern to others</w:t>
      </w:r>
      <w:r w:rsidR="006B6AE8">
        <w:rPr>
          <w:rFonts w:ascii="Times New Roman" w:hAnsi="Times New Roman" w:cs="Times New Roman"/>
          <w:sz w:val="24"/>
          <w:szCs w:val="24"/>
        </w:rPr>
        <w:t>,</w:t>
      </w:r>
      <w:r>
        <w:rPr>
          <w:rFonts w:ascii="Times New Roman" w:hAnsi="Times New Roman" w:cs="Times New Roman"/>
          <w:sz w:val="24"/>
          <w:szCs w:val="24"/>
        </w:rPr>
        <w:t xml:space="preserve"> who would be willing to pay them to adjust their practices</w:t>
      </w:r>
      <w:r w:rsidR="00997980" w:rsidRPr="00E80438">
        <w:rPr>
          <w:rFonts w:ascii="Times New Roman" w:hAnsi="Times New Roman" w:cs="Times New Roman"/>
          <w:sz w:val="24"/>
          <w:szCs w:val="24"/>
        </w:rPr>
        <w:t xml:space="preserve">. </w:t>
      </w:r>
    </w:p>
    <w:p w14:paraId="3E0D48EC" w14:textId="4D15BF45" w:rsidR="006B6AE8" w:rsidRPr="00E80438" w:rsidRDefault="008C0EAE" w:rsidP="006B6AE8">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w:t>
      </w:r>
      <w:r w:rsidR="00896D6A">
        <w:rPr>
          <w:rFonts w:ascii="Times New Roman" w:hAnsi="Times New Roman" w:cs="Times New Roman"/>
          <w:sz w:val="24"/>
          <w:szCs w:val="24"/>
        </w:rPr>
        <w:t xml:space="preserve">1973 </w:t>
      </w:r>
      <w:r>
        <w:rPr>
          <w:rFonts w:ascii="Times New Roman" w:hAnsi="Times New Roman" w:cs="Times New Roman"/>
          <w:sz w:val="24"/>
          <w:szCs w:val="24"/>
        </w:rPr>
        <w:t xml:space="preserve">when </w:t>
      </w:r>
      <w:r w:rsidR="00896D6A">
        <w:rPr>
          <w:rFonts w:ascii="Times New Roman" w:hAnsi="Times New Roman" w:cs="Times New Roman"/>
          <w:sz w:val="24"/>
          <w:szCs w:val="24"/>
        </w:rPr>
        <w:t>the ESA</w:t>
      </w:r>
      <w:r>
        <w:rPr>
          <w:rFonts w:ascii="Times New Roman" w:hAnsi="Times New Roman" w:cs="Times New Roman"/>
          <w:sz w:val="24"/>
          <w:szCs w:val="24"/>
        </w:rPr>
        <w:t xml:space="preserve"> was enacted</w:t>
      </w:r>
      <w:r w:rsidR="00896D6A">
        <w:rPr>
          <w:rFonts w:ascii="Times New Roman" w:hAnsi="Times New Roman" w:cs="Times New Roman"/>
          <w:sz w:val="24"/>
          <w:szCs w:val="24"/>
        </w:rPr>
        <w:t xml:space="preserve">, there </w:t>
      </w:r>
      <w:r w:rsidR="00997980" w:rsidRPr="00E80438">
        <w:rPr>
          <w:rFonts w:ascii="Times New Roman" w:hAnsi="Times New Roman" w:cs="Times New Roman"/>
          <w:sz w:val="24"/>
          <w:szCs w:val="24"/>
        </w:rPr>
        <w:t xml:space="preserve">was potential </w:t>
      </w:r>
      <w:r w:rsidR="006B6AE8">
        <w:rPr>
          <w:rFonts w:ascii="Times New Roman" w:hAnsi="Times New Roman" w:cs="Times New Roman"/>
          <w:sz w:val="24"/>
          <w:szCs w:val="24"/>
        </w:rPr>
        <w:t>and precedent f</w:t>
      </w:r>
      <w:r w:rsidR="00997980" w:rsidRPr="00E80438">
        <w:rPr>
          <w:rFonts w:ascii="Times New Roman" w:hAnsi="Times New Roman" w:cs="Times New Roman"/>
          <w:sz w:val="24"/>
          <w:szCs w:val="24"/>
        </w:rPr>
        <w:t>or Coasean exchange.</w:t>
      </w:r>
      <w:r w:rsidR="00896D6A">
        <w:rPr>
          <w:rFonts w:ascii="Times New Roman" w:hAnsi="Times New Roman" w:cs="Times New Roman"/>
          <w:sz w:val="24"/>
          <w:szCs w:val="24"/>
        </w:rPr>
        <w:t xml:space="preserve"> </w:t>
      </w:r>
      <w:r w:rsidR="006B6AE8">
        <w:rPr>
          <w:rFonts w:ascii="Times New Roman" w:hAnsi="Times New Roman" w:cs="Times New Roman"/>
          <w:sz w:val="24"/>
          <w:szCs w:val="24"/>
        </w:rPr>
        <w:t xml:space="preserve">ESA </w:t>
      </w:r>
      <w:r w:rsidR="006B6AE8" w:rsidRPr="00E80438">
        <w:rPr>
          <w:rFonts w:ascii="Times New Roman" w:hAnsi="Times New Roman" w:cs="Times New Roman"/>
          <w:sz w:val="24"/>
          <w:szCs w:val="24"/>
        </w:rPr>
        <w:t xml:space="preserve">precursors, the Endangered Species Preservation Act of 1966 (Pub. L. No. 89-669, 80 Stat 926) and the Endangered Species Conservation Act of 1969 (Pub. L. No. 91-135, 83 Stat. 275) </w:t>
      </w:r>
      <w:r w:rsidR="00DF1002">
        <w:rPr>
          <w:rFonts w:ascii="Times New Roman" w:hAnsi="Times New Roman" w:cs="Times New Roman"/>
          <w:sz w:val="24"/>
          <w:szCs w:val="24"/>
        </w:rPr>
        <w:t xml:space="preserve">called for </w:t>
      </w:r>
      <w:r w:rsidR="006B6AE8" w:rsidRPr="00E80438">
        <w:rPr>
          <w:rFonts w:ascii="Times New Roman" w:hAnsi="Times New Roman" w:cs="Times New Roman"/>
          <w:sz w:val="24"/>
          <w:szCs w:val="24"/>
        </w:rPr>
        <w:t>acquisition of land as habitat by expanding the National Wildlife Refuge System.  The 1969 law also authorized the Secretary of the Interior to develop a list of species or subspecies of animals that were threatened with extinction. This list could have been a basis for identifying key habitats for purchase</w:t>
      </w:r>
      <w:r w:rsidR="006B6AE8">
        <w:rPr>
          <w:rFonts w:ascii="Times New Roman" w:hAnsi="Times New Roman" w:cs="Times New Roman"/>
          <w:sz w:val="24"/>
          <w:szCs w:val="24"/>
        </w:rPr>
        <w:t>. T</w:t>
      </w:r>
      <w:r w:rsidR="006B6AE8" w:rsidRPr="00E80438">
        <w:rPr>
          <w:rFonts w:ascii="Times New Roman" w:hAnsi="Times New Roman" w:cs="Times New Roman"/>
          <w:sz w:val="24"/>
          <w:szCs w:val="24"/>
        </w:rPr>
        <w:t xml:space="preserve">he widespread use of easements and land trusts for voluntary, compensated conservation </w:t>
      </w:r>
      <w:r w:rsidR="006B6AE8">
        <w:rPr>
          <w:rFonts w:ascii="Times New Roman" w:hAnsi="Times New Roman" w:cs="Times New Roman"/>
          <w:sz w:val="24"/>
          <w:szCs w:val="24"/>
        </w:rPr>
        <w:t xml:space="preserve">also </w:t>
      </w:r>
      <w:r w:rsidR="006B6AE8" w:rsidRPr="00E80438">
        <w:rPr>
          <w:rFonts w:ascii="Times New Roman" w:hAnsi="Times New Roman" w:cs="Times New Roman"/>
          <w:sz w:val="24"/>
          <w:szCs w:val="24"/>
        </w:rPr>
        <w:t>was a roadmap (Farmer, et al 2011).</w:t>
      </w:r>
      <w:r w:rsidR="006B6AE8" w:rsidRPr="00E80438">
        <w:rPr>
          <w:rFonts w:ascii="Times New Roman" w:hAnsi="Times New Roman" w:cs="Times New Roman"/>
          <w:sz w:val="24"/>
          <w:szCs w:val="24"/>
          <w:vertAlign w:val="superscript"/>
        </w:rPr>
        <w:footnoteReference w:id="94"/>
      </w:r>
    </w:p>
    <w:p w14:paraId="0C24A076" w14:textId="2FFB266A" w:rsidR="006B6AE8" w:rsidRDefault="006B6AE8" w:rsidP="006B6AE8">
      <w:pPr>
        <w:spacing w:after="0" w:line="360" w:lineRule="auto"/>
        <w:ind w:firstLine="720"/>
        <w:rPr>
          <w:rFonts w:ascii="Times New Roman" w:hAnsi="Times New Roman" w:cs="Times New Roman"/>
          <w:sz w:val="24"/>
          <w:szCs w:val="24"/>
        </w:rPr>
      </w:pPr>
      <w:r w:rsidRPr="00E80438">
        <w:rPr>
          <w:rFonts w:ascii="Times New Roman" w:hAnsi="Times New Roman" w:cs="Times New Roman"/>
          <w:sz w:val="24"/>
          <w:szCs w:val="24"/>
        </w:rPr>
        <w:lastRenderedPageBreak/>
        <w:t xml:space="preserve">Moreover, private property rights to land existed for much of the country, where </w:t>
      </w:r>
      <w:r>
        <w:rPr>
          <w:rFonts w:ascii="Times New Roman" w:hAnsi="Times New Roman" w:cs="Times New Roman"/>
          <w:sz w:val="24"/>
          <w:szCs w:val="24"/>
        </w:rPr>
        <w:t xml:space="preserve">most </w:t>
      </w:r>
      <w:r w:rsidRPr="00E80438">
        <w:rPr>
          <w:rFonts w:ascii="Times New Roman" w:hAnsi="Times New Roman" w:cs="Times New Roman"/>
          <w:sz w:val="24"/>
          <w:szCs w:val="24"/>
        </w:rPr>
        <w:t xml:space="preserve">endangered species </w:t>
      </w:r>
      <w:r>
        <w:rPr>
          <w:rFonts w:ascii="Times New Roman" w:hAnsi="Times New Roman" w:cs="Times New Roman"/>
          <w:sz w:val="24"/>
          <w:szCs w:val="24"/>
        </w:rPr>
        <w:t xml:space="preserve">are </w:t>
      </w:r>
      <w:r w:rsidRPr="00E80438">
        <w:rPr>
          <w:rFonts w:ascii="Times New Roman" w:hAnsi="Times New Roman" w:cs="Times New Roman"/>
          <w:sz w:val="24"/>
          <w:szCs w:val="24"/>
        </w:rPr>
        <w:t>found</w:t>
      </w:r>
      <w:r>
        <w:rPr>
          <w:rFonts w:ascii="Times New Roman" w:hAnsi="Times New Roman" w:cs="Times New Roman"/>
          <w:sz w:val="24"/>
          <w:szCs w:val="24"/>
        </w:rPr>
        <w:t xml:space="preserve">. </w:t>
      </w:r>
      <w:r w:rsidRPr="00E80438">
        <w:rPr>
          <w:rFonts w:ascii="Times New Roman" w:hAnsi="Times New Roman" w:cs="Times New Roman"/>
          <w:sz w:val="24"/>
          <w:szCs w:val="24"/>
        </w:rPr>
        <w:t xml:space="preserve"> This setting meant that exchange could take place, avoiding the transaction costs and </w:t>
      </w:r>
      <w:r w:rsidR="007E6891">
        <w:rPr>
          <w:rFonts w:ascii="Times New Roman" w:hAnsi="Times New Roman" w:cs="Times New Roman"/>
          <w:sz w:val="24"/>
          <w:szCs w:val="24"/>
        </w:rPr>
        <w:t xml:space="preserve">rent seeking </w:t>
      </w:r>
      <w:r w:rsidRPr="00E80438">
        <w:rPr>
          <w:rFonts w:ascii="Times New Roman" w:hAnsi="Times New Roman" w:cs="Times New Roman"/>
          <w:sz w:val="24"/>
          <w:szCs w:val="24"/>
        </w:rPr>
        <w:t xml:space="preserve">objectives encountered with fisheries in the assignment of property rights.   </w:t>
      </w:r>
    </w:p>
    <w:p w14:paraId="023339F1" w14:textId="13A235B3" w:rsidR="006B6AE8" w:rsidRPr="00E80438" w:rsidRDefault="006B6AE8" w:rsidP="006B6AE8">
      <w:pPr>
        <w:spacing w:after="0" w:line="360" w:lineRule="auto"/>
        <w:ind w:firstLine="720"/>
        <w:rPr>
          <w:rFonts w:ascii="Times New Roman" w:hAnsi="Times New Roman" w:cs="Times New Roman"/>
          <w:sz w:val="24"/>
          <w:szCs w:val="24"/>
        </w:rPr>
      </w:pPr>
      <w:r w:rsidRPr="00E80438">
        <w:rPr>
          <w:rFonts w:ascii="Times New Roman" w:hAnsi="Times New Roman" w:cs="Times New Roman"/>
          <w:sz w:val="24"/>
          <w:szCs w:val="24"/>
        </w:rPr>
        <w:t>With a Coasean approach, conservation would be a joint effort, not a Pigouvian</w:t>
      </w:r>
      <w:r w:rsidR="00B53DF7">
        <w:rPr>
          <w:rFonts w:ascii="Times New Roman" w:hAnsi="Times New Roman" w:cs="Times New Roman"/>
          <w:sz w:val="24"/>
          <w:szCs w:val="24"/>
        </w:rPr>
        <w:t xml:space="preserve"> </w:t>
      </w:r>
      <w:r w:rsidRPr="00E80438">
        <w:rPr>
          <w:rFonts w:ascii="Times New Roman" w:hAnsi="Times New Roman" w:cs="Times New Roman"/>
          <w:sz w:val="24"/>
          <w:szCs w:val="24"/>
        </w:rPr>
        <w:t>style regulatory tax on one party. Both buyers and sellers would have a stake in the exchange and its outcome.  Endangered species could be assets and worthy of active protection efforts.  Such partnership could promote durable government or NGO funding as is required for long</w:t>
      </w:r>
      <w:r w:rsidR="00B53DF7">
        <w:rPr>
          <w:rFonts w:ascii="Times New Roman" w:hAnsi="Times New Roman" w:cs="Times New Roman"/>
          <w:sz w:val="24"/>
          <w:szCs w:val="24"/>
        </w:rPr>
        <w:t xml:space="preserve"> </w:t>
      </w:r>
      <w:r w:rsidRPr="00E80438">
        <w:rPr>
          <w:rFonts w:ascii="Times New Roman" w:hAnsi="Times New Roman" w:cs="Times New Roman"/>
          <w:sz w:val="24"/>
          <w:szCs w:val="24"/>
        </w:rPr>
        <w:t>term recovery.  Moreover, and perhaps even more fundamental, the requirement for trade would force both parties to confront opportunity costs.  Bargaining would balance marginal-willingness-to accept (value of foregone land uses or costs of other behavioral adjustments) and marginal-willingness-to pay (value of protecting species).  Marginal costs and benefits could be matched.</w:t>
      </w:r>
    </w:p>
    <w:p w14:paraId="02427A6B" w14:textId="106BA88B" w:rsidR="006B6AE8" w:rsidRPr="00E80438" w:rsidRDefault="006B6AE8" w:rsidP="006B6AE8">
      <w:pPr>
        <w:spacing w:after="0" w:line="360" w:lineRule="auto"/>
        <w:ind w:firstLine="720"/>
        <w:rPr>
          <w:rFonts w:ascii="Times New Roman" w:hAnsi="Times New Roman" w:cs="Times New Roman"/>
          <w:sz w:val="24"/>
          <w:szCs w:val="24"/>
        </w:rPr>
      </w:pPr>
      <w:r w:rsidRPr="00E80438">
        <w:rPr>
          <w:rFonts w:ascii="Times New Roman" w:hAnsi="Times New Roman" w:cs="Times New Roman"/>
          <w:sz w:val="24"/>
          <w:szCs w:val="24"/>
        </w:rPr>
        <w:t xml:space="preserve">Importantly for social and political cohesion as well as long-term collaboration, the two parties would </w:t>
      </w:r>
      <w:r w:rsidRPr="00E80438">
        <w:rPr>
          <w:rFonts w:ascii="Times New Roman" w:hAnsi="Times New Roman" w:cs="Times New Roman"/>
          <w:i/>
          <w:iCs/>
          <w:sz w:val="24"/>
          <w:szCs w:val="24"/>
        </w:rPr>
        <w:t>not</w:t>
      </w:r>
      <w:r w:rsidRPr="00E80438">
        <w:rPr>
          <w:rFonts w:ascii="Times New Roman" w:hAnsi="Times New Roman" w:cs="Times New Roman"/>
          <w:sz w:val="24"/>
          <w:szCs w:val="24"/>
        </w:rPr>
        <w:t xml:space="preserve"> have to have the same species or ecosystem values.  Conservation would not be primarily a question of ethics or morality.  Such concepts are very difficult to exchange or to adjust in resource</w:t>
      </w:r>
      <w:r w:rsidR="00B53DF7">
        <w:rPr>
          <w:rFonts w:ascii="Times New Roman" w:hAnsi="Times New Roman" w:cs="Times New Roman"/>
          <w:sz w:val="24"/>
          <w:szCs w:val="24"/>
        </w:rPr>
        <w:t xml:space="preserve"> </w:t>
      </w:r>
      <w:r w:rsidRPr="00E80438">
        <w:rPr>
          <w:rFonts w:ascii="Times New Roman" w:hAnsi="Times New Roman" w:cs="Times New Roman"/>
          <w:sz w:val="24"/>
          <w:szCs w:val="24"/>
        </w:rPr>
        <w:t xml:space="preserve">use decisions, and they can be very socially and politically contentious.  Even with recognition of value judgements in avoiding extinction, such judgements will vary. While some parties might be willing to bear serious costs, others might not. Coasean exchange would be most useful when there were differences in views.  Those differences would fuel trade.  </w:t>
      </w:r>
    </w:p>
    <w:p w14:paraId="6ABC7F51" w14:textId="0AD45E71" w:rsidR="00892FC7" w:rsidRDefault="006B6AE8" w:rsidP="005953AD">
      <w:pPr>
        <w:spacing w:after="0" w:line="360" w:lineRule="auto"/>
        <w:ind w:firstLine="720"/>
        <w:rPr>
          <w:rFonts w:ascii="Times New Roman" w:hAnsi="Times New Roman" w:cs="Times New Roman"/>
          <w:sz w:val="24"/>
          <w:szCs w:val="24"/>
        </w:rPr>
      </w:pPr>
      <w:r w:rsidRPr="00E80438">
        <w:rPr>
          <w:rFonts w:ascii="Times New Roman" w:hAnsi="Times New Roman" w:cs="Times New Roman"/>
          <w:sz w:val="24"/>
          <w:szCs w:val="24"/>
        </w:rPr>
        <w:t xml:space="preserve">A Coasean </w:t>
      </w:r>
      <w:r>
        <w:rPr>
          <w:rFonts w:ascii="Times New Roman" w:hAnsi="Times New Roman" w:cs="Times New Roman"/>
          <w:sz w:val="24"/>
          <w:szCs w:val="24"/>
        </w:rPr>
        <w:t xml:space="preserve">approach </w:t>
      </w:r>
      <w:r w:rsidRPr="00E80438">
        <w:rPr>
          <w:rFonts w:ascii="Times New Roman" w:hAnsi="Times New Roman" w:cs="Times New Roman"/>
          <w:sz w:val="24"/>
          <w:szCs w:val="24"/>
        </w:rPr>
        <w:t xml:space="preserve">was not taken. </w:t>
      </w:r>
      <w:r>
        <w:rPr>
          <w:rFonts w:ascii="Times New Roman" w:hAnsi="Times New Roman" w:cs="Times New Roman"/>
          <w:sz w:val="24"/>
          <w:szCs w:val="24"/>
        </w:rPr>
        <w:t xml:space="preserve">Rent-seeking via Pigouvian mandates with </w:t>
      </w:r>
      <w:r w:rsidR="00892FC7">
        <w:rPr>
          <w:rFonts w:ascii="Times New Roman" w:hAnsi="Times New Roman" w:cs="Times New Roman"/>
          <w:sz w:val="24"/>
          <w:szCs w:val="24"/>
        </w:rPr>
        <w:t xml:space="preserve">no </w:t>
      </w:r>
      <w:r>
        <w:rPr>
          <w:rFonts w:ascii="Times New Roman" w:hAnsi="Times New Roman" w:cs="Times New Roman"/>
          <w:sz w:val="24"/>
          <w:szCs w:val="24"/>
        </w:rPr>
        <w:t xml:space="preserve">compensation to land users dominated the law’s development and administration. </w:t>
      </w:r>
      <w:r w:rsidR="002B7A8B" w:rsidRPr="00E80438">
        <w:rPr>
          <w:rFonts w:ascii="Times New Roman" w:hAnsi="Times New Roman" w:cs="Times New Roman"/>
          <w:sz w:val="24"/>
          <w:szCs w:val="24"/>
        </w:rPr>
        <w:t xml:space="preserve">No senator and only four members of the House of Representatives voted against the </w:t>
      </w:r>
      <w:r w:rsidR="002B7A8B">
        <w:rPr>
          <w:rFonts w:ascii="Times New Roman" w:hAnsi="Times New Roman" w:cs="Times New Roman"/>
          <w:sz w:val="24"/>
          <w:szCs w:val="24"/>
        </w:rPr>
        <w:t>bill in 1973</w:t>
      </w:r>
      <w:r w:rsidR="002B7A8B" w:rsidRPr="00E80438">
        <w:rPr>
          <w:rFonts w:ascii="Times New Roman" w:hAnsi="Times New Roman" w:cs="Times New Roman"/>
          <w:sz w:val="24"/>
          <w:szCs w:val="24"/>
        </w:rPr>
        <w:t>. As noted by Doremus (2010): “Legislators appear to have regarded it as an opportunity to deliver ringing rhetoric that would please the environmental movement without facing any immediate political costs.”</w:t>
      </w:r>
      <w:r w:rsidR="002B7A8B" w:rsidRPr="00E80438">
        <w:rPr>
          <w:rFonts w:ascii="Times New Roman" w:hAnsi="Times New Roman" w:cs="Times New Roman"/>
          <w:sz w:val="24"/>
          <w:szCs w:val="24"/>
          <w:vertAlign w:val="superscript"/>
        </w:rPr>
        <w:footnoteReference w:id="95"/>
      </w:r>
      <w:r w:rsidR="002B7A8B" w:rsidRPr="00E80438">
        <w:rPr>
          <w:rFonts w:ascii="Times New Roman" w:hAnsi="Times New Roman" w:cs="Times New Roman"/>
          <w:sz w:val="24"/>
          <w:szCs w:val="24"/>
        </w:rPr>
        <w:t xml:space="preserve"> </w:t>
      </w:r>
    </w:p>
    <w:p w14:paraId="3DED18D8" w14:textId="279A3966" w:rsidR="00A23910" w:rsidRPr="00E80438" w:rsidRDefault="00A23910" w:rsidP="005953AD">
      <w:pPr>
        <w:spacing w:after="0" w:line="360" w:lineRule="auto"/>
        <w:ind w:firstLine="720"/>
        <w:rPr>
          <w:rFonts w:ascii="Arial" w:eastAsia="Times New Roman" w:hAnsi="Arial" w:cs="Arial"/>
          <w:color w:val="222222"/>
          <w:kern w:val="0"/>
          <w:sz w:val="24"/>
          <w:szCs w:val="24"/>
          <w14:ligatures w14:val="none"/>
        </w:rPr>
      </w:pPr>
      <w:r w:rsidRPr="00E80438">
        <w:rPr>
          <w:rFonts w:ascii="Times New Roman" w:hAnsi="Times New Roman" w:cs="Times New Roman"/>
          <w:sz w:val="24"/>
          <w:szCs w:val="24"/>
        </w:rPr>
        <w:t xml:space="preserve">As structured, the ESA delivered government conservation mandates without significant negotiation or direct compensatory payments.  Affected landholders could not prevent a listing </w:t>
      </w:r>
      <w:r w:rsidR="00B53DF7">
        <w:rPr>
          <w:rFonts w:ascii="Times New Roman" w:hAnsi="Times New Roman" w:cs="Times New Roman"/>
          <w:sz w:val="24"/>
          <w:szCs w:val="24"/>
        </w:rPr>
        <w:t>n</w:t>
      </w:r>
      <w:r w:rsidRPr="00E80438">
        <w:rPr>
          <w:rFonts w:ascii="Times New Roman" w:hAnsi="Times New Roman" w:cs="Times New Roman"/>
          <w:sz w:val="24"/>
          <w:szCs w:val="24"/>
        </w:rPr>
        <w:t xml:space="preserve">or limits on their land uses and lower values once a species was declared endangered or threatened.  They could lobby or litigate, but not bargain to be fully compensated.  </w:t>
      </w:r>
      <w:r>
        <w:rPr>
          <w:rFonts w:ascii="Times New Roman" w:hAnsi="Times New Roman" w:cs="Times New Roman"/>
          <w:sz w:val="24"/>
          <w:szCs w:val="24"/>
        </w:rPr>
        <w:t>For a</w:t>
      </w:r>
      <w:r w:rsidRPr="00E80438">
        <w:rPr>
          <w:rFonts w:ascii="Times New Roman" w:hAnsi="Times New Roman" w:cs="Times New Roman"/>
          <w:sz w:val="24"/>
          <w:szCs w:val="24"/>
        </w:rPr>
        <w:t xml:space="preserve">dvocates </w:t>
      </w:r>
      <w:r w:rsidRPr="00E80438">
        <w:rPr>
          <w:rFonts w:ascii="Times New Roman" w:hAnsi="Times New Roman" w:cs="Times New Roman"/>
          <w:sz w:val="24"/>
          <w:szCs w:val="24"/>
        </w:rPr>
        <w:lastRenderedPageBreak/>
        <w:t>directed rents w</w:t>
      </w:r>
      <w:r w:rsidR="007E6891">
        <w:rPr>
          <w:rFonts w:ascii="Times New Roman" w:hAnsi="Times New Roman" w:cs="Times New Roman"/>
          <w:sz w:val="24"/>
          <w:szCs w:val="24"/>
        </w:rPr>
        <w:t xml:space="preserve">ere </w:t>
      </w:r>
      <w:r w:rsidRPr="00E80438">
        <w:rPr>
          <w:rFonts w:ascii="Times New Roman" w:hAnsi="Times New Roman" w:cs="Times New Roman"/>
          <w:sz w:val="24"/>
          <w:szCs w:val="24"/>
        </w:rPr>
        <w:t xml:space="preserve">an attractive alternative to economic property rights and markets. With a Coasean approach, costs and benefits would have been confronted more directly, distributed more equally, and viewed more transparently by general citizens.  </w:t>
      </w:r>
      <w:r w:rsidR="00892FC7">
        <w:rPr>
          <w:rFonts w:ascii="Times New Roman" w:hAnsi="Times New Roman" w:cs="Times New Roman"/>
          <w:sz w:val="24"/>
          <w:szCs w:val="24"/>
        </w:rPr>
        <w:t>Listings might have been more directed to species with recovery potential and</w:t>
      </w:r>
      <w:r w:rsidR="0097426B">
        <w:rPr>
          <w:rFonts w:ascii="Times New Roman" w:hAnsi="Times New Roman" w:cs="Times New Roman"/>
          <w:sz w:val="24"/>
          <w:szCs w:val="24"/>
        </w:rPr>
        <w:t xml:space="preserve"> landowners would have had greater motivation to join the preservation effort. The ESA might have been less divisive and more successful.</w:t>
      </w:r>
    </w:p>
    <w:p w14:paraId="495425E1" w14:textId="1B4CAE42" w:rsidR="00E80438" w:rsidRDefault="00E80438" w:rsidP="00511683">
      <w:pPr>
        <w:spacing w:after="0" w:line="360" w:lineRule="auto"/>
        <w:rPr>
          <w:rFonts w:ascii="Times New Roman" w:hAnsi="Times New Roman" w:cs="Times New Roman"/>
          <w:sz w:val="24"/>
          <w:szCs w:val="24"/>
        </w:rPr>
      </w:pPr>
    </w:p>
    <w:p w14:paraId="766DECC0" w14:textId="19F03CC6" w:rsidR="00511683" w:rsidRDefault="00511683" w:rsidP="00577587">
      <w:pPr>
        <w:spacing w:after="0" w:line="240" w:lineRule="auto"/>
        <w:rPr>
          <w:rFonts w:ascii="Times New Roman" w:hAnsi="Times New Roman" w:cs="Times New Roman"/>
          <w:b/>
          <w:bCs/>
          <w:sz w:val="24"/>
          <w:szCs w:val="24"/>
        </w:rPr>
      </w:pPr>
      <w:r w:rsidRPr="00E80438">
        <w:rPr>
          <w:rFonts w:ascii="Times New Roman" w:hAnsi="Times New Roman" w:cs="Times New Roman"/>
          <w:b/>
          <w:bCs/>
          <w:sz w:val="24"/>
          <w:szCs w:val="24"/>
        </w:rPr>
        <w:t>VI. Concluding Remarks</w:t>
      </w:r>
      <w:r w:rsidR="00577587">
        <w:rPr>
          <w:rFonts w:ascii="Times New Roman" w:hAnsi="Times New Roman" w:cs="Times New Roman"/>
          <w:b/>
          <w:bCs/>
          <w:sz w:val="24"/>
          <w:szCs w:val="24"/>
        </w:rPr>
        <w:t>:</w:t>
      </w:r>
      <w:r w:rsidR="00116121">
        <w:rPr>
          <w:rFonts w:ascii="Times New Roman" w:hAnsi="Times New Roman" w:cs="Times New Roman"/>
          <w:b/>
          <w:bCs/>
          <w:sz w:val="24"/>
          <w:szCs w:val="24"/>
        </w:rPr>
        <w:t xml:space="preserve"> </w:t>
      </w:r>
      <w:r w:rsidR="00577587">
        <w:rPr>
          <w:rFonts w:ascii="Times New Roman" w:hAnsi="Times New Roman" w:cs="Times New Roman"/>
          <w:b/>
          <w:bCs/>
          <w:sz w:val="24"/>
          <w:szCs w:val="24"/>
        </w:rPr>
        <w:t xml:space="preserve">Constraints </w:t>
      </w:r>
      <w:r w:rsidR="00361F34">
        <w:rPr>
          <w:rFonts w:ascii="Times New Roman" w:hAnsi="Times New Roman" w:cs="Times New Roman"/>
          <w:b/>
          <w:bCs/>
          <w:sz w:val="24"/>
          <w:szCs w:val="24"/>
        </w:rPr>
        <w:t>on Transaction</w:t>
      </w:r>
      <w:r w:rsidR="00B53DF7">
        <w:rPr>
          <w:rFonts w:ascii="Times New Roman" w:hAnsi="Times New Roman" w:cs="Times New Roman"/>
          <w:b/>
          <w:bCs/>
          <w:sz w:val="24"/>
          <w:szCs w:val="24"/>
        </w:rPr>
        <w:t xml:space="preserve"> </w:t>
      </w:r>
      <w:r w:rsidR="00361F34">
        <w:rPr>
          <w:rFonts w:ascii="Times New Roman" w:hAnsi="Times New Roman" w:cs="Times New Roman"/>
          <w:b/>
          <w:bCs/>
          <w:sz w:val="24"/>
          <w:szCs w:val="24"/>
        </w:rPr>
        <w:t xml:space="preserve">Cost Efficiencies in </w:t>
      </w:r>
      <w:r w:rsidR="00577587">
        <w:rPr>
          <w:rFonts w:ascii="Times New Roman" w:hAnsi="Times New Roman" w:cs="Times New Roman"/>
          <w:b/>
          <w:bCs/>
          <w:sz w:val="24"/>
          <w:szCs w:val="24"/>
        </w:rPr>
        <w:t>Institutional Innovation</w:t>
      </w:r>
      <w:r w:rsidR="00361F34">
        <w:rPr>
          <w:rFonts w:ascii="Times New Roman" w:hAnsi="Times New Roman" w:cs="Times New Roman"/>
          <w:b/>
          <w:bCs/>
          <w:sz w:val="24"/>
          <w:szCs w:val="24"/>
        </w:rPr>
        <w:t xml:space="preserve">. </w:t>
      </w:r>
    </w:p>
    <w:p w14:paraId="75C61863" w14:textId="77777777" w:rsidR="00EA0E07" w:rsidRDefault="00EA0E07" w:rsidP="00577587">
      <w:pPr>
        <w:spacing w:after="0" w:line="240" w:lineRule="auto"/>
        <w:rPr>
          <w:rFonts w:ascii="Times New Roman" w:hAnsi="Times New Roman" w:cs="Times New Roman"/>
          <w:b/>
          <w:bCs/>
          <w:sz w:val="24"/>
          <w:szCs w:val="24"/>
        </w:rPr>
      </w:pPr>
    </w:p>
    <w:p w14:paraId="08F62FD4" w14:textId="1C15D5D2" w:rsidR="00DF1002" w:rsidRDefault="00E668B3" w:rsidP="00F9091B">
      <w:pPr>
        <w:shd w:val="clear" w:color="auto" w:fill="FFFFFF"/>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insights of </w:t>
      </w:r>
      <w:r w:rsidR="00EA0E07" w:rsidRPr="00F9091B">
        <w:rPr>
          <w:rFonts w:ascii="Times New Roman" w:hAnsi="Times New Roman" w:cs="Times New Roman"/>
          <w:sz w:val="24"/>
          <w:szCs w:val="24"/>
        </w:rPr>
        <w:t>Oliver Williamson</w:t>
      </w:r>
      <w:r w:rsidR="004912ED" w:rsidRPr="00F9091B">
        <w:rPr>
          <w:rFonts w:ascii="Times New Roman" w:hAnsi="Times New Roman" w:cs="Times New Roman"/>
          <w:sz w:val="24"/>
          <w:szCs w:val="24"/>
        </w:rPr>
        <w:t xml:space="preserve"> (1975, 1985, 1996, 2010)</w:t>
      </w:r>
      <w:r w:rsidR="00EA0E07" w:rsidRPr="00F9091B">
        <w:rPr>
          <w:rFonts w:ascii="Times New Roman" w:hAnsi="Times New Roman" w:cs="Times New Roman"/>
          <w:sz w:val="24"/>
          <w:szCs w:val="24"/>
        </w:rPr>
        <w:t xml:space="preserve"> </w:t>
      </w:r>
      <w:r w:rsidR="004912ED" w:rsidRPr="00F9091B">
        <w:rPr>
          <w:rFonts w:ascii="Times New Roman" w:hAnsi="Times New Roman" w:cs="Times New Roman"/>
          <w:sz w:val="24"/>
          <w:szCs w:val="24"/>
        </w:rPr>
        <w:t>a</w:t>
      </w:r>
      <w:r>
        <w:rPr>
          <w:rFonts w:ascii="Times New Roman" w:hAnsi="Times New Roman" w:cs="Times New Roman"/>
          <w:sz w:val="24"/>
          <w:szCs w:val="24"/>
        </w:rPr>
        <w:t>nd</w:t>
      </w:r>
      <w:r w:rsidR="004912ED" w:rsidRPr="00F9091B">
        <w:rPr>
          <w:rFonts w:ascii="Times New Roman" w:hAnsi="Times New Roman" w:cs="Times New Roman"/>
          <w:sz w:val="24"/>
          <w:szCs w:val="24"/>
        </w:rPr>
        <w:t xml:space="preserve"> Coase (1937</w:t>
      </w:r>
      <w:r w:rsidR="00755786">
        <w:rPr>
          <w:rFonts w:ascii="Times New Roman" w:hAnsi="Times New Roman" w:cs="Times New Roman"/>
          <w:sz w:val="24"/>
          <w:szCs w:val="24"/>
        </w:rPr>
        <w:t>, 1992</w:t>
      </w:r>
      <w:r w:rsidR="004912ED" w:rsidRPr="00F9091B">
        <w:rPr>
          <w:rFonts w:ascii="Times New Roman" w:hAnsi="Times New Roman" w:cs="Times New Roman"/>
          <w:sz w:val="24"/>
          <w:szCs w:val="24"/>
        </w:rPr>
        <w:t>)</w:t>
      </w:r>
      <w:r>
        <w:rPr>
          <w:rFonts w:ascii="Times New Roman" w:hAnsi="Times New Roman" w:cs="Times New Roman"/>
          <w:sz w:val="24"/>
          <w:szCs w:val="24"/>
        </w:rPr>
        <w:t xml:space="preserve"> </w:t>
      </w:r>
      <w:r w:rsidR="00361F34">
        <w:rPr>
          <w:rFonts w:ascii="Times New Roman" w:hAnsi="Times New Roman" w:cs="Times New Roman"/>
          <w:sz w:val="24"/>
          <w:szCs w:val="24"/>
        </w:rPr>
        <w:t xml:space="preserve">provide </w:t>
      </w:r>
      <w:r>
        <w:rPr>
          <w:rFonts w:ascii="Times New Roman" w:hAnsi="Times New Roman" w:cs="Times New Roman"/>
          <w:sz w:val="24"/>
          <w:szCs w:val="24"/>
        </w:rPr>
        <w:t>u</w:t>
      </w:r>
      <w:r w:rsidR="004912ED" w:rsidRPr="00F9091B">
        <w:rPr>
          <w:rFonts w:ascii="Times New Roman" w:hAnsi="Times New Roman" w:cs="Times New Roman"/>
          <w:sz w:val="24"/>
          <w:szCs w:val="24"/>
        </w:rPr>
        <w:t xml:space="preserve">nderstanding of how </w:t>
      </w:r>
      <w:r w:rsidR="00EA0E07" w:rsidRPr="00F9091B">
        <w:rPr>
          <w:rFonts w:ascii="Times New Roman" w:hAnsi="Times New Roman" w:cs="Times New Roman"/>
          <w:sz w:val="24"/>
          <w:szCs w:val="24"/>
        </w:rPr>
        <w:t>agent</w:t>
      </w:r>
      <w:r w:rsidR="004912ED" w:rsidRPr="00F9091B">
        <w:rPr>
          <w:rFonts w:ascii="Times New Roman" w:hAnsi="Times New Roman" w:cs="Times New Roman"/>
          <w:sz w:val="24"/>
          <w:szCs w:val="24"/>
        </w:rPr>
        <w:t>s</w:t>
      </w:r>
      <w:r w:rsidR="00EA0E07" w:rsidRPr="00F9091B">
        <w:rPr>
          <w:rFonts w:ascii="Times New Roman" w:hAnsi="Times New Roman" w:cs="Times New Roman"/>
          <w:sz w:val="24"/>
          <w:szCs w:val="24"/>
        </w:rPr>
        <w:t xml:space="preserve"> </w:t>
      </w:r>
      <w:r>
        <w:rPr>
          <w:rFonts w:ascii="Times New Roman" w:hAnsi="Times New Roman" w:cs="Times New Roman"/>
          <w:sz w:val="24"/>
          <w:szCs w:val="24"/>
        </w:rPr>
        <w:t xml:space="preserve">respond </w:t>
      </w:r>
      <w:r w:rsidR="004912ED" w:rsidRPr="00F9091B">
        <w:rPr>
          <w:rFonts w:ascii="Times New Roman" w:hAnsi="Times New Roman" w:cs="Times New Roman"/>
          <w:sz w:val="24"/>
          <w:szCs w:val="24"/>
        </w:rPr>
        <w:t>to transaction costs and achieve</w:t>
      </w:r>
      <w:r>
        <w:rPr>
          <w:rFonts w:ascii="Times New Roman" w:hAnsi="Times New Roman" w:cs="Times New Roman"/>
          <w:sz w:val="24"/>
          <w:szCs w:val="24"/>
        </w:rPr>
        <w:t>d</w:t>
      </w:r>
      <w:r w:rsidR="004912ED" w:rsidRPr="00F9091B">
        <w:rPr>
          <w:rFonts w:ascii="Times New Roman" w:hAnsi="Times New Roman" w:cs="Times New Roman"/>
          <w:sz w:val="24"/>
          <w:szCs w:val="24"/>
        </w:rPr>
        <w:t xml:space="preserve"> </w:t>
      </w:r>
      <w:r>
        <w:rPr>
          <w:rFonts w:ascii="Times New Roman" w:hAnsi="Times New Roman" w:cs="Times New Roman"/>
          <w:sz w:val="24"/>
          <w:szCs w:val="24"/>
        </w:rPr>
        <w:t xml:space="preserve">greater </w:t>
      </w:r>
      <w:r w:rsidR="004912ED" w:rsidRPr="00F9091B">
        <w:rPr>
          <w:rFonts w:ascii="Times New Roman" w:hAnsi="Times New Roman" w:cs="Times New Roman"/>
          <w:sz w:val="24"/>
          <w:szCs w:val="24"/>
        </w:rPr>
        <w:t>e</w:t>
      </w:r>
      <w:r>
        <w:rPr>
          <w:rFonts w:ascii="Times New Roman" w:hAnsi="Times New Roman" w:cs="Times New Roman"/>
          <w:sz w:val="24"/>
          <w:szCs w:val="24"/>
        </w:rPr>
        <w:t>fficienc</w:t>
      </w:r>
      <w:r w:rsidR="00DF1002">
        <w:rPr>
          <w:rFonts w:ascii="Times New Roman" w:hAnsi="Times New Roman" w:cs="Times New Roman"/>
          <w:sz w:val="24"/>
          <w:szCs w:val="24"/>
        </w:rPr>
        <w:t xml:space="preserve">ies </w:t>
      </w:r>
      <w:r>
        <w:rPr>
          <w:rFonts w:ascii="Times New Roman" w:hAnsi="Times New Roman" w:cs="Times New Roman"/>
          <w:sz w:val="24"/>
          <w:szCs w:val="24"/>
        </w:rPr>
        <w:t xml:space="preserve">through institutional innovation. </w:t>
      </w:r>
      <w:r w:rsidR="004912ED" w:rsidRPr="00F9091B">
        <w:rPr>
          <w:rFonts w:ascii="Times New Roman" w:hAnsi="Times New Roman" w:cs="Times New Roman"/>
          <w:sz w:val="24"/>
          <w:szCs w:val="24"/>
        </w:rPr>
        <w:t xml:space="preserve">Firm size, internal </w:t>
      </w:r>
      <w:r>
        <w:rPr>
          <w:rFonts w:ascii="Times New Roman" w:hAnsi="Times New Roman" w:cs="Times New Roman"/>
          <w:sz w:val="24"/>
          <w:szCs w:val="24"/>
        </w:rPr>
        <w:t xml:space="preserve">production and management </w:t>
      </w:r>
      <w:r w:rsidR="004912ED" w:rsidRPr="00F9091B">
        <w:rPr>
          <w:rFonts w:ascii="Times New Roman" w:hAnsi="Times New Roman" w:cs="Times New Roman"/>
          <w:sz w:val="24"/>
          <w:szCs w:val="24"/>
        </w:rPr>
        <w:t>hierarch</w:t>
      </w:r>
      <w:r w:rsidR="00DF1002">
        <w:rPr>
          <w:rFonts w:ascii="Times New Roman" w:hAnsi="Times New Roman" w:cs="Times New Roman"/>
          <w:sz w:val="24"/>
          <w:szCs w:val="24"/>
        </w:rPr>
        <w:t>ies</w:t>
      </w:r>
      <w:r>
        <w:rPr>
          <w:rFonts w:ascii="Times New Roman" w:hAnsi="Times New Roman" w:cs="Times New Roman"/>
          <w:sz w:val="24"/>
          <w:szCs w:val="24"/>
        </w:rPr>
        <w:t xml:space="preserve">, </w:t>
      </w:r>
      <w:r w:rsidR="004912ED" w:rsidRPr="00F9091B">
        <w:rPr>
          <w:rFonts w:ascii="Times New Roman" w:hAnsi="Times New Roman" w:cs="Times New Roman"/>
          <w:sz w:val="24"/>
          <w:szCs w:val="24"/>
        </w:rPr>
        <w:t>governance</w:t>
      </w:r>
      <w:r>
        <w:rPr>
          <w:rFonts w:ascii="Times New Roman" w:hAnsi="Times New Roman" w:cs="Times New Roman"/>
          <w:sz w:val="24"/>
          <w:szCs w:val="24"/>
        </w:rPr>
        <w:t xml:space="preserve"> structure</w:t>
      </w:r>
      <w:r w:rsidR="00DF1002">
        <w:rPr>
          <w:rFonts w:ascii="Times New Roman" w:hAnsi="Times New Roman" w:cs="Times New Roman"/>
          <w:sz w:val="24"/>
          <w:szCs w:val="24"/>
        </w:rPr>
        <w:t>s</w:t>
      </w:r>
      <w:r w:rsidR="004912ED" w:rsidRPr="00F9091B">
        <w:rPr>
          <w:rFonts w:ascii="Times New Roman" w:hAnsi="Times New Roman" w:cs="Times New Roman"/>
          <w:sz w:val="24"/>
          <w:szCs w:val="24"/>
        </w:rPr>
        <w:t xml:space="preserve">, contracting within and beyond firm boundaries, </w:t>
      </w:r>
      <w:r w:rsidR="00DF1002">
        <w:rPr>
          <w:rFonts w:ascii="Times New Roman" w:hAnsi="Times New Roman" w:cs="Times New Roman"/>
          <w:sz w:val="24"/>
          <w:szCs w:val="24"/>
        </w:rPr>
        <w:t xml:space="preserve">and </w:t>
      </w:r>
      <w:r w:rsidR="004912ED" w:rsidRPr="00F9091B">
        <w:rPr>
          <w:rFonts w:ascii="Times New Roman" w:hAnsi="Times New Roman" w:cs="Times New Roman"/>
          <w:sz w:val="24"/>
          <w:szCs w:val="24"/>
        </w:rPr>
        <w:t>relational contract</w:t>
      </w:r>
      <w:r>
        <w:rPr>
          <w:rFonts w:ascii="Times New Roman" w:hAnsi="Times New Roman" w:cs="Times New Roman"/>
          <w:sz w:val="24"/>
          <w:szCs w:val="24"/>
        </w:rPr>
        <w:t>s</w:t>
      </w:r>
      <w:r w:rsidR="00D42347">
        <w:rPr>
          <w:rFonts w:ascii="Times New Roman" w:hAnsi="Times New Roman" w:cs="Times New Roman"/>
          <w:sz w:val="24"/>
          <w:szCs w:val="24"/>
        </w:rPr>
        <w:t xml:space="preserve"> are </w:t>
      </w:r>
      <w:r>
        <w:rPr>
          <w:rFonts w:ascii="Times New Roman" w:hAnsi="Times New Roman" w:cs="Times New Roman"/>
          <w:sz w:val="24"/>
          <w:szCs w:val="24"/>
        </w:rPr>
        <w:t xml:space="preserve">rational </w:t>
      </w:r>
      <w:r w:rsidR="004912ED" w:rsidRPr="00F9091B">
        <w:rPr>
          <w:rFonts w:ascii="Times New Roman" w:hAnsi="Times New Roman" w:cs="Times New Roman"/>
          <w:sz w:val="24"/>
          <w:szCs w:val="24"/>
        </w:rPr>
        <w:t>re</w:t>
      </w:r>
      <w:r w:rsidR="00DF1002">
        <w:rPr>
          <w:rFonts w:ascii="Times New Roman" w:hAnsi="Times New Roman" w:cs="Times New Roman"/>
          <w:sz w:val="24"/>
          <w:szCs w:val="24"/>
        </w:rPr>
        <w:t>action</w:t>
      </w:r>
      <w:r w:rsidR="00144646">
        <w:rPr>
          <w:rFonts w:ascii="Times New Roman" w:hAnsi="Times New Roman" w:cs="Times New Roman"/>
          <w:sz w:val="24"/>
          <w:szCs w:val="24"/>
        </w:rPr>
        <w:t>s</w:t>
      </w:r>
      <w:r w:rsidR="004912ED" w:rsidRPr="00F9091B">
        <w:rPr>
          <w:rFonts w:ascii="Times New Roman" w:hAnsi="Times New Roman" w:cs="Times New Roman"/>
          <w:sz w:val="24"/>
          <w:szCs w:val="24"/>
        </w:rPr>
        <w:t xml:space="preserve"> to </w:t>
      </w:r>
      <w:r w:rsidR="00F42ADA" w:rsidRPr="00F9091B">
        <w:rPr>
          <w:rFonts w:ascii="Times New Roman" w:hAnsi="Times New Roman" w:cs="Times New Roman"/>
          <w:sz w:val="24"/>
          <w:szCs w:val="24"/>
        </w:rPr>
        <w:t>changing cost/benefit settings. New information, new technologies, new production types and organization</w:t>
      </w:r>
      <w:r w:rsidR="004912ED" w:rsidRPr="00F9091B">
        <w:rPr>
          <w:rFonts w:ascii="Times New Roman" w:hAnsi="Times New Roman" w:cs="Times New Roman"/>
          <w:sz w:val="24"/>
          <w:szCs w:val="24"/>
        </w:rPr>
        <w:t xml:space="preserve"> </w:t>
      </w:r>
      <w:r w:rsidR="00F42ADA" w:rsidRPr="00F9091B">
        <w:rPr>
          <w:rFonts w:ascii="Times New Roman" w:hAnsi="Times New Roman" w:cs="Times New Roman"/>
          <w:sz w:val="24"/>
          <w:szCs w:val="24"/>
        </w:rPr>
        <w:t xml:space="preserve">unleash potential transaction costs that </w:t>
      </w:r>
      <w:r>
        <w:rPr>
          <w:rFonts w:ascii="Times New Roman" w:hAnsi="Times New Roman" w:cs="Times New Roman"/>
          <w:sz w:val="24"/>
          <w:szCs w:val="24"/>
        </w:rPr>
        <w:t>require organizational responses.</w:t>
      </w:r>
      <w:r w:rsidR="00686CF9" w:rsidRPr="00686CF9">
        <w:rPr>
          <w:rFonts w:ascii="Times New Roman" w:hAnsi="Times New Roman" w:cs="Times New Roman"/>
          <w:sz w:val="24"/>
          <w:szCs w:val="24"/>
        </w:rPr>
        <w:t xml:space="preserve"> </w:t>
      </w:r>
      <w:r w:rsidR="00686CF9">
        <w:rPr>
          <w:rFonts w:ascii="Times New Roman" w:hAnsi="Times New Roman" w:cs="Times New Roman"/>
          <w:sz w:val="24"/>
          <w:szCs w:val="24"/>
        </w:rPr>
        <w:t>T</w:t>
      </w:r>
      <w:r w:rsidR="00686CF9" w:rsidRPr="00F9091B">
        <w:rPr>
          <w:rFonts w:ascii="Times New Roman" w:eastAsia="Times New Roman" w:hAnsi="Times New Roman" w:cs="Times New Roman"/>
          <w:color w:val="222222"/>
          <w:kern w:val="0"/>
          <w:sz w:val="24"/>
          <w:szCs w:val="24"/>
          <w14:ligatures w14:val="none"/>
        </w:rPr>
        <w:t>ransaction cost economics</w:t>
      </w:r>
      <w:r w:rsidR="00686CF9">
        <w:rPr>
          <w:rFonts w:ascii="Times New Roman" w:eastAsia="Times New Roman" w:hAnsi="Times New Roman" w:cs="Times New Roman"/>
          <w:color w:val="222222"/>
          <w:kern w:val="0"/>
          <w:sz w:val="24"/>
          <w:szCs w:val="24"/>
          <w14:ligatures w14:val="none"/>
        </w:rPr>
        <w:t xml:space="preserve"> explain efficien</w:t>
      </w:r>
      <w:r w:rsidR="00755786">
        <w:rPr>
          <w:rFonts w:ascii="Times New Roman" w:eastAsia="Times New Roman" w:hAnsi="Times New Roman" w:cs="Times New Roman"/>
          <w:color w:val="222222"/>
          <w:kern w:val="0"/>
          <w:sz w:val="24"/>
          <w:szCs w:val="24"/>
          <w14:ligatures w14:val="none"/>
        </w:rPr>
        <w:t xml:space="preserve">t </w:t>
      </w:r>
      <w:r w:rsidR="00686CF9">
        <w:rPr>
          <w:rFonts w:ascii="Times New Roman" w:eastAsia="Times New Roman" w:hAnsi="Times New Roman" w:cs="Times New Roman"/>
          <w:color w:val="222222"/>
          <w:kern w:val="0"/>
          <w:sz w:val="24"/>
          <w:szCs w:val="24"/>
          <w14:ligatures w14:val="none"/>
        </w:rPr>
        <w:t>adaptation</w:t>
      </w:r>
      <w:r w:rsidR="00686CF9" w:rsidRPr="00F9091B">
        <w:rPr>
          <w:rFonts w:ascii="Times New Roman" w:eastAsia="Times New Roman" w:hAnsi="Times New Roman" w:cs="Times New Roman"/>
          <w:color w:val="222222"/>
          <w:kern w:val="0"/>
          <w:sz w:val="24"/>
          <w:szCs w:val="24"/>
          <w14:ligatures w14:val="none"/>
        </w:rPr>
        <w:t>.</w:t>
      </w:r>
      <w:r>
        <w:rPr>
          <w:rFonts w:ascii="Times New Roman" w:hAnsi="Times New Roman" w:cs="Times New Roman"/>
          <w:sz w:val="24"/>
          <w:szCs w:val="24"/>
        </w:rPr>
        <w:t xml:space="preserve"> </w:t>
      </w:r>
    </w:p>
    <w:p w14:paraId="346EADCD" w14:textId="0533C979" w:rsidR="00EA0E07" w:rsidRPr="00F9091B" w:rsidRDefault="00F42ADA" w:rsidP="00F9091B">
      <w:pPr>
        <w:shd w:val="clear" w:color="auto" w:fill="FFFFFF"/>
        <w:spacing w:after="0" w:line="360" w:lineRule="auto"/>
        <w:ind w:firstLine="720"/>
        <w:rPr>
          <w:rFonts w:ascii="Times New Roman" w:hAnsi="Times New Roman" w:cs="Times New Roman"/>
          <w:sz w:val="24"/>
          <w:szCs w:val="24"/>
        </w:rPr>
      </w:pPr>
      <w:r w:rsidRPr="00F9091B">
        <w:rPr>
          <w:rFonts w:ascii="Times New Roman" w:hAnsi="Times New Roman" w:cs="Times New Roman"/>
          <w:sz w:val="24"/>
          <w:szCs w:val="24"/>
        </w:rPr>
        <w:t xml:space="preserve"> </w:t>
      </w:r>
      <w:r w:rsidR="00686CF9">
        <w:rPr>
          <w:rFonts w:ascii="Times New Roman" w:hAnsi="Times New Roman" w:cs="Times New Roman"/>
          <w:sz w:val="24"/>
          <w:szCs w:val="24"/>
        </w:rPr>
        <w:t xml:space="preserve">Williamson’s </w:t>
      </w:r>
      <w:r w:rsidRPr="00F9091B">
        <w:rPr>
          <w:rFonts w:ascii="Times New Roman" w:hAnsi="Times New Roman" w:cs="Times New Roman"/>
          <w:sz w:val="24"/>
          <w:szCs w:val="24"/>
        </w:rPr>
        <w:t>work</w:t>
      </w:r>
      <w:r w:rsidR="007A54C8">
        <w:rPr>
          <w:rFonts w:ascii="Times New Roman" w:hAnsi="Times New Roman" w:cs="Times New Roman"/>
          <w:sz w:val="24"/>
          <w:szCs w:val="24"/>
        </w:rPr>
        <w:t xml:space="preserve"> informed</w:t>
      </w:r>
      <w:r w:rsidR="00853273" w:rsidRPr="00F9091B">
        <w:rPr>
          <w:rFonts w:ascii="Times New Roman" w:hAnsi="Times New Roman" w:cs="Times New Roman"/>
          <w:sz w:val="24"/>
          <w:szCs w:val="24"/>
        </w:rPr>
        <w:t xml:space="preserve"> </w:t>
      </w:r>
      <w:r w:rsidR="00B7608B" w:rsidRPr="00F9091B">
        <w:rPr>
          <w:rFonts w:ascii="Times New Roman" w:hAnsi="Times New Roman" w:cs="Times New Roman"/>
          <w:sz w:val="24"/>
          <w:szCs w:val="24"/>
        </w:rPr>
        <w:t>anti</w:t>
      </w:r>
      <w:r w:rsidR="00B7608B">
        <w:rPr>
          <w:rFonts w:ascii="Times New Roman" w:hAnsi="Times New Roman" w:cs="Times New Roman"/>
          <w:sz w:val="24"/>
          <w:szCs w:val="24"/>
        </w:rPr>
        <w:t>t</w:t>
      </w:r>
      <w:r w:rsidR="00B7608B" w:rsidRPr="00F9091B">
        <w:rPr>
          <w:rFonts w:ascii="Times New Roman" w:hAnsi="Times New Roman" w:cs="Times New Roman"/>
          <w:sz w:val="24"/>
          <w:szCs w:val="24"/>
        </w:rPr>
        <w:t>rust</w:t>
      </w:r>
      <w:r w:rsidR="00853273" w:rsidRPr="00F9091B">
        <w:rPr>
          <w:rFonts w:ascii="Times New Roman" w:hAnsi="Times New Roman" w:cs="Times New Roman"/>
          <w:sz w:val="24"/>
          <w:szCs w:val="24"/>
        </w:rPr>
        <w:t xml:space="preserve"> </w:t>
      </w:r>
      <w:r w:rsidR="00686CF9">
        <w:rPr>
          <w:rFonts w:ascii="Times New Roman" w:hAnsi="Times New Roman" w:cs="Times New Roman"/>
          <w:sz w:val="24"/>
          <w:szCs w:val="24"/>
        </w:rPr>
        <w:t xml:space="preserve">rules </w:t>
      </w:r>
      <w:r w:rsidR="00853273" w:rsidRPr="00F9091B">
        <w:rPr>
          <w:rFonts w:ascii="Times New Roman" w:hAnsi="Times New Roman" w:cs="Times New Roman"/>
          <w:sz w:val="24"/>
          <w:szCs w:val="24"/>
        </w:rPr>
        <w:t>and firm management strategies</w:t>
      </w:r>
      <w:r w:rsidR="008D07D1">
        <w:rPr>
          <w:rFonts w:ascii="Times New Roman" w:hAnsi="Times New Roman" w:cs="Times New Roman"/>
          <w:sz w:val="24"/>
          <w:szCs w:val="24"/>
        </w:rPr>
        <w:t xml:space="preserve"> (Shelanski 2018)</w:t>
      </w:r>
      <w:r w:rsidR="00853273" w:rsidRPr="00F9091B">
        <w:rPr>
          <w:rFonts w:ascii="Times New Roman" w:hAnsi="Times New Roman" w:cs="Times New Roman"/>
          <w:sz w:val="24"/>
          <w:szCs w:val="24"/>
        </w:rPr>
        <w:t>.</w:t>
      </w:r>
      <w:r w:rsidR="008D07D1">
        <w:rPr>
          <w:rStyle w:val="FootnoteReference"/>
          <w:rFonts w:ascii="Times New Roman" w:hAnsi="Times New Roman" w:cs="Times New Roman"/>
          <w:sz w:val="24"/>
          <w:szCs w:val="24"/>
        </w:rPr>
        <w:footnoteReference w:id="96"/>
      </w:r>
      <w:r w:rsidR="00F9091B" w:rsidRPr="00F9091B">
        <w:rPr>
          <w:rFonts w:ascii="Times New Roman" w:eastAsia="Times New Roman" w:hAnsi="Times New Roman" w:cs="Times New Roman"/>
          <w:color w:val="222222"/>
          <w:kern w:val="0"/>
          <w:sz w:val="24"/>
          <w:szCs w:val="24"/>
          <w14:ligatures w14:val="none"/>
        </w:rPr>
        <w:t> </w:t>
      </w:r>
      <w:r w:rsidR="00F9091B">
        <w:rPr>
          <w:rFonts w:ascii="Times New Roman" w:eastAsia="Times New Roman" w:hAnsi="Times New Roman" w:cs="Times New Roman"/>
          <w:color w:val="222222"/>
          <w:kern w:val="0"/>
          <w:sz w:val="24"/>
          <w:szCs w:val="24"/>
          <w14:ligatures w14:val="none"/>
        </w:rPr>
        <w:t>It</w:t>
      </w:r>
      <w:r w:rsidR="00F9091B" w:rsidRPr="00F9091B">
        <w:rPr>
          <w:rFonts w:ascii="Times New Roman" w:eastAsia="Times New Roman" w:hAnsi="Times New Roman" w:cs="Times New Roman"/>
          <w:color w:val="222222"/>
          <w:kern w:val="0"/>
          <w:sz w:val="24"/>
          <w:szCs w:val="24"/>
          <w14:ligatures w14:val="none"/>
        </w:rPr>
        <w:t xml:space="preserve"> was pivotal in </w:t>
      </w:r>
      <w:r w:rsidR="00686CF9">
        <w:rPr>
          <w:rFonts w:ascii="Times New Roman" w:eastAsia="Times New Roman" w:hAnsi="Times New Roman" w:cs="Times New Roman"/>
          <w:color w:val="222222"/>
          <w:kern w:val="0"/>
          <w:sz w:val="24"/>
          <w:szCs w:val="24"/>
          <w14:ligatures w14:val="none"/>
        </w:rPr>
        <w:t xml:space="preserve">shifting from strict </w:t>
      </w:r>
      <w:r w:rsidR="00686CF9" w:rsidRPr="00686CF9">
        <w:rPr>
          <w:rFonts w:ascii="Times New Roman" w:eastAsia="Times New Roman" w:hAnsi="Times New Roman" w:cs="Times New Roman"/>
          <w:i/>
          <w:iCs/>
          <w:color w:val="222222"/>
          <w:kern w:val="0"/>
          <w:sz w:val="24"/>
          <w:szCs w:val="24"/>
          <w14:ligatures w14:val="none"/>
        </w:rPr>
        <w:t>per se</w:t>
      </w:r>
      <w:r w:rsidR="00686CF9">
        <w:rPr>
          <w:rFonts w:ascii="Times New Roman" w:eastAsia="Times New Roman" w:hAnsi="Times New Roman" w:cs="Times New Roman"/>
          <w:color w:val="222222"/>
          <w:kern w:val="0"/>
          <w:sz w:val="24"/>
          <w:szCs w:val="24"/>
          <w14:ligatures w14:val="none"/>
        </w:rPr>
        <w:t xml:space="preserve"> to the </w:t>
      </w:r>
      <w:r w:rsidR="00686CF9" w:rsidRPr="00361743">
        <w:rPr>
          <w:rFonts w:ascii="Times New Roman" w:eastAsia="Times New Roman" w:hAnsi="Times New Roman" w:cs="Times New Roman"/>
          <w:i/>
          <w:iCs/>
          <w:color w:val="222222"/>
          <w:kern w:val="0"/>
          <w:sz w:val="24"/>
          <w:szCs w:val="24"/>
          <w14:ligatures w14:val="none"/>
        </w:rPr>
        <w:t>rule of reason</w:t>
      </w:r>
      <w:r w:rsidR="00686CF9">
        <w:rPr>
          <w:rFonts w:ascii="Times New Roman" w:eastAsia="Times New Roman" w:hAnsi="Times New Roman" w:cs="Times New Roman"/>
          <w:color w:val="222222"/>
          <w:kern w:val="0"/>
          <w:sz w:val="24"/>
          <w:szCs w:val="24"/>
          <w14:ligatures w14:val="none"/>
        </w:rPr>
        <w:t xml:space="preserve"> by </w:t>
      </w:r>
      <w:r w:rsidR="00F9091B" w:rsidRPr="00F9091B">
        <w:rPr>
          <w:rFonts w:ascii="Times New Roman" w:eastAsia="Times New Roman" w:hAnsi="Times New Roman" w:cs="Times New Roman"/>
          <w:color w:val="222222"/>
          <w:kern w:val="0"/>
          <w:sz w:val="24"/>
          <w:szCs w:val="24"/>
          <w14:ligatures w14:val="none"/>
        </w:rPr>
        <w:t>the D</w:t>
      </w:r>
      <w:r w:rsidR="00F9091B">
        <w:rPr>
          <w:rFonts w:ascii="Times New Roman" w:eastAsia="Times New Roman" w:hAnsi="Times New Roman" w:cs="Times New Roman"/>
          <w:color w:val="222222"/>
          <w:kern w:val="0"/>
          <w:sz w:val="24"/>
          <w:szCs w:val="24"/>
          <w14:ligatures w14:val="none"/>
        </w:rPr>
        <w:t xml:space="preserve">epartment of Justice </w:t>
      </w:r>
      <w:r w:rsidR="00F9091B" w:rsidRPr="00F9091B">
        <w:rPr>
          <w:rFonts w:ascii="Times New Roman" w:eastAsia="Times New Roman" w:hAnsi="Times New Roman" w:cs="Times New Roman"/>
          <w:color w:val="222222"/>
          <w:kern w:val="0"/>
          <w:sz w:val="24"/>
          <w:szCs w:val="24"/>
          <w14:ligatures w14:val="none"/>
        </w:rPr>
        <w:t xml:space="preserve">and </w:t>
      </w:r>
      <w:r w:rsidR="00F9091B">
        <w:rPr>
          <w:rFonts w:ascii="Times New Roman" w:eastAsia="Times New Roman" w:hAnsi="Times New Roman" w:cs="Times New Roman"/>
          <w:color w:val="222222"/>
          <w:kern w:val="0"/>
          <w:sz w:val="24"/>
          <w:szCs w:val="24"/>
          <w14:ligatures w14:val="none"/>
        </w:rPr>
        <w:t xml:space="preserve">the </w:t>
      </w:r>
      <w:r w:rsidR="00F9091B" w:rsidRPr="00F9091B">
        <w:rPr>
          <w:rFonts w:ascii="Times New Roman" w:eastAsia="Times New Roman" w:hAnsi="Times New Roman" w:cs="Times New Roman"/>
          <w:color w:val="222222"/>
          <w:kern w:val="0"/>
          <w:sz w:val="24"/>
          <w:szCs w:val="24"/>
          <w14:ligatures w14:val="none"/>
        </w:rPr>
        <w:t>FTC.  While</w:t>
      </w:r>
      <w:r w:rsidR="00F9091B">
        <w:rPr>
          <w:rFonts w:ascii="Times New Roman" w:eastAsia="Times New Roman" w:hAnsi="Times New Roman" w:cs="Times New Roman"/>
          <w:color w:val="222222"/>
          <w:kern w:val="0"/>
          <w:sz w:val="24"/>
          <w:szCs w:val="24"/>
          <w14:ligatures w14:val="none"/>
        </w:rPr>
        <w:t xml:space="preserve"> government </w:t>
      </w:r>
      <w:r w:rsidR="00F9091B" w:rsidRPr="00F9091B">
        <w:rPr>
          <w:rFonts w:ascii="Times New Roman" w:eastAsia="Times New Roman" w:hAnsi="Times New Roman" w:cs="Times New Roman"/>
          <w:color w:val="222222"/>
          <w:kern w:val="0"/>
          <w:sz w:val="24"/>
          <w:szCs w:val="24"/>
          <w14:ligatures w14:val="none"/>
        </w:rPr>
        <w:t xml:space="preserve">decisions to litigate </w:t>
      </w:r>
      <w:r w:rsidR="00F9091B">
        <w:rPr>
          <w:rFonts w:ascii="Times New Roman" w:eastAsia="Times New Roman" w:hAnsi="Times New Roman" w:cs="Times New Roman"/>
          <w:color w:val="222222"/>
          <w:kern w:val="0"/>
          <w:sz w:val="24"/>
          <w:szCs w:val="24"/>
          <w14:ligatures w14:val="none"/>
        </w:rPr>
        <w:t xml:space="preserve">firm size and market behavior </w:t>
      </w:r>
      <w:r w:rsidR="00361743">
        <w:rPr>
          <w:rFonts w:ascii="Times New Roman" w:eastAsia="Times New Roman" w:hAnsi="Times New Roman" w:cs="Times New Roman"/>
          <w:color w:val="222222"/>
          <w:kern w:val="0"/>
          <w:sz w:val="24"/>
          <w:szCs w:val="24"/>
          <w14:ligatures w14:val="none"/>
        </w:rPr>
        <w:t xml:space="preserve">have </w:t>
      </w:r>
      <w:r w:rsidR="00F9091B" w:rsidRPr="00F9091B">
        <w:rPr>
          <w:rFonts w:ascii="Times New Roman" w:eastAsia="Times New Roman" w:hAnsi="Times New Roman" w:cs="Times New Roman"/>
          <w:color w:val="222222"/>
          <w:kern w:val="0"/>
          <w:sz w:val="24"/>
          <w:szCs w:val="24"/>
          <w14:ligatures w14:val="none"/>
        </w:rPr>
        <w:t>shift</w:t>
      </w:r>
      <w:r w:rsidR="00574BCB">
        <w:rPr>
          <w:rFonts w:ascii="Times New Roman" w:eastAsia="Times New Roman" w:hAnsi="Times New Roman" w:cs="Times New Roman"/>
          <w:color w:val="222222"/>
          <w:kern w:val="0"/>
          <w:sz w:val="24"/>
          <w:szCs w:val="24"/>
          <w14:ligatures w14:val="none"/>
        </w:rPr>
        <w:t>ed</w:t>
      </w:r>
      <w:r w:rsidR="00F9091B" w:rsidRPr="00F9091B">
        <w:rPr>
          <w:rFonts w:ascii="Times New Roman" w:eastAsia="Times New Roman" w:hAnsi="Times New Roman" w:cs="Times New Roman"/>
          <w:color w:val="222222"/>
          <w:kern w:val="0"/>
          <w:sz w:val="24"/>
          <w:szCs w:val="24"/>
          <w14:ligatures w14:val="none"/>
        </w:rPr>
        <w:t xml:space="preserve"> back and forth</w:t>
      </w:r>
      <w:r w:rsidR="00574BCB">
        <w:rPr>
          <w:rFonts w:ascii="Times New Roman" w:eastAsia="Times New Roman" w:hAnsi="Times New Roman" w:cs="Times New Roman"/>
          <w:color w:val="222222"/>
          <w:kern w:val="0"/>
          <w:sz w:val="24"/>
          <w:szCs w:val="24"/>
          <w14:ligatures w14:val="none"/>
        </w:rPr>
        <w:t>,</w:t>
      </w:r>
      <w:r w:rsidR="00F9091B" w:rsidRPr="00F9091B">
        <w:rPr>
          <w:rFonts w:ascii="Times New Roman" w:eastAsia="Times New Roman" w:hAnsi="Times New Roman" w:cs="Times New Roman"/>
          <w:color w:val="222222"/>
          <w:kern w:val="0"/>
          <w:sz w:val="24"/>
          <w:szCs w:val="24"/>
          <w14:ligatures w14:val="none"/>
        </w:rPr>
        <w:t xml:space="preserve"> depending o</w:t>
      </w:r>
      <w:r w:rsidR="006E7C53">
        <w:rPr>
          <w:rFonts w:ascii="Times New Roman" w:eastAsia="Times New Roman" w:hAnsi="Times New Roman" w:cs="Times New Roman"/>
          <w:color w:val="222222"/>
          <w:kern w:val="0"/>
          <w:sz w:val="24"/>
          <w:szCs w:val="24"/>
          <w14:ligatures w14:val="none"/>
        </w:rPr>
        <w:t>n</w:t>
      </w:r>
      <w:r w:rsidR="00F9091B" w:rsidRPr="00F9091B">
        <w:rPr>
          <w:rFonts w:ascii="Times New Roman" w:eastAsia="Times New Roman" w:hAnsi="Times New Roman" w:cs="Times New Roman"/>
          <w:color w:val="222222"/>
          <w:kern w:val="0"/>
          <w:sz w:val="24"/>
          <w:szCs w:val="24"/>
          <w14:ligatures w14:val="none"/>
        </w:rPr>
        <w:t xml:space="preserve"> the political persuasion of each administration, the rule of reason approach </w:t>
      </w:r>
      <w:r w:rsidR="00361743">
        <w:rPr>
          <w:rFonts w:ascii="Times New Roman" w:eastAsia="Times New Roman" w:hAnsi="Times New Roman" w:cs="Times New Roman"/>
          <w:color w:val="222222"/>
          <w:kern w:val="0"/>
          <w:sz w:val="24"/>
          <w:szCs w:val="24"/>
          <w14:ligatures w14:val="none"/>
        </w:rPr>
        <w:t xml:space="preserve">has </w:t>
      </w:r>
      <w:r w:rsidR="00F9091B" w:rsidRPr="00F9091B">
        <w:rPr>
          <w:rFonts w:ascii="Times New Roman" w:eastAsia="Times New Roman" w:hAnsi="Times New Roman" w:cs="Times New Roman"/>
          <w:color w:val="222222"/>
          <w:kern w:val="0"/>
          <w:sz w:val="24"/>
          <w:szCs w:val="24"/>
          <w14:ligatures w14:val="none"/>
        </w:rPr>
        <w:t>persist</w:t>
      </w:r>
      <w:r w:rsidR="00574BCB">
        <w:rPr>
          <w:rFonts w:ascii="Times New Roman" w:eastAsia="Times New Roman" w:hAnsi="Times New Roman" w:cs="Times New Roman"/>
          <w:color w:val="222222"/>
          <w:kern w:val="0"/>
          <w:sz w:val="24"/>
          <w:szCs w:val="24"/>
          <w14:ligatures w14:val="none"/>
        </w:rPr>
        <w:t>ed</w:t>
      </w:r>
      <w:r w:rsidR="00F9091B" w:rsidRPr="00F9091B">
        <w:rPr>
          <w:rFonts w:ascii="Times New Roman" w:eastAsia="Times New Roman" w:hAnsi="Times New Roman" w:cs="Times New Roman"/>
          <w:color w:val="222222"/>
          <w:kern w:val="0"/>
          <w:sz w:val="24"/>
          <w:szCs w:val="24"/>
          <w14:ligatures w14:val="none"/>
        </w:rPr>
        <w:t>. </w:t>
      </w:r>
      <w:r w:rsidR="00F9091B">
        <w:rPr>
          <w:rFonts w:ascii="Times New Roman" w:eastAsia="Times New Roman" w:hAnsi="Times New Roman" w:cs="Times New Roman"/>
          <w:color w:val="222222"/>
          <w:kern w:val="0"/>
          <w:sz w:val="24"/>
          <w:szCs w:val="24"/>
          <w14:ligatures w14:val="none"/>
        </w:rPr>
        <w:t>Williamson</w:t>
      </w:r>
      <w:r w:rsidR="00686CF9">
        <w:rPr>
          <w:rFonts w:ascii="Times New Roman" w:eastAsia="Times New Roman" w:hAnsi="Times New Roman" w:cs="Times New Roman"/>
          <w:color w:val="222222"/>
          <w:kern w:val="0"/>
          <w:sz w:val="24"/>
          <w:szCs w:val="24"/>
          <w14:ligatures w14:val="none"/>
        </w:rPr>
        <w:t xml:space="preserve">’s insights also explained corporate structures and governance, as well as the impact </w:t>
      </w:r>
      <w:r w:rsidR="00A66B8C">
        <w:rPr>
          <w:rFonts w:ascii="Times New Roman" w:eastAsia="Times New Roman" w:hAnsi="Times New Roman" w:cs="Times New Roman"/>
          <w:color w:val="222222"/>
          <w:kern w:val="0"/>
          <w:sz w:val="24"/>
          <w:szCs w:val="24"/>
          <w14:ligatures w14:val="none"/>
        </w:rPr>
        <w:t xml:space="preserve">of </w:t>
      </w:r>
      <w:r w:rsidR="00686CF9">
        <w:rPr>
          <w:rFonts w:ascii="Times New Roman" w:eastAsia="Times New Roman" w:hAnsi="Times New Roman" w:cs="Times New Roman"/>
          <w:color w:val="222222"/>
          <w:kern w:val="0"/>
          <w:sz w:val="24"/>
          <w:szCs w:val="24"/>
          <w14:ligatures w14:val="none"/>
        </w:rPr>
        <w:t>team production</w:t>
      </w:r>
      <w:r w:rsidR="00A66B8C">
        <w:rPr>
          <w:rFonts w:ascii="Times New Roman" w:eastAsia="Times New Roman" w:hAnsi="Times New Roman" w:cs="Times New Roman"/>
          <w:color w:val="222222"/>
          <w:kern w:val="0"/>
          <w:sz w:val="24"/>
          <w:szCs w:val="24"/>
          <w14:ligatures w14:val="none"/>
        </w:rPr>
        <w:t xml:space="preserve"> and technological innovation, the use of</w:t>
      </w:r>
      <w:r w:rsidR="00686CF9">
        <w:rPr>
          <w:rFonts w:ascii="Times New Roman" w:eastAsia="Times New Roman" w:hAnsi="Times New Roman" w:cs="Times New Roman"/>
          <w:color w:val="222222"/>
          <w:kern w:val="0"/>
          <w:sz w:val="24"/>
          <w:szCs w:val="24"/>
          <w14:ligatures w14:val="none"/>
        </w:rPr>
        <w:t xml:space="preserve"> </w:t>
      </w:r>
      <w:r w:rsidR="00A66B8C">
        <w:rPr>
          <w:rFonts w:ascii="Times New Roman" w:eastAsia="Times New Roman" w:hAnsi="Times New Roman" w:cs="Times New Roman"/>
          <w:color w:val="222222"/>
          <w:kern w:val="0"/>
          <w:sz w:val="24"/>
          <w:szCs w:val="24"/>
          <w14:ligatures w14:val="none"/>
        </w:rPr>
        <w:t xml:space="preserve">supervisory boards, and evaluation of competing claims across various stakeholders. </w:t>
      </w:r>
      <w:r w:rsidRPr="00F9091B">
        <w:rPr>
          <w:rFonts w:ascii="Times New Roman" w:hAnsi="Times New Roman" w:cs="Times New Roman"/>
          <w:sz w:val="24"/>
          <w:szCs w:val="24"/>
        </w:rPr>
        <w:t xml:space="preserve">  </w:t>
      </w:r>
    </w:p>
    <w:p w14:paraId="7C84E7D5" w14:textId="13F19FEE" w:rsidR="0023065E" w:rsidRDefault="00F42ADA" w:rsidP="005F5D6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Coase (1960)</w:t>
      </w:r>
      <w:r w:rsidR="00361F34">
        <w:rPr>
          <w:rFonts w:ascii="Times New Roman" w:hAnsi="Times New Roman" w:cs="Times New Roman"/>
          <w:sz w:val="24"/>
          <w:szCs w:val="24"/>
        </w:rPr>
        <w:t xml:space="preserve"> sought to illustrate </w:t>
      </w:r>
      <w:r w:rsidR="00D42347">
        <w:rPr>
          <w:rFonts w:ascii="Times New Roman" w:hAnsi="Times New Roman" w:cs="Times New Roman"/>
          <w:sz w:val="24"/>
          <w:szCs w:val="24"/>
        </w:rPr>
        <w:t xml:space="preserve">conceptually </w:t>
      </w:r>
      <w:r w:rsidR="00361F34">
        <w:rPr>
          <w:rFonts w:ascii="Times New Roman" w:hAnsi="Times New Roman" w:cs="Times New Roman"/>
          <w:sz w:val="24"/>
          <w:szCs w:val="24"/>
        </w:rPr>
        <w:t xml:space="preserve">how property rights and market exchange could provide transaction cost efficiencies in externality mitigation. </w:t>
      </w:r>
      <w:r w:rsidR="00F82382">
        <w:rPr>
          <w:rFonts w:ascii="Times New Roman" w:hAnsi="Times New Roman" w:cs="Times New Roman"/>
          <w:sz w:val="24"/>
          <w:szCs w:val="24"/>
        </w:rPr>
        <w:t>H</w:t>
      </w:r>
      <w:r w:rsidR="00D42347">
        <w:rPr>
          <w:rFonts w:ascii="Times New Roman" w:hAnsi="Times New Roman" w:cs="Times New Roman"/>
          <w:sz w:val="24"/>
          <w:szCs w:val="24"/>
        </w:rPr>
        <w:t xml:space="preserve">e provided a suggested </w:t>
      </w:r>
      <w:r>
        <w:rPr>
          <w:rFonts w:ascii="Times New Roman" w:hAnsi="Times New Roman" w:cs="Times New Roman"/>
          <w:sz w:val="24"/>
          <w:szCs w:val="24"/>
        </w:rPr>
        <w:t>policy</w:t>
      </w:r>
      <w:r w:rsidR="00D42347">
        <w:rPr>
          <w:rFonts w:ascii="Times New Roman" w:hAnsi="Times New Roman" w:cs="Times New Roman"/>
          <w:sz w:val="24"/>
          <w:szCs w:val="24"/>
        </w:rPr>
        <w:t xml:space="preserve"> framework</w:t>
      </w:r>
      <w:r w:rsidR="00F9091B">
        <w:rPr>
          <w:rFonts w:ascii="Times New Roman" w:hAnsi="Times New Roman" w:cs="Times New Roman"/>
          <w:sz w:val="24"/>
          <w:szCs w:val="24"/>
        </w:rPr>
        <w:t>, no</w:t>
      </w:r>
      <w:r w:rsidR="005F5D64">
        <w:rPr>
          <w:rFonts w:ascii="Times New Roman" w:hAnsi="Times New Roman" w:cs="Times New Roman"/>
          <w:sz w:val="24"/>
          <w:szCs w:val="24"/>
        </w:rPr>
        <w:t xml:space="preserve">t </w:t>
      </w:r>
      <w:r w:rsidR="008D07D1">
        <w:rPr>
          <w:rFonts w:ascii="Times New Roman" w:hAnsi="Times New Roman" w:cs="Times New Roman"/>
          <w:sz w:val="24"/>
          <w:szCs w:val="24"/>
        </w:rPr>
        <w:t xml:space="preserve">an </w:t>
      </w:r>
      <w:r w:rsidR="00F9091B">
        <w:rPr>
          <w:rFonts w:ascii="Times New Roman" w:hAnsi="Times New Roman" w:cs="Times New Roman"/>
          <w:sz w:val="24"/>
          <w:szCs w:val="24"/>
        </w:rPr>
        <w:t>organizational</w:t>
      </w:r>
      <w:r>
        <w:rPr>
          <w:rFonts w:ascii="Times New Roman" w:hAnsi="Times New Roman" w:cs="Times New Roman"/>
          <w:sz w:val="24"/>
          <w:szCs w:val="24"/>
        </w:rPr>
        <w:t xml:space="preserve"> agenda. </w:t>
      </w:r>
      <w:r w:rsidR="005F5D64">
        <w:rPr>
          <w:rFonts w:ascii="Times New Roman" w:hAnsi="Times New Roman" w:cs="Times New Roman"/>
          <w:sz w:val="24"/>
          <w:szCs w:val="24"/>
        </w:rPr>
        <w:t xml:space="preserve">In </w:t>
      </w:r>
      <w:r w:rsidR="005F5D64">
        <w:rPr>
          <w:rFonts w:ascii="Times New Roman" w:hAnsi="Times New Roman" w:cs="Times New Roman"/>
          <w:i/>
          <w:iCs/>
          <w:sz w:val="24"/>
          <w:szCs w:val="24"/>
        </w:rPr>
        <w:t>T</w:t>
      </w:r>
      <w:r w:rsidR="005F5D64" w:rsidRPr="005F5D64">
        <w:rPr>
          <w:rFonts w:ascii="Times New Roman" w:hAnsi="Times New Roman" w:cs="Times New Roman"/>
          <w:i/>
          <w:iCs/>
          <w:sz w:val="24"/>
          <w:szCs w:val="24"/>
        </w:rPr>
        <w:t>he Problem of Social Cost</w:t>
      </w:r>
      <w:r w:rsidR="005F5D64" w:rsidRPr="005F5D64">
        <w:rPr>
          <w:rFonts w:ascii="Times New Roman" w:hAnsi="Times New Roman" w:cs="Times New Roman"/>
          <w:sz w:val="24"/>
          <w:szCs w:val="24"/>
        </w:rPr>
        <w:t>, h</w:t>
      </w:r>
      <w:r w:rsidRPr="005F5D64">
        <w:rPr>
          <w:rFonts w:ascii="Times New Roman" w:hAnsi="Times New Roman" w:cs="Times New Roman"/>
          <w:sz w:val="24"/>
          <w:szCs w:val="24"/>
        </w:rPr>
        <w:t>e</w:t>
      </w:r>
      <w:r>
        <w:rPr>
          <w:rFonts w:ascii="Times New Roman" w:hAnsi="Times New Roman" w:cs="Times New Roman"/>
          <w:sz w:val="24"/>
          <w:szCs w:val="24"/>
        </w:rPr>
        <w:t xml:space="preserve"> criticized standard Pigouvian </w:t>
      </w:r>
      <w:r w:rsidR="00853273">
        <w:rPr>
          <w:rFonts w:ascii="Times New Roman" w:hAnsi="Times New Roman" w:cs="Times New Roman"/>
          <w:sz w:val="24"/>
          <w:szCs w:val="24"/>
        </w:rPr>
        <w:t>approaches</w:t>
      </w:r>
      <w:r w:rsidR="00B648F5">
        <w:rPr>
          <w:rFonts w:ascii="Times New Roman" w:hAnsi="Times New Roman" w:cs="Times New Roman"/>
          <w:sz w:val="24"/>
          <w:szCs w:val="24"/>
        </w:rPr>
        <w:t xml:space="preserve"> </w:t>
      </w:r>
      <w:r w:rsidR="00F82382">
        <w:rPr>
          <w:rFonts w:ascii="Times New Roman" w:hAnsi="Times New Roman" w:cs="Times New Roman"/>
          <w:sz w:val="24"/>
          <w:szCs w:val="24"/>
        </w:rPr>
        <w:t xml:space="preserve">as being inefficient with solutions potentially more costly than the problem. </w:t>
      </w:r>
      <w:r w:rsidR="005F5D64">
        <w:rPr>
          <w:rFonts w:ascii="Times New Roman" w:hAnsi="Times New Roman" w:cs="Times New Roman"/>
          <w:sz w:val="24"/>
          <w:szCs w:val="24"/>
        </w:rPr>
        <w:t>As with Williamson and Demsetz, he recognized that t</w:t>
      </w:r>
      <w:r w:rsidR="00133398">
        <w:rPr>
          <w:rFonts w:ascii="Times New Roman" w:hAnsi="Times New Roman" w:cs="Times New Roman"/>
          <w:sz w:val="24"/>
          <w:szCs w:val="24"/>
        </w:rPr>
        <w:t>ransaction costs</w:t>
      </w:r>
      <w:r w:rsidR="005F5D64">
        <w:rPr>
          <w:rFonts w:ascii="Times New Roman" w:hAnsi="Times New Roman" w:cs="Times New Roman"/>
          <w:sz w:val="24"/>
          <w:szCs w:val="24"/>
        </w:rPr>
        <w:t xml:space="preserve"> would affect </w:t>
      </w:r>
      <w:r w:rsidR="003E5F82">
        <w:rPr>
          <w:rFonts w:ascii="Times New Roman" w:hAnsi="Times New Roman" w:cs="Times New Roman"/>
          <w:sz w:val="24"/>
          <w:szCs w:val="24"/>
        </w:rPr>
        <w:lastRenderedPageBreak/>
        <w:t>the allocation of property rights</w:t>
      </w:r>
      <w:r w:rsidR="00AC7750">
        <w:rPr>
          <w:rFonts w:ascii="Times New Roman" w:hAnsi="Times New Roman" w:cs="Times New Roman"/>
          <w:sz w:val="24"/>
          <w:szCs w:val="24"/>
        </w:rPr>
        <w:t xml:space="preserve"> and the </w:t>
      </w:r>
      <w:r w:rsidR="005F5D64">
        <w:rPr>
          <w:rFonts w:ascii="Times New Roman" w:hAnsi="Times New Roman" w:cs="Times New Roman"/>
          <w:sz w:val="24"/>
          <w:szCs w:val="24"/>
        </w:rPr>
        <w:t xml:space="preserve">extent </w:t>
      </w:r>
      <w:r w:rsidR="006E7C53">
        <w:rPr>
          <w:rFonts w:ascii="Times New Roman" w:hAnsi="Times New Roman" w:cs="Times New Roman"/>
          <w:sz w:val="24"/>
          <w:szCs w:val="24"/>
        </w:rPr>
        <w:t xml:space="preserve">of </w:t>
      </w:r>
      <w:r w:rsidR="00AC7750">
        <w:rPr>
          <w:rFonts w:ascii="Times New Roman" w:hAnsi="Times New Roman" w:cs="Times New Roman"/>
          <w:sz w:val="24"/>
          <w:szCs w:val="24"/>
        </w:rPr>
        <w:t xml:space="preserve">exchange. </w:t>
      </w:r>
      <w:r w:rsidR="005F5D64">
        <w:rPr>
          <w:rFonts w:ascii="Times New Roman" w:hAnsi="Times New Roman" w:cs="Times New Roman"/>
          <w:sz w:val="24"/>
          <w:szCs w:val="24"/>
        </w:rPr>
        <w:t xml:space="preserve">Even so, Coase asserted that institutional comparisons were required to determine the </w:t>
      </w:r>
      <w:r w:rsidR="00D42347">
        <w:rPr>
          <w:rFonts w:ascii="Times New Roman" w:hAnsi="Times New Roman" w:cs="Times New Roman"/>
          <w:sz w:val="24"/>
          <w:szCs w:val="24"/>
        </w:rPr>
        <w:t xml:space="preserve">transaction costs and </w:t>
      </w:r>
      <w:r w:rsidR="005F5D64">
        <w:rPr>
          <w:rFonts w:ascii="Times New Roman" w:hAnsi="Times New Roman" w:cs="Times New Roman"/>
          <w:sz w:val="24"/>
          <w:szCs w:val="24"/>
        </w:rPr>
        <w:t xml:space="preserve">welfare advantages of Coasean approaches relative to Pigouvian regulation. </w:t>
      </w:r>
      <w:r w:rsidR="00AC7750">
        <w:rPr>
          <w:rFonts w:ascii="Times New Roman" w:hAnsi="Times New Roman" w:cs="Times New Roman"/>
          <w:sz w:val="24"/>
          <w:szCs w:val="24"/>
        </w:rPr>
        <w:t xml:space="preserve">He did not explore the political policy process or how </w:t>
      </w:r>
      <w:r w:rsidR="00F82382">
        <w:rPr>
          <w:rFonts w:ascii="Times New Roman" w:hAnsi="Times New Roman" w:cs="Times New Roman"/>
          <w:sz w:val="24"/>
          <w:szCs w:val="24"/>
        </w:rPr>
        <w:t xml:space="preserve">rent seeking </w:t>
      </w:r>
      <w:r w:rsidR="00AC7750">
        <w:rPr>
          <w:rFonts w:ascii="Times New Roman" w:hAnsi="Times New Roman" w:cs="Times New Roman"/>
          <w:sz w:val="24"/>
          <w:szCs w:val="24"/>
        </w:rPr>
        <w:t>affect</w:t>
      </w:r>
      <w:r w:rsidR="00914F18">
        <w:rPr>
          <w:rFonts w:ascii="Times New Roman" w:hAnsi="Times New Roman" w:cs="Times New Roman"/>
          <w:sz w:val="24"/>
          <w:szCs w:val="24"/>
        </w:rPr>
        <w:t>ed</w:t>
      </w:r>
      <w:r w:rsidR="00AC7750">
        <w:rPr>
          <w:rFonts w:ascii="Times New Roman" w:hAnsi="Times New Roman" w:cs="Times New Roman"/>
          <w:sz w:val="24"/>
          <w:szCs w:val="24"/>
        </w:rPr>
        <w:t xml:space="preserve"> </w:t>
      </w:r>
      <w:r w:rsidR="00D42347">
        <w:rPr>
          <w:rFonts w:ascii="Times New Roman" w:hAnsi="Times New Roman" w:cs="Times New Roman"/>
          <w:sz w:val="24"/>
          <w:szCs w:val="24"/>
        </w:rPr>
        <w:t xml:space="preserve">actual </w:t>
      </w:r>
      <w:r w:rsidR="00AC7750">
        <w:rPr>
          <w:rFonts w:ascii="Times New Roman" w:hAnsi="Times New Roman" w:cs="Times New Roman"/>
          <w:sz w:val="24"/>
          <w:szCs w:val="24"/>
        </w:rPr>
        <w:t xml:space="preserve">adoption of his </w:t>
      </w:r>
      <w:r w:rsidR="00F82382">
        <w:rPr>
          <w:rFonts w:ascii="Times New Roman" w:hAnsi="Times New Roman" w:cs="Times New Roman"/>
          <w:sz w:val="24"/>
          <w:szCs w:val="24"/>
        </w:rPr>
        <w:t xml:space="preserve">framework, despite its welfare benefits. </w:t>
      </w:r>
    </w:p>
    <w:p w14:paraId="231F7F4A" w14:textId="4101D1AD" w:rsidR="00F42ADA" w:rsidRDefault="00A01480" w:rsidP="005F5D6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Coase’s </w:t>
      </w:r>
      <w:r w:rsidR="008D07D1">
        <w:rPr>
          <w:rFonts w:ascii="Times New Roman" w:hAnsi="Times New Roman" w:cs="Times New Roman"/>
          <w:sz w:val="24"/>
          <w:szCs w:val="24"/>
        </w:rPr>
        <w:t xml:space="preserve">framework for </w:t>
      </w:r>
      <w:r w:rsidR="001D6FCA">
        <w:rPr>
          <w:rFonts w:ascii="Times New Roman" w:hAnsi="Times New Roman" w:cs="Times New Roman"/>
          <w:sz w:val="24"/>
          <w:szCs w:val="24"/>
        </w:rPr>
        <w:t xml:space="preserve">property rights and bargaining </w:t>
      </w:r>
      <w:r w:rsidR="008D07D1">
        <w:rPr>
          <w:rFonts w:ascii="Times New Roman" w:hAnsi="Times New Roman" w:cs="Times New Roman"/>
          <w:sz w:val="24"/>
          <w:szCs w:val="24"/>
        </w:rPr>
        <w:t xml:space="preserve">to address externalities </w:t>
      </w:r>
      <w:r w:rsidR="008242A3">
        <w:rPr>
          <w:rFonts w:ascii="Times New Roman" w:hAnsi="Times New Roman" w:cs="Times New Roman"/>
          <w:sz w:val="24"/>
          <w:szCs w:val="24"/>
        </w:rPr>
        <w:t xml:space="preserve">are </w:t>
      </w:r>
      <w:r w:rsidR="001D6FCA">
        <w:rPr>
          <w:rFonts w:ascii="Times New Roman" w:hAnsi="Times New Roman" w:cs="Times New Roman"/>
          <w:sz w:val="24"/>
          <w:szCs w:val="24"/>
        </w:rPr>
        <w:t xml:space="preserve">not the </w:t>
      </w:r>
      <w:r w:rsidR="008242A3">
        <w:rPr>
          <w:rFonts w:ascii="Times New Roman" w:hAnsi="Times New Roman" w:cs="Times New Roman"/>
          <w:sz w:val="24"/>
          <w:szCs w:val="24"/>
        </w:rPr>
        <w:t xml:space="preserve">primary remedies in </w:t>
      </w:r>
      <w:r w:rsidR="001D6FCA">
        <w:rPr>
          <w:rFonts w:ascii="Times New Roman" w:hAnsi="Times New Roman" w:cs="Times New Roman"/>
          <w:sz w:val="24"/>
          <w:szCs w:val="24"/>
        </w:rPr>
        <w:t xml:space="preserve">any </w:t>
      </w:r>
      <w:r w:rsidR="00F82382">
        <w:rPr>
          <w:rFonts w:ascii="Times New Roman" w:hAnsi="Times New Roman" w:cs="Times New Roman"/>
          <w:sz w:val="24"/>
          <w:szCs w:val="24"/>
        </w:rPr>
        <w:t xml:space="preserve">US environmental </w:t>
      </w:r>
      <w:r w:rsidR="001D6FCA">
        <w:rPr>
          <w:rFonts w:ascii="Times New Roman" w:hAnsi="Times New Roman" w:cs="Times New Roman"/>
          <w:sz w:val="24"/>
          <w:szCs w:val="24"/>
        </w:rPr>
        <w:t xml:space="preserve">legislation. All </w:t>
      </w:r>
      <w:r w:rsidR="008242A3">
        <w:rPr>
          <w:rFonts w:ascii="Times New Roman" w:hAnsi="Times New Roman" w:cs="Times New Roman"/>
          <w:sz w:val="24"/>
          <w:szCs w:val="24"/>
        </w:rPr>
        <w:t xml:space="preserve">are </w:t>
      </w:r>
      <w:r w:rsidR="001D6FCA">
        <w:rPr>
          <w:rFonts w:ascii="Times New Roman" w:hAnsi="Times New Roman" w:cs="Times New Roman"/>
          <w:sz w:val="24"/>
          <w:szCs w:val="24"/>
        </w:rPr>
        <w:t xml:space="preserve">Pigouvian. </w:t>
      </w:r>
      <w:r w:rsidR="00A116F3">
        <w:rPr>
          <w:rFonts w:ascii="Times New Roman" w:hAnsi="Times New Roman" w:cs="Times New Roman"/>
          <w:sz w:val="24"/>
          <w:szCs w:val="24"/>
        </w:rPr>
        <w:t>Subsequent</w:t>
      </w:r>
      <w:r w:rsidR="00F82382">
        <w:rPr>
          <w:rFonts w:ascii="Times New Roman" w:hAnsi="Times New Roman" w:cs="Times New Roman"/>
          <w:sz w:val="24"/>
          <w:szCs w:val="24"/>
        </w:rPr>
        <w:t>,</w:t>
      </w:r>
      <w:r w:rsidR="00A116F3">
        <w:rPr>
          <w:rFonts w:ascii="Times New Roman" w:hAnsi="Times New Roman" w:cs="Times New Roman"/>
          <w:sz w:val="24"/>
          <w:szCs w:val="24"/>
        </w:rPr>
        <w:t xml:space="preserve"> </w:t>
      </w:r>
      <w:r w:rsidR="00F82382">
        <w:rPr>
          <w:rFonts w:ascii="Times New Roman" w:hAnsi="Times New Roman" w:cs="Times New Roman"/>
          <w:sz w:val="24"/>
          <w:szCs w:val="24"/>
        </w:rPr>
        <w:t xml:space="preserve">limited </w:t>
      </w:r>
      <w:r w:rsidR="008242A3">
        <w:rPr>
          <w:rFonts w:ascii="Times New Roman" w:hAnsi="Times New Roman" w:cs="Times New Roman"/>
          <w:sz w:val="24"/>
          <w:szCs w:val="24"/>
        </w:rPr>
        <w:t xml:space="preserve">use </w:t>
      </w:r>
      <w:r w:rsidR="00A116F3">
        <w:rPr>
          <w:rFonts w:ascii="Times New Roman" w:hAnsi="Times New Roman" w:cs="Times New Roman"/>
          <w:sz w:val="24"/>
          <w:szCs w:val="24"/>
        </w:rPr>
        <w:t xml:space="preserve">of property rights and exchange has occurred </w:t>
      </w:r>
      <w:r w:rsidR="007A54C8">
        <w:rPr>
          <w:rFonts w:ascii="Times New Roman" w:hAnsi="Times New Roman" w:cs="Times New Roman"/>
          <w:sz w:val="24"/>
          <w:szCs w:val="24"/>
        </w:rPr>
        <w:t xml:space="preserve">at the periphery </w:t>
      </w:r>
      <w:r w:rsidR="00A116F3">
        <w:rPr>
          <w:rFonts w:ascii="Times New Roman" w:hAnsi="Times New Roman" w:cs="Times New Roman"/>
          <w:sz w:val="24"/>
          <w:szCs w:val="24"/>
        </w:rPr>
        <w:t xml:space="preserve">of </w:t>
      </w:r>
      <w:r w:rsidR="00F82382">
        <w:rPr>
          <w:rFonts w:ascii="Times New Roman" w:hAnsi="Times New Roman" w:cs="Times New Roman"/>
          <w:sz w:val="24"/>
          <w:szCs w:val="24"/>
        </w:rPr>
        <w:t xml:space="preserve">some </w:t>
      </w:r>
      <w:r w:rsidR="008242A3">
        <w:rPr>
          <w:rFonts w:ascii="Times New Roman" w:hAnsi="Times New Roman" w:cs="Times New Roman"/>
          <w:sz w:val="24"/>
          <w:szCs w:val="24"/>
        </w:rPr>
        <w:t>programs</w:t>
      </w:r>
      <w:r w:rsidR="00A116F3">
        <w:rPr>
          <w:rFonts w:ascii="Times New Roman" w:hAnsi="Times New Roman" w:cs="Times New Roman"/>
          <w:sz w:val="24"/>
          <w:szCs w:val="24"/>
        </w:rPr>
        <w:t>. The efficiency advantages</w:t>
      </w:r>
      <w:r w:rsidR="00685B6A">
        <w:rPr>
          <w:rFonts w:ascii="Times New Roman" w:hAnsi="Times New Roman" w:cs="Times New Roman"/>
          <w:sz w:val="24"/>
          <w:szCs w:val="24"/>
        </w:rPr>
        <w:t xml:space="preserve">, </w:t>
      </w:r>
      <w:r w:rsidR="00A116F3">
        <w:rPr>
          <w:rFonts w:ascii="Times New Roman" w:hAnsi="Times New Roman" w:cs="Times New Roman"/>
          <w:sz w:val="24"/>
          <w:szCs w:val="24"/>
        </w:rPr>
        <w:t>economic welfare gains</w:t>
      </w:r>
      <w:r w:rsidR="008242A3">
        <w:rPr>
          <w:rFonts w:ascii="Times New Roman" w:hAnsi="Times New Roman" w:cs="Times New Roman"/>
          <w:sz w:val="24"/>
          <w:szCs w:val="24"/>
        </w:rPr>
        <w:t xml:space="preserve">, </w:t>
      </w:r>
      <w:r w:rsidR="00685B6A">
        <w:rPr>
          <w:rFonts w:ascii="Times New Roman" w:hAnsi="Times New Roman" w:cs="Times New Roman"/>
          <w:sz w:val="24"/>
          <w:szCs w:val="24"/>
        </w:rPr>
        <w:t xml:space="preserve">and </w:t>
      </w:r>
      <w:r w:rsidR="008242A3">
        <w:rPr>
          <w:rFonts w:ascii="Times New Roman" w:hAnsi="Times New Roman" w:cs="Times New Roman"/>
          <w:sz w:val="24"/>
          <w:szCs w:val="24"/>
        </w:rPr>
        <w:t>collaborat</w:t>
      </w:r>
      <w:r w:rsidR="00685B6A">
        <w:rPr>
          <w:rFonts w:ascii="Times New Roman" w:hAnsi="Times New Roman" w:cs="Times New Roman"/>
          <w:sz w:val="24"/>
          <w:szCs w:val="24"/>
        </w:rPr>
        <w:t xml:space="preserve">e </w:t>
      </w:r>
      <w:r w:rsidR="00004841">
        <w:rPr>
          <w:rFonts w:ascii="Times New Roman" w:hAnsi="Times New Roman" w:cs="Times New Roman"/>
          <w:sz w:val="24"/>
          <w:szCs w:val="24"/>
        </w:rPr>
        <w:t xml:space="preserve">externality </w:t>
      </w:r>
      <w:r w:rsidR="00685B6A">
        <w:rPr>
          <w:rFonts w:ascii="Times New Roman" w:hAnsi="Times New Roman" w:cs="Times New Roman"/>
          <w:sz w:val="24"/>
          <w:szCs w:val="24"/>
        </w:rPr>
        <w:t xml:space="preserve">responses </w:t>
      </w:r>
      <w:r w:rsidR="008242A3">
        <w:rPr>
          <w:rFonts w:ascii="Times New Roman" w:hAnsi="Times New Roman" w:cs="Times New Roman"/>
          <w:sz w:val="24"/>
          <w:szCs w:val="24"/>
        </w:rPr>
        <w:t xml:space="preserve">suggested </w:t>
      </w:r>
      <w:r w:rsidR="00A116F3">
        <w:rPr>
          <w:rFonts w:ascii="Times New Roman" w:hAnsi="Times New Roman" w:cs="Times New Roman"/>
          <w:sz w:val="24"/>
          <w:szCs w:val="24"/>
        </w:rPr>
        <w:t>by Coase have not been achieved.</w:t>
      </w:r>
      <w:r w:rsidR="008A5B06">
        <w:rPr>
          <w:rFonts w:ascii="Times New Roman" w:hAnsi="Times New Roman" w:cs="Times New Roman"/>
          <w:sz w:val="24"/>
          <w:szCs w:val="24"/>
        </w:rPr>
        <w:t xml:space="preserve"> Although higher transaction costs with Coase might explain an efficient resort to Pigou, there is no evidence such comparisons were made in observed policies.</w:t>
      </w:r>
    </w:p>
    <w:p w14:paraId="2FFE7CC4" w14:textId="6964524B" w:rsidR="000D6D54" w:rsidRDefault="00A116F3" w:rsidP="000D6D5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8A5B06">
        <w:rPr>
          <w:rFonts w:ascii="Times New Roman" w:hAnsi="Times New Roman" w:cs="Times New Roman"/>
          <w:sz w:val="24"/>
          <w:szCs w:val="24"/>
        </w:rPr>
        <w:t xml:space="preserve">apparent </w:t>
      </w:r>
      <w:r>
        <w:rPr>
          <w:rFonts w:ascii="Times New Roman" w:hAnsi="Times New Roman" w:cs="Times New Roman"/>
          <w:sz w:val="24"/>
          <w:szCs w:val="24"/>
        </w:rPr>
        <w:t>reason</w:t>
      </w:r>
      <w:r w:rsidR="008A5B06">
        <w:rPr>
          <w:rFonts w:ascii="Times New Roman" w:hAnsi="Times New Roman" w:cs="Times New Roman"/>
          <w:sz w:val="24"/>
          <w:szCs w:val="24"/>
        </w:rPr>
        <w:t xml:space="preserve"> for the dominance of Pigou</w:t>
      </w:r>
      <w:r>
        <w:rPr>
          <w:rFonts w:ascii="Times New Roman" w:hAnsi="Times New Roman" w:cs="Times New Roman"/>
          <w:sz w:val="24"/>
          <w:szCs w:val="24"/>
        </w:rPr>
        <w:t xml:space="preserve"> is the desire and ability of interest groups, politicians, and agency officials to advance their </w:t>
      </w:r>
      <w:r w:rsidR="00B7608B">
        <w:rPr>
          <w:rFonts w:ascii="Times New Roman" w:hAnsi="Times New Roman" w:cs="Times New Roman"/>
          <w:sz w:val="24"/>
          <w:szCs w:val="24"/>
        </w:rPr>
        <w:t>self-interests</w:t>
      </w:r>
      <w:r>
        <w:rPr>
          <w:rFonts w:ascii="Times New Roman" w:hAnsi="Times New Roman" w:cs="Times New Roman"/>
          <w:sz w:val="24"/>
          <w:szCs w:val="24"/>
        </w:rPr>
        <w:t xml:space="preserve"> </w:t>
      </w:r>
      <w:r w:rsidR="00685B6A">
        <w:rPr>
          <w:rFonts w:ascii="Times New Roman" w:hAnsi="Times New Roman" w:cs="Times New Roman"/>
          <w:sz w:val="24"/>
          <w:szCs w:val="24"/>
        </w:rPr>
        <w:t xml:space="preserve">through rent-seeking, rather than </w:t>
      </w:r>
      <w:r>
        <w:rPr>
          <w:rFonts w:ascii="Times New Roman" w:hAnsi="Times New Roman" w:cs="Times New Roman"/>
          <w:sz w:val="24"/>
          <w:szCs w:val="24"/>
        </w:rPr>
        <w:t>through economic property rights and exchange.</w:t>
      </w:r>
      <w:r w:rsidR="00861B06">
        <w:rPr>
          <w:rFonts w:ascii="Times New Roman" w:hAnsi="Times New Roman" w:cs="Times New Roman"/>
          <w:sz w:val="24"/>
          <w:szCs w:val="24"/>
        </w:rPr>
        <w:t xml:space="preserve">  They capture resource rents via desired policies</w:t>
      </w:r>
      <w:r w:rsidR="00685B6A">
        <w:rPr>
          <w:rFonts w:ascii="Times New Roman" w:hAnsi="Times New Roman" w:cs="Times New Roman"/>
          <w:sz w:val="24"/>
          <w:szCs w:val="24"/>
        </w:rPr>
        <w:t xml:space="preserve"> or preferential, </w:t>
      </w:r>
      <w:r w:rsidR="00B7608B">
        <w:rPr>
          <w:rFonts w:ascii="Times New Roman" w:hAnsi="Times New Roman" w:cs="Times New Roman"/>
          <w:sz w:val="24"/>
          <w:szCs w:val="24"/>
        </w:rPr>
        <w:t>non-tradable</w:t>
      </w:r>
      <w:r w:rsidR="00685B6A">
        <w:rPr>
          <w:rFonts w:ascii="Times New Roman" w:hAnsi="Times New Roman" w:cs="Times New Roman"/>
          <w:sz w:val="24"/>
          <w:szCs w:val="24"/>
        </w:rPr>
        <w:t xml:space="preserve"> property rights</w:t>
      </w:r>
      <w:r w:rsidR="00861B06">
        <w:rPr>
          <w:rFonts w:ascii="Times New Roman" w:hAnsi="Times New Roman" w:cs="Times New Roman"/>
          <w:sz w:val="24"/>
          <w:szCs w:val="24"/>
        </w:rPr>
        <w:t xml:space="preserve"> at comparatively lower </w:t>
      </w:r>
      <w:r w:rsidR="00574BCB">
        <w:rPr>
          <w:rFonts w:ascii="Times New Roman" w:hAnsi="Times New Roman" w:cs="Times New Roman"/>
          <w:sz w:val="24"/>
          <w:szCs w:val="24"/>
        </w:rPr>
        <w:t>direct</w:t>
      </w:r>
      <w:r w:rsidR="00685B6A">
        <w:rPr>
          <w:rFonts w:ascii="Times New Roman" w:hAnsi="Times New Roman" w:cs="Times New Roman"/>
          <w:sz w:val="24"/>
          <w:szCs w:val="24"/>
        </w:rPr>
        <w:t xml:space="preserve"> </w:t>
      </w:r>
      <w:r w:rsidR="00861B06">
        <w:rPr>
          <w:rFonts w:ascii="Times New Roman" w:hAnsi="Times New Roman" w:cs="Times New Roman"/>
          <w:sz w:val="24"/>
          <w:szCs w:val="24"/>
        </w:rPr>
        <w:t xml:space="preserve">costs than a market approach </w:t>
      </w:r>
      <w:r w:rsidR="00685B6A">
        <w:rPr>
          <w:rFonts w:ascii="Times New Roman" w:hAnsi="Times New Roman" w:cs="Times New Roman"/>
          <w:sz w:val="24"/>
          <w:szCs w:val="24"/>
        </w:rPr>
        <w:t>would entail</w:t>
      </w:r>
      <w:r w:rsidR="00861B06">
        <w:rPr>
          <w:rFonts w:ascii="Times New Roman" w:hAnsi="Times New Roman" w:cs="Times New Roman"/>
          <w:sz w:val="24"/>
          <w:szCs w:val="24"/>
        </w:rPr>
        <w:t xml:space="preserve">.  Politicians and agency officials can secure </w:t>
      </w:r>
      <w:r w:rsidR="00B7608B">
        <w:rPr>
          <w:rFonts w:ascii="Times New Roman" w:hAnsi="Times New Roman" w:cs="Times New Roman"/>
          <w:sz w:val="24"/>
          <w:szCs w:val="24"/>
        </w:rPr>
        <w:t>re-election</w:t>
      </w:r>
      <w:r w:rsidR="00861B06">
        <w:rPr>
          <w:rFonts w:ascii="Times New Roman" w:hAnsi="Times New Roman" w:cs="Times New Roman"/>
          <w:sz w:val="24"/>
          <w:szCs w:val="24"/>
        </w:rPr>
        <w:t xml:space="preserve"> and regulatory mandates and budgets. </w:t>
      </w:r>
      <w:r w:rsidR="00914F18">
        <w:rPr>
          <w:rFonts w:ascii="Times New Roman" w:hAnsi="Times New Roman" w:cs="Times New Roman"/>
          <w:sz w:val="24"/>
          <w:szCs w:val="24"/>
        </w:rPr>
        <w:t>Public goods are provided, but o</w:t>
      </w:r>
      <w:r w:rsidR="00F909AA">
        <w:rPr>
          <w:rFonts w:ascii="Times New Roman" w:hAnsi="Times New Roman" w:cs="Times New Roman"/>
          <w:sz w:val="24"/>
          <w:szCs w:val="24"/>
        </w:rPr>
        <w:t xml:space="preserve">verall policy benefits </w:t>
      </w:r>
      <w:r w:rsidR="00B7608B">
        <w:rPr>
          <w:rFonts w:ascii="Times New Roman" w:hAnsi="Times New Roman" w:cs="Times New Roman"/>
          <w:sz w:val="24"/>
          <w:szCs w:val="24"/>
        </w:rPr>
        <w:t>are likely to be</w:t>
      </w:r>
      <w:r w:rsidR="00F909AA">
        <w:rPr>
          <w:rFonts w:ascii="Times New Roman" w:hAnsi="Times New Roman" w:cs="Times New Roman"/>
          <w:sz w:val="24"/>
          <w:szCs w:val="24"/>
        </w:rPr>
        <w:t xml:space="preserve"> less and aggregate costs more than would have been possible had Coasean approaches been adopted. </w:t>
      </w:r>
    </w:p>
    <w:p w14:paraId="36FFA930" w14:textId="29C2EE23" w:rsidR="000D6D54" w:rsidRPr="000D6D54" w:rsidRDefault="000D6D54" w:rsidP="00A116F3">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Coase’s </w:t>
      </w:r>
      <w:r w:rsidRPr="000D6D54">
        <w:rPr>
          <w:rFonts w:ascii="Times New Roman" w:eastAsia="Times New Roman" w:hAnsi="Times New Roman" w:cs="Times New Roman"/>
          <w:color w:val="000000"/>
          <w:sz w:val="24"/>
          <w:szCs w:val="24"/>
        </w:rPr>
        <w:t xml:space="preserve">efficiency arguments better explain the aggregate </w:t>
      </w:r>
      <w:r w:rsidR="00D42347">
        <w:rPr>
          <w:rFonts w:ascii="Times New Roman" w:hAnsi="Times New Roman" w:cs="Times New Roman"/>
          <w:sz w:val="24"/>
          <w:szCs w:val="24"/>
        </w:rPr>
        <w:t xml:space="preserve">theoretical </w:t>
      </w:r>
      <w:r w:rsidRPr="000D6D54">
        <w:rPr>
          <w:rFonts w:ascii="Times New Roman" w:eastAsia="Times New Roman" w:hAnsi="Times New Roman" w:cs="Times New Roman"/>
          <w:color w:val="000000"/>
          <w:sz w:val="24"/>
          <w:szCs w:val="24"/>
        </w:rPr>
        <w:t>benefits of institutional change to define property rights and promote markets</w:t>
      </w:r>
      <w:r w:rsidR="00980CDE">
        <w:rPr>
          <w:rFonts w:ascii="Times New Roman" w:eastAsia="Times New Roman" w:hAnsi="Times New Roman" w:cs="Times New Roman"/>
          <w:color w:val="000000"/>
          <w:sz w:val="24"/>
          <w:szCs w:val="24"/>
        </w:rPr>
        <w:t xml:space="preserve"> in policy selection than the political choice of actual regulatory policies. His framework is not a handbook for policy adoption, but rather suggests what can be gained or lost when transaction cost efficiencies are or are not </w:t>
      </w:r>
      <w:r w:rsidR="00F82382">
        <w:rPr>
          <w:rFonts w:ascii="Times New Roman" w:eastAsia="Times New Roman" w:hAnsi="Times New Roman" w:cs="Times New Roman"/>
          <w:color w:val="000000"/>
          <w:sz w:val="24"/>
          <w:szCs w:val="24"/>
        </w:rPr>
        <w:t xml:space="preserve">incorporated. </w:t>
      </w:r>
      <w:r w:rsidR="00980CDE">
        <w:rPr>
          <w:rFonts w:ascii="Times New Roman" w:eastAsia="Times New Roman" w:hAnsi="Times New Roman" w:cs="Times New Roman"/>
          <w:color w:val="000000"/>
          <w:sz w:val="24"/>
          <w:szCs w:val="24"/>
        </w:rPr>
        <w:t xml:space="preserve">These issues are </w:t>
      </w:r>
      <w:r w:rsidRPr="000D6D54">
        <w:rPr>
          <w:rFonts w:ascii="Times New Roman" w:eastAsia="Times New Roman" w:hAnsi="Times New Roman" w:cs="Times New Roman"/>
          <w:color w:val="000000"/>
          <w:sz w:val="24"/>
          <w:szCs w:val="24"/>
        </w:rPr>
        <w:t xml:space="preserve">outlined </w:t>
      </w:r>
      <w:r w:rsidR="00980CDE">
        <w:rPr>
          <w:rFonts w:ascii="Times New Roman" w:eastAsia="Times New Roman" w:hAnsi="Times New Roman" w:cs="Times New Roman"/>
          <w:color w:val="000000"/>
          <w:sz w:val="24"/>
          <w:szCs w:val="24"/>
        </w:rPr>
        <w:t xml:space="preserve">more broadly </w:t>
      </w:r>
      <w:r w:rsidRPr="000D6D54">
        <w:rPr>
          <w:rFonts w:ascii="Times New Roman" w:eastAsia="Times New Roman" w:hAnsi="Times New Roman" w:cs="Times New Roman"/>
          <w:color w:val="000000"/>
          <w:sz w:val="24"/>
          <w:szCs w:val="24"/>
        </w:rPr>
        <w:t>by North et al</w:t>
      </w:r>
      <w:r>
        <w:rPr>
          <w:rFonts w:ascii="Times New Roman" w:eastAsia="Times New Roman" w:hAnsi="Times New Roman" w:cs="Times New Roman"/>
          <w:color w:val="000000"/>
          <w:sz w:val="24"/>
          <w:szCs w:val="24"/>
        </w:rPr>
        <w:t xml:space="preserve"> (2009)</w:t>
      </w:r>
      <w:r w:rsidRPr="000D6D54">
        <w:rPr>
          <w:rFonts w:ascii="Times New Roman" w:eastAsia="Times New Roman" w:hAnsi="Times New Roman" w:cs="Times New Roman"/>
          <w:color w:val="000000"/>
          <w:sz w:val="24"/>
          <w:szCs w:val="24"/>
        </w:rPr>
        <w:t xml:space="preserve"> and Acemoglu and Robinson</w:t>
      </w:r>
      <w:r w:rsidR="00980CDE">
        <w:rPr>
          <w:rFonts w:ascii="Times New Roman" w:eastAsia="Times New Roman" w:hAnsi="Times New Roman" w:cs="Times New Roman"/>
          <w:color w:val="000000"/>
          <w:sz w:val="24"/>
          <w:szCs w:val="24"/>
        </w:rPr>
        <w:t xml:space="preserve"> (2012)</w:t>
      </w:r>
      <w:r w:rsidR="00914F18">
        <w:rPr>
          <w:rFonts w:ascii="Times New Roman" w:eastAsia="Times New Roman" w:hAnsi="Times New Roman" w:cs="Times New Roman"/>
          <w:color w:val="000000"/>
          <w:sz w:val="24"/>
          <w:szCs w:val="24"/>
        </w:rPr>
        <w:t xml:space="preserve"> who examine the underperformance of economies due to weak institutions and political rent seeking</w:t>
      </w:r>
      <w:r w:rsidR="00980CDE">
        <w:rPr>
          <w:rFonts w:ascii="Times New Roman" w:eastAsia="Times New Roman" w:hAnsi="Times New Roman" w:cs="Times New Roman"/>
          <w:color w:val="000000"/>
          <w:sz w:val="24"/>
          <w:szCs w:val="24"/>
        </w:rPr>
        <w:t xml:space="preserve">. </w:t>
      </w:r>
      <w:r w:rsidRPr="000D6D54">
        <w:rPr>
          <w:rFonts w:ascii="Times New Roman" w:eastAsia="Times New Roman" w:hAnsi="Times New Roman" w:cs="Times New Roman"/>
          <w:color w:val="000000"/>
          <w:sz w:val="24"/>
          <w:szCs w:val="24"/>
        </w:rPr>
        <w:t>In</w:t>
      </w:r>
      <w:r w:rsidR="00980CDE">
        <w:rPr>
          <w:rFonts w:ascii="Times New Roman" w:eastAsia="Times New Roman" w:hAnsi="Times New Roman" w:cs="Times New Roman"/>
          <w:color w:val="000000"/>
          <w:sz w:val="24"/>
          <w:szCs w:val="24"/>
        </w:rPr>
        <w:t xml:space="preserve"> general, a lesson of Coase and the empirical record of US environmental policies, is that </w:t>
      </w:r>
      <w:r w:rsidRPr="000D6D54">
        <w:rPr>
          <w:rFonts w:ascii="Times New Roman" w:eastAsia="Times New Roman" w:hAnsi="Times New Roman" w:cs="Times New Roman"/>
          <w:color w:val="000000"/>
          <w:sz w:val="24"/>
          <w:szCs w:val="24"/>
        </w:rPr>
        <w:t xml:space="preserve">political </w:t>
      </w:r>
      <w:r w:rsidR="00980CDE">
        <w:rPr>
          <w:rFonts w:ascii="Times New Roman" w:eastAsia="Times New Roman" w:hAnsi="Times New Roman" w:cs="Times New Roman"/>
          <w:color w:val="000000"/>
          <w:sz w:val="24"/>
          <w:szCs w:val="24"/>
        </w:rPr>
        <w:t>decision making, influenced by rent</w:t>
      </w:r>
      <w:r w:rsidR="00004841">
        <w:rPr>
          <w:rFonts w:ascii="Times New Roman" w:eastAsia="Times New Roman" w:hAnsi="Times New Roman" w:cs="Times New Roman"/>
          <w:color w:val="000000"/>
          <w:sz w:val="24"/>
          <w:szCs w:val="24"/>
        </w:rPr>
        <w:t>-</w:t>
      </w:r>
      <w:r w:rsidR="00980CDE">
        <w:rPr>
          <w:rFonts w:ascii="Times New Roman" w:eastAsia="Times New Roman" w:hAnsi="Times New Roman" w:cs="Times New Roman"/>
          <w:color w:val="000000"/>
          <w:sz w:val="24"/>
          <w:szCs w:val="24"/>
        </w:rPr>
        <w:t xml:space="preserve">seeking and not transaction cost efficiencies, </w:t>
      </w:r>
      <w:r w:rsidRPr="000D6D54">
        <w:rPr>
          <w:rFonts w:ascii="Times New Roman" w:eastAsia="Times New Roman" w:hAnsi="Times New Roman" w:cs="Times New Roman"/>
          <w:color w:val="000000"/>
          <w:sz w:val="24"/>
          <w:szCs w:val="24"/>
        </w:rPr>
        <w:t xml:space="preserve">undermine </w:t>
      </w:r>
      <w:r w:rsidR="00980CDE">
        <w:rPr>
          <w:rFonts w:ascii="Times New Roman" w:eastAsia="Times New Roman" w:hAnsi="Times New Roman" w:cs="Times New Roman"/>
          <w:color w:val="000000"/>
          <w:sz w:val="24"/>
          <w:szCs w:val="24"/>
        </w:rPr>
        <w:t xml:space="preserve">beneficial </w:t>
      </w:r>
      <w:r w:rsidRPr="000D6D54">
        <w:rPr>
          <w:rFonts w:ascii="Times New Roman" w:eastAsia="Times New Roman" w:hAnsi="Times New Roman" w:cs="Times New Roman"/>
          <w:color w:val="000000"/>
          <w:sz w:val="24"/>
          <w:szCs w:val="24"/>
        </w:rPr>
        <w:t xml:space="preserve">institutional </w:t>
      </w:r>
      <w:r w:rsidR="00980CDE">
        <w:rPr>
          <w:rFonts w:ascii="Times New Roman" w:eastAsia="Times New Roman" w:hAnsi="Times New Roman" w:cs="Times New Roman"/>
          <w:color w:val="000000"/>
          <w:sz w:val="24"/>
          <w:szCs w:val="24"/>
        </w:rPr>
        <w:t>formation</w:t>
      </w:r>
      <w:r w:rsidR="00D42347">
        <w:rPr>
          <w:rFonts w:ascii="Times New Roman" w:eastAsia="Times New Roman" w:hAnsi="Times New Roman" w:cs="Times New Roman"/>
          <w:color w:val="000000"/>
          <w:sz w:val="24"/>
          <w:szCs w:val="24"/>
        </w:rPr>
        <w:t>,</w:t>
      </w:r>
      <w:r w:rsidR="00980CDE">
        <w:rPr>
          <w:rFonts w:ascii="Times New Roman" w:eastAsia="Times New Roman" w:hAnsi="Times New Roman" w:cs="Times New Roman"/>
          <w:color w:val="000000"/>
          <w:sz w:val="24"/>
          <w:szCs w:val="24"/>
        </w:rPr>
        <w:t xml:space="preserve"> </w:t>
      </w:r>
      <w:r w:rsidRPr="000D6D54">
        <w:rPr>
          <w:rFonts w:ascii="Times New Roman" w:eastAsia="Times New Roman" w:hAnsi="Times New Roman" w:cs="Times New Roman"/>
          <w:color w:val="000000"/>
          <w:sz w:val="24"/>
          <w:szCs w:val="24"/>
        </w:rPr>
        <w:t>economic growth</w:t>
      </w:r>
      <w:r w:rsidR="00980CDE">
        <w:rPr>
          <w:rFonts w:ascii="Times New Roman" w:eastAsia="Times New Roman" w:hAnsi="Times New Roman" w:cs="Times New Roman"/>
          <w:color w:val="000000"/>
          <w:sz w:val="24"/>
          <w:szCs w:val="24"/>
        </w:rPr>
        <w:t>,</w:t>
      </w:r>
      <w:r w:rsidRPr="000D6D54">
        <w:rPr>
          <w:rFonts w:ascii="Times New Roman" w:eastAsia="Times New Roman" w:hAnsi="Times New Roman" w:cs="Times New Roman"/>
          <w:color w:val="000000"/>
          <w:sz w:val="24"/>
          <w:szCs w:val="24"/>
        </w:rPr>
        <w:t xml:space="preserve"> and welfare</w:t>
      </w:r>
      <w:r w:rsidR="00980CDE">
        <w:rPr>
          <w:rFonts w:ascii="Times New Roman" w:eastAsia="Times New Roman" w:hAnsi="Times New Roman" w:cs="Times New Roman"/>
          <w:color w:val="000000"/>
          <w:sz w:val="24"/>
          <w:szCs w:val="24"/>
        </w:rPr>
        <w:t xml:space="preserve">. </w:t>
      </w:r>
    </w:p>
    <w:sectPr w:rsidR="000D6D54" w:rsidRPr="000D6D54">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A959A7" w14:textId="77777777" w:rsidR="00450448" w:rsidRDefault="00450448" w:rsidP="009447A4">
      <w:pPr>
        <w:spacing w:after="0" w:line="240" w:lineRule="auto"/>
      </w:pPr>
      <w:r>
        <w:separator/>
      </w:r>
    </w:p>
  </w:endnote>
  <w:endnote w:type="continuationSeparator" w:id="0">
    <w:p w14:paraId="47474877" w14:textId="77777777" w:rsidR="00450448" w:rsidRDefault="00450448" w:rsidP="00944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6360435"/>
      <w:docPartObj>
        <w:docPartGallery w:val="Page Numbers (Bottom of Page)"/>
        <w:docPartUnique/>
      </w:docPartObj>
    </w:sdtPr>
    <w:sdtEndPr>
      <w:rPr>
        <w:noProof/>
      </w:rPr>
    </w:sdtEndPr>
    <w:sdtContent>
      <w:p w14:paraId="0806153C" w14:textId="35706CD7" w:rsidR="0050329C" w:rsidRDefault="005032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A761A1" w14:textId="77777777" w:rsidR="0050329C" w:rsidRDefault="005032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D4532" w14:textId="77777777" w:rsidR="00450448" w:rsidRDefault="00450448" w:rsidP="009447A4">
      <w:pPr>
        <w:spacing w:after="0" w:line="240" w:lineRule="auto"/>
      </w:pPr>
      <w:r>
        <w:separator/>
      </w:r>
    </w:p>
  </w:footnote>
  <w:footnote w:type="continuationSeparator" w:id="0">
    <w:p w14:paraId="5A2E1A0B" w14:textId="77777777" w:rsidR="00450448" w:rsidRDefault="00450448" w:rsidP="009447A4">
      <w:pPr>
        <w:spacing w:after="0" w:line="240" w:lineRule="auto"/>
      </w:pPr>
      <w:r>
        <w:continuationSeparator/>
      </w:r>
    </w:p>
  </w:footnote>
  <w:footnote w:id="1">
    <w:p w14:paraId="389D9C1A" w14:textId="1E39E83A" w:rsidR="00164D52" w:rsidRPr="00EE3C11" w:rsidRDefault="00EE7E7A" w:rsidP="00164D52">
      <w:pPr>
        <w:pStyle w:val="FootnoteText"/>
        <w:rPr>
          <w:rFonts w:ascii="Times New Roman" w:hAnsi="Times New Roman" w:cs="Times New Roman"/>
        </w:rPr>
      </w:pPr>
      <w:r w:rsidRPr="008B7A6C">
        <w:rPr>
          <w:rStyle w:val="FootnoteReference"/>
          <w:rFonts w:ascii="Times New Roman" w:hAnsi="Times New Roman" w:cs="Times New Roman"/>
        </w:rPr>
        <w:footnoteRef/>
      </w:r>
      <w:r w:rsidRPr="008B7A6C">
        <w:rPr>
          <w:rFonts w:ascii="Times New Roman" w:hAnsi="Times New Roman" w:cs="Times New Roman"/>
        </w:rPr>
        <w:t xml:space="preserve"> </w:t>
      </w:r>
      <w:r w:rsidR="0064321A" w:rsidRPr="008B7A6C">
        <w:rPr>
          <w:rFonts w:ascii="Times New Roman" w:eastAsia="Times New Roman" w:hAnsi="Times New Roman" w:cs="Times New Roman"/>
          <w:color w:val="000000"/>
        </w:rPr>
        <w:t xml:space="preserve">University of California, Santa Barbara: Bren School of Environmental Science and Management and Economics Department. Paper follows from NBER Working Paper No. 32603, June 2024. </w:t>
      </w:r>
      <w:r w:rsidR="00101831" w:rsidRPr="00DA788F">
        <w:rPr>
          <w:rFonts w:ascii="Times New Roman" w:eastAsia="Times New Roman" w:hAnsi="Times New Roman" w:cs="Times New Roman"/>
          <w:color w:val="000000"/>
        </w:rPr>
        <w:t xml:space="preserve">Valuable comments and suggestions were provided by Jackson Nickerson, Mary Shirley, Phil Keefer, Wally Thurman, Scott Masten, Claude Menard, Alexandra Benham, Jonathan Adler, Jonathan Wood, Sara Sutherland, Eric Edwards, PJ Hill, Karen Clay, Reed Walker, Howard Shelanski, </w:t>
      </w:r>
      <w:r w:rsidR="00164D52">
        <w:rPr>
          <w:rFonts w:ascii="Times New Roman" w:eastAsia="Times New Roman" w:hAnsi="Times New Roman" w:cs="Times New Roman"/>
          <w:color w:val="000000"/>
        </w:rPr>
        <w:t xml:space="preserve">Dan Holland, </w:t>
      </w:r>
      <w:r w:rsidR="00101831">
        <w:rPr>
          <w:rFonts w:ascii="Times New Roman" w:eastAsia="Times New Roman" w:hAnsi="Times New Roman" w:cs="Times New Roman"/>
          <w:color w:val="000000"/>
        </w:rPr>
        <w:t xml:space="preserve">Abigail Kirk, Mark Dickie, </w:t>
      </w:r>
      <w:r w:rsidR="00101831" w:rsidRPr="00DA788F">
        <w:rPr>
          <w:rFonts w:ascii="Times New Roman" w:eastAsia="Times New Roman" w:hAnsi="Times New Roman" w:cs="Times New Roman"/>
          <w:color w:val="000000"/>
        </w:rPr>
        <w:t>and participants at the PERC Summer Workshop, July 2024</w:t>
      </w:r>
      <w:r w:rsidR="00101831">
        <w:rPr>
          <w:rFonts w:ascii="Times New Roman" w:eastAsia="Times New Roman" w:hAnsi="Times New Roman" w:cs="Times New Roman"/>
          <w:color w:val="000000"/>
        </w:rPr>
        <w:t xml:space="preserve">, </w:t>
      </w:r>
      <w:r w:rsidR="00101831" w:rsidRPr="00DA788F">
        <w:rPr>
          <w:rFonts w:ascii="Times New Roman" w:eastAsia="Times New Roman" w:hAnsi="Times New Roman" w:cs="Times New Roman"/>
          <w:color w:val="000000"/>
        </w:rPr>
        <w:t xml:space="preserve">the </w:t>
      </w:r>
      <w:r w:rsidR="00101831" w:rsidRPr="00DA788F">
        <w:rPr>
          <w:rFonts w:ascii="Times New Roman" w:eastAsia="Times New Roman" w:hAnsi="Times New Roman" w:cs="Times New Roman"/>
          <w:i/>
          <w:iCs/>
          <w:kern w:val="0"/>
          <w14:ligatures w14:val="none"/>
        </w:rPr>
        <w:t>Workshop Celebrating 15 Years of Oliver Williamson's Nobel Legacy</w:t>
      </w:r>
      <w:r w:rsidR="00101831" w:rsidRPr="00DA788F">
        <w:rPr>
          <w:rFonts w:ascii="Times New Roman" w:eastAsia="Times New Roman" w:hAnsi="Times New Roman" w:cs="Times New Roman"/>
          <w:b/>
          <w:bCs/>
          <w:kern w:val="0"/>
          <w14:ligatures w14:val="none"/>
        </w:rPr>
        <w:t xml:space="preserve">, </w:t>
      </w:r>
      <w:r w:rsidR="00101831" w:rsidRPr="00DA788F">
        <w:rPr>
          <w:rFonts w:ascii="Times New Roman" w:hAnsi="Times New Roman" w:cs="Times New Roman"/>
          <w:color w:val="000000"/>
          <w:shd w:val="clear" w:color="auto" w:fill="FFFFFF"/>
        </w:rPr>
        <w:t>INSP (National Institute of Public Service), Paris October 17-18, 2024</w:t>
      </w:r>
      <w:r w:rsidR="00101831">
        <w:rPr>
          <w:rFonts w:ascii="Times New Roman" w:hAnsi="Times New Roman" w:cs="Times New Roman"/>
          <w:color w:val="000000"/>
          <w:shd w:val="clear" w:color="auto" w:fill="FFFFFF"/>
        </w:rPr>
        <w:t>, and Economics Workshop, Central Florida University, November 8, 2024</w:t>
      </w:r>
      <w:r w:rsidR="00101831" w:rsidRPr="00DA788F">
        <w:rPr>
          <w:rFonts w:ascii="Times New Roman" w:hAnsi="Times New Roman" w:cs="Times New Roman"/>
          <w:color w:val="000000"/>
          <w:shd w:val="clear" w:color="auto" w:fill="FFFFFF"/>
        </w:rPr>
        <w:t xml:space="preserve">. </w:t>
      </w:r>
      <w:r w:rsidR="00164D52">
        <w:rPr>
          <w:rFonts w:ascii="Times New Roman" w:eastAsia="Times New Roman" w:hAnsi="Times New Roman" w:cs="Times New Roman"/>
          <w:color w:val="000000"/>
        </w:rPr>
        <w:t xml:space="preserve">This paper also draws upon the forthcoming volume, </w:t>
      </w:r>
      <w:bookmarkStart w:id="0" w:name="_Hlk177639231"/>
      <w:r w:rsidR="00164D52">
        <w:rPr>
          <w:rFonts w:ascii="Times New Roman" w:eastAsia="Times New Roman" w:hAnsi="Times New Roman" w:cs="Times New Roman"/>
          <w:i/>
          <w:iCs/>
          <w:color w:val="000000"/>
        </w:rPr>
        <w:t>Where’s Coase? The Implications of Transaction Cost Economics or Rent</w:t>
      </w:r>
      <w:r w:rsidR="00164D52">
        <w:rPr>
          <w:rFonts w:ascii="Times New Roman" w:eastAsia="Times New Roman" w:hAnsi="Times New Roman" w:cs="Times New Roman"/>
          <w:i/>
          <w:iCs/>
          <w:color w:val="000000"/>
        </w:rPr>
        <w:t>-</w:t>
      </w:r>
      <w:r w:rsidR="00164D52">
        <w:rPr>
          <w:rFonts w:ascii="Times New Roman" w:eastAsia="Times New Roman" w:hAnsi="Times New Roman" w:cs="Times New Roman"/>
          <w:i/>
          <w:iCs/>
          <w:color w:val="000000"/>
        </w:rPr>
        <w:t xml:space="preserve">Seeking in </w:t>
      </w:r>
      <w:r w:rsidR="00164D52">
        <w:rPr>
          <w:rFonts w:ascii="Times New Roman" w:eastAsia="Times New Roman" w:hAnsi="Times New Roman" w:cs="Times New Roman"/>
          <w:i/>
          <w:iCs/>
          <w:color w:val="000000"/>
        </w:rPr>
        <w:t xml:space="preserve">Forming </w:t>
      </w:r>
      <w:r w:rsidR="00164D52">
        <w:rPr>
          <w:rFonts w:ascii="Times New Roman" w:eastAsia="Times New Roman" w:hAnsi="Times New Roman" w:cs="Times New Roman"/>
          <w:i/>
          <w:iCs/>
          <w:color w:val="000000"/>
        </w:rPr>
        <w:t>Institution</w:t>
      </w:r>
      <w:r w:rsidR="00164D52">
        <w:rPr>
          <w:rFonts w:ascii="Times New Roman" w:eastAsia="Times New Roman" w:hAnsi="Times New Roman" w:cs="Times New Roman"/>
          <w:i/>
          <w:iCs/>
          <w:color w:val="000000"/>
        </w:rPr>
        <w:t>s</w:t>
      </w:r>
      <w:bookmarkEnd w:id="0"/>
      <w:r w:rsidR="00164D52">
        <w:rPr>
          <w:rFonts w:ascii="Times New Roman" w:eastAsia="Times New Roman" w:hAnsi="Times New Roman" w:cs="Times New Roman"/>
          <w:color w:val="000000"/>
        </w:rPr>
        <w:t>, Cambridge University Press.</w:t>
      </w:r>
    </w:p>
    <w:p w14:paraId="1F6C0A8C" w14:textId="117A6AB0" w:rsidR="00EE7E7A" w:rsidRPr="008B7A6C" w:rsidRDefault="00EE7E7A" w:rsidP="008B7A6C">
      <w:pPr>
        <w:pStyle w:val="Heading2"/>
        <w:shd w:val="clear" w:color="auto" w:fill="FFFFFF"/>
        <w:spacing w:before="0" w:after="120"/>
        <w:rPr>
          <w:rFonts w:ascii="Times New Roman" w:hAnsi="Times New Roman" w:cs="Times New Roman"/>
          <w:sz w:val="20"/>
          <w:szCs w:val="20"/>
        </w:rPr>
      </w:pPr>
    </w:p>
  </w:footnote>
  <w:footnote w:id="2">
    <w:p w14:paraId="05B04C69" w14:textId="6CBAE351" w:rsidR="00561868" w:rsidRPr="00B5000A" w:rsidRDefault="00561868" w:rsidP="00CC0218">
      <w:pPr>
        <w:pStyle w:val="FootnoteText"/>
      </w:pPr>
      <w:r w:rsidRPr="00B5000A">
        <w:rPr>
          <w:rStyle w:val="FootnoteReference"/>
          <w:rFonts w:ascii="Times New Roman" w:hAnsi="Times New Roman" w:cs="Times New Roman"/>
        </w:rPr>
        <w:footnoteRef/>
      </w:r>
      <w:r w:rsidRPr="00B5000A">
        <w:rPr>
          <w:rFonts w:ascii="Times New Roman" w:hAnsi="Times New Roman" w:cs="Times New Roman"/>
        </w:rPr>
        <w:t xml:space="preserve"> </w:t>
      </w:r>
      <w:r w:rsidR="00CA6359" w:rsidRPr="00B5000A">
        <w:rPr>
          <w:rFonts w:ascii="Times New Roman" w:hAnsi="Times New Roman" w:cs="Times New Roman"/>
        </w:rPr>
        <w:t xml:space="preserve">Coase, R.H. </w:t>
      </w:r>
      <w:r w:rsidR="00850AD4" w:rsidRPr="00B5000A">
        <w:rPr>
          <w:rFonts w:ascii="Times New Roman" w:hAnsi="Times New Roman" w:cs="Times New Roman"/>
        </w:rPr>
        <w:t xml:space="preserve">(1937). The </w:t>
      </w:r>
      <w:r w:rsidR="00AA67CE">
        <w:rPr>
          <w:rFonts w:ascii="Times New Roman" w:hAnsi="Times New Roman" w:cs="Times New Roman"/>
        </w:rPr>
        <w:t>n</w:t>
      </w:r>
      <w:r w:rsidR="00850AD4" w:rsidRPr="00B5000A">
        <w:rPr>
          <w:rFonts w:ascii="Times New Roman" w:hAnsi="Times New Roman" w:cs="Times New Roman"/>
        </w:rPr>
        <w:t xml:space="preserve">ature of the </w:t>
      </w:r>
      <w:r w:rsidR="00AA67CE">
        <w:rPr>
          <w:rFonts w:ascii="Times New Roman" w:hAnsi="Times New Roman" w:cs="Times New Roman"/>
        </w:rPr>
        <w:t>f</w:t>
      </w:r>
      <w:r w:rsidR="00850AD4" w:rsidRPr="00B5000A">
        <w:rPr>
          <w:rFonts w:ascii="Times New Roman" w:hAnsi="Times New Roman" w:cs="Times New Roman"/>
        </w:rPr>
        <w:t xml:space="preserve">irm. </w:t>
      </w:r>
      <w:r w:rsidR="00850AD4" w:rsidRPr="00B5000A">
        <w:rPr>
          <w:rFonts w:ascii="Times New Roman" w:hAnsi="Times New Roman" w:cs="Times New Roman"/>
          <w:i/>
          <w:iCs/>
        </w:rPr>
        <w:t>Economica</w:t>
      </w:r>
      <w:r w:rsidR="00850AD4" w:rsidRPr="00B5000A">
        <w:rPr>
          <w:rFonts w:ascii="Times New Roman" w:hAnsi="Times New Roman" w:cs="Times New Roman"/>
        </w:rPr>
        <w:t xml:space="preserve"> 4(16): 386-405; </w:t>
      </w:r>
      <w:r w:rsidR="00B5000A" w:rsidRPr="00B5000A">
        <w:rPr>
          <w:rFonts w:ascii="Times New Roman" w:hAnsi="Times New Roman" w:cs="Times New Roman"/>
        </w:rPr>
        <w:t xml:space="preserve">(1992) The </w:t>
      </w:r>
      <w:r w:rsidR="00AA67CE">
        <w:rPr>
          <w:rFonts w:ascii="Times New Roman" w:hAnsi="Times New Roman" w:cs="Times New Roman"/>
        </w:rPr>
        <w:t>i</w:t>
      </w:r>
      <w:r w:rsidR="00B5000A" w:rsidRPr="00B5000A">
        <w:rPr>
          <w:rFonts w:ascii="Times New Roman" w:hAnsi="Times New Roman" w:cs="Times New Roman"/>
        </w:rPr>
        <w:t xml:space="preserve">nstitutional </w:t>
      </w:r>
      <w:r w:rsidR="008F6140">
        <w:rPr>
          <w:rFonts w:ascii="Times New Roman" w:hAnsi="Times New Roman" w:cs="Times New Roman"/>
        </w:rPr>
        <w:t>s</w:t>
      </w:r>
      <w:r w:rsidR="00B5000A" w:rsidRPr="00B5000A">
        <w:rPr>
          <w:rFonts w:ascii="Times New Roman" w:hAnsi="Times New Roman" w:cs="Times New Roman"/>
        </w:rPr>
        <w:t xml:space="preserve">tructure of </w:t>
      </w:r>
      <w:r w:rsidR="008F6140">
        <w:rPr>
          <w:rFonts w:ascii="Times New Roman" w:hAnsi="Times New Roman" w:cs="Times New Roman"/>
        </w:rPr>
        <w:t>p</w:t>
      </w:r>
      <w:r w:rsidR="00B5000A" w:rsidRPr="00B5000A">
        <w:rPr>
          <w:rFonts w:ascii="Times New Roman" w:hAnsi="Times New Roman" w:cs="Times New Roman"/>
        </w:rPr>
        <w:t xml:space="preserve">roduction, University of Chicago Law School, </w:t>
      </w:r>
      <w:r w:rsidR="00B5000A" w:rsidRPr="00B5000A">
        <w:rPr>
          <w:rFonts w:ascii="Times New Roman" w:hAnsi="Times New Roman" w:cs="Times New Roman"/>
          <w:i/>
          <w:iCs/>
        </w:rPr>
        <w:t>Occasional Paper</w:t>
      </w:r>
      <w:r w:rsidR="00B5000A" w:rsidRPr="00B5000A">
        <w:rPr>
          <w:rFonts w:ascii="Times New Roman" w:hAnsi="Times New Roman" w:cs="Times New Roman"/>
        </w:rPr>
        <w:t xml:space="preserve"> 28. Williamson, O.E</w:t>
      </w:r>
      <w:r w:rsidR="00B5000A" w:rsidRPr="00B5000A">
        <w:rPr>
          <w:rFonts w:ascii="Times New Roman" w:hAnsi="Times New Roman" w:cs="Times New Roman"/>
          <w:i/>
          <w:iCs/>
        </w:rPr>
        <w:t>.</w:t>
      </w:r>
      <w:r w:rsidR="00B5000A" w:rsidRPr="00B5000A">
        <w:rPr>
          <w:rFonts w:ascii="Times New Roman" w:hAnsi="Times New Roman" w:cs="Times New Roman"/>
        </w:rPr>
        <w:t xml:space="preserve"> (1975)</w:t>
      </w:r>
      <w:r w:rsidR="00B5000A" w:rsidRPr="00B5000A">
        <w:rPr>
          <w:rFonts w:ascii="Times New Roman" w:hAnsi="Times New Roman" w:cs="Times New Roman"/>
          <w:i/>
          <w:iCs/>
        </w:rPr>
        <w:t xml:space="preserve"> Markets and Hierarchies: Analysis and Antitrust Implications</w:t>
      </w:r>
      <w:r w:rsidR="00B5000A" w:rsidRPr="00B5000A">
        <w:rPr>
          <w:rFonts w:ascii="Times New Roman" w:hAnsi="Times New Roman" w:cs="Times New Roman"/>
        </w:rPr>
        <w:t xml:space="preserve">; (1985) </w:t>
      </w:r>
      <w:r w:rsidR="00B5000A" w:rsidRPr="00B5000A">
        <w:rPr>
          <w:rFonts w:ascii="Times New Roman" w:hAnsi="Times New Roman" w:cs="Times New Roman"/>
          <w:i/>
          <w:iCs/>
        </w:rPr>
        <w:t>The Economic Institutions of Capitalism: Firms, Markets, Relational Contracting</w:t>
      </w:r>
      <w:r w:rsidR="00B5000A" w:rsidRPr="00B5000A">
        <w:rPr>
          <w:rFonts w:ascii="Times New Roman" w:hAnsi="Times New Roman" w:cs="Times New Roman"/>
        </w:rPr>
        <w:t xml:space="preserve">; (1996) </w:t>
      </w:r>
      <w:r w:rsidR="00B5000A" w:rsidRPr="00B5000A">
        <w:rPr>
          <w:rFonts w:ascii="Times New Roman" w:hAnsi="Times New Roman" w:cs="Times New Roman"/>
          <w:i/>
          <w:iCs/>
        </w:rPr>
        <w:t>The Mechanisms of Governance</w:t>
      </w:r>
      <w:r w:rsidR="00B5000A" w:rsidRPr="00B5000A">
        <w:rPr>
          <w:rFonts w:ascii="Times New Roman" w:hAnsi="Times New Roman" w:cs="Times New Roman"/>
        </w:rPr>
        <w:t>; and (2010</w:t>
      </w:r>
      <w:r w:rsidR="00BB046C">
        <w:rPr>
          <w:rFonts w:ascii="Times New Roman" w:hAnsi="Times New Roman" w:cs="Times New Roman"/>
        </w:rPr>
        <w:t>)</w:t>
      </w:r>
      <w:r w:rsidR="008F6140">
        <w:rPr>
          <w:rFonts w:ascii="Times New Roman" w:hAnsi="Times New Roman" w:cs="Times New Roman"/>
        </w:rPr>
        <w:t>.</w:t>
      </w:r>
      <w:r w:rsidR="00B5000A" w:rsidRPr="00B5000A">
        <w:rPr>
          <w:rFonts w:ascii="Times New Roman" w:hAnsi="Times New Roman" w:cs="Times New Roman"/>
        </w:rPr>
        <w:t xml:space="preserve"> Transaction </w:t>
      </w:r>
      <w:r w:rsidR="008F6140">
        <w:rPr>
          <w:rFonts w:ascii="Times New Roman" w:hAnsi="Times New Roman" w:cs="Times New Roman"/>
        </w:rPr>
        <w:t>c</w:t>
      </w:r>
      <w:r w:rsidR="00B5000A" w:rsidRPr="00B5000A">
        <w:rPr>
          <w:rFonts w:ascii="Times New Roman" w:hAnsi="Times New Roman" w:cs="Times New Roman"/>
        </w:rPr>
        <w:t xml:space="preserve">ost </w:t>
      </w:r>
      <w:r w:rsidR="008F6140">
        <w:rPr>
          <w:rFonts w:ascii="Times New Roman" w:hAnsi="Times New Roman" w:cs="Times New Roman"/>
        </w:rPr>
        <w:t>e</w:t>
      </w:r>
      <w:r w:rsidR="00B5000A" w:rsidRPr="00B5000A">
        <w:rPr>
          <w:rFonts w:ascii="Times New Roman" w:hAnsi="Times New Roman" w:cs="Times New Roman"/>
        </w:rPr>
        <w:t xml:space="preserve">conomics: The </w:t>
      </w:r>
      <w:r w:rsidR="008F6140">
        <w:rPr>
          <w:rFonts w:ascii="Times New Roman" w:hAnsi="Times New Roman" w:cs="Times New Roman"/>
        </w:rPr>
        <w:t>n</w:t>
      </w:r>
      <w:r w:rsidR="00B5000A" w:rsidRPr="00B5000A">
        <w:rPr>
          <w:rFonts w:ascii="Times New Roman" w:hAnsi="Times New Roman" w:cs="Times New Roman"/>
        </w:rPr>
        <w:t xml:space="preserve">atural </w:t>
      </w:r>
      <w:r w:rsidR="008F6140">
        <w:rPr>
          <w:rFonts w:ascii="Times New Roman" w:hAnsi="Times New Roman" w:cs="Times New Roman"/>
        </w:rPr>
        <w:t>p</w:t>
      </w:r>
      <w:r w:rsidR="00B5000A" w:rsidRPr="00B5000A">
        <w:rPr>
          <w:rFonts w:ascii="Times New Roman" w:hAnsi="Times New Roman" w:cs="Times New Roman"/>
        </w:rPr>
        <w:t xml:space="preserve">rogression, </w:t>
      </w:r>
      <w:r w:rsidR="00B5000A" w:rsidRPr="00B5000A">
        <w:rPr>
          <w:rFonts w:ascii="Times New Roman" w:hAnsi="Times New Roman" w:cs="Times New Roman"/>
          <w:i/>
          <w:iCs/>
        </w:rPr>
        <w:t>American Economic Review</w:t>
      </w:r>
      <w:r w:rsidR="00B5000A" w:rsidRPr="00B5000A">
        <w:rPr>
          <w:rFonts w:ascii="Times New Roman" w:hAnsi="Times New Roman" w:cs="Times New Roman"/>
        </w:rPr>
        <w:t xml:space="preserve"> 100: 673-690</w:t>
      </w:r>
      <w:r w:rsidR="00B5000A">
        <w:rPr>
          <w:rFonts w:ascii="Times New Roman" w:hAnsi="Times New Roman" w:cs="Times New Roman"/>
        </w:rPr>
        <w:t>.</w:t>
      </w:r>
    </w:p>
  </w:footnote>
  <w:footnote w:id="3">
    <w:p w14:paraId="4B8A0241" w14:textId="000F9E9C" w:rsidR="00915E01" w:rsidRPr="00915E01" w:rsidRDefault="00CC0218" w:rsidP="00CC0218">
      <w:pPr>
        <w:pStyle w:val="FootnoteText"/>
        <w:rPr>
          <w:rFonts w:ascii="Times New Roman" w:hAnsi="Times New Roman" w:cs="Times New Roman"/>
        </w:rPr>
      </w:pPr>
      <w:r w:rsidRPr="00915E01">
        <w:rPr>
          <w:rStyle w:val="FootnoteReference"/>
          <w:rFonts w:ascii="Times New Roman" w:hAnsi="Times New Roman" w:cs="Times New Roman"/>
        </w:rPr>
        <w:footnoteRef/>
      </w:r>
      <w:r w:rsidRPr="00915E01">
        <w:rPr>
          <w:rFonts w:ascii="Times New Roman" w:hAnsi="Times New Roman" w:cs="Times New Roman"/>
        </w:rPr>
        <w:t xml:space="preserve"> Definitions of transaction costs are provided in Demsetz, H. (1968). The </w:t>
      </w:r>
      <w:r w:rsidR="008F6140">
        <w:rPr>
          <w:rFonts w:ascii="Times New Roman" w:hAnsi="Times New Roman" w:cs="Times New Roman"/>
        </w:rPr>
        <w:t>c</w:t>
      </w:r>
      <w:r w:rsidRPr="00915E01">
        <w:rPr>
          <w:rFonts w:ascii="Times New Roman" w:hAnsi="Times New Roman" w:cs="Times New Roman"/>
        </w:rPr>
        <w:t xml:space="preserve">ost of </w:t>
      </w:r>
      <w:r w:rsidR="008F6140">
        <w:rPr>
          <w:rFonts w:ascii="Times New Roman" w:hAnsi="Times New Roman" w:cs="Times New Roman"/>
        </w:rPr>
        <w:t>t</w:t>
      </w:r>
      <w:r w:rsidRPr="00915E01">
        <w:rPr>
          <w:rFonts w:ascii="Times New Roman" w:hAnsi="Times New Roman" w:cs="Times New Roman"/>
        </w:rPr>
        <w:t xml:space="preserve">ransacting. </w:t>
      </w:r>
      <w:r w:rsidRPr="00915E01">
        <w:rPr>
          <w:rFonts w:ascii="Times New Roman" w:hAnsi="Times New Roman" w:cs="Times New Roman"/>
          <w:i/>
          <w:iCs/>
        </w:rPr>
        <w:t>The Quarterly Journal of Economics</w:t>
      </w:r>
      <w:r w:rsidRPr="00915E01">
        <w:rPr>
          <w:rFonts w:ascii="Times New Roman" w:hAnsi="Times New Roman" w:cs="Times New Roman"/>
        </w:rPr>
        <w:t xml:space="preserve">, 82 (1) 33-53; </w:t>
      </w:r>
      <w:r w:rsidRPr="00915E01">
        <w:rPr>
          <w:rFonts w:ascii="Times New Roman" w:eastAsia="Times New Roman" w:hAnsi="Times New Roman" w:cs="Times New Roman"/>
          <w:color w:val="333333"/>
          <w:kern w:val="0"/>
          <w:lang w:val="en-NZ" w:eastAsia="en-NZ" w:bidi="en-NZ"/>
          <w14:ligatures w14:val="none"/>
        </w:rPr>
        <w:t>Barzel, Y. (</w:t>
      </w:r>
      <w:r w:rsidRPr="00915E01">
        <w:rPr>
          <w:rFonts w:ascii="Times New Roman" w:eastAsia="Times New Roman" w:hAnsi="Times New Roman" w:cs="Times New Roman"/>
          <w:color w:val="222222"/>
          <w:kern w:val="0"/>
          <w14:ligatures w14:val="none"/>
        </w:rPr>
        <w:t>1982)</w:t>
      </w:r>
      <w:r w:rsidR="00AA67CE">
        <w:rPr>
          <w:rFonts w:ascii="Times New Roman" w:eastAsia="Times New Roman" w:hAnsi="Times New Roman" w:cs="Times New Roman"/>
          <w:color w:val="222222"/>
          <w:kern w:val="0"/>
          <w14:ligatures w14:val="none"/>
        </w:rPr>
        <w:t>.</w:t>
      </w:r>
      <w:r w:rsidRPr="00915E01">
        <w:rPr>
          <w:rFonts w:ascii="Times New Roman" w:eastAsia="Times New Roman" w:hAnsi="Times New Roman" w:cs="Times New Roman"/>
          <w:color w:val="222222"/>
          <w:kern w:val="0"/>
          <w14:ligatures w14:val="none"/>
        </w:rPr>
        <w:t xml:space="preserve"> </w:t>
      </w:r>
      <w:r w:rsidRPr="00915E01">
        <w:rPr>
          <w:rFonts w:ascii="Times New Roman" w:hAnsi="Times New Roman" w:cs="Times New Roman"/>
        </w:rPr>
        <w:t xml:space="preserve">Measurement </w:t>
      </w:r>
      <w:r w:rsidR="008F6140">
        <w:rPr>
          <w:rFonts w:ascii="Times New Roman" w:hAnsi="Times New Roman" w:cs="Times New Roman"/>
        </w:rPr>
        <w:t>c</w:t>
      </w:r>
      <w:r w:rsidRPr="00915E01">
        <w:rPr>
          <w:rFonts w:ascii="Times New Roman" w:hAnsi="Times New Roman" w:cs="Times New Roman"/>
        </w:rPr>
        <w:t xml:space="preserve">ost and the </w:t>
      </w:r>
      <w:r w:rsidR="008F6140">
        <w:rPr>
          <w:rFonts w:ascii="Times New Roman" w:hAnsi="Times New Roman" w:cs="Times New Roman"/>
        </w:rPr>
        <w:t>o</w:t>
      </w:r>
      <w:r w:rsidRPr="00915E01">
        <w:rPr>
          <w:rFonts w:ascii="Times New Roman" w:hAnsi="Times New Roman" w:cs="Times New Roman"/>
        </w:rPr>
        <w:t xml:space="preserve">rganization of </w:t>
      </w:r>
      <w:r w:rsidR="008F6140">
        <w:rPr>
          <w:rFonts w:ascii="Times New Roman" w:hAnsi="Times New Roman" w:cs="Times New Roman"/>
        </w:rPr>
        <w:t>m</w:t>
      </w:r>
      <w:r w:rsidRPr="00915E01">
        <w:rPr>
          <w:rFonts w:ascii="Times New Roman" w:hAnsi="Times New Roman" w:cs="Times New Roman"/>
        </w:rPr>
        <w:t>arkets</w:t>
      </w:r>
      <w:r w:rsidR="003A0775">
        <w:rPr>
          <w:rFonts w:ascii="Times New Roman" w:hAnsi="Times New Roman" w:cs="Times New Roman"/>
        </w:rPr>
        <w:t>.</w:t>
      </w:r>
      <w:r w:rsidRPr="00915E01">
        <w:rPr>
          <w:rFonts w:ascii="Times New Roman" w:hAnsi="Times New Roman" w:cs="Times New Roman"/>
        </w:rPr>
        <w:t xml:space="preserve"> </w:t>
      </w:r>
      <w:r w:rsidRPr="00915E01">
        <w:rPr>
          <w:rFonts w:ascii="Times New Roman" w:hAnsi="Times New Roman" w:cs="Times New Roman"/>
          <w:i/>
          <w:iCs/>
        </w:rPr>
        <w:t>The</w:t>
      </w:r>
      <w:r w:rsidR="003A0775">
        <w:rPr>
          <w:rFonts w:ascii="Times New Roman" w:hAnsi="Times New Roman" w:cs="Times New Roman"/>
          <w:i/>
          <w:iCs/>
        </w:rPr>
        <w:t xml:space="preserve"> </w:t>
      </w:r>
      <w:r w:rsidRPr="00915E01">
        <w:rPr>
          <w:rFonts w:ascii="Times New Roman" w:hAnsi="Times New Roman" w:cs="Times New Roman"/>
          <w:i/>
          <w:iCs/>
        </w:rPr>
        <w:t>Journal of Law and Economics</w:t>
      </w:r>
      <w:r w:rsidRPr="00915E01">
        <w:rPr>
          <w:rFonts w:ascii="Times New Roman" w:hAnsi="Times New Roman" w:cs="Times New Roman"/>
        </w:rPr>
        <w:t>, 25 (1): 27-48;</w:t>
      </w:r>
      <w:r w:rsidRPr="00915E01">
        <w:rPr>
          <w:rFonts w:ascii="Times New Roman" w:eastAsia="Times New Roman" w:hAnsi="Times New Roman" w:cs="Times New Roman"/>
          <w:color w:val="333333"/>
          <w:kern w:val="0"/>
          <w:lang w:val="en-NZ" w:eastAsia="en-NZ" w:bidi="en-NZ"/>
          <w14:ligatures w14:val="none"/>
        </w:rPr>
        <w:t xml:space="preserve"> (1989) </w:t>
      </w:r>
      <w:r w:rsidRPr="00915E01">
        <w:rPr>
          <w:rFonts w:ascii="Times New Roman" w:eastAsia="Times New Roman" w:hAnsi="Times New Roman" w:cs="Times New Roman"/>
          <w:i/>
          <w:iCs/>
          <w:color w:val="333333"/>
          <w:kern w:val="0"/>
          <w:lang w:val="en-NZ" w:eastAsia="en-NZ" w:bidi="en-NZ"/>
          <w14:ligatures w14:val="none"/>
        </w:rPr>
        <w:t>Economic Analysis of Property Rights</w:t>
      </w:r>
      <w:r w:rsidRPr="00915E01">
        <w:rPr>
          <w:rFonts w:ascii="Times New Roman" w:hAnsi="Times New Roman" w:cs="Times New Roman"/>
        </w:rPr>
        <w:t>;</w:t>
      </w:r>
      <w:r w:rsidR="006C6371" w:rsidRPr="006C6371">
        <w:rPr>
          <w:rFonts w:ascii="Times New Roman" w:hAnsi="Times New Roman" w:cs="Times New Roman"/>
        </w:rPr>
        <w:t xml:space="preserve"> </w:t>
      </w:r>
      <w:r w:rsidR="006C6371" w:rsidRPr="001A7236">
        <w:rPr>
          <w:rFonts w:ascii="Times New Roman" w:hAnsi="Times New Roman" w:cs="Times New Roman"/>
        </w:rPr>
        <w:t xml:space="preserve">Barzel, Y. </w:t>
      </w:r>
      <w:r w:rsidR="006C6371" w:rsidRPr="001A7236">
        <w:rPr>
          <w:rFonts w:ascii="Times New Roman" w:hAnsi="Times New Roman" w:cs="Times New Roman"/>
        </w:rPr>
        <w:t>and</w:t>
      </w:r>
      <w:r w:rsidR="006C6371">
        <w:rPr>
          <w:rFonts w:ascii="Times New Roman" w:hAnsi="Times New Roman" w:cs="Times New Roman"/>
        </w:rPr>
        <w:t xml:space="preserve"> </w:t>
      </w:r>
      <w:r w:rsidR="006C6371" w:rsidRPr="001A7236">
        <w:rPr>
          <w:rFonts w:ascii="Times New Roman" w:hAnsi="Times New Roman" w:cs="Times New Roman"/>
        </w:rPr>
        <w:t>Allen</w:t>
      </w:r>
      <w:r w:rsidR="006C6371" w:rsidRPr="001A7236">
        <w:rPr>
          <w:rFonts w:ascii="Times New Roman" w:hAnsi="Times New Roman" w:cs="Times New Roman"/>
        </w:rPr>
        <w:t>, D.W. (2023</w:t>
      </w:r>
      <w:r w:rsidR="006C6371">
        <w:rPr>
          <w:rFonts w:ascii="Times New Roman" w:hAnsi="Times New Roman" w:cs="Times New Roman"/>
        </w:rPr>
        <w:t>)</w:t>
      </w:r>
      <w:r w:rsidR="006C6371" w:rsidRPr="006C6371">
        <w:rPr>
          <w:rFonts w:ascii="Times New Roman" w:hAnsi="Times New Roman" w:cs="Times New Roman"/>
        </w:rPr>
        <w:t xml:space="preserve"> </w:t>
      </w:r>
      <w:r w:rsidR="006C6371" w:rsidRPr="001A7236">
        <w:rPr>
          <w:rFonts w:ascii="Times New Roman" w:hAnsi="Times New Roman" w:cs="Times New Roman"/>
          <w:i/>
          <w:iCs/>
        </w:rPr>
        <w:t>Economic Analysis of Property Rights</w:t>
      </w:r>
      <w:r w:rsidR="006C6371" w:rsidRPr="001A7236">
        <w:rPr>
          <w:rFonts w:ascii="Times New Roman" w:hAnsi="Times New Roman" w:cs="Times New Roman"/>
        </w:rPr>
        <w:t xml:space="preserve">. </w:t>
      </w:r>
      <w:r w:rsidR="006C6371">
        <w:rPr>
          <w:rFonts w:ascii="Times New Roman" w:hAnsi="Times New Roman" w:cs="Times New Roman"/>
        </w:rPr>
        <w:t>3</w:t>
      </w:r>
      <w:r w:rsidR="006C6371" w:rsidRPr="006C6371">
        <w:rPr>
          <w:rFonts w:ascii="Times New Roman" w:hAnsi="Times New Roman" w:cs="Times New Roman"/>
          <w:vertAlign w:val="superscript"/>
        </w:rPr>
        <w:t>rd</w:t>
      </w:r>
      <w:r w:rsidR="006C6371">
        <w:rPr>
          <w:rFonts w:ascii="Times New Roman" w:hAnsi="Times New Roman" w:cs="Times New Roman"/>
        </w:rPr>
        <w:t xml:space="preserve"> </w:t>
      </w:r>
      <w:r w:rsidR="006C6371" w:rsidRPr="001A7236">
        <w:rPr>
          <w:rFonts w:ascii="Times New Roman" w:hAnsi="Times New Roman" w:cs="Times New Roman"/>
        </w:rPr>
        <w:t>ed</w:t>
      </w:r>
      <w:r w:rsidR="006C6371">
        <w:rPr>
          <w:rFonts w:ascii="Times New Roman" w:hAnsi="Times New Roman" w:cs="Times New Roman"/>
        </w:rPr>
        <w:t>,</w:t>
      </w:r>
      <w:r w:rsidR="006C6371">
        <w:rPr>
          <w:rFonts w:ascii="Times New Roman" w:hAnsi="Times New Roman" w:cs="Times New Roman"/>
        </w:rPr>
        <w:t xml:space="preserve"> </w:t>
      </w:r>
      <w:r w:rsidR="006C6371" w:rsidRPr="001A7236">
        <w:rPr>
          <w:rFonts w:ascii="Times New Roman" w:hAnsi="Times New Roman" w:cs="Times New Roman"/>
        </w:rPr>
        <w:t>as well as</w:t>
      </w:r>
      <w:r w:rsidRPr="00915E01">
        <w:rPr>
          <w:rFonts w:ascii="Times New Roman" w:hAnsi="Times New Roman" w:cs="Times New Roman"/>
        </w:rPr>
        <w:t xml:space="preserve"> </w:t>
      </w:r>
      <w:r w:rsidRPr="00915E01">
        <w:rPr>
          <w:rFonts w:ascii="Times New Roman" w:eastAsia="Times New Roman" w:hAnsi="Times New Roman" w:cs="Times New Roman"/>
          <w:color w:val="505050"/>
          <w:kern w:val="0"/>
          <w:shd w:val="clear" w:color="auto" w:fill="FFFFFF"/>
          <w:lang w:val="en-NZ" w:eastAsia="en-NZ" w:bidi="en-NZ"/>
          <w14:ligatures w14:val="none"/>
        </w:rPr>
        <w:t xml:space="preserve">Allen, D. W. (2000). Transaction </w:t>
      </w:r>
      <w:r w:rsidR="008F6140">
        <w:rPr>
          <w:rFonts w:ascii="Times New Roman" w:eastAsia="Times New Roman" w:hAnsi="Times New Roman" w:cs="Times New Roman"/>
          <w:color w:val="505050"/>
          <w:kern w:val="0"/>
          <w:shd w:val="clear" w:color="auto" w:fill="FFFFFF"/>
          <w:lang w:val="en-NZ" w:eastAsia="en-NZ" w:bidi="en-NZ"/>
          <w14:ligatures w14:val="none"/>
        </w:rPr>
        <w:t>c</w:t>
      </w:r>
      <w:r w:rsidRPr="00915E01">
        <w:rPr>
          <w:rFonts w:ascii="Times New Roman" w:eastAsia="Times New Roman" w:hAnsi="Times New Roman" w:cs="Times New Roman"/>
          <w:color w:val="505050"/>
          <w:kern w:val="0"/>
          <w:shd w:val="clear" w:color="auto" w:fill="FFFFFF"/>
          <w:lang w:val="en-NZ" w:eastAsia="en-NZ" w:bidi="en-NZ"/>
          <w14:ligatures w14:val="none"/>
        </w:rPr>
        <w:t xml:space="preserve">osts. </w:t>
      </w:r>
      <w:r w:rsidRPr="00915E01">
        <w:rPr>
          <w:rFonts w:ascii="Times New Roman" w:eastAsia="Times New Roman" w:hAnsi="Times New Roman" w:cs="Times New Roman"/>
          <w:i/>
          <w:iCs/>
          <w:color w:val="505050"/>
          <w:kern w:val="0"/>
          <w:shd w:val="clear" w:color="auto" w:fill="FFFFFF"/>
          <w:lang w:val="en-NZ" w:eastAsia="en-NZ" w:bidi="en-NZ"/>
          <w14:ligatures w14:val="none"/>
        </w:rPr>
        <w:t>Encyclopedia of Law and Economics</w:t>
      </w:r>
      <w:r w:rsidRPr="00915E01">
        <w:rPr>
          <w:rFonts w:ascii="Times New Roman" w:eastAsia="Times New Roman" w:hAnsi="Times New Roman" w:cs="Times New Roman"/>
          <w:color w:val="505050"/>
          <w:kern w:val="0"/>
          <w:shd w:val="clear" w:color="auto" w:fill="FFFFFF"/>
          <w:lang w:val="en-NZ" w:eastAsia="en-NZ" w:bidi="en-NZ"/>
          <w14:ligatures w14:val="none"/>
        </w:rPr>
        <w:t xml:space="preserve">, Volume I: </w:t>
      </w:r>
      <w:r w:rsidRPr="00915E01">
        <w:rPr>
          <w:rFonts w:ascii="Times New Roman" w:eastAsia="Times New Roman" w:hAnsi="Times New Roman" w:cs="Times New Roman"/>
          <w:i/>
          <w:iCs/>
          <w:color w:val="505050"/>
          <w:kern w:val="0"/>
          <w:shd w:val="clear" w:color="auto" w:fill="FFFFFF"/>
          <w:lang w:val="en-NZ" w:eastAsia="en-NZ" w:bidi="en-NZ"/>
          <w14:ligatures w14:val="none"/>
        </w:rPr>
        <w:t>The History and Methodology of Law and Economics.</w:t>
      </w:r>
    </w:p>
  </w:footnote>
  <w:footnote w:id="4">
    <w:p w14:paraId="64DF70ED" w14:textId="71A21F67" w:rsidR="000D4C3D" w:rsidRPr="003235B0" w:rsidRDefault="00D95CBB" w:rsidP="000D4C3D">
      <w:pPr>
        <w:pStyle w:val="NormalWeb"/>
        <w:spacing w:before="0" w:beforeAutospacing="0" w:after="0" w:afterAutospacing="0"/>
        <w:rPr>
          <w:sz w:val="20"/>
          <w:szCs w:val="20"/>
        </w:rPr>
      </w:pPr>
      <w:r w:rsidRPr="007A661A">
        <w:rPr>
          <w:rStyle w:val="FootnoteReference"/>
          <w:sz w:val="20"/>
          <w:szCs w:val="20"/>
        </w:rPr>
        <w:footnoteRef/>
      </w:r>
      <w:r w:rsidRPr="007A661A">
        <w:rPr>
          <w:sz w:val="20"/>
          <w:szCs w:val="20"/>
        </w:rPr>
        <w:t xml:space="preserve"> </w:t>
      </w:r>
      <w:r w:rsidR="00011554" w:rsidRPr="00011554">
        <w:rPr>
          <w:rFonts w:eastAsia="Calibri"/>
          <w:sz w:val="20"/>
          <w:szCs w:val="20"/>
        </w:rPr>
        <w:t xml:space="preserve">The literature is enormous. See for example, Williamson (1991). Comparative economic organization: The analysis of discrete structural alternatives. </w:t>
      </w:r>
      <w:r w:rsidR="00011554" w:rsidRPr="00011554">
        <w:rPr>
          <w:rFonts w:eastAsia="Calibri"/>
          <w:i/>
          <w:iCs/>
          <w:sz w:val="20"/>
          <w:szCs w:val="20"/>
        </w:rPr>
        <w:t>Administrative Science Quarterly</w:t>
      </w:r>
      <w:r w:rsidR="00011554" w:rsidRPr="00011554">
        <w:rPr>
          <w:rFonts w:eastAsia="Calibri"/>
          <w:sz w:val="20"/>
          <w:szCs w:val="20"/>
        </w:rPr>
        <w:t xml:space="preserve"> 36 (2):  269-296; Blair, M.M. and Stout, L.A. (1999) A team production theory of corporate law. </w:t>
      </w:r>
      <w:r w:rsidR="00011554" w:rsidRPr="00011554">
        <w:rPr>
          <w:rFonts w:eastAsia="Calibri"/>
          <w:i/>
          <w:iCs/>
          <w:sz w:val="20"/>
          <w:szCs w:val="20"/>
        </w:rPr>
        <w:t>Virginia Law Review</w:t>
      </w:r>
      <w:r w:rsidR="00011554" w:rsidRPr="00011554">
        <w:rPr>
          <w:rFonts w:eastAsia="Calibri"/>
          <w:sz w:val="20"/>
          <w:szCs w:val="20"/>
        </w:rPr>
        <w:t>, 85 (2): 247-328; Armour, H.O. and Teece, D.J. (1978). Organizational structure and economic performance: A test of the multidivisional hypothesis</w:t>
      </w:r>
      <w:r w:rsidR="00011554" w:rsidRPr="00011554">
        <w:rPr>
          <w:rFonts w:eastAsia="Calibri"/>
          <w:i/>
          <w:iCs/>
          <w:sz w:val="20"/>
          <w:szCs w:val="20"/>
        </w:rPr>
        <w:t>. The Bell Journal of Economics</w:t>
      </w:r>
      <w:r w:rsidR="00011554" w:rsidRPr="00011554">
        <w:rPr>
          <w:rFonts w:eastAsia="Calibri"/>
          <w:sz w:val="20"/>
          <w:szCs w:val="20"/>
        </w:rPr>
        <w:t xml:space="preserve"> 9 (1): 106-122; Teece, D.J. (1981). Internal organization and economic performance: An empirical analysis of the profitability of principal firms. </w:t>
      </w:r>
      <w:r w:rsidR="00011554" w:rsidRPr="00011554">
        <w:rPr>
          <w:rFonts w:eastAsia="Calibri"/>
          <w:i/>
          <w:iCs/>
          <w:sz w:val="20"/>
          <w:szCs w:val="20"/>
        </w:rPr>
        <w:t>Journal of Industrial Economics</w:t>
      </w:r>
      <w:r w:rsidR="00011554" w:rsidRPr="00011554">
        <w:rPr>
          <w:rFonts w:eastAsia="Calibri"/>
          <w:sz w:val="20"/>
          <w:szCs w:val="20"/>
        </w:rPr>
        <w:t>, 30 (2): 173- 199; Williamson, O.E. (1988). Corporate finance and corporate governance</w:t>
      </w:r>
      <w:r w:rsidR="00011554" w:rsidRPr="00011554">
        <w:rPr>
          <w:rFonts w:eastAsia="Calibri"/>
          <w:i/>
          <w:iCs/>
          <w:sz w:val="20"/>
          <w:szCs w:val="20"/>
        </w:rPr>
        <w:t>.  Journal of</w:t>
      </w:r>
      <w:r w:rsidR="00011554" w:rsidRPr="00011554">
        <w:rPr>
          <w:rFonts w:eastAsia="Calibri"/>
          <w:sz w:val="20"/>
          <w:szCs w:val="20"/>
        </w:rPr>
        <w:t xml:space="preserve"> </w:t>
      </w:r>
      <w:r w:rsidR="00011554" w:rsidRPr="00011554">
        <w:rPr>
          <w:rFonts w:eastAsia="Calibri"/>
          <w:i/>
          <w:iCs/>
          <w:sz w:val="20"/>
          <w:szCs w:val="20"/>
        </w:rPr>
        <w:t>Finance</w:t>
      </w:r>
      <w:r w:rsidR="00011554" w:rsidRPr="00011554">
        <w:rPr>
          <w:rFonts w:eastAsia="Calibri"/>
          <w:sz w:val="20"/>
          <w:szCs w:val="20"/>
        </w:rPr>
        <w:t xml:space="preserve">, 43 (3): 567-591; Masten, S. (1984). The organization of production: Evidence from the aerospace industry. </w:t>
      </w:r>
      <w:r w:rsidR="00011554" w:rsidRPr="00011554">
        <w:rPr>
          <w:rFonts w:eastAsia="Calibri"/>
          <w:i/>
          <w:iCs/>
          <w:sz w:val="20"/>
          <w:szCs w:val="20"/>
        </w:rPr>
        <w:t>Journal of Law and Economics</w:t>
      </w:r>
      <w:r w:rsidR="00011554" w:rsidRPr="00011554">
        <w:rPr>
          <w:rFonts w:eastAsia="Calibri"/>
          <w:sz w:val="20"/>
          <w:szCs w:val="20"/>
        </w:rPr>
        <w:t xml:space="preserve"> 27 (2): 403-417; de Figueiredo, J.M. and Teece, D.J. (1996). Mitigating procurement hazards in the context of innovation. </w:t>
      </w:r>
      <w:r w:rsidR="00011554" w:rsidRPr="00011554">
        <w:rPr>
          <w:rFonts w:eastAsia="Calibri"/>
          <w:i/>
          <w:iCs/>
          <w:sz w:val="20"/>
          <w:szCs w:val="20"/>
        </w:rPr>
        <w:t>Industrial and Corporate Change</w:t>
      </w:r>
      <w:r w:rsidR="00011554" w:rsidRPr="00011554">
        <w:rPr>
          <w:rFonts w:eastAsia="Calibri"/>
          <w:sz w:val="20"/>
          <w:szCs w:val="20"/>
        </w:rPr>
        <w:t>, 5 (2): 537-559. Spiller, P. T. (2009). An institutional theory of public contracts: Regulatory implications, in Menard, C. and Ghertman M.</w:t>
      </w:r>
      <w:r w:rsidR="00011554" w:rsidRPr="00011554">
        <w:rPr>
          <w:rFonts w:eastAsia="Calibri"/>
          <w:i/>
          <w:iCs/>
          <w:sz w:val="20"/>
          <w:szCs w:val="20"/>
        </w:rPr>
        <w:t>,</w:t>
      </w:r>
      <w:r w:rsidR="00011554" w:rsidRPr="00011554">
        <w:rPr>
          <w:rFonts w:eastAsia="Calibri"/>
          <w:sz w:val="20"/>
          <w:szCs w:val="20"/>
        </w:rPr>
        <w:t xml:space="preserve"> (2009).</w:t>
      </w:r>
      <w:r w:rsidR="00011554" w:rsidRPr="00011554">
        <w:rPr>
          <w:rFonts w:eastAsia="Calibri"/>
          <w:i/>
          <w:iCs/>
          <w:sz w:val="20"/>
          <w:szCs w:val="20"/>
        </w:rPr>
        <w:t xml:space="preserve"> Regulation, Deregulation, Reregulation – Institutional Perspectives</w:t>
      </w:r>
      <w:r w:rsidR="00011554" w:rsidRPr="00011554">
        <w:rPr>
          <w:rFonts w:eastAsia="Calibri"/>
          <w:sz w:val="20"/>
          <w:szCs w:val="20"/>
        </w:rPr>
        <w:t xml:space="preserve">: 45-66, and Argyres, N., Mahoney, J. and Nickerson, J. (2019). Comparative adjustment costs and strategic responses to shocks. </w:t>
      </w:r>
      <w:r w:rsidR="00011554" w:rsidRPr="00011554">
        <w:rPr>
          <w:rFonts w:eastAsia="Calibri"/>
          <w:i/>
          <w:iCs/>
          <w:sz w:val="20"/>
          <w:szCs w:val="20"/>
        </w:rPr>
        <w:t>Strategic Management Journal</w:t>
      </w:r>
      <w:r w:rsidR="00011554" w:rsidRPr="00011554">
        <w:rPr>
          <w:rFonts w:eastAsia="Calibri"/>
          <w:sz w:val="20"/>
          <w:szCs w:val="20"/>
        </w:rPr>
        <w:t xml:space="preserve">, 40 (3): 357-376; Tirole, J.  (1986). Hierarchies and bureaucracies: On the role of collusion in organizations, </w:t>
      </w:r>
      <w:r w:rsidR="00011554" w:rsidRPr="00011554">
        <w:rPr>
          <w:rFonts w:eastAsia="Calibri"/>
          <w:i/>
          <w:iCs/>
          <w:sz w:val="20"/>
          <w:szCs w:val="20"/>
        </w:rPr>
        <w:t>Journal of Law, Economics, and Organization</w:t>
      </w:r>
      <w:r w:rsidR="00011554" w:rsidRPr="00011554">
        <w:rPr>
          <w:rFonts w:eastAsia="Calibri"/>
          <w:sz w:val="20"/>
          <w:szCs w:val="20"/>
        </w:rPr>
        <w:t xml:space="preserve"> 2(2): 181-214. </w:t>
      </w:r>
      <w:r w:rsidR="00011554" w:rsidRPr="00011554">
        <w:rPr>
          <w:rFonts w:eastAsia="Calibri"/>
          <w:color w:val="000000"/>
          <w:sz w:val="20"/>
          <w:szCs w:val="20"/>
        </w:rPr>
        <w:t xml:space="preserve">Ménard, C. and Shirley, M. M. (2005, 2008) </w:t>
      </w:r>
      <w:r w:rsidR="00011554" w:rsidRPr="00011554">
        <w:rPr>
          <w:rFonts w:eastAsia="Calibri"/>
          <w:i/>
          <w:iCs/>
          <w:color w:val="000000"/>
          <w:sz w:val="20"/>
          <w:szCs w:val="20"/>
        </w:rPr>
        <w:t>Handbook of New Institutional Economics</w:t>
      </w:r>
      <w:r w:rsidR="00011554" w:rsidRPr="00011554">
        <w:rPr>
          <w:rFonts w:eastAsia="Calibri"/>
          <w:color w:val="000000"/>
          <w:sz w:val="20"/>
          <w:szCs w:val="20"/>
        </w:rPr>
        <w:t xml:space="preserve">; (2022) </w:t>
      </w:r>
      <w:r w:rsidR="00011554" w:rsidRPr="00011554">
        <w:rPr>
          <w:rFonts w:eastAsia="Calibri"/>
          <w:i/>
          <w:iCs/>
          <w:color w:val="000000"/>
          <w:sz w:val="20"/>
          <w:szCs w:val="20"/>
        </w:rPr>
        <w:t>Advanced Introduction to New Institutional Economics.</w:t>
      </w:r>
      <w:r w:rsidR="007F1C4D">
        <w:rPr>
          <w:rFonts w:eastAsia="Calibri"/>
          <w:i/>
          <w:iCs/>
          <w:color w:val="000000"/>
          <w:sz w:val="20"/>
          <w:szCs w:val="20"/>
        </w:rPr>
        <w:t xml:space="preserve"> </w:t>
      </w:r>
      <w:r w:rsidR="000D4C3D">
        <w:rPr>
          <w:color w:val="000000"/>
          <w:sz w:val="20"/>
          <w:szCs w:val="20"/>
        </w:rPr>
        <w:t xml:space="preserve">Shapiro, C. and Shelanski, H. (2021). Judicial </w:t>
      </w:r>
      <w:r w:rsidR="00AA67CE">
        <w:rPr>
          <w:color w:val="000000"/>
          <w:sz w:val="20"/>
          <w:szCs w:val="20"/>
        </w:rPr>
        <w:t>r</w:t>
      </w:r>
      <w:r w:rsidR="000D4C3D">
        <w:rPr>
          <w:color w:val="000000"/>
          <w:sz w:val="20"/>
          <w:szCs w:val="20"/>
        </w:rPr>
        <w:t xml:space="preserve">esponse to the 2010 </w:t>
      </w:r>
      <w:r w:rsidR="00AA67CE">
        <w:rPr>
          <w:color w:val="000000"/>
          <w:sz w:val="20"/>
          <w:szCs w:val="20"/>
        </w:rPr>
        <w:t>h</w:t>
      </w:r>
      <w:r w:rsidR="000D4C3D">
        <w:rPr>
          <w:color w:val="000000"/>
          <w:sz w:val="20"/>
          <w:szCs w:val="20"/>
        </w:rPr>
        <w:t xml:space="preserve">orizontal </w:t>
      </w:r>
      <w:r w:rsidR="00AA67CE">
        <w:rPr>
          <w:color w:val="000000"/>
          <w:sz w:val="20"/>
          <w:szCs w:val="20"/>
        </w:rPr>
        <w:t>m</w:t>
      </w:r>
      <w:r w:rsidR="000D4C3D">
        <w:rPr>
          <w:color w:val="000000"/>
          <w:sz w:val="20"/>
          <w:szCs w:val="20"/>
        </w:rPr>
        <w:t xml:space="preserve">erger </w:t>
      </w:r>
      <w:r w:rsidR="00AA67CE">
        <w:rPr>
          <w:color w:val="000000"/>
          <w:sz w:val="20"/>
          <w:szCs w:val="20"/>
        </w:rPr>
        <w:t>g</w:t>
      </w:r>
      <w:r w:rsidR="000D4C3D">
        <w:rPr>
          <w:color w:val="000000"/>
          <w:sz w:val="20"/>
          <w:szCs w:val="20"/>
        </w:rPr>
        <w:t xml:space="preserve">uidelines. </w:t>
      </w:r>
      <w:r w:rsidR="000D4C3D">
        <w:rPr>
          <w:i/>
          <w:iCs/>
          <w:color w:val="000000"/>
          <w:sz w:val="20"/>
          <w:szCs w:val="20"/>
        </w:rPr>
        <w:t xml:space="preserve">Review of Industrial Organization </w:t>
      </w:r>
      <w:r w:rsidR="000D4C3D">
        <w:rPr>
          <w:color w:val="000000"/>
          <w:sz w:val="20"/>
          <w:szCs w:val="20"/>
        </w:rPr>
        <w:t xml:space="preserve">58: 51-79; Sullivan E. T., Hovenkamp, H., Shelanski, H. and Leslie, C.R, (2019) </w:t>
      </w:r>
      <w:r w:rsidR="000D4C3D">
        <w:rPr>
          <w:i/>
          <w:iCs/>
          <w:color w:val="000000"/>
          <w:sz w:val="20"/>
          <w:szCs w:val="20"/>
        </w:rPr>
        <w:t xml:space="preserve">Antitrust Law, Policy, and Procedure: Cases, Materials, Problems. </w:t>
      </w:r>
      <w:r w:rsidR="000D4C3D" w:rsidRPr="003235B0">
        <w:rPr>
          <w:sz w:val="20"/>
          <w:szCs w:val="20"/>
        </w:rPr>
        <w:t>For the spectrum, see Coase, R.H. (2013).</w:t>
      </w:r>
      <w:r w:rsidR="000D4C3D" w:rsidRPr="003235B0">
        <w:rPr>
          <w:spacing w:val="-5"/>
          <w:kern w:val="36"/>
          <w:sz w:val="20"/>
          <w:szCs w:val="20"/>
        </w:rPr>
        <w:t xml:space="preserve"> The Federal Communications Commission. </w:t>
      </w:r>
      <w:hyperlink r:id="rId1" w:history="1">
        <w:r w:rsidR="000D4C3D" w:rsidRPr="003235B0">
          <w:rPr>
            <w:i/>
            <w:iCs/>
            <w:spacing w:val="-5"/>
            <w:sz w:val="20"/>
            <w:szCs w:val="20"/>
          </w:rPr>
          <w:t>The Journal of Law and Economics</w:t>
        </w:r>
      </w:hyperlink>
      <w:r w:rsidR="000D4C3D" w:rsidRPr="003235B0">
        <w:rPr>
          <w:spacing w:val="-5"/>
          <w:sz w:val="20"/>
          <w:szCs w:val="20"/>
        </w:rPr>
        <w:t xml:space="preserve">, 56 (4): 879-915.   </w:t>
      </w:r>
    </w:p>
    <w:p w14:paraId="6AFC2982" w14:textId="77777777" w:rsidR="000D4C3D" w:rsidRPr="003235B0" w:rsidRDefault="000D4C3D" w:rsidP="000D4C3D">
      <w:pPr>
        <w:pStyle w:val="NormalWeb"/>
        <w:shd w:val="clear" w:color="auto" w:fill="FFFFFF"/>
        <w:spacing w:before="0" w:beforeAutospacing="0" w:after="0" w:afterAutospacing="0" w:line="360" w:lineRule="auto"/>
        <w:ind w:firstLine="720"/>
        <w:rPr>
          <w:rStyle w:val="oypena"/>
          <w:color w:val="000000"/>
          <w:sz w:val="20"/>
          <w:szCs w:val="20"/>
        </w:rPr>
      </w:pPr>
    </w:p>
    <w:p w14:paraId="45BC0707" w14:textId="64748356" w:rsidR="007A661A" w:rsidRDefault="007A661A" w:rsidP="007A661A">
      <w:pPr>
        <w:pStyle w:val="NormalWeb"/>
        <w:shd w:val="clear" w:color="auto" w:fill="FFFFFF"/>
        <w:spacing w:before="0" w:beforeAutospacing="0" w:after="0" w:afterAutospacing="0" w:line="360" w:lineRule="auto"/>
        <w:ind w:firstLine="720"/>
      </w:pPr>
    </w:p>
    <w:p w14:paraId="6E5FA3B9" w14:textId="7D57915D" w:rsidR="00D95CBB" w:rsidRPr="00B36AED" w:rsidRDefault="00D95CBB" w:rsidP="00E86EE1">
      <w:pPr>
        <w:pStyle w:val="Heading1"/>
        <w:spacing w:before="0" w:line="240" w:lineRule="auto"/>
        <w:rPr>
          <w:rFonts w:ascii="Times New Roman" w:hAnsi="Times New Roman" w:cs="Times New Roman"/>
          <w:color w:val="auto"/>
          <w:sz w:val="20"/>
          <w:szCs w:val="20"/>
        </w:rPr>
      </w:pPr>
      <w:r w:rsidRPr="000E7528">
        <w:rPr>
          <w:rFonts w:ascii="Times New Roman" w:eastAsia="Times New Roman" w:hAnsi="Times New Roman" w:cs="Times New Roman"/>
          <w:color w:val="auto"/>
          <w:spacing w:val="-5"/>
          <w:kern w:val="0"/>
          <w:sz w:val="20"/>
          <w:szCs w:val="20"/>
          <w14:ligatures w14:val="none"/>
        </w:rPr>
        <w:t> </w:t>
      </w:r>
    </w:p>
  </w:footnote>
  <w:footnote w:id="5">
    <w:p w14:paraId="0AECEB0E" w14:textId="7C5D19B3" w:rsidR="00FB00E1" w:rsidRPr="00FB00E1" w:rsidRDefault="00FB00E1" w:rsidP="0054545C">
      <w:pPr>
        <w:pStyle w:val="Heading1"/>
        <w:shd w:val="clear" w:color="auto" w:fill="FFFFFF"/>
        <w:spacing w:before="0" w:line="240" w:lineRule="auto"/>
        <w:rPr>
          <w:rFonts w:ascii="Times New Roman" w:hAnsi="Times New Roman" w:cs="Times New Roman"/>
          <w:color w:val="auto"/>
          <w:sz w:val="20"/>
          <w:szCs w:val="20"/>
        </w:rPr>
      </w:pPr>
      <w:r w:rsidRPr="00FB00E1">
        <w:rPr>
          <w:rStyle w:val="FootnoteReference"/>
          <w:rFonts w:ascii="Times New Roman" w:hAnsi="Times New Roman" w:cs="Times New Roman"/>
          <w:color w:val="auto"/>
          <w:sz w:val="20"/>
          <w:szCs w:val="20"/>
        </w:rPr>
        <w:footnoteRef/>
      </w:r>
      <w:r w:rsidRPr="00FB00E1">
        <w:rPr>
          <w:rFonts w:ascii="Times New Roman" w:hAnsi="Times New Roman" w:cs="Times New Roman"/>
          <w:color w:val="auto"/>
          <w:sz w:val="20"/>
          <w:szCs w:val="20"/>
        </w:rPr>
        <w:t xml:space="preserve"> Medema, S.G. (2020). </w:t>
      </w:r>
      <w:r w:rsidRPr="00FB00E1">
        <w:rPr>
          <w:rFonts w:ascii="Times New Roman" w:eastAsia="Times New Roman" w:hAnsi="Times New Roman" w:cs="Times New Roman"/>
          <w:color w:val="auto"/>
          <w:kern w:val="36"/>
          <w:sz w:val="20"/>
          <w:szCs w:val="20"/>
          <w14:ligatures w14:val="none"/>
        </w:rPr>
        <w:t>The Coase Theorem at Sixty</w:t>
      </w:r>
      <w:r>
        <w:rPr>
          <w:rFonts w:ascii="Times New Roman" w:eastAsia="Times New Roman" w:hAnsi="Times New Roman" w:cs="Times New Roman"/>
          <w:color w:val="auto"/>
          <w:kern w:val="36"/>
          <w:sz w:val="20"/>
          <w:szCs w:val="20"/>
          <w14:ligatures w14:val="none"/>
        </w:rPr>
        <w:t xml:space="preserve">. </w:t>
      </w:r>
      <w:r w:rsidRPr="00FB00E1">
        <w:rPr>
          <w:rFonts w:ascii="Times New Roman" w:eastAsia="Times New Roman" w:hAnsi="Times New Roman" w:cs="Times New Roman"/>
          <w:i/>
          <w:iCs/>
          <w:color w:val="auto"/>
          <w:kern w:val="36"/>
          <w:sz w:val="20"/>
          <w:szCs w:val="20"/>
          <w14:ligatures w14:val="none"/>
        </w:rPr>
        <w:t>The Journal of Economic Literature</w:t>
      </w:r>
      <w:r>
        <w:rPr>
          <w:rFonts w:ascii="Times New Roman" w:eastAsia="Times New Roman" w:hAnsi="Times New Roman" w:cs="Times New Roman"/>
          <w:color w:val="auto"/>
          <w:kern w:val="36"/>
          <w:sz w:val="20"/>
          <w:szCs w:val="20"/>
          <w14:ligatures w14:val="none"/>
        </w:rPr>
        <w:t xml:space="preserve">. </w:t>
      </w:r>
      <w:r w:rsidRPr="00FB00E1">
        <w:rPr>
          <w:rFonts w:ascii="Times New Roman" w:eastAsia="Times New Roman" w:hAnsi="Times New Roman" w:cs="Times New Roman"/>
          <w:caps/>
          <w:color w:val="auto"/>
          <w:spacing w:val="24"/>
          <w:kern w:val="0"/>
          <w:sz w:val="20"/>
          <w:szCs w:val="20"/>
          <w14:ligatures w14:val="none"/>
        </w:rPr>
        <w:t>58</w:t>
      </w:r>
      <w:r>
        <w:rPr>
          <w:rFonts w:ascii="Times New Roman" w:eastAsia="Times New Roman" w:hAnsi="Times New Roman" w:cs="Times New Roman"/>
          <w:caps/>
          <w:color w:val="auto"/>
          <w:spacing w:val="24"/>
          <w:kern w:val="0"/>
          <w:sz w:val="20"/>
          <w:szCs w:val="20"/>
          <w14:ligatures w14:val="none"/>
        </w:rPr>
        <w:t xml:space="preserve"> </w:t>
      </w:r>
      <w:r w:rsidRPr="00FB00E1">
        <w:rPr>
          <w:rFonts w:ascii="Times New Roman" w:eastAsia="Times New Roman" w:hAnsi="Times New Roman" w:cs="Times New Roman"/>
          <w:caps/>
          <w:color w:val="auto"/>
          <w:spacing w:val="24"/>
          <w:kern w:val="0"/>
          <w:sz w:val="20"/>
          <w:szCs w:val="20"/>
          <w14:ligatures w14:val="none"/>
        </w:rPr>
        <w:t xml:space="preserve">(4): </w:t>
      </w:r>
      <w:r w:rsidRPr="00FB00E1">
        <w:rPr>
          <w:rFonts w:ascii="Times New Roman" w:eastAsia="Times New Roman" w:hAnsi="Times New Roman" w:cs="Times New Roman"/>
          <w:color w:val="auto"/>
          <w:kern w:val="0"/>
          <w:sz w:val="20"/>
          <w:szCs w:val="20"/>
          <w14:ligatures w14:val="none"/>
        </w:rPr>
        <w:t>1045-1128.</w:t>
      </w:r>
    </w:p>
  </w:footnote>
  <w:footnote w:id="6">
    <w:p w14:paraId="73CCD70C" w14:textId="12008343" w:rsidR="00454AAD" w:rsidRDefault="00454AAD" w:rsidP="00454AAD">
      <w:pPr>
        <w:pStyle w:val="FootnoteText"/>
      </w:pPr>
      <w:r>
        <w:rPr>
          <w:rStyle w:val="FootnoteReference"/>
        </w:rPr>
        <w:footnoteRef/>
      </w:r>
      <w:r>
        <w:t xml:space="preserve"> </w:t>
      </w:r>
      <w:bookmarkStart w:id="1" w:name="_Hlk173325998"/>
      <w:r w:rsidRPr="00076579">
        <w:rPr>
          <w:rFonts w:ascii="Times New Roman" w:eastAsia="Times New Roman" w:hAnsi="Times New Roman" w:cs="Times New Roman"/>
          <w:color w:val="000000"/>
        </w:rPr>
        <w:t xml:space="preserve">Indeed, it could be that the efficiency arguments of Coase (1960) better explain the aggregate benefits of institutional change to define property rights and promote markets as outlined by North et al and Acemoglu and Robinson than the political choice of specific regulatory policies. In total, these political actions can undermine efficient institutional change and hence, economic growth and welfare (Acemoglu, D. and Robinson (2012) </w:t>
      </w:r>
      <w:r w:rsidRPr="00F716F3">
        <w:rPr>
          <w:rFonts w:ascii="Times New Roman" w:eastAsia="Times New Roman" w:hAnsi="Times New Roman" w:cs="Times New Roman"/>
          <w:i/>
          <w:iCs/>
          <w:color w:val="000000"/>
        </w:rPr>
        <w:t>Why Nations Fail</w:t>
      </w:r>
      <w:r w:rsidRPr="00076579">
        <w:rPr>
          <w:rFonts w:ascii="Times New Roman" w:eastAsia="Times New Roman" w:hAnsi="Times New Roman" w:cs="Times New Roman"/>
          <w:color w:val="000000"/>
        </w:rPr>
        <w:t xml:space="preserve">; North, D. C., Wallis, J.J., and Weingast B.R. (2009) </w:t>
      </w:r>
      <w:r w:rsidRPr="00F716F3">
        <w:rPr>
          <w:rFonts w:ascii="Times New Roman" w:eastAsia="Times New Roman" w:hAnsi="Times New Roman" w:cs="Times New Roman"/>
          <w:i/>
          <w:iCs/>
          <w:color w:val="000000"/>
        </w:rPr>
        <w:t>Violence and Social Orders</w:t>
      </w:r>
      <w:r w:rsidRPr="00076579">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bookmarkEnd w:id="1"/>
    </w:p>
  </w:footnote>
  <w:footnote w:id="7">
    <w:p w14:paraId="6BB701AD" w14:textId="25BBB7E3" w:rsidR="00AB6B2D" w:rsidRPr="001C08FD" w:rsidRDefault="00AB6B2D" w:rsidP="00764F21">
      <w:pPr>
        <w:spacing w:after="0" w:line="240" w:lineRule="auto"/>
        <w:rPr>
          <w:rFonts w:ascii="Times New Roman" w:hAnsi="Times New Roman" w:cs="Times New Roman"/>
        </w:rPr>
      </w:pPr>
      <w:r w:rsidRPr="0011469B">
        <w:rPr>
          <w:rStyle w:val="FootnoteReference"/>
          <w:rFonts w:ascii="Times New Roman" w:hAnsi="Times New Roman" w:cs="Times New Roman"/>
          <w:sz w:val="20"/>
          <w:szCs w:val="20"/>
        </w:rPr>
        <w:footnoteRef/>
      </w:r>
      <w:r w:rsidRPr="0011469B">
        <w:rPr>
          <w:rFonts w:ascii="Times New Roman" w:hAnsi="Times New Roman" w:cs="Times New Roman"/>
          <w:sz w:val="20"/>
          <w:szCs w:val="20"/>
        </w:rPr>
        <w:t xml:space="preserve">It is remarkable given the </w:t>
      </w:r>
      <w:r>
        <w:rPr>
          <w:rFonts w:ascii="Times New Roman" w:hAnsi="Times New Roman" w:cs="Times New Roman"/>
          <w:sz w:val="20"/>
          <w:szCs w:val="20"/>
        </w:rPr>
        <w:t xml:space="preserve">role of </w:t>
      </w:r>
      <w:r w:rsidRPr="0011469B">
        <w:rPr>
          <w:rFonts w:ascii="Times New Roman" w:hAnsi="Times New Roman" w:cs="Times New Roman"/>
          <w:sz w:val="20"/>
          <w:szCs w:val="20"/>
        </w:rPr>
        <w:t xml:space="preserve">government that a critical public choice literature on lobbying and government environmental regulation appears to be so limited. </w:t>
      </w:r>
      <w:r>
        <w:rPr>
          <w:rFonts w:ascii="Times New Roman" w:hAnsi="Times New Roman" w:cs="Times New Roman"/>
          <w:sz w:val="20"/>
          <w:szCs w:val="20"/>
        </w:rPr>
        <w:t>Generally, s</w:t>
      </w:r>
      <w:r w:rsidRPr="0011469B">
        <w:rPr>
          <w:rFonts w:ascii="Times New Roman" w:hAnsi="Times New Roman" w:cs="Times New Roman"/>
          <w:sz w:val="20"/>
          <w:szCs w:val="20"/>
        </w:rPr>
        <w:t xml:space="preserve">ee Peltzman, S. </w:t>
      </w:r>
      <w:r>
        <w:rPr>
          <w:rFonts w:ascii="Times New Roman" w:hAnsi="Times New Roman" w:cs="Times New Roman"/>
          <w:sz w:val="20"/>
          <w:szCs w:val="20"/>
        </w:rPr>
        <w:t>(</w:t>
      </w:r>
      <w:r w:rsidRPr="0011469B">
        <w:rPr>
          <w:rFonts w:ascii="Times New Roman" w:hAnsi="Times New Roman" w:cs="Times New Roman"/>
          <w:sz w:val="20"/>
          <w:szCs w:val="20"/>
        </w:rPr>
        <w:t>1976</w:t>
      </w:r>
      <w:r>
        <w:rPr>
          <w:rFonts w:ascii="Times New Roman" w:hAnsi="Times New Roman" w:cs="Times New Roman"/>
          <w:sz w:val="20"/>
          <w:szCs w:val="20"/>
        </w:rPr>
        <w:t>)</w:t>
      </w:r>
      <w:r w:rsidRPr="0011469B">
        <w:rPr>
          <w:rFonts w:ascii="Times New Roman" w:hAnsi="Times New Roman" w:cs="Times New Roman"/>
          <w:sz w:val="20"/>
          <w:szCs w:val="20"/>
        </w:rPr>
        <w:t>.</w:t>
      </w:r>
      <w:r w:rsidRPr="0011469B">
        <w:rPr>
          <w:rFonts w:ascii="Times New Roman" w:eastAsia="Times New Roman" w:hAnsi="Times New Roman" w:cs="Times New Roman"/>
          <w:spacing w:val="-5"/>
          <w:kern w:val="36"/>
          <w:sz w:val="20"/>
          <w:szCs w:val="20"/>
        </w:rPr>
        <w:t xml:space="preserve"> Toward a more general theory of regulation. </w:t>
      </w:r>
      <w:r w:rsidRPr="0011469B">
        <w:rPr>
          <w:rFonts w:ascii="Times New Roman" w:eastAsia="Times New Roman" w:hAnsi="Times New Roman" w:cs="Times New Roman"/>
          <w:i/>
          <w:iCs/>
          <w:spacing w:val="-5"/>
          <w:kern w:val="36"/>
          <w:sz w:val="20"/>
          <w:szCs w:val="20"/>
        </w:rPr>
        <w:t>The Journal of Law and Economics</w:t>
      </w:r>
      <w:r w:rsidRPr="0011469B">
        <w:rPr>
          <w:rFonts w:ascii="Times New Roman" w:eastAsia="Times New Roman" w:hAnsi="Times New Roman" w:cs="Times New Roman"/>
          <w:spacing w:val="-5"/>
          <w:kern w:val="36"/>
          <w:sz w:val="20"/>
          <w:szCs w:val="20"/>
        </w:rPr>
        <w:t>. 19 (2): 211-40</w:t>
      </w:r>
      <w:r>
        <w:rPr>
          <w:rFonts w:ascii="Times New Roman" w:eastAsia="Times New Roman" w:hAnsi="Times New Roman" w:cs="Times New Roman"/>
          <w:spacing w:val="-5"/>
          <w:kern w:val="36"/>
          <w:sz w:val="20"/>
          <w:szCs w:val="20"/>
        </w:rPr>
        <w:t xml:space="preserve">; </w:t>
      </w:r>
      <w:r w:rsidRPr="0011469B">
        <w:rPr>
          <w:rFonts w:ascii="Times New Roman" w:hAnsi="Times New Roman" w:cs="Times New Roman"/>
          <w:sz w:val="20"/>
          <w:szCs w:val="20"/>
        </w:rPr>
        <w:t xml:space="preserve">Olson, M. (1965). </w:t>
      </w:r>
      <w:r w:rsidRPr="0011469B">
        <w:rPr>
          <w:rFonts w:ascii="Times New Roman" w:hAnsi="Times New Roman" w:cs="Times New Roman"/>
          <w:i/>
          <w:sz w:val="20"/>
          <w:szCs w:val="20"/>
        </w:rPr>
        <w:t>The Logic of Collective Action</w:t>
      </w:r>
      <w:r w:rsidRPr="0011469B">
        <w:rPr>
          <w:rFonts w:ascii="Times New Roman" w:hAnsi="Times New Roman" w:cs="Times New Roman"/>
          <w:sz w:val="20"/>
          <w:szCs w:val="20"/>
        </w:rPr>
        <w:t>. Cambridge</w:t>
      </w:r>
      <w:r>
        <w:rPr>
          <w:rFonts w:ascii="Times New Roman" w:hAnsi="Times New Roman" w:cs="Times New Roman"/>
          <w:sz w:val="20"/>
          <w:szCs w:val="20"/>
        </w:rPr>
        <w:t xml:space="preserve">; </w:t>
      </w:r>
      <w:r w:rsidRPr="0011469B">
        <w:rPr>
          <w:rFonts w:ascii="Times New Roman" w:hAnsi="Times New Roman" w:cs="Times New Roman"/>
          <w:kern w:val="0"/>
          <w:sz w:val="20"/>
          <w:szCs w:val="20"/>
          <w14:ligatures w14:val="none"/>
        </w:rPr>
        <w:t xml:space="preserve">Stigler, G. J. (1971). The economic theory of regulation, </w:t>
      </w:r>
      <w:r w:rsidRPr="0011469B">
        <w:rPr>
          <w:rFonts w:ascii="Times New Roman" w:hAnsi="Times New Roman" w:cs="Times New Roman"/>
          <w:i/>
          <w:iCs/>
          <w:kern w:val="0"/>
          <w:sz w:val="20"/>
          <w:szCs w:val="20"/>
          <w14:ligatures w14:val="none"/>
        </w:rPr>
        <w:t>Bell Journal of Economics</w:t>
      </w:r>
      <w:r w:rsidRPr="0011469B">
        <w:rPr>
          <w:rFonts w:ascii="Times New Roman" w:hAnsi="Times New Roman" w:cs="Times New Roman"/>
          <w:kern w:val="0"/>
          <w:sz w:val="20"/>
          <w:szCs w:val="20"/>
          <w14:ligatures w14:val="none"/>
        </w:rPr>
        <w:t>, 5, 3–21</w:t>
      </w:r>
      <w:r>
        <w:rPr>
          <w:rFonts w:ascii="Times New Roman" w:hAnsi="Times New Roman" w:cs="Times New Roman"/>
          <w:kern w:val="0"/>
          <w:sz w:val="20"/>
          <w:szCs w:val="20"/>
          <w14:ligatures w14:val="none"/>
        </w:rPr>
        <w:t>;</w:t>
      </w:r>
      <w:r w:rsidRPr="0011469B">
        <w:rPr>
          <w:rFonts w:ascii="Times New Roman" w:eastAsia="Times New Roman" w:hAnsi="Times New Roman" w:cs="Times New Roman"/>
          <w:sz w:val="20"/>
          <w:szCs w:val="20"/>
        </w:rPr>
        <w:t xml:space="preserve"> Buchanan, J. M. and Tullock, G. (1962). </w:t>
      </w:r>
      <w:r w:rsidRPr="0011469B">
        <w:rPr>
          <w:rFonts w:ascii="Times New Roman" w:eastAsia="Times New Roman" w:hAnsi="Times New Roman" w:cs="Times New Roman"/>
          <w:i/>
          <w:sz w:val="20"/>
          <w:szCs w:val="20"/>
        </w:rPr>
        <w:t xml:space="preserve">The </w:t>
      </w:r>
      <w:r w:rsidR="00AA67CE">
        <w:rPr>
          <w:rFonts w:ascii="Times New Roman" w:eastAsia="Times New Roman" w:hAnsi="Times New Roman" w:cs="Times New Roman"/>
          <w:i/>
          <w:sz w:val="20"/>
          <w:szCs w:val="20"/>
        </w:rPr>
        <w:t>C</w:t>
      </w:r>
      <w:r w:rsidRPr="0011469B">
        <w:rPr>
          <w:rFonts w:ascii="Times New Roman" w:eastAsia="Times New Roman" w:hAnsi="Times New Roman" w:cs="Times New Roman"/>
          <w:i/>
          <w:sz w:val="20"/>
          <w:szCs w:val="20"/>
        </w:rPr>
        <w:t xml:space="preserve">alculus of </w:t>
      </w:r>
      <w:r w:rsidR="00AA67CE">
        <w:rPr>
          <w:rFonts w:ascii="Times New Roman" w:eastAsia="Times New Roman" w:hAnsi="Times New Roman" w:cs="Times New Roman"/>
          <w:i/>
          <w:sz w:val="20"/>
          <w:szCs w:val="20"/>
        </w:rPr>
        <w:t>C</w:t>
      </w:r>
      <w:r w:rsidRPr="0011469B">
        <w:rPr>
          <w:rFonts w:ascii="Times New Roman" w:eastAsia="Times New Roman" w:hAnsi="Times New Roman" w:cs="Times New Roman"/>
          <w:i/>
          <w:sz w:val="20"/>
          <w:szCs w:val="20"/>
        </w:rPr>
        <w:t>onsent</w:t>
      </w:r>
      <w:r w:rsidRPr="0011469B">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11469B">
        <w:rPr>
          <w:rFonts w:ascii="Times New Roman" w:hAnsi="Times New Roman" w:cs="Times New Roman"/>
          <w:sz w:val="20"/>
          <w:szCs w:val="20"/>
          <w:shd w:val="clear" w:color="auto" w:fill="FFFFFF"/>
        </w:rPr>
        <w:t>Becker</w:t>
      </w:r>
      <w:r>
        <w:rPr>
          <w:rFonts w:ascii="Times New Roman" w:hAnsi="Times New Roman" w:cs="Times New Roman"/>
          <w:sz w:val="20"/>
          <w:szCs w:val="20"/>
          <w:shd w:val="clear" w:color="auto" w:fill="FFFFFF"/>
        </w:rPr>
        <w:t>, G.</w:t>
      </w:r>
      <w:r w:rsidRPr="0011469B">
        <w:rPr>
          <w:rFonts w:ascii="Times New Roman" w:hAnsi="Times New Roman" w:cs="Times New Roman"/>
          <w:sz w:val="20"/>
          <w:szCs w:val="20"/>
          <w:shd w:val="clear" w:color="auto" w:fill="FFFFFF"/>
        </w:rPr>
        <w:t xml:space="preserve"> (1983).  A theory of competition among pressure groups for political influence. </w:t>
      </w:r>
      <w:hyperlink r:id="rId2" w:tooltip="Quarterly Journal of Economics" w:history="1">
        <w:r w:rsidRPr="0011469B">
          <w:rPr>
            <w:rStyle w:val="Hyperlink"/>
            <w:rFonts w:ascii="Times New Roman" w:hAnsi="Times New Roman" w:cs="Times New Roman"/>
            <w:i/>
            <w:iCs/>
            <w:color w:val="auto"/>
            <w:sz w:val="20"/>
            <w:szCs w:val="20"/>
            <w:u w:val="none"/>
            <w:shd w:val="clear" w:color="auto" w:fill="FFFFFF"/>
          </w:rPr>
          <w:t>Quarterly Journal of Economics</w:t>
        </w:r>
      </w:hyperlink>
      <w:r w:rsidRPr="0011469B">
        <w:rPr>
          <w:rFonts w:ascii="Times New Roman" w:hAnsi="Times New Roman" w:cs="Times New Roman"/>
          <w:sz w:val="20"/>
          <w:szCs w:val="20"/>
          <w:shd w:val="clear" w:color="auto" w:fill="FFFFFF"/>
        </w:rPr>
        <w:t xml:space="preserve">. 98 (3): 371–400; Laffont, J.J. </w:t>
      </w:r>
      <w:r w:rsidRPr="0011469B">
        <w:rPr>
          <w:rFonts w:ascii="Times New Roman" w:hAnsi="Times New Roman" w:cs="Times New Roman"/>
          <w:sz w:val="20"/>
          <w:szCs w:val="20"/>
        </w:rPr>
        <w:t>and Tirole</w:t>
      </w:r>
      <w:r>
        <w:rPr>
          <w:rFonts w:ascii="Times New Roman" w:hAnsi="Times New Roman" w:cs="Times New Roman"/>
          <w:sz w:val="20"/>
          <w:szCs w:val="20"/>
        </w:rPr>
        <w:t>, J.</w:t>
      </w:r>
      <w:r w:rsidRPr="0011469B">
        <w:rPr>
          <w:rFonts w:ascii="Times New Roman" w:hAnsi="Times New Roman" w:cs="Times New Roman"/>
          <w:sz w:val="20"/>
          <w:szCs w:val="20"/>
        </w:rPr>
        <w:t xml:space="preserve"> (1991) The </w:t>
      </w:r>
      <w:r w:rsidR="00F320EA">
        <w:rPr>
          <w:rFonts w:ascii="Times New Roman" w:hAnsi="Times New Roman" w:cs="Times New Roman"/>
          <w:sz w:val="20"/>
          <w:szCs w:val="20"/>
        </w:rPr>
        <w:t>p</w:t>
      </w:r>
      <w:r w:rsidRPr="0011469B">
        <w:rPr>
          <w:rFonts w:ascii="Times New Roman" w:hAnsi="Times New Roman" w:cs="Times New Roman"/>
          <w:sz w:val="20"/>
          <w:szCs w:val="20"/>
        </w:rPr>
        <w:t xml:space="preserve">olitics of </w:t>
      </w:r>
      <w:r w:rsidR="00F320EA">
        <w:rPr>
          <w:rFonts w:ascii="Times New Roman" w:hAnsi="Times New Roman" w:cs="Times New Roman"/>
          <w:sz w:val="20"/>
          <w:szCs w:val="20"/>
        </w:rPr>
        <w:t>g</w:t>
      </w:r>
      <w:r w:rsidRPr="0011469B">
        <w:rPr>
          <w:rFonts w:ascii="Times New Roman" w:hAnsi="Times New Roman" w:cs="Times New Roman"/>
          <w:sz w:val="20"/>
          <w:szCs w:val="20"/>
        </w:rPr>
        <w:t xml:space="preserve">overnment </w:t>
      </w:r>
      <w:r w:rsidR="00F320EA">
        <w:rPr>
          <w:rFonts w:ascii="Times New Roman" w:hAnsi="Times New Roman" w:cs="Times New Roman"/>
          <w:sz w:val="20"/>
          <w:szCs w:val="20"/>
        </w:rPr>
        <w:t>d</w:t>
      </w:r>
      <w:r w:rsidRPr="0011469B">
        <w:rPr>
          <w:rFonts w:ascii="Times New Roman" w:hAnsi="Times New Roman" w:cs="Times New Roman"/>
          <w:sz w:val="20"/>
          <w:szCs w:val="20"/>
        </w:rPr>
        <w:t>ecision-</w:t>
      </w:r>
      <w:r w:rsidR="00F320EA">
        <w:rPr>
          <w:rFonts w:ascii="Times New Roman" w:hAnsi="Times New Roman" w:cs="Times New Roman"/>
          <w:sz w:val="20"/>
          <w:szCs w:val="20"/>
        </w:rPr>
        <w:t>m</w:t>
      </w:r>
      <w:r w:rsidRPr="0011469B">
        <w:rPr>
          <w:rFonts w:ascii="Times New Roman" w:hAnsi="Times New Roman" w:cs="Times New Roman"/>
          <w:sz w:val="20"/>
          <w:szCs w:val="20"/>
        </w:rPr>
        <w:t xml:space="preserve">aking: A </w:t>
      </w:r>
      <w:r w:rsidR="00F320EA">
        <w:rPr>
          <w:rFonts w:ascii="Times New Roman" w:hAnsi="Times New Roman" w:cs="Times New Roman"/>
          <w:sz w:val="20"/>
          <w:szCs w:val="20"/>
        </w:rPr>
        <w:t>t</w:t>
      </w:r>
      <w:r w:rsidRPr="0011469B">
        <w:rPr>
          <w:rFonts w:ascii="Times New Roman" w:hAnsi="Times New Roman" w:cs="Times New Roman"/>
          <w:sz w:val="20"/>
          <w:szCs w:val="20"/>
        </w:rPr>
        <w:t xml:space="preserve">heory of </w:t>
      </w:r>
      <w:r w:rsidR="00F320EA">
        <w:rPr>
          <w:rFonts w:ascii="Times New Roman" w:hAnsi="Times New Roman" w:cs="Times New Roman"/>
          <w:sz w:val="20"/>
          <w:szCs w:val="20"/>
        </w:rPr>
        <w:t>r</w:t>
      </w:r>
      <w:r w:rsidRPr="0011469B">
        <w:rPr>
          <w:rFonts w:ascii="Times New Roman" w:hAnsi="Times New Roman" w:cs="Times New Roman"/>
          <w:sz w:val="20"/>
          <w:szCs w:val="20"/>
        </w:rPr>
        <w:t xml:space="preserve">egulatory </w:t>
      </w:r>
      <w:r w:rsidR="00F320EA">
        <w:rPr>
          <w:rFonts w:ascii="Times New Roman" w:hAnsi="Times New Roman" w:cs="Times New Roman"/>
          <w:sz w:val="20"/>
          <w:szCs w:val="20"/>
        </w:rPr>
        <w:t>c</w:t>
      </w:r>
      <w:r w:rsidRPr="0011469B">
        <w:rPr>
          <w:rFonts w:ascii="Times New Roman" w:hAnsi="Times New Roman" w:cs="Times New Roman"/>
          <w:sz w:val="20"/>
          <w:szCs w:val="20"/>
        </w:rPr>
        <w:t xml:space="preserve">apture. </w:t>
      </w:r>
      <w:r w:rsidRPr="0011469B">
        <w:rPr>
          <w:rFonts w:ascii="Times New Roman" w:hAnsi="Times New Roman" w:cs="Times New Roman"/>
          <w:i/>
          <w:iCs/>
          <w:sz w:val="20"/>
          <w:szCs w:val="20"/>
        </w:rPr>
        <w:t>The Quarterly Journal of Economics</w:t>
      </w:r>
      <w:r w:rsidRPr="0011469B">
        <w:rPr>
          <w:rFonts w:ascii="Times New Roman" w:hAnsi="Times New Roman" w:cs="Times New Roman"/>
          <w:sz w:val="20"/>
          <w:szCs w:val="20"/>
        </w:rPr>
        <w:t xml:space="preserve">, 106 (4): 1089-1127 and </w:t>
      </w:r>
      <w:r w:rsidRPr="0011469B">
        <w:rPr>
          <w:rFonts w:ascii="Times New Roman" w:hAnsi="Times New Roman" w:cs="Times New Roman"/>
          <w:sz w:val="20"/>
          <w:szCs w:val="20"/>
          <w:shd w:val="clear" w:color="auto" w:fill="FFFFFF"/>
        </w:rPr>
        <w:t xml:space="preserve">Johnson, R.N. and Libecap, G.D.  (2001) </w:t>
      </w:r>
      <w:r w:rsidRPr="0011469B">
        <w:rPr>
          <w:rFonts w:ascii="Times New Roman" w:eastAsia="Times New Roman" w:hAnsi="Times New Roman" w:cs="Times New Roman"/>
          <w:spacing w:val="-5"/>
          <w:kern w:val="36"/>
          <w:sz w:val="20"/>
          <w:szCs w:val="20"/>
        </w:rPr>
        <w:t xml:space="preserve">Information </w:t>
      </w:r>
      <w:r w:rsidR="001D784E">
        <w:rPr>
          <w:rFonts w:ascii="Times New Roman" w:eastAsia="Times New Roman" w:hAnsi="Times New Roman" w:cs="Times New Roman"/>
          <w:spacing w:val="-5"/>
          <w:kern w:val="36"/>
          <w:sz w:val="20"/>
          <w:szCs w:val="20"/>
        </w:rPr>
        <w:t>d</w:t>
      </w:r>
      <w:r w:rsidRPr="0011469B">
        <w:rPr>
          <w:rFonts w:ascii="Times New Roman" w:eastAsia="Times New Roman" w:hAnsi="Times New Roman" w:cs="Times New Roman"/>
          <w:spacing w:val="-5"/>
          <w:kern w:val="36"/>
          <w:sz w:val="20"/>
          <w:szCs w:val="20"/>
        </w:rPr>
        <w:t xml:space="preserve">istortion and </w:t>
      </w:r>
      <w:r w:rsidR="001D784E">
        <w:rPr>
          <w:rFonts w:ascii="Times New Roman" w:eastAsia="Times New Roman" w:hAnsi="Times New Roman" w:cs="Times New Roman"/>
          <w:spacing w:val="-5"/>
          <w:kern w:val="36"/>
          <w:sz w:val="20"/>
          <w:szCs w:val="20"/>
        </w:rPr>
        <w:t>c</w:t>
      </w:r>
      <w:r w:rsidRPr="0011469B">
        <w:rPr>
          <w:rFonts w:ascii="Times New Roman" w:eastAsia="Times New Roman" w:hAnsi="Times New Roman" w:cs="Times New Roman"/>
          <w:spacing w:val="-5"/>
          <w:kern w:val="36"/>
          <w:sz w:val="20"/>
          <w:szCs w:val="20"/>
        </w:rPr>
        <w:t xml:space="preserve">ompetitive </w:t>
      </w:r>
      <w:r w:rsidR="001D784E">
        <w:rPr>
          <w:rFonts w:ascii="Times New Roman" w:eastAsia="Times New Roman" w:hAnsi="Times New Roman" w:cs="Times New Roman"/>
          <w:spacing w:val="-5"/>
          <w:kern w:val="36"/>
          <w:sz w:val="20"/>
          <w:szCs w:val="20"/>
        </w:rPr>
        <w:t>r</w:t>
      </w:r>
      <w:r w:rsidRPr="001C08FD">
        <w:rPr>
          <w:rFonts w:ascii="Times New Roman" w:eastAsia="Times New Roman" w:hAnsi="Times New Roman" w:cs="Times New Roman"/>
          <w:spacing w:val="-5"/>
          <w:kern w:val="36"/>
          <w:sz w:val="20"/>
          <w:szCs w:val="20"/>
        </w:rPr>
        <w:t xml:space="preserve">emedies in </w:t>
      </w:r>
      <w:r w:rsidR="001D784E">
        <w:rPr>
          <w:rFonts w:ascii="Times New Roman" w:eastAsia="Times New Roman" w:hAnsi="Times New Roman" w:cs="Times New Roman"/>
          <w:spacing w:val="-5"/>
          <w:kern w:val="36"/>
          <w:sz w:val="20"/>
          <w:szCs w:val="20"/>
        </w:rPr>
        <w:t>g</w:t>
      </w:r>
      <w:r w:rsidRPr="001C08FD">
        <w:rPr>
          <w:rFonts w:ascii="Times New Roman" w:eastAsia="Times New Roman" w:hAnsi="Times New Roman" w:cs="Times New Roman"/>
          <w:spacing w:val="-5"/>
          <w:kern w:val="36"/>
          <w:sz w:val="20"/>
          <w:szCs w:val="20"/>
        </w:rPr>
        <w:t xml:space="preserve">overnment </w:t>
      </w:r>
      <w:r w:rsidR="001D784E">
        <w:rPr>
          <w:rFonts w:ascii="Times New Roman" w:eastAsia="Times New Roman" w:hAnsi="Times New Roman" w:cs="Times New Roman"/>
          <w:spacing w:val="-5"/>
          <w:kern w:val="36"/>
          <w:sz w:val="20"/>
          <w:szCs w:val="20"/>
        </w:rPr>
        <w:t>t</w:t>
      </w:r>
      <w:r w:rsidRPr="001C08FD">
        <w:rPr>
          <w:rFonts w:ascii="Times New Roman" w:eastAsia="Times New Roman" w:hAnsi="Times New Roman" w:cs="Times New Roman"/>
          <w:spacing w:val="-5"/>
          <w:kern w:val="36"/>
          <w:sz w:val="20"/>
          <w:szCs w:val="20"/>
        </w:rPr>
        <w:t xml:space="preserve">ransfer </w:t>
      </w:r>
      <w:r w:rsidR="001D784E">
        <w:rPr>
          <w:rFonts w:ascii="Times New Roman" w:eastAsia="Times New Roman" w:hAnsi="Times New Roman" w:cs="Times New Roman"/>
          <w:spacing w:val="-5"/>
          <w:kern w:val="36"/>
          <w:sz w:val="20"/>
          <w:szCs w:val="20"/>
        </w:rPr>
        <w:t>p</w:t>
      </w:r>
      <w:r w:rsidRPr="001C08FD">
        <w:rPr>
          <w:rFonts w:ascii="Times New Roman" w:eastAsia="Times New Roman" w:hAnsi="Times New Roman" w:cs="Times New Roman"/>
          <w:spacing w:val="-5"/>
          <w:kern w:val="36"/>
          <w:sz w:val="20"/>
          <w:szCs w:val="20"/>
        </w:rPr>
        <w:t xml:space="preserve">rograms: The </w:t>
      </w:r>
      <w:r w:rsidR="001D784E">
        <w:rPr>
          <w:rFonts w:ascii="Times New Roman" w:eastAsia="Times New Roman" w:hAnsi="Times New Roman" w:cs="Times New Roman"/>
          <w:spacing w:val="-5"/>
          <w:kern w:val="36"/>
          <w:sz w:val="20"/>
          <w:szCs w:val="20"/>
        </w:rPr>
        <w:t>c</w:t>
      </w:r>
      <w:r w:rsidRPr="001C08FD">
        <w:rPr>
          <w:rFonts w:ascii="Times New Roman" w:eastAsia="Times New Roman" w:hAnsi="Times New Roman" w:cs="Times New Roman"/>
          <w:spacing w:val="-5"/>
          <w:kern w:val="36"/>
          <w:sz w:val="20"/>
          <w:szCs w:val="20"/>
        </w:rPr>
        <w:t xml:space="preserve">ase of </w:t>
      </w:r>
      <w:r w:rsidR="001D784E">
        <w:rPr>
          <w:rFonts w:ascii="Times New Roman" w:eastAsia="Times New Roman" w:hAnsi="Times New Roman" w:cs="Times New Roman"/>
          <w:spacing w:val="-5"/>
          <w:kern w:val="36"/>
          <w:sz w:val="20"/>
          <w:szCs w:val="20"/>
        </w:rPr>
        <w:t>e</w:t>
      </w:r>
      <w:r w:rsidRPr="001C08FD">
        <w:rPr>
          <w:rFonts w:ascii="Times New Roman" w:eastAsia="Times New Roman" w:hAnsi="Times New Roman" w:cs="Times New Roman"/>
          <w:spacing w:val="-5"/>
          <w:kern w:val="36"/>
          <w:sz w:val="20"/>
          <w:szCs w:val="20"/>
        </w:rPr>
        <w:t xml:space="preserve">thanol. </w:t>
      </w:r>
      <w:r w:rsidRPr="001C08FD">
        <w:rPr>
          <w:rFonts w:ascii="Times New Roman" w:eastAsia="Times New Roman" w:hAnsi="Times New Roman" w:cs="Times New Roman"/>
          <w:i/>
          <w:iCs/>
          <w:spacing w:val="-5"/>
          <w:kern w:val="36"/>
          <w:sz w:val="20"/>
          <w:szCs w:val="20"/>
        </w:rPr>
        <w:t>Economics of Governance</w:t>
      </w:r>
      <w:r w:rsidRPr="001C08FD">
        <w:rPr>
          <w:rFonts w:ascii="Times New Roman" w:eastAsia="Times New Roman" w:hAnsi="Times New Roman" w:cs="Times New Roman"/>
          <w:spacing w:val="-5"/>
          <w:kern w:val="36"/>
          <w:sz w:val="20"/>
          <w:szCs w:val="20"/>
        </w:rPr>
        <w:t xml:space="preserve"> 2: 101-134.</w:t>
      </w:r>
    </w:p>
  </w:footnote>
  <w:footnote w:id="8">
    <w:p w14:paraId="346371FC" w14:textId="01BA2BA8" w:rsidR="001C08FD" w:rsidRPr="001C08FD" w:rsidRDefault="001C08FD">
      <w:pPr>
        <w:pStyle w:val="FootnoteText"/>
        <w:rPr>
          <w:rFonts w:ascii="Times New Roman" w:hAnsi="Times New Roman" w:cs="Times New Roman"/>
        </w:rPr>
      </w:pPr>
      <w:r w:rsidRPr="001C08FD">
        <w:rPr>
          <w:rStyle w:val="FootnoteReference"/>
          <w:rFonts w:ascii="Times New Roman" w:hAnsi="Times New Roman" w:cs="Times New Roman"/>
        </w:rPr>
        <w:footnoteRef/>
      </w:r>
      <w:r w:rsidRPr="001C08FD">
        <w:rPr>
          <w:rFonts w:ascii="Times New Roman" w:hAnsi="Times New Roman" w:cs="Times New Roman"/>
        </w:rPr>
        <w:t xml:space="preserve"> Acemoglu, D. (2003). Why not a political Coase theorem? Social conflict, commitment, and politics. </w:t>
      </w:r>
      <w:r w:rsidRPr="001C08FD">
        <w:rPr>
          <w:rFonts w:ascii="Times New Roman" w:hAnsi="Times New Roman" w:cs="Times New Roman"/>
          <w:i/>
          <w:iCs/>
        </w:rPr>
        <w:t>Journal of Comparative Economics</w:t>
      </w:r>
      <w:r w:rsidRPr="001C08FD">
        <w:rPr>
          <w:rFonts w:ascii="Times New Roman" w:hAnsi="Times New Roman" w:cs="Times New Roman"/>
        </w:rPr>
        <w:t xml:space="preserve"> 31: 620–652.</w:t>
      </w:r>
    </w:p>
  </w:footnote>
  <w:footnote w:id="9">
    <w:p w14:paraId="11F6F38B" w14:textId="344E1FE9" w:rsidR="002F7D47" w:rsidRPr="00A0736D" w:rsidRDefault="002F7D47">
      <w:pPr>
        <w:pStyle w:val="FootnoteText"/>
        <w:rPr>
          <w:rFonts w:ascii="Times New Roman" w:hAnsi="Times New Roman" w:cs="Times New Roman"/>
        </w:rPr>
      </w:pPr>
      <w:r>
        <w:rPr>
          <w:rStyle w:val="FootnoteReference"/>
        </w:rPr>
        <w:footnoteRef/>
      </w:r>
      <w:r>
        <w:t xml:space="preserve"> </w:t>
      </w:r>
      <w:r w:rsidRPr="00A0736D">
        <w:rPr>
          <w:rFonts w:ascii="Times New Roman" w:hAnsi="Times New Roman" w:cs="Times New Roman"/>
        </w:rPr>
        <w:t>As described below, rents are the returns to agents who receive</w:t>
      </w:r>
      <w:r w:rsidR="00A0736D" w:rsidRPr="00A0736D">
        <w:rPr>
          <w:rFonts w:ascii="Times New Roman" w:hAnsi="Times New Roman" w:cs="Times New Roman"/>
        </w:rPr>
        <w:t xml:space="preserve"> marginal</w:t>
      </w:r>
      <w:r w:rsidRPr="00A0736D">
        <w:rPr>
          <w:rFonts w:ascii="Times New Roman" w:hAnsi="Times New Roman" w:cs="Times New Roman"/>
        </w:rPr>
        <w:t xml:space="preserve"> values that exceed </w:t>
      </w:r>
      <w:r w:rsidR="00BE307A">
        <w:rPr>
          <w:rFonts w:ascii="Times New Roman" w:hAnsi="Times New Roman" w:cs="Times New Roman"/>
        </w:rPr>
        <w:t xml:space="preserve">their marginal costs. </w:t>
      </w:r>
      <w:r w:rsidR="00A0736D" w:rsidRPr="00A0736D">
        <w:rPr>
          <w:rFonts w:ascii="Times New Roman" w:hAnsi="Times New Roman" w:cs="Times New Roman"/>
        </w:rPr>
        <w:t xml:space="preserve">Competitive markets would compete these rents away, but in the political arena where competition is restrained by design, rents endure. </w:t>
      </w:r>
    </w:p>
  </w:footnote>
  <w:footnote w:id="10">
    <w:p w14:paraId="746C99BA" w14:textId="262F2FEA" w:rsidR="0031219B" w:rsidRDefault="0031219B" w:rsidP="005E0671">
      <w:pPr>
        <w:spacing w:after="0" w:line="240" w:lineRule="auto"/>
      </w:pPr>
      <w:r w:rsidRPr="00764F21">
        <w:rPr>
          <w:rStyle w:val="FootnoteReference"/>
          <w:rFonts w:ascii="Times New Roman" w:hAnsi="Times New Roman" w:cs="Times New Roman"/>
          <w:sz w:val="20"/>
          <w:szCs w:val="20"/>
        </w:rPr>
        <w:footnoteRef/>
      </w:r>
      <w:r w:rsidRPr="00764F21">
        <w:rPr>
          <w:rFonts w:ascii="Times New Roman" w:hAnsi="Times New Roman" w:cs="Times New Roman"/>
          <w:sz w:val="20"/>
          <w:szCs w:val="20"/>
        </w:rPr>
        <w:t xml:space="preserve"> Pigou, A. C. (1920). </w:t>
      </w:r>
      <w:r w:rsidRPr="00B904D4">
        <w:rPr>
          <w:rFonts w:ascii="Times New Roman" w:eastAsia="Times New Roman" w:hAnsi="Times New Roman" w:cs="Times New Roman"/>
          <w:i/>
          <w:iCs/>
          <w:sz w:val="20"/>
          <w:szCs w:val="20"/>
        </w:rPr>
        <w:t xml:space="preserve">The </w:t>
      </w:r>
      <w:r w:rsidR="00AA67CE">
        <w:rPr>
          <w:rFonts w:ascii="Times New Roman" w:eastAsia="Times New Roman" w:hAnsi="Times New Roman" w:cs="Times New Roman"/>
          <w:i/>
          <w:iCs/>
          <w:sz w:val="20"/>
          <w:szCs w:val="20"/>
        </w:rPr>
        <w:t>E</w:t>
      </w:r>
      <w:r w:rsidRPr="00B904D4">
        <w:rPr>
          <w:rFonts w:ascii="Times New Roman" w:eastAsia="Times New Roman" w:hAnsi="Times New Roman" w:cs="Times New Roman"/>
          <w:i/>
          <w:iCs/>
          <w:sz w:val="20"/>
          <w:szCs w:val="20"/>
        </w:rPr>
        <w:t xml:space="preserve">conomics of </w:t>
      </w:r>
      <w:r w:rsidR="00AA67CE">
        <w:rPr>
          <w:rFonts w:ascii="Times New Roman" w:eastAsia="Times New Roman" w:hAnsi="Times New Roman" w:cs="Times New Roman"/>
          <w:i/>
          <w:iCs/>
          <w:sz w:val="20"/>
          <w:szCs w:val="20"/>
        </w:rPr>
        <w:t>W</w:t>
      </w:r>
      <w:r w:rsidRPr="00B904D4">
        <w:rPr>
          <w:rFonts w:ascii="Times New Roman" w:eastAsia="Times New Roman" w:hAnsi="Times New Roman" w:cs="Times New Roman"/>
          <w:i/>
          <w:iCs/>
          <w:sz w:val="20"/>
          <w:szCs w:val="20"/>
        </w:rPr>
        <w:t>elfare</w:t>
      </w:r>
      <w:r w:rsidRPr="00764F21">
        <w:rPr>
          <w:rFonts w:ascii="Times New Roman" w:eastAsia="Times New Roman" w:hAnsi="Times New Roman" w:cs="Times New Roman"/>
          <w:sz w:val="20"/>
          <w:szCs w:val="20"/>
        </w:rPr>
        <w:t>.</w:t>
      </w:r>
      <w:r w:rsidRPr="00764F21">
        <w:rPr>
          <w:rFonts w:ascii="Times New Roman" w:hAnsi="Times New Roman" w:cs="Times New Roman"/>
          <w:sz w:val="20"/>
          <w:szCs w:val="20"/>
        </w:rPr>
        <w:t xml:space="preserve"> </w:t>
      </w:r>
      <w:r w:rsidR="00764F21" w:rsidRPr="00764F21">
        <w:rPr>
          <w:rFonts w:ascii="Times New Roman" w:eastAsia="Times New Roman" w:hAnsi="Times New Roman" w:cs="Times New Roman"/>
          <w:color w:val="222222"/>
          <w:kern w:val="0"/>
          <w:sz w:val="20"/>
          <w:szCs w:val="20"/>
          <w14:ligatures w14:val="none"/>
        </w:rPr>
        <w:t xml:space="preserve">In their review of the Clean Air Act, the most significant US environmental law, Schmalensee and Stavins (2019, 33) conjecture as to why taxes are not used. </w:t>
      </w:r>
      <w:r w:rsidR="00764F21">
        <w:rPr>
          <w:rFonts w:ascii="Times New Roman" w:eastAsia="Times New Roman" w:hAnsi="Times New Roman" w:cs="Times New Roman"/>
          <w:color w:val="222222"/>
          <w:kern w:val="0"/>
          <w:sz w:val="20"/>
          <w:szCs w:val="20"/>
          <w14:ligatures w14:val="none"/>
        </w:rPr>
        <w:t xml:space="preserve"> They suggest that it </w:t>
      </w:r>
      <w:r w:rsidR="00764F21" w:rsidRPr="00764F21">
        <w:rPr>
          <w:rFonts w:ascii="Times New Roman" w:eastAsia="Times New Roman" w:hAnsi="Times New Roman" w:cs="Times New Roman"/>
          <w:color w:val="222222"/>
          <w:kern w:val="0"/>
          <w:sz w:val="20"/>
          <w:szCs w:val="20"/>
          <w14:ligatures w14:val="none"/>
        </w:rPr>
        <w:t>is the difficulty in identifying the appropriate tax rate to equate the marginal social costs and private costs of pollution. They do not explain, however, why politicians and program advocates would seek to make that balance since they are not residual claimants of tax efficiencies in the absence of property rights and markets.</w:t>
      </w:r>
    </w:p>
  </w:footnote>
  <w:footnote w:id="11">
    <w:p w14:paraId="4C48DDBB" w14:textId="6D9B8D03" w:rsidR="006D72FD" w:rsidRPr="00BB146A" w:rsidRDefault="006D72FD">
      <w:pPr>
        <w:pStyle w:val="FootnoteText"/>
        <w:rPr>
          <w:rFonts w:ascii="Times New Roman" w:hAnsi="Times New Roman" w:cs="Times New Roman"/>
        </w:rPr>
      </w:pPr>
      <w:r w:rsidRPr="00BB146A">
        <w:rPr>
          <w:rStyle w:val="FootnoteReference"/>
          <w:rFonts w:ascii="Times New Roman" w:hAnsi="Times New Roman" w:cs="Times New Roman"/>
        </w:rPr>
        <w:footnoteRef/>
      </w:r>
      <w:r w:rsidRPr="00BB146A">
        <w:rPr>
          <w:rFonts w:ascii="Times New Roman" w:hAnsi="Times New Roman" w:cs="Times New Roman"/>
        </w:rPr>
        <w:t xml:space="preserve"> Libecap, G.D. (</w:t>
      </w:r>
      <w:r w:rsidR="00BB146A" w:rsidRPr="00BB146A">
        <w:rPr>
          <w:rFonts w:ascii="Times New Roman" w:hAnsi="Times New Roman" w:cs="Times New Roman"/>
        </w:rPr>
        <w:t>2025). State regulation of open-access, common-pool resources, in Ménard</w:t>
      </w:r>
      <w:r w:rsidR="00BB146A" w:rsidRPr="00BB146A">
        <w:rPr>
          <w:rFonts w:ascii="Times New Roman" w:hAnsi="Times New Roman" w:cs="Times New Roman"/>
          <w:color w:val="222222"/>
        </w:rPr>
        <w:t xml:space="preserve">, C. and Shirley, M.M. </w:t>
      </w:r>
      <w:r w:rsidR="00BB146A" w:rsidRPr="00BB146A">
        <w:rPr>
          <w:rFonts w:ascii="Times New Roman" w:hAnsi="Times New Roman" w:cs="Times New Roman"/>
          <w:i/>
          <w:iCs/>
          <w:color w:val="222222"/>
        </w:rPr>
        <w:t>Advanced Introduction to New Institutional Economics</w:t>
      </w:r>
      <w:r w:rsidR="00BB146A" w:rsidRPr="00BB146A">
        <w:rPr>
          <w:rFonts w:ascii="Times New Roman" w:hAnsi="Times New Roman" w:cs="Times New Roman"/>
          <w:color w:val="222222"/>
        </w:rPr>
        <w:t>. He argues that fisheries were more organized at the local level to affect regulatory policies than in the case of other environmental legislation. They, however, were also heterogeneous with parties opting for rent-seeking to secure favored, non-tradable rights endowments.</w:t>
      </w:r>
    </w:p>
  </w:footnote>
  <w:footnote w:id="12">
    <w:p w14:paraId="0E1C7E71" w14:textId="49F8E69A" w:rsidR="00FE7103" w:rsidRDefault="00FE7103" w:rsidP="000F56F7">
      <w:pPr>
        <w:pStyle w:val="Heading2"/>
        <w:spacing w:before="0" w:line="240" w:lineRule="auto"/>
        <w:textAlignment w:val="center"/>
      </w:pPr>
      <w:r w:rsidRPr="00BB146A">
        <w:rPr>
          <w:rStyle w:val="FootnoteReference"/>
          <w:rFonts w:ascii="Times New Roman" w:hAnsi="Times New Roman" w:cs="Times New Roman"/>
        </w:rPr>
        <w:footnoteRef/>
      </w:r>
      <w:r w:rsidRPr="00BB146A">
        <w:rPr>
          <w:rFonts w:ascii="Times New Roman" w:hAnsi="Times New Roman" w:cs="Times New Roman"/>
        </w:rPr>
        <w:t xml:space="preserve"> </w:t>
      </w:r>
      <w:r w:rsidRPr="00BB146A">
        <w:rPr>
          <w:rFonts w:ascii="Times New Roman" w:hAnsi="Times New Roman" w:cs="Times New Roman"/>
          <w:color w:val="auto"/>
          <w:sz w:val="20"/>
          <w:szCs w:val="20"/>
        </w:rPr>
        <w:t xml:space="preserve">Demsetz, H. (1964) The </w:t>
      </w:r>
      <w:r w:rsidR="00887192" w:rsidRPr="00BB146A">
        <w:rPr>
          <w:rFonts w:ascii="Times New Roman" w:hAnsi="Times New Roman" w:cs="Times New Roman"/>
          <w:color w:val="auto"/>
          <w:sz w:val="20"/>
          <w:szCs w:val="20"/>
        </w:rPr>
        <w:t>e</w:t>
      </w:r>
      <w:r w:rsidRPr="00BB146A">
        <w:rPr>
          <w:rFonts w:ascii="Times New Roman" w:hAnsi="Times New Roman" w:cs="Times New Roman"/>
          <w:color w:val="auto"/>
          <w:sz w:val="20"/>
          <w:szCs w:val="20"/>
        </w:rPr>
        <w:t xml:space="preserve">xchange and </w:t>
      </w:r>
      <w:r w:rsidR="00887192" w:rsidRPr="00BB146A">
        <w:rPr>
          <w:rFonts w:ascii="Times New Roman" w:hAnsi="Times New Roman" w:cs="Times New Roman"/>
          <w:color w:val="auto"/>
          <w:sz w:val="20"/>
          <w:szCs w:val="20"/>
        </w:rPr>
        <w:t>e</w:t>
      </w:r>
      <w:r w:rsidRPr="00BB146A">
        <w:rPr>
          <w:rFonts w:ascii="Times New Roman" w:hAnsi="Times New Roman" w:cs="Times New Roman"/>
          <w:color w:val="auto"/>
          <w:sz w:val="20"/>
          <w:szCs w:val="20"/>
        </w:rPr>
        <w:t xml:space="preserve">nforcement of </w:t>
      </w:r>
      <w:r w:rsidR="00887192" w:rsidRPr="00BB146A">
        <w:rPr>
          <w:rFonts w:ascii="Times New Roman" w:hAnsi="Times New Roman" w:cs="Times New Roman"/>
          <w:color w:val="auto"/>
          <w:sz w:val="20"/>
          <w:szCs w:val="20"/>
        </w:rPr>
        <w:t>p</w:t>
      </w:r>
      <w:r w:rsidRPr="00BB146A">
        <w:rPr>
          <w:rFonts w:ascii="Times New Roman" w:hAnsi="Times New Roman" w:cs="Times New Roman"/>
          <w:color w:val="auto"/>
          <w:sz w:val="20"/>
          <w:szCs w:val="20"/>
        </w:rPr>
        <w:t xml:space="preserve">roperty </w:t>
      </w:r>
      <w:r w:rsidR="00A65A2A" w:rsidRPr="00BB146A">
        <w:rPr>
          <w:rFonts w:ascii="Times New Roman" w:hAnsi="Times New Roman" w:cs="Times New Roman"/>
          <w:color w:val="auto"/>
          <w:sz w:val="20"/>
          <w:szCs w:val="20"/>
        </w:rPr>
        <w:t>r</w:t>
      </w:r>
      <w:r w:rsidRPr="00BB146A">
        <w:rPr>
          <w:rFonts w:ascii="Times New Roman" w:hAnsi="Times New Roman" w:cs="Times New Roman"/>
          <w:color w:val="auto"/>
          <w:sz w:val="20"/>
          <w:szCs w:val="20"/>
        </w:rPr>
        <w:t xml:space="preserve">ights. </w:t>
      </w:r>
      <w:r w:rsidRPr="00BB146A">
        <w:rPr>
          <w:rFonts w:ascii="Times New Roman" w:hAnsi="Times New Roman" w:cs="Times New Roman"/>
          <w:i/>
          <w:iCs/>
          <w:color w:val="auto"/>
          <w:sz w:val="20"/>
          <w:szCs w:val="20"/>
        </w:rPr>
        <w:t>The</w:t>
      </w:r>
      <w:r w:rsidRPr="00BB146A">
        <w:rPr>
          <w:rFonts w:ascii="Times New Roman" w:hAnsi="Times New Roman" w:cs="Times New Roman"/>
          <w:color w:val="auto"/>
          <w:sz w:val="20"/>
          <w:szCs w:val="20"/>
        </w:rPr>
        <w:t xml:space="preserve"> </w:t>
      </w:r>
      <w:r w:rsidRPr="00BB146A">
        <w:rPr>
          <w:rFonts w:ascii="Times New Roman" w:hAnsi="Times New Roman" w:cs="Times New Roman"/>
          <w:i/>
          <w:iCs/>
          <w:color w:val="auto"/>
          <w:sz w:val="20"/>
          <w:szCs w:val="20"/>
        </w:rPr>
        <w:t>Journal of Law and Economics</w:t>
      </w:r>
      <w:r w:rsidRPr="0053742F">
        <w:rPr>
          <w:rFonts w:ascii="Times New Roman" w:hAnsi="Times New Roman" w:cs="Times New Roman"/>
          <w:color w:val="auto"/>
          <w:sz w:val="20"/>
          <w:szCs w:val="20"/>
        </w:rPr>
        <w:t>, 7 (October): 11-26; (1967) Toward a Theory of Property Rights</w:t>
      </w:r>
      <w:r>
        <w:rPr>
          <w:rFonts w:ascii="Times New Roman" w:hAnsi="Times New Roman" w:cs="Times New Roman"/>
          <w:color w:val="auto"/>
          <w:sz w:val="20"/>
          <w:szCs w:val="20"/>
        </w:rPr>
        <w:t>.</w:t>
      </w:r>
      <w:r w:rsidRPr="0053742F">
        <w:rPr>
          <w:rFonts w:ascii="Times New Roman" w:hAnsi="Times New Roman" w:cs="Times New Roman"/>
          <w:color w:val="auto"/>
          <w:sz w:val="20"/>
          <w:szCs w:val="20"/>
        </w:rPr>
        <w:t xml:space="preserve"> </w:t>
      </w:r>
      <w:r w:rsidRPr="0053742F">
        <w:rPr>
          <w:rFonts w:ascii="Times New Roman" w:hAnsi="Times New Roman" w:cs="Times New Roman"/>
          <w:i/>
          <w:iCs/>
          <w:color w:val="auto"/>
          <w:sz w:val="20"/>
          <w:szCs w:val="20"/>
        </w:rPr>
        <w:t>The American Economic Review</w:t>
      </w:r>
      <w:r w:rsidRPr="0053742F">
        <w:rPr>
          <w:rFonts w:ascii="Times New Roman" w:hAnsi="Times New Roman" w:cs="Times New Roman"/>
          <w:color w:val="auto"/>
          <w:sz w:val="20"/>
          <w:szCs w:val="20"/>
        </w:rPr>
        <w:t>, 57 (2): 347-359;</w:t>
      </w:r>
      <w:r w:rsidRPr="00FE7103">
        <w:rPr>
          <w:rFonts w:ascii="Times New Roman" w:hAnsi="Times New Roman" w:cs="Times New Roman"/>
          <w:sz w:val="20"/>
          <w:szCs w:val="20"/>
        </w:rPr>
        <w:t xml:space="preserve"> </w:t>
      </w:r>
      <w:r w:rsidR="001D732E" w:rsidRPr="004C29E5">
        <w:rPr>
          <w:rFonts w:ascii="Times New Roman" w:hAnsi="Times New Roman" w:cs="Times New Roman"/>
          <w:color w:val="auto"/>
          <w:sz w:val="20"/>
          <w:szCs w:val="20"/>
        </w:rPr>
        <w:t>(1996)</w:t>
      </w:r>
      <w:r w:rsidR="001D732E" w:rsidRPr="004C29E5">
        <w:rPr>
          <w:rFonts w:ascii="Times New Roman" w:eastAsia="Times New Roman" w:hAnsi="Times New Roman" w:cs="Times New Roman"/>
          <w:color w:val="auto"/>
          <w:sz w:val="20"/>
          <w:szCs w:val="20"/>
        </w:rPr>
        <w:t xml:space="preserve">. </w:t>
      </w:r>
      <w:r w:rsidR="001D732E" w:rsidRPr="004C29E5">
        <w:rPr>
          <w:rFonts w:ascii="Times New Roman" w:eastAsia="Times New Roman" w:hAnsi="Times New Roman" w:cs="Times New Roman"/>
          <w:color w:val="auto"/>
          <w:kern w:val="36"/>
          <w:sz w:val="20"/>
          <w:szCs w:val="20"/>
        </w:rPr>
        <w:t xml:space="preserve">The </w:t>
      </w:r>
      <w:r w:rsidR="001D732E" w:rsidRPr="00B8357D">
        <w:rPr>
          <w:rFonts w:ascii="Times New Roman" w:eastAsia="Times New Roman" w:hAnsi="Times New Roman" w:cs="Times New Roman"/>
          <w:color w:val="auto"/>
          <w:kern w:val="36"/>
          <w:sz w:val="20"/>
          <w:szCs w:val="20"/>
        </w:rPr>
        <w:t>core disagreement between Pigou, the profession, and Coase in the analyses of the externality question.</w:t>
      </w:r>
      <w:r w:rsidR="001D732E" w:rsidRPr="00B8357D">
        <w:rPr>
          <w:rFonts w:ascii="Times New Roman" w:hAnsi="Times New Roman" w:cs="Times New Roman"/>
          <w:sz w:val="20"/>
          <w:szCs w:val="20"/>
        </w:rPr>
        <w:t xml:space="preserve"> </w:t>
      </w:r>
      <w:hyperlink r:id="rId3" w:tooltip="Go to European Journal of Political Economy on ScienceDirect" w:history="1">
        <w:r w:rsidR="001D732E" w:rsidRPr="00B8357D">
          <w:rPr>
            <w:rFonts w:ascii="Times New Roman" w:eastAsia="Times New Roman" w:hAnsi="Times New Roman" w:cs="Times New Roman"/>
            <w:i/>
            <w:iCs/>
            <w:color w:val="auto"/>
            <w:sz w:val="20"/>
            <w:szCs w:val="20"/>
          </w:rPr>
          <w:t>European Journal of Political Economy</w:t>
        </w:r>
      </w:hyperlink>
      <w:hyperlink r:id="rId4" w:tooltip="Go to table of contents for this volume/issue" w:history="1">
        <w:r w:rsidR="001D732E" w:rsidRPr="00B8357D">
          <w:rPr>
            <w:rFonts w:ascii="Times New Roman" w:eastAsia="Times New Roman" w:hAnsi="Times New Roman" w:cs="Times New Roman"/>
            <w:color w:val="auto"/>
            <w:sz w:val="20"/>
            <w:szCs w:val="20"/>
          </w:rPr>
          <w:t xml:space="preserve"> 12 (4</w:t>
        </w:r>
      </w:hyperlink>
      <w:r w:rsidR="001D732E" w:rsidRPr="00B8357D">
        <w:rPr>
          <w:rFonts w:ascii="Times New Roman" w:eastAsia="Times New Roman" w:hAnsi="Times New Roman" w:cs="Times New Roman"/>
          <w:color w:val="auto"/>
          <w:sz w:val="20"/>
          <w:szCs w:val="20"/>
        </w:rPr>
        <w:t>): 565-579</w:t>
      </w:r>
      <w:r w:rsidR="001D732E">
        <w:rPr>
          <w:rFonts w:ascii="Times New Roman" w:eastAsia="Times New Roman" w:hAnsi="Times New Roman" w:cs="Times New Roman"/>
          <w:color w:val="auto"/>
          <w:sz w:val="20"/>
          <w:szCs w:val="20"/>
        </w:rPr>
        <w:t xml:space="preserve">; </w:t>
      </w:r>
      <w:r w:rsidRPr="004C29E5">
        <w:rPr>
          <w:rFonts w:ascii="Times New Roman" w:eastAsiaTheme="minorHAnsi" w:hAnsi="Times New Roman" w:cs="Times New Roman"/>
          <w:color w:val="auto"/>
          <w:sz w:val="20"/>
          <w:szCs w:val="20"/>
        </w:rPr>
        <w:t>Cheung, SNS (1</w:t>
      </w:r>
      <w:r w:rsidRPr="004C29E5">
        <w:rPr>
          <w:rFonts w:ascii="Times New Roman" w:eastAsia="Times New Roman" w:hAnsi="Times New Roman" w:cs="Times New Roman"/>
          <w:color w:val="auto"/>
          <w:sz w:val="20"/>
          <w:szCs w:val="20"/>
        </w:rPr>
        <w:t xml:space="preserve">970). </w:t>
      </w:r>
      <w:r w:rsidRPr="004C29E5">
        <w:rPr>
          <w:rFonts w:ascii="Times New Roman" w:eastAsia="Times New Roman" w:hAnsi="Times New Roman" w:cs="Times New Roman"/>
          <w:color w:val="auto"/>
          <w:kern w:val="36"/>
          <w:sz w:val="20"/>
          <w:szCs w:val="20"/>
        </w:rPr>
        <w:t xml:space="preserve">The </w:t>
      </w:r>
      <w:r w:rsidR="00A65A2A">
        <w:rPr>
          <w:rFonts w:ascii="Times New Roman" w:eastAsia="Times New Roman" w:hAnsi="Times New Roman" w:cs="Times New Roman"/>
          <w:color w:val="auto"/>
          <w:kern w:val="36"/>
          <w:sz w:val="20"/>
          <w:szCs w:val="20"/>
        </w:rPr>
        <w:t>s</w:t>
      </w:r>
      <w:r w:rsidRPr="004C29E5">
        <w:rPr>
          <w:rFonts w:ascii="Times New Roman" w:eastAsia="Times New Roman" w:hAnsi="Times New Roman" w:cs="Times New Roman"/>
          <w:color w:val="auto"/>
          <w:kern w:val="36"/>
          <w:sz w:val="20"/>
          <w:szCs w:val="20"/>
        </w:rPr>
        <w:t xml:space="preserve">tructure of a </w:t>
      </w:r>
      <w:r w:rsidR="00A65A2A">
        <w:rPr>
          <w:rFonts w:ascii="Times New Roman" w:eastAsia="Times New Roman" w:hAnsi="Times New Roman" w:cs="Times New Roman"/>
          <w:color w:val="auto"/>
          <w:kern w:val="36"/>
          <w:sz w:val="20"/>
          <w:szCs w:val="20"/>
        </w:rPr>
        <w:t>c</w:t>
      </w:r>
      <w:r w:rsidRPr="004C29E5">
        <w:rPr>
          <w:rFonts w:ascii="Times New Roman" w:eastAsia="Times New Roman" w:hAnsi="Times New Roman" w:cs="Times New Roman"/>
          <w:color w:val="auto"/>
          <w:kern w:val="36"/>
          <w:sz w:val="20"/>
          <w:szCs w:val="20"/>
        </w:rPr>
        <w:t xml:space="preserve">ontract and the </w:t>
      </w:r>
      <w:r w:rsidR="00A65A2A">
        <w:rPr>
          <w:rFonts w:ascii="Times New Roman" w:eastAsia="Times New Roman" w:hAnsi="Times New Roman" w:cs="Times New Roman"/>
          <w:color w:val="auto"/>
          <w:kern w:val="36"/>
          <w:sz w:val="20"/>
          <w:szCs w:val="20"/>
        </w:rPr>
        <w:t>t</w:t>
      </w:r>
      <w:r w:rsidRPr="004C29E5">
        <w:rPr>
          <w:rFonts w:ascii="Times New Roman" w:eastAsia="Times New Roman" w:hAnsi="Times New Roman" w:cs="Times New Roman"/>
          <w:color w:val="auto"/>
          <w:kern w:val="36"/>
          <w:sz w:val="20"/>
          <w:szCs w:val="20"/>
        </w:rPr>
        <w:t xml:space="preserve">heory of a </w:t>
      </w:r>
      <w:r w:rsidR="00A65A2A">
        <w:rPr>
          <w:rFonts w:ascii="Times New Roman" w:eastAsia="Times New Roman" w:hAnsi="Times New Roman" w:cs="Times New Roman"/>
          <w:color w:val="auto"/>
          <w:kern w:val="36"/>
          <w:sz w:val="20"/>
          <w:szCs w:val="20"/>
        </w:rPr>
        <w:t>n</w:t>
      </w:r>
      <w:r w:rsidRPr="004C29E5">
        <w:rPr>
          <w:rFonts w:ascii="Times New Roman" w:eastAsia="Times New Roman" w:hAnsi="Times New Roman" w:cs="Times New Roman"/>
          <w:color w:val="auto"/>
          <w:kern w:val="36"/>
          <w:sz w:val="20"/>
          <w:szCs w:val="20"/>
        </w:rPr>
        <w:t>on-</w:t>
      </w:r>
      <w:r w:rsidR="00A65A2A">
        <w:rPr>
          <w:rFonts w:ascii="Times New Roman" w:eastAsia="Times New Roman" w:hAnsi="Times New Roman" w:cs="Times New Roman"/>
          <w:color w:val="auto"/>
          <w:kern w:val="36"/>
          <w:sz w:val="20"/>
          <w:szCs w:val="20"/>
        </w:rPr>
        <w:t>e</w:t>
      </w:r>
      <w:r w:rsidRPr="004C29E5">
        <w:rPr>
          <w:rFonts w:ascii="Times New Roman" w:eastAsia="Times New Roman" w:hAnsi="Times New Roman" w:cs="Times New Roman"/>
          <w:color w:val="auto"/>
          <w:kern w:val="36"/>
          <w:sz w:val="20"/>
          <w:szCs w:val="20"/>
        </w:rPr>
        <w:t xml:space="preserve">xclusive </w:t>
      </w:r>
      <w:r w:rsidR="00A65A2A">
        <w:rPr>
          <w:rFonts w:ascii="Times New Roman" w:eastAsia="Times New Roman" w:hAnsi="Times New Roman" w:cs="Times New Roman"/>
          <w:color w:val="auto"/>
          <w:kern w:val="36"/>
          <w:sz w:val="20"/>
          <w:szCs w:val="20"/>
        </w:rPr>
        <w:t>r</w:t>
      </w:r>
      <w:r w:rsidRPr="004C29E5">
        <w:rPr>
          <w:rFonts w:ascii="Times New Roman" w:eastAsia="Times New Roman" w:hAnsi="Times New Roman" w:cs="Times New Roman"/>
          <w:color w:val="auto"/>
          <w:kern w:val="36"/>
          <w:sz w:val="20"/>
          <w:szCs w:val="20"/>
        </w:rPr>
        <w:t>esource</w:t>
      </w:r>
      <w:r w:rsidR="001D732E">
        <w:rPr>
          <w:rFonts w:ascii="Times New Roman" w:eastAsia="Times New Roman" w:hAnsi="Times New Roman" w:cs="Times New Roman"/>
          <w:color w:val="auto"/>
          <w:kern w:val="36"/>
          <w:sz w:val="20"/>
          <w:szCs w:val="20"/>
        </w:rPr>
        <w:t xml:space="preserve">. </w:t>
      </w:r>
      <w:hyperlink r:id="rId5" w:history="1">
        <w:r w:rsidRPr="001A5CF9">
          <w:rPr>
            <w:rFonts w:ascii="Times New Roman" w:eastAsiaTheme="minorHAnsi" w:hAnsi="Times New Roman" w:cs="Times New Roman"/>
            <w:i/>
            <w:iCs/>
            <w:color w:val="auto"/>
            <w:sz w:val="20"/>
            <w:szCs w:val="20"/>
            <w:shd w:val="clear" w:color="auto" w:fill="FFFFFF"/>
          </w:rPr>
          <w:t>The Journal of Law and Economics</w:t>
        </w:r>
      </w:hyperlink>
      <w:hyperlink r:id="rId6" w:history="1">
        <w:r w:rsidRPr="001A5CF9">
          <w:rPr>
            <w:rFonts w:ascii="Times New Roman" w:eastAsiaTheme="minorHAnsi" w:hAnsi="Times New Roman" w:cs="Times New Roman"/>
            <w:color w:val="auto"/>
            <w:sz w:val="20"/>
            <w:szCs w:val="20"/>
            <w:shd w:val="clear" w:color="auto" w:fill="FFFFFF"/>
          </w:rPr>
          <w:t xml:space="preserve"> 13 (1</w:t>
        </w:r>
      </w:hyperlink>
      <w:r w:rsidRPr="001A5CF9">
        <w:rPr>
          <w:rFonts w:ascii="Times New Roman" w:eastAsiaTheme="minorHAnsi" w:hAnsi="Times New Roman" w:cs="Times New Roman"/>
          <w:color w:val="auto"/>
          <w:sz w:val="20"/>
          <w:szCs w:val="20"/>
          <w:shd w:val="clear" w:color="auto" w:fill="FFFFFF"/>
        </w:rPr>
        <w:t>)</w:t>
      </w:r>
      <w:r w:rsidR="001D732E">
        <w:rPr>
          <w:rFonts w:ascii="Times New Roman" w:eastAsiaTheme="minorHAnsi" w:hAnsi="Times New Roman" w:cs="Times New Roman"/>
          <w:color w:val="auto"/>
          <w:sz w:val="20"/>
          <w:szCs w:val="20"/>
          <w:shd w:val="clear" w:color="auto" w:fill="FFFFFF"/>
        </w:rPr>
        <w:t>.</w:t>
      </w:r>
    </w:p>
  </w:footnote>
  <w:footnote w:id="13">
    <w:p w14:paraId="494BF8AA" w14:textId="3A335F9D" w:rsidR="005E0671" w:rsidRDefault="005E0671" w:rsidP="000F56F7">
      <w:pPr>
        <w:pStyle w:val="FootnoteText"/>
      </w:pPr>
      <w:r>
        <w:rPr>
          <w:rStyle w:val="FootnoteReference"/>
        </w:rPr>
        <w:footnoteRef/>
      </w:r>
      <w:r>
        <w:t xml:space="preserve"> </w:t>
      </w:r>
      <w:r w:rsidRPr="0038725F">
        <w:rPr>
          <w:rFonts w:ascii="Times New Roman" w:hAnsi="Times New Roman" w:cs="Times New Roman"/>
        </w:rPr>
        <w:t>Medema, S.G. (2</w:t>
      </w:r>
      <w:r w:rsidRPr="0038725F">
        <w:rPr>
          <w:rStyle w:val="lewnzc"/>
          <w:rFonts w:ascii="Times New Roman" w:hAnsi="Times New Roman" w:cs="Times New Roman"/>
          <w:shd w:val="clear" w:color="auto" w:fill="FFFFFF"/>
        </w:rPr>
        <w:t xml:space="preserve">020) </w:t>
      </w:r>
      <w:r w:rsidRPr="0038725F">
        <w:rPr>
          <w:rFonts w:ascii="Times New Roman" w:hAnsi="Times New Roman" w:cs="Times New Roman"/>
          <w:color w:val="4D5156"/>
          <w:shd w:val="clear" w:color="auto" w:fill="FFFFFF"/>
        </w:rPr>
        <w:t xml:space="preserve">The Coase Theorem at </w:t>
      </w:r>
      <w:r w:rsidR="00A65A2A">
        <w:rPr>
          <w:rFonts w:ascii="Times New Roman" w:hAnsi="Times New Roman" w:cs="Times New Roman"/>
          <w:color w:val="4D5156"/>
          <w:shd w:val="clear" w:color="auto" w:fill="FFFFFF"/>
        </w:rPr>
        <w:t>s</w:t>
      </w:r>
      <w:r w:rsidRPr="0038725F">
        <w:rPr>
          <w:rFonts w:ascii="Times New Roman" w:hAnsi="Times New Roman" w:cs="Times New Roman"/>
          <w:color w:val="4D5156"/>
          <w:shd w:val="clear" w:color="auto" w:fill="FFFFFF"/>
        </w:rPr>
        <w:t xml:space="preserve">ixty </w:t>
      </w:r>
      <w:r w:rsidRPr="000D5CF6">
        <w:rPr>
          <w:rFonts w:ascii="Times New Roman" w:hAnsi="Times New Roman" w:cs="Times New Roman"/>
          <w:i/>
          <w:iCs/>
          <w:color w:val="4D5156"/>
          <w:shd w:val="clear" w:color="auto" w:fill="FFFFFF"/>
        </w:rPr>
        <w:t>Journal of Economic Literature</w:t>
      </w:r>
      <w:r w:rsidRPr="0038725F">
        <w:rPr>
          <w:rFonts w:ascii="Times New Roman" w:hAnsi="Times New Roman" w:cs="Times New Roman"/>
          <w:color w:val="4D5156"/>
          <w:shd w:val="clear" w:color="auto" w:fill="FFFFFF"/>
        </w:rPr>
        <w:t xml:space="preserve"> 58(4): 1045-1128</w:t>
      </w:r>
      <w:r>
        <w:rPr>
          <w:rFonts w:ascii="Times New Roman" w:hAnsi="Times New Roman" w:cs="Times New Roman"/>
          <w:color w:val="4D5156"/>
          <w:shd w:val="clear" w:color="auto" w:fill="FFFFFF"/>
        </w:rPr>
        <w:t>.</w:t>
      </w:r>
    </w:p>
  </w:footnote>
  <w:footnote w:id="14">
    <w:p w14:paraId="7DEDB7D5" w14:textId="5EECD0BC" w:rsidR="005E0671" w:rsidRDefault="005E0671" w:rsidP="000F56F7">
      <w:pPr>
        <w:shd w:val="clear" w:color="auto" w:fill="FFFFFF"/>
        <w:spacing w:after="0" w:line="240" w:lineRule="auto"/>
      </w:pPr>
      <w:r>
        <w:rPr>
          <w:rStyle w:val="FootnoteReference"/>
        </w:rPr>
        <w:footnoteRef/>
      </w:r>
      <w:r>
        <w:t xml:space="preserve"> </w:t>
      </w:r>
      <w:r w:rsidRPr="00BF653E">
        <w:rPr>
          <w:rFonts w:ascii="Times New Roman" w:hAnsi="Times New Roman" w:cs="Times New Roman"/>
          <w:sz w:val="20"/>
          <w:szCs w:val="20"/>
        </w:rPr>
        <w:t>Schmalensee</w:t>
      </w:r>
      <w:r>
        <w:rPr>
          <w:rFonts w:ascii="Times New Roman" w:hAnsi="Times New Roman" w:cs="Times New Roman"/>
          <w:sz w:val="20"/>
          <w:szCs w:val="20"/>
        </w:rPr>
        <w:t>, R.</w:t>
      </w:r>
      <w:r w:rsidRPr="00BF653E">
        <w:rPr>
          <w:rFonts w:ascii="Times New Roman" w:hAnsi="Times New Roman" w:cs="Times New Roman"/>
          <w:sz w:val="20"/>
          <w:szCs w:val="20"/>
        </w:rPr>
        <w:t xml:space="preserve"> and Stavins</w:t>
      </w:r>
      <w:r>
        <w:rPr>
          <w:rFonts w:ascii="Times New Roman" w:hAnsi="Times New Roman" w:cs="Times New Roman"/>
          <w:sz w:val="20"/>
          <w:szCs w:val="20"/>
        </w:rPr>
        <w:t>, R.N.</w:t>
      </w:r>
      <w:r w:rsidRPr="00BF653E">
        <w:rPr>
          <w:rFonts w:ascii="Times New Roman" w:hAnsi="Times New Roman" w:cs="Times New Roman"/>
          <w:sz w:val="20"/>
          <w:szCs w:val="20"/>
        </w:rPr>
        <w:t xml:space="preserve"> (</w:t>
      </w:r>
      <w:r>
        <w:rPr>
          <w:rFonts w:ascii="Times New Roman" w:hAnsi="Times New Roman" w:cs="Times New Roman"/>
          <w:sz w:val="20"/>
          <w:szCs w:val="20"/>
        </w:rPr>
        <w:t>2019</w:t>
      </w:r>
      <w:r w:rsidRPr="00BF653E">
        <w:rPr>
          <w:rFonts w:ascii="Times New Roman" w:hAnsi="Times New Roman" w:cs="Times New Roman"/>
          <w:sz w:val="20"/>
          <w:szCs w:val="20"/>
        </w:rPr>
        <w:t>)</w:t>
      </w:r>
      <w:r w:rsidR="00F75E4D">
        <w:rPr>
          <w:rFonts w:ascii="Times New Roman" w:hAnsi="Times New Roman" w:cs="Times New Roman"/>
          <w:sz w:val="20"/>
          <w:szCs w:val="20"/>
        </w:rPr>
        <w:t>.</w:t>
      </w:r>
      <w:r w:rsidRPr="00BF653E">
        <w:rPr>
          <w:rFonts w:ascii="Times New Roman" w:hAnsi="Times New Roman" w:cs="Times New Roman"/>
          <w:sz w:val="20"/>
          <w:szCs w:val="20"/>
        </w:rPr>
        <w:t xml:space="preserve"> Policy </w:t>
      </w:r>
      <w:r w:rsidR="00A65A2A">
        <w:rPr>
          <w:rFonts w:ascii="Times New Roman" w:hAnsi="Times New Roman" w:cs="Times New Roman"/>
          <w:sz w:val="20"/>
          <w:szCs w:val="20"/>
        </w:rPr>
        <w:t>e</w:t>
      </w:r>
      <w:r w:rsidRPr="00BF653E">
        <w:rPr>
          <w:rFonts w:ascii="Times New Roman" w:hAnsi="Times New Roman" w:cs="Times New Roman"/>
          <w:sz w:val="20"/>
          <w:szCs w:val="20"/>
        </w:rPr>
        <w:t>volution under the Clean Air Act</w:t>
      </w:r>
      <w:r>
        <w:rPr>
          <w:rFonts w:ascii="Times New Roman" w:hAnsi="Times New Roman" w:cs="Times New Roman"/>
          <w:sz w:val="20"/>
          <w:szCs w:val="20"/>
        </w:rPr>
        <w:t xml:space="preserve">. </w:t>
      </w:r>
      <w:r w:rsidRPr="00F75E4D">
        <w:rPr>
          <w:rFonts w:ascii="Times New Roman" w:hAnsi="Times New Roman" w:cs="Times New Roman"/>
          <w:i/>
          <w:iCs/>
          <w:sz w:val="20"/>
          <w:szCs w:val="20"/>
        </w:rPr>
        <w:t>Journal of Economic Perspectives</w:t>
      </w:r>
      <w:r>
        <w:rPr>
          <w:rFonts w:ascii="Times New Roman" w:hAnsi="Times New Roman" w:cs="Times New Roman"/>
          <w:sz w:val="20"/>
          <w:szCs w:val="20"/>
        </w:rPr>
        <w:t xml:space="preserve"> </w:t>
      </w:r>
      <w:r w:rsidRPr="00BF653E">
        <w:rPr>
          <w:rFonts w:ascii="Times New Roman" w:hAnsi="Times New Roman" w:cs="Times New Roman"/>
          <w:sz w:val="20"/>
          <w:szCs w:val="20"/>
        </w:rPr>
        <w:t>33</w:t>
      </w:r>
      <w:r>
        <w:rPr>
          <w:rFonts w:ascii="Times New Roman" w:hAnsi="Times New Roman" w:cs="Times New Roman"/>
          <w:sz w:val="20"/>
          <w:szCs w:val="20"/>
        </w:rPr>
        <w:t>(</w:t>
      </w:r>
      <w:r w:rsidRPr="00BF653E">
        <w:rPr>
          <w:rFonts w:ascii="Times New Roman" w:hAnsi="Times New Roman" w:cs="Times New Roman"/>
          <w:sz w:val="20"/>
          <w:szCs w:val="20"/>
        </w:rPr>
        <w:t>4</w:t>
      </w:r>
      <w:r>
        <w:rPr>
          <w:rFonts w:ascii="Times New Roman" w:hAnsi="Times New Roman" w:cs="Times New Roman"/>
          <w:sz w:val="20"/>
          <w:szCs w:val="20"/>
        </w:rPr>
        <w:t xml:space="preserve">): </w:t>
      </w:r>
      <w:r w:rsidRPr="00BF653E">
        <w:rPr>
          <w:rFonts w:ascii="Times New Roman" w:hAnsi="Times New Roman" w:cs="Times New Roman"/>
          <w:sz w:val="20"/>
          <w:szCs w:val="20"/>
        </w:rPr>
        <w:t>27–50</w:t>
      </w:r>
      <w:r>
        <w:rPr>
          <w:rFonts w:ascii="Times New Roman" w:hAnsi="Times New Roman" w:cs="Times New Roman"/>
          <w:sz w:val="20"/>
          <w:szCs w:val="20"/>
        </w:rPr>
        <w:t>.</w:t>
      </w:r>
    </w:p>
  </w:footnote>
  <w:footnote w:id="15">
    <w:p w14:paraId="02BD057B" w14:textId="5D31E76A" w:rsidR="005E0671" w:rsidRPr="00122BEC" w:rsidRDefault="005E0671" w:rsidP="005E0671">
      <w:pPr>
        <w:pStyle w:val="FootnoteText"/>
        <w:rPr>
          <w:rFonts w:ascii="Times New Roman" w:hAnsi="Times New Roman" w:cs="Times New Roman"/>
        </w:rPr>
      </w:pPr>
      <w:r w:rsidRPr="00122BEC">
        <w:rPr>
          <w:rStyle w:val="FootnoteReference"/>
          <w:rFonts w:ascii="Times New Roman" w:hAnsi="Times New Roman" w:cs="Times New Roman"/>
        </w:rPr>
        <w:footnoteRef/>
      </w:r>
      <w:r w:rsidRPr="00122BEC">
        <w:rPr>
          <w:rFonts w:ascii="Times New Roman" w:hAnsi="Times New Roman" w:cs="Times New Roman"/>
        </w:rPr>
        <w:t xml:space="preserve"> There are long-standing approaches to property rights assignment. See Lueck, D. (1995) </w:t>
      </w:r>
      <w:r w:rsidRPr="00122BEC">
        <w:rPr>
          <w:rFonts w:ascii="Times New Roman" w:eastAsia="Times New Roman" w:hAnsi="Times New Roman" w:cs="Times New Roman"/>
          <w:kern w:val="36"/>
        </w:rPr>
        <w:t xml:space="preserve">The </w:t>
      </w:r>
      <w:r w:rsidR="00447BBB">
        <w:rPr>
          <w:rFonts w:ascii="Times New Roman" w:eastAsia="Times New Roman" w:hAnsi="Times New Roman" w:cs="Times New Roman"/>
          <w:kern w:val="36"/>
        </w:rPr>
        <w:t>r</w:t>
      </w:r>
      <w:r w:rsidRPr="00122BEC">
        <w:rPr>
          <w:rFonts w:ascii="Times New Roman" w:eastAsia="Times New Roman" w:hAnsi="Times New Roman" w:cs="Times New Roman"/>
          <w:kern w:val="36"/>
        </w:rPr>
        <w:t xml:space="preserve">ule of </w:t>
      </w:r>
      <w:r w:rsidR="00447BBB">
        <w:rPr>
          <w:rFonts w:ascii="Times New Roman" w:eastAsia="Times New Roman" w:hAnsi="Times New Roman" w:cs="Times New Roman"/>
          <w:kern w:val="36"/>
        </w:rPr>
        <w:t>f</w:t>
      </w:r>
      <w:r w:rsidRPr="00122BEC">
        <w:rPr>
          <w:rFonts w:ascii="Times New Roman" w:eastAsia="Times New Roman" w:hAnsi="Times New Roman" w:cs="Times New Roman"/>
          <w:kern w:val="36"/>
        </w:rPr>
        <w:t xml:space="preserve">irst </w:t>
      </w:r>
      <w:r w:rsidR="00447BBB">
        <w:rPr>
          <w:rFonts w:ascii="Times New Roman" w:eastAsia="Times New Roman" w:hAnsi="Times New Roman" w:cs="Times New Roman"/>
          <w:kern w:val="36"/>
        </w:rPr>
        <w:t>p</w:t>
      </w:r>
      <w:r w:rsidRPr="00122BEC">
        <w:rPr>
          <w:rFonts w:ascii="Times New Roman" w:eastAsia="Times New Roman" w:hAnsi="Times New Roman" w:cs="Times New Roman"/>
          <w:kern w:val="36"/>
        </w:rPr>
        <w:t xml:space="preserve">ossession and the </w:t>
      </w:r>
      <w:r w:rsidR="00447BBB">
        <w:rPr>
          <w:rFonts w:ascii="Times New Roman" w:eastAsia="Times New Roman" w:hAnsi="Times New Roman" w:cs="Times New Roman"/>
          <w:kern w:val="36"/>
        </w:rPr>
        <w:t>d</w:t>
      </w:r>
      <w:r w:rsidRPr="00122BEC">
        <w:rPr>
          <w:rFonts w:ascii="Times New Roman" w:eastAsia="Times New Roman" w:hAnsi="Times New Roman" w:cs="Times New Roman"/>
          <w:kern w:val="36"/>
        </w:rPr>
        <w:t xml:space="preserve">esign of the </w:t>
      </w:r>
      <w:r w:rsidR="00447BBB">
        <w:rPr>
          <w:rFonts w:ascii="Times New Roman" w:eastAsia="Times New Roman" w:hAnsi="Times New Roman" w:cs="Times New Roman"/>
          <w:kern w:val="36"/>
        </w:rPr>
        <w:t>l</w:t>
      </w:r>
      <w:r w:rsidRPr="00122BEC">
        <w:rPr>
          <w:rFonts w:ascii="Times New Roman" w:eastAsia="Times New Roman" w:hAnsi="Times New Roman" w:cs="Times New Roman"/>
          <w:kern w:val="36"/>
        </w:rPr>
        <w:t xml:space="preserve">aw. </w:t>
      </w:r>
      <w:r w:rsidRPr="00122BEC">
        <w:rPr>
          <w:rFonts w:ascii="Times New Roman" w:eastAsia="Times New Roman" w:hAnsi="Times New Roman" w:cs="Times New Roman"/>
          <w:i/>
          <w:iCs/>
          <w:kern w:val="36"/>
        </w:rPr>
        <w:t>The Journal of Law and Economics</w:t>
      </w:r>
      <w:r w:rsidRPr="00122BEC">
        <w:rPr>
          <w:rFonts w:ascii="Times New Roman" w:eastAsia="Times New Roman" w:hAnsi="Times New Roman" w:cs="Times New Roman"/>
          <w:kern w:val="36"/>
        </w:rPr>
        <w:t>. 38 (2).</w:t>
      </w:r>
    </w:p>
  </w:footnote>
  <w:footnote w:id="16">
    <w:p w14:paraId="6CB8C5DC" w14:textId="07E7CAA0" w:rsidR="00DB6FE1" w:rsidRDefault="00DB6FE1" w:rsidP="00DB6FE1">
      <w:pPr>
        <w:pStyle w:val="FootnoteText"/>
      </w:pPr>
      <w:r>
        <w:t>,</w:t>
      </w:r>
      <w:r>
        <w:rPr>
          <w:rStyle w:val="FootnoteReference"/>
        </w:rPr>
        <w:footnoteRef/>
      </w:r>
      <w:r>
        <w:t xml:space="preserve"> </w:t>
      </w:r>
      <w:r w:rsidRPr="00DB6570">
        <w:rPr>
          <w:rFonts w:ascii="Times New Roman" w:eastAsia="Times New Roman" w:hAnsi="Times New Roman" w:cs="Times New Roman"/>
          <w:kern w:val="0"/>
          <w:lang w:val="en-NZ" w:eastAsia="en-NZ" w:bidi="en-NZ"/>
          <w14:ligatures w14:val="none"/>
        </w:rPr>
        <w:t xml:space="preserve">Ellickson, R.C. </w:t>
      </w:r>
      <w:r w:rsidRPr="00122BEC">
        <w:rPr>
          <w:rFonts w:ascii="Times New Roman" w:hAnsi="Times New Roman" w:cs="Times New Roman"/>
          <w:color w:val="333334"/>
          <w:shd w:val="clear" w:color="auto" w:fill="FFFFFF"/>
        </w:rPr>
        <w:t>(1982) </w:t>
      </w:r>
      <w:r w:rsidRPr="00AA67CE">
        <w:rPr>
          <w:rStyle w:val="Emphasis"/>
          <w:rFonts w:ascii="Times New Roman" w:hAnsi="Times New Roman" w:cs="Times New Roman"/>
          <w:i w:val="0"/>
          <w:iCs w:val="0"/>
          <w:color w:val="333334"/>
          <w:bdr w:val="none" w:sz="0" w:space="0" w:color="auto" w:frame="1"/>
          <w:shd w:val="clear" w:color="auto" w:fill="FFFFFF"/>
        </w:rPr>
        <w:t>Cities and Homeowners Associations</w:t>
      </w:r>
      <w:r w:rsidRPr="00122BEC">
        <w:rPr>
          <w:rFonts w:ascii="Times New Roman" w:hAnsi="Times New Roman" w:cs="Times New Roman"/>
          <w:color w:val="333334"/>
          <w:shd w:val="clear" w:color="auto" w:fill="FFFFFF"/>
        </w:rPr>
        <w:t xml:space="preserve">, </w:t>
      </w:r>
      <w:r w:rsidR="00AA67CE">
        <w:rPr>
          <w:rFonts w:ascii="Times New Roman" w:hAnsi="Times New Roman" w:cs="Times New Roman"/>
          <w:i/>
          <w:iCs/>
          <w:color w:val="333334"/>
          <w:shd w:val="clear" w:color="auto" w:fill="FFFFFF"/>
        </w:rPr>
        <w:t xml:space="preserve">University of Pennsylvania Law Review </w:t>
      </w:r>
      <w:r w:rsidRPr="00122BEC">
        <w:rPr>
          <w:rFonts w:ascii="Times New Roman" w:hAnsi="Times New Roman" w:cs="Times New Roman"/>
          <w:color w:val="333334"/>
          <w:shd w:val="clear" w:color="auto" w:fill="FFFFFF"/>
        </w:rPr>
        <w:t>130</w:t>
      </w:r>
      <w:r w:rsidR="00AA67CE">
        <w:rPr>
          <w:rFonts w:ascii="Times New Roman" w:hAnsi="Times New Roman" w:cs="Times New Roman"/>
          <w:color w:val="333334"/>
          <w:shd w:val="clear" w:color="auto" w:fill="FFFFFF"/>
        </w:rPr>
        <w:t>:</w:t>
      </w:r>
      <w:r w:rsidRPr="00122BEC">
        <w:rPr>
          <w:rFonts w:ascii="Times New Roman" w:hAnsi="Times New Roman" w:cs="Times New Roman"/>
          <w:color w:val="333334"/>
          <w:shd w:val="clear" w:color="auto" w:fill="FFFFFF"/>
        </w:rPr>
        <w:t xml:space="preserve">1519; </w:t>
      </w:r>
      <w:r w:rsidRPr="00DB6570">
        <w:rPr>
          <w:rFonts w:ascii="Times New Roman" w:eastAsia="Times New Roman" w:hAnsi="Times New Roman" w:cs="Times New Roman"/>
          <w:kern w:val="0"/>
          <w:lang w:val="en-NZ" w:eastAsia="en-NZ" w:bidi="en-NZ"/>
          <w14:ligatures w14:val="none"/>
        </w:rPr>
        <w:t xml:space="preserve">(1993) Property in </w:t>
      </w:r>
      <w:r w:rsidR="00715B1B">
        <w:rPr>
          <w:rFonts w:ascii="Times New Roman" w:eastAsia="Times New Roman" w:hAnsi="Times New Roman" w:cs="Times New Roman"/>
          <w:kern w:val="0"/>
          <w:lang w:val="en-NZ" w:eastAsia="en-NZ" w:bidi="en-NZ"/>
          <w14:ligatures w14:val="none"/>
        </w:rPr>
        <w:t>l</w:t>
      </w:r>
      <w:r w:rsidRPr="00DB6570">
        <w:rPr>
          <w:rFonts w:ascii="Times New Roman" w:eastAsia="Times New Roman" w:hAnsi="Times New Roman" w:cs="Times New Roman"/>
          <w:kern w:val="0"/>
          <w:lang w:val="en-NZ" w:eastAsia="en-NZ" w:bidi="en-NZ"/>
          <w14:ligatures w14:val="none"/>
        </w:rPr>
        <w:t xml:space="preserve">and. </w:t>
      </w:r>
      <w:r w:rsidRPr="00DB6570">
        <w:rPr>
          <w:rFonts w:ascii="Times New Roman" w:eastAsia="Times New Roman" w:hAnsi="Times New Roman" w:cs="Times New Roman"/>
          <w:i/>
          <w:iCs/>
          <w:kern w:val="0"/>
          <w:lang w:val="en-NZ" w:eastAsia="en-NZ" w:bidi="en-NZ"/>
          <w14:ligatures w14:val="none"/>
        </w:rPr>
        <w:t>Yale Law Journal</w:t>
      </w:r>
      <w:r w:rsidRPr="00DB6570">
        <w:rPr>
          <w:rFonts w:ascii="Times New Roman" w:eastAsia="Times New Roman" w:hAnsi="Times New Roman" w:cs="Times New Roman"/>
          <w:kern w:val="0"/>
          <w:lang w:val="en-NZ" w:eastAsia="en-NZ" w:bidi="en-NZ"/>
          <w14:ligatures w14:val="none"/>
        </w:rPr>
        <w:t xml:space="preserve"> 102: 1315-1397</w:t>
      </w:r>
      <w:r>
        <w:rPr>
          <w:rFonts w:ascii="Times New Roman" w:eastAsia="Times New Roman" w:hAnsi="Times New Roman" w:cs="Times New Roman"/>
          <w:kern w:val="0"/>
          <w:lang w:val="en-NZ" w:eastAsia="en-NZ" w:bidi="en-NZ"/>
          <w14:ligatures w14:val="none"/>
        </w:rPr>
        <w:t xml:space="preserve">; </w:t>
      </w:r>
      <w:r w:rsidRPr="00122BEC">
        <w:rPr>
          <w:rFonts w:ascii="Times New Roman" w:hAnsi="Times New Roman" w:cs="Times New Roman"/>
        </w:rPr>
        <w:t xml:space="preserve">Edwards, E.C. (2016). What </w:t>
      </w:r>
      <w:r w:rsidR="00715B1B">
        <w:rPr>
          <w:rFonts w:ascii="Times New Roman" w:hAnsi="Times New Roman" w:cs="Times New Roman"/>
        </w:rPr>
        <w:t>l</w:t>
      </w:r>
      <w:r w:rsidRPr="00122BEC">
        <w:rPr>
          <w:rFonts w:ascii="Times New Roman" w:hAnsi="Times New Roman" w:cs="Times New Roman"/>
        </w:rPr>
        <w:t xml:space="preserve">ies </w:t>
      </w:r>
      <w:r w:rsidR="00715B1B">
        <w:rPr>
          <w:rFonts w:ascii="Times New Roman" w:hAnsi="Times New Roman" w:cs="Times New Roman"/>
        </w:rPr>
        <w:t>b</w:t>
      </w:r>
      <w:r w:rsidRPr="00122BEC">
        <w:rPr>
          <w:rFonts w:ascii="Times New Roman" w:hAnsi="Times New Roman" w:cs="Times New Roman"/>
        </w:rPr>
        <w:t xml:space="preserve">eneath? Aquifer </w:t>
      </w:r>
      <w:r w:rsidR="00715B1B">
        <w:rPr>
          <w:rFonts w:ascii="Times New Roman" w:hAnsi="Times New Roman" w:cs="Times New Roman"/>
        </w:rPr>
        <w:t>h</w:t>
      </w:r>
      <w:r w:rsidRPr="00122BEC">
        <w:rPr>
          <w:rFonts w:ascii="Times New Roman" w:hAnsi="Times New Roman" w:cs="Times New Roman"/>
        </w:rPr>
        <w:t xml:space="preserve">eterogeneity and the </w:t>
      </w:r>
      <w:r w:rsidR="00715B1B">
        <w:rPr>
          <w:rFonts w:ascii="Times New Roman" w:hAnsi="Times New Roman" w:cs="Times New Roman"/>
        </w:rPr>
        <w:t>e</w:t>
      </w:r>
      <w:r w:rsidRPr="00122BEC">
        <w:rPr>
          <w:rFonts w:ascii="Times New Roman" w:hAnsi="Times New Roman" w:cs="Times New Roman"/>
        </w:rPr>
        <w:t xml:space="preserve">conomics of </w:t>
      </w:r>
      <w:r w:rsidR="00715B1B">
        <w:rPr>
          <w:rFonts w:ascii="Times New Roman" w:hAnsi="Times New Roman" w:cs="Times New Roman"/>
        </w:rPr>
        <w:t>g</w:t>
      </w:r>
      <w:r w:rsidRPr="00122BEC">
        <w:rPr>
          <w:rFonts w:ascii="Times New Roman" w:hAnsi="Times New Roman" w:cs="Times New Roman"/>
        </w:rPr>
        <w:t xml:space="preserve">roundwater </w:t>
      </w:r>
      <w:r w:rsidR="00715B1B">
        <w:rPr>
          <w:rFonts w:ascii="Times New Roman" w:hAnsi="Times New Roman" w:cs="Times New Roman"/>
        </w:rPr>
        <w:t>m</w:t>
      </w:r>
      <w:r w:rsidRPr="00122BEC">
        <w:rPr>
          <w:rFonts w:ascii="Times New Roman" w:hAnsi="Times New Roman" w:cs="Times New Roman"/>
        </w:rPr>
        <w:t xml:space="preserve">anagement. </w:t>
      </w:r>
      <w:r w:rsidRPr="00122BEC">
        <w:rPr>
          <w:rFonts w:ascii="Times New Roman" w:hAnsi="Times New Roman" w:cs="Times New Roman"/>
          <w:i/>
          <w:iCs/>
        </w:rPr>
        <w:t xml:space="preserve">Journal of the Association of Environmental and Resource Economists </w:t>
      </w:r>
      <w:r w:rsidRPr="00122BEC">
        <w:rPr>
          <w:rFonts w:ascii="Times New Roman" w:hAnsi="Times New Roman" w:cs="Times New Roman"/>
        </w:rPr>
        <w:t>3 (2): 453-491</w:t>
      </w:r>
      <w:r>
        <w:rPr>
          <w:rFonts w:ascii="Times New Roman" w:hAnsi="Times New Roman" w:cs="Times New Roman"/>
        </w:rPr>
        <w:t>;</w:t>
      </w:r>
      <w:r w:rsidRPr="00122BEC">
        <w:rPr>
          <w:rFonts w:ascii="Times New Roman" w:hAnsi="Times New Roman" w:cs="Times New Roman"/>
        </w:rPr>
        <w:t xml:space="preserve"> Mulligan, C.B. (2023)</w:t>
      </w:r>
      <w:r>
        <w:rPr>
          <w:rFonts w:ascii="Times New Roman" w:hAnsi="Times New Roman" w:cs="Times New Roman"/>
        </w:rPr>
        <w:t>.</w:t>
      </w:r>
      <w:r w:rsidRPr="00122BEC">
        <w:rPr>
          <w:rFonts w:ascii="Times New Roman" w:hAnsi="Times New Roman" w:cs="Times New Roman"/>
        </w:rPr>
        <w:t xml:space="preserve"> Beyond Pigou: </w:t>
      </w:r>
      <w:r w:rsidRPr="00FF37C2">
        <w:rPr>
          <w:rFonts w:ascii="Times New Roman" w:hAnsi="Times New Roman" w:cs="Times New Roman"/>
          <w:color w:val="000000"/>
        </w:rPr>
        <w:t xml:space="preserve">externalities and civil society in the supply–demand framework. </w:t>
      </w:r>
      <w:r w:rsidRPr="00FF37C2">
        <w:rPr>
          <w:rFonts w:ascii="Times New Roman" w:hAnsi="Times New Roman" w:cs="Times New Roman"/>
          <w:i/>
          <w:iCs/>
          <w:color w:val="000000"/>
        </w:rPr>
        <w:t>Public Choice</w:t>
      </w:r>
      <w:r w:rsidRPr="00FF37C2">
        <w:rPr>
          <w:rFonts w:ascii="Times New Roman" w:hAnsi="Times New Roman" w:cs="Times New Roman"/>
          <w:color w:val="000000"/>
        </w:rPr>
        <w:t>. 196: 1–18</w:t>
      </w:r>
    </w:p>
  </w:footnote>
  <w:footnote w:id="17">
    <w:p w14:paraId="02EFB8EB" w14:textId="55194B88" w:rsidR="005E0671" w:rsidRDefault="005E0671" w:rsidP="005E0671">
      <w:pPr>
        <w:shd w:val="clear" w:color="auto" w:fill="FFFFFF"/>
        <w:spacing w:after="0" w:line="240" w:lineRule="auto"/>
      </w:pPr>
      <w:r w:rsidRPr="00FF37C2">
        <w:rPr>
          <w:rStyle w:val="FootnoteReference"/>
          <w:rFonts w:ascii="Times New Roman" w:hAnsi="Times New Roman" w:cs="Times New Roman"/>
          <w:sz w:val="20"/>
          <w:szCs w:val="20"/>
        </w:rPr>
        <w:footnoteRef/>
      </w:r>
      <w:r w:rsidRPr="00FF37C2">
        <w:rPr>
          <w:rFonts w:ascii="Times New Roman" w:hAnsi="Times New Roman" w:cs="Times New Roman"/>
          <w:sz w:val="20"/>
          <w:szCs w:val="20"/>
        </w:rPr>
        <w:t xml:space="preserve"> Coase argued that Pigouvian regulation implicitly assigned property rights—by designating the parties</w:t>
      </w:r>
      <w:r w:rsidR="001B13D4">
        <w:rPr>
          <w:rFonts w:ascii="Times New Roman" w:hAnsi="Times New Roman" w:cs="Times New Roman"/>
          <w:sz w:val="20"/>
          <w:szCs w:val="20"/>
        </w:rPr>
        <w:t xml:space="preserve"> who</w:t>
      </w:r>
      <w:r w:rsidRPr="00FF37C2">
        <w:rPr>
          <w:rFonts w:ascii="Times New Roman" w:hAnsi="Times New Roman" w:cs="Times New Roman"/>
          <w:sz w:val="20"/>
          <w:szCs w:val="20"/>
        </w:rPr>
        <w:t xml:space="preserve"> would be the primary beneficiaries and who would bear the costs. These were not tradable rights, but a set of privileges</w:t>
      </w:r>
      <w:r w:rsidR="00017BED">
        <w:rPr>
          <w:rFonts w:ascii="Times New Roman" w:hAnsi="Times New Roman" w:cs="Times New Roman"/>
          <w:sz w:val="20"/>
          <w:szCs w:val="20"/>
        </w:rPr>
        <w:t>.</w:t>
      </w:r>
    </w:p>
  </w:footnote>
  <w:footnote w:id="18">
    <w:p w14:paraId="4195B822" w14:textId="1981B2DD" w:rsidR="005E0671" w:rsidRPr="00423F94" w:rsidRDefault="005E0671" w:rsidP="005E0671">
      <w:pPr>
        <w:pStyle w:val="FootnoteText"/>
        <w:rPr>
          <w:rFonts w:ascii="Times New Roman" w:hAnsi="Times New Roman" w:cs="Times New Roman"/>
        </w:rPr>
      </w:pPr>
      <w:r w:rsidRPr="007651A2">
        <w:rPr>
          <w:rStyle w:val="FootnoteReference"/>
          <w:rFonts w:ascii="Times New Roman" w:hAnsi="Times New Roman" w:cs="Times New Roman"/>
        </w:rPr>
        <w:footnoteRef/>
      </w:r>
      <w:r w:rsidRPr="007651A2">
        <w:rPr>
          <w:rFonts w:ascii="Times New Roman" w:hAnsi="Times New Roman" w:cs="Times New Roman"/>
        </w:rPr>
        <w:t xml:space="preserve"> Hann (1999) ha</w:t>
      </w:r>
      <w:r w:rsidR="00A33C87">
        <w:rPr>
          <w:rFonts w:ascii="Times New Roman" w:hAnsi="Times New Roman" w:cs="Times New Roman"/>
        </w:rPr>
        <w:t>s</w:t>
      </w:r>
      <w:r w:rsidRPr="007651A2">
        <w:rPr>
          <w:rFonts w:ascii="Times New Roman" w:hAnsi="Times New Roman" w:cs="Times New Roman"/>
        </w:rPr>
        <w:t xml:space="preserve"> a more optimistic assessment of the potential for Coasean approaches and the role of economists in environmental policies. </w:t>
      </w:r>
      <w:r w:rsidRPr="00423F94">
        <w:rPr>
          <w:rFonts w:ascii="Times New Roman" w:hAnsi="Times New Roman" w:cs="Times New Roman"/>
        </w:rPr>
        <w:t xml:space="preserve">See Hahn, R. W. (1999) The </w:t>
      </w:r>
      <w:r w:rsidR="00C10BFF">
        <w:rPr>
          <w:rFonts w:ascii="Times New Roman" w:hAnsi="Times New Roman" w:cs="Times New Roman"/>
        </w:rPr>
        <w:t>i</w:t>
      </w:r>
      <w:r w:rsidRPr="00423F94">
        <w:rPr>
          <w:rFonts w:ascii="Times New Roman" w:hAnsi="Times New Roman" w:cs="Times New Roman"/>
        </w:rPr>
        <w:t xml:space="preserve">mpact of </w:t>
      </w:r>
      <w:r w:rsidR="00C10BFF">
        <w:rPr>
          <w:rFonts w:ascii="Times New Roman" w:hAnsi="Times New Roman" w:cs="Times New Roman"/>
        </w:rPr>
        <w:t>e</w:t>
      </w:r>
      <w:r w:rsidRPr="00423F94">
        <w:rPr>
          <w:rFonts w:ascii="Times New Roman" w:hAnsi="Times New Roman" w:cs="Times New Roman"/>
        </w:rPr>
        <w:t xml:space="preserve">conomics on </w:t>
      </w:r>
      <w:r w:rsidR="00C10BFF">
        <w:rPr>
          <w:rFonts w:ascii="Times New Roman" w:hAnsi="Times New Roman" w:cs="Times New Roman"/>
        </w:rPr>
        <w:t>e</w:t>
      </w:r>
      <w:r w:rsidRPr="00423F94">
        <w:rPr>
          <w:rFonts w:ascii="Times New Roman" w:hAnsi="Times New Roman" w:cs="Times New Roman"/>
        </w:rPr>
        <w:t xml:space="preserve">nvironmental </w:t>
      </w:r>
      <w:r w:rsidR="00C10BFF">
        <w:rPr>
          <w:rFonts w:ascii="Times New Roman" w:hAnsi="Times New Roman" w:cs="Times New Roman"/>
        </w:rPr>
        <w:t>p</w:t>
      </w:r>
      <w:r w:rsidRPr="00423F94">
        <w:rPr>
          <w:rFonts w:ascii="Times New Roman" w:hAnsi="Times New Roman" w:cs="Times New Roman"/>
        </w:rPr>
        <w:t xml:space="preserve">olicy. </w:t>
      </w:r>
      <w:r w:rsidRPr="00423F94">
        <w:rPr>
          <w:rFonts w:ascii="Times New Roman" w:hAnsi="Times New Roman" w:cs="Times New Roman"/>
          <w:i/>
          <w:iCs/>
        </w:rPr>
        <w:t>Journal of Environmental Economics and Management</w:t>
      </w:r>
      <w:r w:rsidRPr="00423F94">
        <w:rPr>
          <w:rFonts w:ascii="Times New Roman" w:hAnsi="Times New Roman" w:cs="Times New Roman"/>
        </w:rPr>
        <w:t xml:space="preserve"> 39: 375-399. </w:t>
      </w:r>
    </w:p>
  </w:footnote>
  <w:footnote w:id="19">
    <w:p w14:paraId="46D9A027" w14:textId="77777777" w:rsidR="00591AE8" w:rsidRDefault="00591AE8" w:rsidP="00591AE8">
      <w:pPr>
        <w:pStyle w:val="FootnoteText"/>
      </w:pPr>
      <w:r>
        <w:rPr>
          <w:rStyle w:val="FootnoteReference"/>
        </w:rPr>
        <w:footnoteRef/>
      </w:r>
      <w:r>
        <w:t xml:space="preserve"> </w:t>
      </w:r>
      <w:r w:rsidRPr="003566FA">
        <w:rPr>
          <w:rFonts w:ascii="Times New Roman" w:hAnsi="Times New Roman" w:cs="Times New Roman"/>
        </w:rPr>
        <w:t xml:space="preserve">Sallee, J.M. (2019). Pigou creates losers: On the implausibility of achieving pareto improvements from efficiency-enhancing policies. Cambridge: </w:t>
      </w:r>
      <w:r w:rsidRPr="002733F2">
        <w:rPr>
          <w:rFonts w:ascii="Times New Roman" w:hAnsi="Times New Roman" w:cs="Times New Roman"/>
          <w:i/>
          <w:iCs/>
        </w:rPr>
        <w:t>NBER Working Paper 25831</w:t>
      </w:r>
      <w:r w:rsidRPr="003566FA">
        <w:rPr>
          <w:rFonts w:ascii="Times New Roman" w:hAnsi="Times New Roman" w:cs="Times New Roman"/>
        </w:rPr>
        <w:t>. May.</w:t>
      </w:r>
    </w:p>
  </w:footnote>
  <w:footnote w:id="20">
    <w:p w14:paraId="25E1E318" w14:textId="77777777" w:rsidR="00591AE8" w:rsidRPr="00673C10" w:rsidRDefault="00591AE8" w:rsidP="00591AE8">
      <w:pPr>
        <w:pStyle w:val="FootnoteText"/>
        <w:rPr>
          <w:rFonts w:ascii="Times New Roman" w:hAnsi="Times New Roman" w:cs="Times New Roman"/>
        </w:rPr>
      </w:pPr>
      <w:r w:rsidRPr="00673C10">
        <w:rPr>
          <w:rStyle w:val="FootnoteReference"/>
          <w:rFonts w:ascii="Times New Roman" w:hAnsi="Times New Roman" w:cs="Times New Roman"/>
        </w:rPr>
        <w:footnoteRef/>
      </w:r>
      <w:r w:rsidRPr="00673C10">
        <w:rPr>
          <w:rFonts w:ascii="Times New Roman" w:hAnsi="Times New Roman" w:cs="Times New Roman"/>
        </w:rPr>
        <w:t xml:space="preserve"> Politicians, of course, provide public goods, but because each voter’s share of the public good is small, it is difficult to attribute it to a particular politician. All voters receive the public good and there may be many political claimants. Private goods on the other hand are far easier to link to a political provider. Because both public and private goods provision requires political resources, politicians weigh tradeoffs with a bias toward private good provision.</w:t>
      </w:r>
    </w:p>
  </w:footnote>
  <w:footnote w:id="21">
    <w:p w14:paraId="3F8FF51E" w14:textId="6532D45B" w:rsidR="000765F3" w:rsidRPr="00191A4A" w:rsidRDefault="000765F3" w:rsidP="000765F3">
      <w:pPr>
        <w:pStyle w:val="Heading1"/>
        <w:spacing w:before="0" w:line="240" w:lineRule="auto"/>
        <w:rPr>
          <w:rFonts w:ascii="Times New Roman" w:hAnsi="Times New Roman" w:cs="Times New Roman"/>
          <w:color w:val="auto"/>
          <w:sz w:val="20"/>
          <w:szCs w:val="20"/>
        </w:rPr>
      </w:pPr>
      <w:r w:rsidRPr="00191A4A">
        <w:rPr>
          <w:rStyle w:val="FootnoteReference"/>
          <w:rFonts w:ascii="Times New Roman" w:hAnsi="Times New Roman" w:cs="Times New Roman"/>
          <w:color w:val="auto"/>
          <w:sz w:val="20"/>
          <w:szCs w:val="20"/>
        </w:rPr>
        <w:footnoteRef/>
      </w:r>
      <w:r w:rsidRPr="00191A4A">
        <w:rPr>
          <w:rFonts w:ascii="Times New Roman" w:hAnsi="Times New Roman" w:cs="Times New Roman"/>
          <w:color w:val="auto"/>
          <w:sz w:val="20"/>
          <w:szCs w:val="20"/>
        </w:rPr>
        <w:t xml:space="preserve"> </w:t>
      </w:r>
      <w:r w:rsidRPr="00191A4A">
        <w:rPr>
          <w:rFonts w:ascii="Times New Roman" w:hAnsi="Times New Roman" w:cs="Times New Roman"/>
          <w:color w:val="auto"/>
          <w:sz w:val="20"/>
          <w:szCs w:val="20"/>
          <w:shd w:val="clear" w:color="auto" w:fill="FAFAFA"/>
        </w:rPr>
        <w:t xml:space="preserve">Reitze, A.W. Jr. (1999), The </w:t>
      </w:r>
      <w:r w:rsidR="00EF0204">
        <w:rPr>
          <w:rFonts w:ascii="Times New Roman" w:hAnsi="Times New Roman" w:cs="Times New Roman"/>
          <w:color w:val="auto"/>
          <w:sz w:val="20"/>
          <w:szCs w:val="20"/>
          <w:shd w:val="clear" w:color="auto" w:fill="FAFAFA"/>
        </w:rPr>
        <w:t>l</w:t>
      </w:r>
      <w:r w:rsidRPr="00191A4A">
        <w:rPr>
          <w:rFonts w:ascii="Times New Roman" w:hAnsi="Times New Roman" w:cs="Times New Roman"/>
          <w:color w:val="auto"/>
          <w:sz w:val="20"/>
          <w:szCs w:val="20"/>
          <w:shd w:val="clear" w:color="auto" w:fill="FAFAFA"/>
        </w:rPr>
        <w:t xml:space="preserve">egislative history of US Air Pollution Control. </w:t>
      </w:r>
      <w:r w:rsidRPr="00191A4A">
        <w:rPr>
          <w:rFonts w:ascii="Times New Roman" w:eastAsia="Times New Roman" w:hAnsi="Times New Roman" w:cs="Times New Roman"/>
          <w:i/>
          <w:iCs/>
          <w:color w:val="auto"/>
          <w:sz w:val="20"/>
          <w:szCs w:val="20"/>
        </w:rPr>
        <w:t xml:space="preserve">Houston Law Review </w:t>
      </w:r>
      <w:r w:rsidRPr="00191A4A">
        <w:rPr>
          <w:rFonts w:ascii="Times New Roman" w:eastAsia="Times New Roman" w:hAnsi="Times New Roman" w:cs="Times New Roman"/>
          <w:color w:val="auto"/>
          <w:sz w:val="20"/>
          <w:szCs w:val="20"/>
        </w:rPr>
        <w:t xml:space="preserve">36: 679-741. Reitze is </w:t>
      </w:r>
      <w:r w:rsidR="0074453F">
        <w:rPr>
          <w:rFonts w:ascii="Times New Roman" w:eastAsia="Times New Roman" w:hAnsi="Times New Roman" w:cs="Times New Roman"/>
          <w:color w:val="auto"/>
          <w:sz w:val="20"/>
          <w:szCs w:val="20"/>
        </w:rPr>
        <w:t xml:space="preserve">addressing </w:t>
      </w:r>
      <w:r w:rsidRPr="00191A4A">
        <w:rPr>
          <w:rFonts w:ascii="Times New Roman" w:eastAsia="Times New Roman" w:hAnsi="Times New Roman" w:cs="Times New Roman"/>
          <w:color w:val="auto"/>
          <w:sz w:val="20"/>
          <w:szCs w:val="20"/>
        </w:rPr>
        <w:t>the Clean Air Act, but as is discussed later</w:t>
      </w:r>
      <w:r w:rsidR="0074453F">
        <w:rPr>
          <w:rFonts w:ascii="Times New Roman" w:eastAsia="Times New Roman" w:hAnsi="Times New Roman" w:cs="Times New Roman"/>
          <w:color w:val="auto"/>
          <w:sz w:val="20"/>
          <w:szCs w:val="20"/>
        </w:rPr>
        <w:t>,</w:t>
      </w:r>
      <w:r w:rsidRPr="00191A4A">
        <w:rPr>
          <w:rFonts w:ascii="Times New Roman" w:eastAsia="Times New Roman" w:hAnsi="Times New Roman" w:cs="Times New Roman"/>
          <w:color w:val="auto"/>
          <w:sz w:val="20"/>
          <w:szCs w:val="20"/>
        </w:rPr>
        <w:t xml:space="preserve"> this situation also describes the Endangered Species Act and likely applies generally across the legislation in Table 1.</w:t>
      </w:r>
      <w:r w:rsidRPr="00191A4A">
        <w:rPr>
          <w:rFonts w:ascii="Times New Roman" w:hAnsi="Times New Roman" w:cs="Times New Roman"/>
          <w:color w:val="auto"/>
          <w:sz w:val="20"/>
          <w:szCs w:val="20"/>
        </w:rPr>
        <w:t xml:space="preserve"> The</w:t>
      </w:r>
      <w:r w:rsidR="00EF0204">
        <w:rPr>
          <w:rFonts w:ascii="Times New Roman" w:hAnsi="Times New Roman" w:cs="Times New Roman"/>
          <w:color w:val="auto"/>
          <w:sz w:val="20"/>
          <w:szCs w:val="20"/>
        </w:rPr>
        <w:t>re</w:t>
      </w:r>
      <w:r w:rsidRPr="00191A4A">
        <w:rPr>
          <w:rFonts w:ascii="Times New Roman" w:hAnsi="Times New Roman" w:cs="Times New Roman"/>
          <w:color w:val="auto"/>
          <w:sz w:val="20"/>
          <w:szCs w:val="20"/>
        </w:rPr>
        <w:t xml:space="preserve"> </w:t>
      </w:r>
      <w:r w:rsidR="0074453F">
        <w:rPr>
          <w:rFonts w:ascii="Times New Roman" w:hAnsi="Times New Roman" w:cs="Times New Roman"/>
          <w:color w:val="auto"/>
          <w:sz w:val="20"/>
          <w:szCs w:val="20"/>
        </w:rPr>
        <w:t xml:space="preserve">is </w:t>
      </w:r>
      <w:r w:rsidR="008957F2">
        <w:rPr>
          <w:rFonts w:ascii="Times New Roman" w:hAnsi="Times New Roman" w:cs="Times New Roman"/>
          <w:color w:val="auto"/>
          <w:sz w:val="20"/>
          <w:szCs w:val="20"/>
        </w:rPr>
        <w:t xml:space="preserve">a </w:t>
      </w:r>
      <w:r w:rsidR="0074453F">
        <w:rPr>
          <w:rFonts w:ascii="Times New Roman" w:hAnsi="Times New Roman" w:cs="Times New Roman"/>
          <w:color w:val="auto"/>
          <w:sz w:val="20"/>
          <w:szCs w:val="20"/>
        </w:rPr>
        <w:t xml:space="preserve">very complete </w:t>
      </w:r>
      <w:r w:rsidRPr="00191A4A">
        <w:rPr>
          <w:rFonts w:ascii="Times New Roman" w:hAnsi="Times New Roman" w:cs="Times New Roman"/>
          <w:color w:val="auto"/>
          <w:sz w:val="20"/>
          <w:szCs w:val="20"/>
        </w:rPr>
        <w:t>study of differential compliance costs based upon plant vintage and firm regulatory anticipation by Clay, K., Akshaya, J., Lewis, J., and Severnini, E. (2022)</w:t>
      </w:r>
      <w:r w:rsidR="0074453F">
        <w:rPr>
          <w:rFonts w:ascii="Times New Roman" w:hAnsi="Times New Roman" w:cs="Times New Roman"/>
          <w:color w:val="auto"/>
          <w:sz w:val="20"/>
          <w:szCs w:val="20"/>
        </w:rPr>
        <w:t>.</w:t>
      </w:r>
      <w:r w:rsidRPr="00191A4A">
        <w:rPr>
          <w:rFonts w:ascii="Times New Roman" w:hAnsi="Times New Roman" w:cs="Times New Roman"/>
          <w:color w:val="auto"/>
          <w:sz w:val="20"/>
          <w:szCs w:val="20"/>
        </w:rPr>
        <w:t xml:space="preserve"> Impacts of the Clean Air Act on the </w:t>
      </w:r>
      <w:r w:rsidR="008957F2">
        <w:rPr>
          <w:rFonts w:ascii="Times New Roman" w:hAnsi="Times New Roman" w:cs="Times New Roman"/>
          <w:color w:val="auto"/>
          <w:sz w:val="20"/>
          <w:szCs w:val="20"/>
        </w:rPr>
        <w:t>p</w:t>
      </w:r>
      <w:r w:rsidRPr="00191A4A">
        <w:rPr>
          <w:rFonts w:ascii="Times New Roman" w:hAnsi="Times New Roman" w:cs="Times New Roman"/>
          <w:color w:val="auto"/>
          <w:sz w:val="20"/>
          <w:szCs w:val="20"/>
        </w:rPr>
        <w:t xml:space="preserve">ower </w:t>
      </w:r>
      <w:r w:rsidR="008957F2">
        <w:rPr>
          <w:rFonts w:ascii="Times New Roman" w:hAnsi="Times New Roman" w:cs="Times New Roman"/>
          <w:color w:val="auto"/>
          <w:sz w:val="20"/>
          <w:szCs w:val="20"/>
        </w:rPr>
        <w:t>s</w:t>
      </w:r>
      <w:r w:rsidRPr="00191A4A">
        <w:rPr>
          <w:rFonts w:ascii="Times New Roman" w:hAnsi="Times New Roman" w:cs="Times New Roman"/>
          <w:color w:val="auto"/>
          <w:sz w:val="20"/>
          <w:szCs w:val="20"/>
        </w:rPr>
        <w:t>ector from 1938-1994: Anticipation and</w:t>
      </w:r>
      <w:r w:rsidR="004473EA">
        <w:rPr>
          <w:rFonts w:ascii="Times New Roman" w:hAnsi="Times New Roman" w:cs="Times New Roman"/>
          <w:color w:val="auto"/>
          <w:sz w:val="20"/>
          <w:szCs w:val="20"/>
        </w:rPr>
        <w:t xml:space="preserve"> a</w:t>
      </w:r>
      <w:r w:rsidRPr="00191A4A">
        <w:rPr>
          <w:rFonts w:ascii="Times New Roman" w:hAnsi="Times New Roman" w:cs="Times New Roman"/>
          <w:color w:val="auto"/>
          <w:sz w:val="20"/>
          <w:szCs w:val="20"/>
        </w:rPr>
        <w:t xml:space="preserve">daptation, </w:t>
      </w:r>
      <w:r w:rsidRPr="008957F2">
        <w:rPr>
          <w:rFonts w:ascii="Times New Roman" w:hAnsi="Times New Roman" w:cs="Times New Roman"/>
          <w:i/>
          <w:iCs/>
          <w:color w:val="auto"/>
          <w:sz w:val="20"/>
          <w:szCs w:val="20"/>
        </w:rPr>
        <w:t>NBER Working Paper</w:t>
      </w:r>
      <w:r w:rsidRPr="00191A4A">
        <w:rPr>
          <w:rFonts w:ascii="Times New Roman" w:hAnsi="Times New Roman" w:cs="Times New Roman"/>
          <w:color w:val="auto"/>
          <w:sz w:val="20"/>
          <w:szCs w:val="20"/>
        </w:rPr>
        <w:t>, 28962</w:t>
      </w:r>
      <w:r>
        <w:rPr>
          <w:rFonts w:ascii="Times New Roman" w:hAnsi="Times New Roman" w:cs="Times New Roman"/>
          <w:color w:val="auto"/>
          <w:sz w:val="20"/>
          <w:szCs w:val="20"/>
        </w:rPr>
        <w:t>.</w:t>
      </w:r>
    </w:p>
  </w:footnote>
  <w:footnote w:id="22">
    <w:p w14:paraId="10BB58FE" w14:textId="0F25A27A" w:rsidR="000765F3" w:rsidRPr="00ED345D" w:rsidRDefault="000765F3" w:rsidP="000765F3">
      <w:pPr>
        <w:spacing w:after="0" w:line="240" w:lineRule="auto"/>
        <w:rPr>
          <w:rFonts w:ascii="Times New Roman" w:hAnsi="Times New Roman" w:cs="Times New Roman"/>
          <w:sz w:val="20"/>
          <w:szCs w:val="20"/>
        </w:rPr>
      </w:pPr>
      <w:r w:rsidRPr="00ED345D">
        <w:rPr>
          <w:rStyle w:val="FootnoteReference"/>
          <w:rFonts w:ascii="Times New Roman" w:hAnsi="Times New Roman" w:cs="Times New Roman"/>
          <w:sz w:val="20"/>
          <w:szCs w:val="20"/>
        </w:rPr>
        <w:footnoteRef/>
      </w:r>
      <w:r w:rsidRPr="00ED345D">
        <w:rPr>
          <w:rFonts w:ascii="Times New Roman" w:hAnsi="Times New Roman" w:cs="Times New Roman"/>
          <w:sz w:val="20"/>
          <w:szCs w:val="20"/>
        </w:rPr>
        <w:t xml:space="preserve"> Orford points to industry opposition to the 1963 Clean Air Act. Orford, A.D. (2021). The Clean Air Act of 1963: Postwar </w:t>
      </w:r>
      <w:r w:rsidR="008957F2">
        <w:rPr>
          <w:rFonts w:ascii="Times New Roman" w:hAnsi="Times New Roman" w:cs="Times New Roman"/>
          <w:sz w:val="20"/>
          <w:szCs w:val="20"/>
        </w:rPr>
        <w:t>e</w:t>
      </w:r>
      <w:r w:rsidRPr="00ED345D">
        <w:rPr>
          <w:rFonts w:ascii="Times New Roman" w:hAnsi="Times New Roman" w:cs="Times New Roman"/>
          <w:sz w:val="20"/>
          <w:szCs w:val="20"/>
        </w:rPr>
        <w:t xml:space="preserve">nvironmental </w:t>
      </w:r>
      <w:r w:rsidR="008957F2">
        <w:rPr>
          <w:rFonts w:ascii="Times New Roman" w:hAnsi="Times New Roman" w:cs="Times New Roman"/>
          <w:sz w:val="20"/>
          <w:szCs w:val="20"/>
        </w:rPr>
        <w:t>p</w:t>
      </w:r>
      <w:r w:rsidRPr="00ED345D">
        <w:rPr>
          <w:rFonts w:ascii="Times New Roman" w:hAnsi="Times New Roman" w:cs="Times New Roman"/>
          <w:sz w:val="20"/>
          <w:szCs w:val="20"/>
        </w:rPr>
        <w:t xml:space="preserve">olitics and the </w:t>
      </w:r>
      <w:r w:rsidR="008957F2">
        <w:rPr>
          <w:rFonts w:ascii="Times New Roman" w:hAnsi="Times New Roman" w:cs="Times New Roman"/>
          <w:sz w:val="20"/>
          <w:szCs w:val="20"/>
        </w:rPr>
        <w:t>d</w:t>
      </w:r>
      <w:r w:rsidRPr="00ED345D">
        <w:rPr>
          <w:rFonts w:ascii="Times New Roman" w:hAnsi="Times New Roman" w:cs="Times New Roman"/>
          <w:sz w:val="20"/>
          <w:szCs w:val="20"/>
        </w:rPr>
        <w:t xml:space="preserve">ebate Over </w:t>
      </w:r>
      <w:r w:rsidR="008957F2">
        <w:rPr>
          <w:rFonts w:ascii="Times New Roman" w:hAnsi="Times New Roman" w:cs="Times New Roman"/>
          <w:sz w:val="20"/>
          <w:szCs w:val="20"/>
        </w:rPr>
        <w:t>f</w:t>
      </w:r>
      <w:r w:rsidRPr="00ED345D">
        <w:rPr>
          <w:rFonts w:ascii="Times New Roman" w:hAnsi="Times New Roman" w:cs="Times New Roman"/>
          <w:sz w:val="20"/>
          <w:szCs w:val="20"/>
        </w:rPr>
        <w:t xml:space="preserve">ederal </w:t>
      </w:r>
      <w:r w:rsidR="008957F2">
        <w:rPr>
          <w:rFonts w:ascii="Times New Roman" w:hAnsi="Times New Roman" w:cs="Times New Roman"/>
          <w:sz w:val="20"/>
          <w:szCs w:val="20"/>
        </w:rPr>
        <w:t>p</w:t>
      </w:r>
      <w:r w:rsidRPr="00ED345D">
        <w:rPr>
          <w:rFonts w:ascii="Times New Roman" w:hAnsi="Times New Roman" w:cs="Times New Roman"/>
          <w:sz w:val="20"/>
          <w:szCs w:val="20"/>
        </w:rPr>
        <w:t>ower</w:t>
      </w:r>
      <w:r w:rsidRPr="00ED345D">
        <w:rPr>
          <w:rFonts w:ascii="Times New Roman" w:hAnsi="Times New Roman" w:cs="Times New Roman"/>
          <w:i/>
          <w:iCs/>
          <w:sz w:val="20"/>
          <w:szCs w:val="20"/>
        </w:rPr>
        <w:t xml:space="preserve">. Hastings Environmental Law Journal </w:t>
      </w:r>
      <w:r w:rsidRPr="00ED345D">
        <w:rPr>
          <w:rFonts w:ascii="Times New Roman" w:hAnsi="Times New Roman" w:cs="Times New Roman"/>
          <w:sz w:val="20"/>
          <w:szCs w:val="20"/>
        </w:rPr>
        <w:t>27 (2), Article 2, 1-77, 64-65.</w:t>
      </w:r>
    </w:p>
  </w:footnote>
  <w:footnote w:id="23">
    <w:p w14:paraId="4C632278" w14:textId="1C2E000A" w:rsidR="00D914BF" w:rsidRPr="0048239D" w:rsidRDefault="00D914BF" w:rsidP="00D914BF">
      <w:pPr>
        <w:pStyle w:val="Heading1"/>
        <w:shd w:val="clear" w:color="auto" w:fill="FFFFFF"/>
        <w:spacing w:before="0" w:line="240" w:lineRule="auto"/>
        <w:rPr>
          <w:rFonts w:ascii="Times New Roman" w:hAnsi="Times New Roman" w:cs="Times New Roman"/>
          <w:color w:val="auto"/>
          <w:sz w:val="20"/>
          <w:szCs w:val="20"/>
        </w:rPr>
      </w:pPr>
      <w:r w:rsidRPr="00493FA7">
        <w:rPr>
          <w:rStyle w:val="FootnoteReference"/>
          <w:rFonts w:ascii="Times New Roman" w:hAnsi="Times New Roman" w:cs="Times New Roman"/>
          <w:color w:val="auto"/>
          <w:sz w:val="20"/>
          <w:szCs w:val="20"/>
        </w:rPr>
        <w:footnoteRef/>
      </w:r>
      <w:r w:rsidRPr="00493FA7">
        <w:rPr>
          <w:rFonts w:ascii="Times New Roman" w:hAnsi="Times New Roman" w:cs="Times New Roman"/>
          <w:color w:val="auto"/>
          <w:sz w:val="20"/>
          <w:szCs w:val="20"/>
        </w:rPr>
        <w:t xml:space="preserve"> Ellickson, R.C. (1991) </w:t>
      </w:r>
      <w:r w:rsidRPr="00493FA7">
        <w:rPr>
          <w:rFonts w:ascii="Times New Roman" w:eastAsia="Times New Roman" w:hAnsi="Times New Roman" w:cs="Times New Roman"/>
          <w:i/>
          <w:iCs/>
          <w:color w:val="auto"/>
          <w:kern w:val="36"/>
          <w:sz w:val="20"/>
          <w:szCs w:val="20"/>
        </w:rPr>
        <w:t xml:space="preserve">Order Without </w:t>
      </w:r>
      <w:r w:rsidRPr="00B525E4">
        <w:rPr>
          <w:rFonts w:ascii="Times New Roman" w:eastAsia="Times New Roman" w:hAnsi="Times New Roman" w:cs="Times New Roman"/>
          <w:i/>
          <w:iCs/>
          <w:color w:val="auto"/>
          <w:kern w:val="36"/>
          <w:sz w:val="20"/>
          <w:szCs w:val="20"/>
        </w:rPr>
        <w:t>Law</w:t>
      </w:r>
      <w:r w:rsidRPr="00B525E4">
        <w:rPr>
          <w:rFonts w:ascii="Times New Roman" w:eastAsia="Times New Roman" w:hAnsi="Times New Roman" w:cs="Times New Roman"/>
          <w:b/>
          <w:bCs/>
          <w:i/>
          <w:iCs/>
          <w:color w:val="auto"/>
          <w:kern w:val="36"/>
          <w:sz w:val="20"/>
          <w:szCs w:val="20"/>
        </w:rPr>
        <w:t>: </w:t>
      </w:r>
      <w:r w:rsidRPr="00B525E4">
        <w:rPr>
          <w:rFonts w:ascii="Times New Roman" w:eastAsia="Times New Roman" w:hAnsi="Times New Roman" w:cs="Times New Roman"/>
          <w:i/>
          <w:iCs/>
          <w:color w:val="auto"/>
          <w:kern w:val="36"/>
          <w:sz w:val="20"/>
          <w:szCs w:val="20"/>
        </w:rPr>
        <w:t>How Neighbors Settle Disputes</w:t>
      </w:r>
      <w:r>
        <w:rPr>
          <w:rFonts w:ascii="Times New Roman" w:eastAsia="Times New Roman" w:hAnsi="Times New Roman" w:cs="Times New Roman"/>
          <w:color w:val="auto"/>
          <w:kern w:val="36"/>
          <w:sz w:val="20"/>
          <w:szCs w:val="20"/>
        </w:rPr>
        <w:t>, Harvard University Press</w:t>
      </w:r>
      <w:r w:rsidR="00E06A4C">
        <w:rPr>
          <w:rFonts w:ascii="Times New Roman" w:eastAsia="Times New Roman" w:hAnsi="Times New Roman" w:cs="Times New Roman"/>
          <w:color w:val="auto"/>
          <w:kern w:val="36"/>
          <w:sz w:val="20"/>
          <w:szCs w:val="20"/>
        </w:rPr>
        <w:t>; (2016)</w:t>
      </w:r>
      <w:r>
        <w:rPr>
          <w:rFonts w:ascii="Times New Roman" w:eastAsia="Times New Roman" w:hAnsi="Times New Roman" w:cs="Times New Roman"/>
          <w:color w:val="auto"/>
          <w:kern w:val="36"/>
          <w:sz w:val="20"/>
          <w:szCs w:val="20"/>
        </w:rPr>
        <w:t>.</w:t>
      </w:r>
      <w:r w:rsidR="0048239D" w:rsidRPr="0048239D">
        <w:t xml:space="preserve"> </w:t>
      </w:r>
      <w:r w:rsidR="0048239D" w:rsidRPr="0048239D">
        <w:rPr>
          <w:rFonts w:ascii="Times New Roman" w:hAnsi="Times New Roman" w:cs="Times New Roman"/>
          <w:color w:val="auto"/>
          <w:sz w:val="20"/>
          <w:szCs w:val="20"/>
        </w:rPr>
        <w:t xml:space="preserve">When </w:t>
      </w:r>
      <w:r w:rsidR="00FF5709">
        <w:rPr>
          <w:rFonts w:ascii="Times New Roman" w:hAnsi="Times New Roman" w:cs="Times New Roman"/>
          <w:color w:val="auto"/>
          <w:sz w:val="20"/>
          <w:szCs w:val="20"/>
        </w:rPr>
        <w:t>c</w:t>
      </w:r>
      <w:r w:rsidR="0048239D" w:rsidRPr="0048239D">
        <w:rPr>
          <w:rFonts w:ascii="Times New Roman" w:hAnsi="Times New Roman" w:cs="Times New Roman"/>
          <w:color w:val="auto"/>
          <w:sz w:val="20"/>
          <w:szCs w:val="20"/>
        </w:rPr>
        <w:t xml:space="preserve">ivil </w:t>
      </w:r>
      <w:r w:rsidR="00FF5709">
        <w:rPr>
          <w:rFonts w:ascii="Times New Roman" w:hAnsi="Times New Roman" w:cs="Times New Roman"/>
          <w:color w:val="auto"/>
          <w:sz w:val="20"/>
          <w:szCs w:val="20"/>
        </w:rPr>
        <w:t>s</w:t>
      </w:r>
      <w:r w:rsidR="0048239D" w:rsidRPr="0048239D">
        <w:rPr>
          <w:rFonts w:ascii="Times New Roman" w:hAnsi="Times New Roman" w:cs="Times New Roman"/>
          <w:color w:val="auto"/>
          <w:sz w:val="20"/>
          <w:szCs w:val="20"/>
        </w:rPr>
        <w:t xml:space="preserve">ociety </w:t>
      </w:r>
      <w:r w:rsidR="00FF5709">
        <w:rPr>
          <w:rFonts w:ascii="Times New Roman" w:hAnsi="Times New Roman" w:cs="Times New Roman"/>
          <w:color w:val="auto"/>
          <w:sz w:val="20"/>
          <w:szCs w:val="20"/>
        </w:rPr>
        <w:t>u</w:t>
      </w:r>
      <w:r w:rsidR="0048239D" w:rsidRPr="0048239D">
        <w:rPr>
          <w:rFonts w:ascii="Times New Roman" w:hAnsi="Times New Roman" w:cs="Times New Roman"/>
          <w:color w:val="auto"/>
          <w:sz w:val="20"/>
          <w:szCs w:val="20"/>
        </w:rPr>
        <w:t xml:space="preserve">ses an </w:t>
      </w:r>
      <w:r w:rsidR="00FF5709">
        <w:rPr>
          <w:rFonts w:ascii="Times New Roman" w:hAnsi="Times New Roman" w:cs="Times New Roman"/>
          <w:color w:val="auto"/>
          <w:sz w:val="20"/>
          <w:szCs w:val="20"/>
        </w:rPr>
        <w:t>i</w:t>
      </w:r>
      <w:r w:rsidR="0048239D" w:rsidRPr="0048239D">
        <w:rPr>
          <w:rFonts w:ascii="Times New Roman" w:hAnsi="Times New Roman" w:cs="Times New Roman"/>
          <w:color w:val="auto"/>
          <w:sz w:val="20"/>
          <w:szCs w:val="20"/>
        </w:rPr>
        <w:t xml:space="preserve">ron </w:t>
      </w:r>
      <w:r w:rsidR="00FF5709">
        <w:rPr>
          <w:rFonts w:ascii="Times New Roman" w:hAnsi="Times New Roman" w:cs="Times New Roman"/>
          <w:color w:val="auto"/>
          <w:sz w:val="20"/>
          <w:szCs w:val="20"/>
        </w:rPr>
        <w:t>f</w:t>
      </w:r>
      <w:r w:rsidR="0048239D" w:rsidRPr="0048239D">
        <w:rPr>
          <w:rFonts w:ascii="Times New Roman" w:hAnsi="Times New Roman" w:cs="Times New Roman"/>
          <w:color w:val="auto"/>
          <w:sz w:val="20"/>
          <w:szCs w:val="20"/>
        </w:rPr>
        <w:t xml:space="preserve">ist: The </w:t>
      </w:r>
      <w:r w:rsidR="00FF5709">
        <w:rPr>
          <w:rFonts w:ascii="Times New Roman" w:hAnsi="Times New Roman" w:cs="Times New Roman"/>
          <w:color w:val="auto"/>
          <w:sz w:val="20"/>
          <w:szCs w:val="20"/>
        </w:rPr>
        <w:t>r</w:t>
      </w:r>
      <w:r w:rsidR="0048239D" w:rsidRPr="0048239D">
        <w:rPr>
          <w:rFonts w:ascii="Times New Roman" w:hAnsi="Times New Roman" w:cs="Times New Roman"/>
          <w:color w:val="auto"/>
          <w:sz w:val="20"/>
          <w:szCs w:val="20"/>
        </w:rPr>
        <w:t xml:space="preserve">oles of </w:t>
      </w:r>
      <w:r w:rsidR="00FF5709">
        <w:rPr>
          <w:rFonts w:ascii="Times New Roman" w:hAnsi="Times New Roman" w:cs="Times New Roman"/>
          <w:color w:val="auto"/>
          <w:sz w:val="20"/>
          <w:szCs w:val="20"/>
        </w:rPr>
        <w:t>p</w:t>
      </w:r>
      <w:r w:rsidR="0048239D" w:rsidRPr="0048239D">
        <w:rPr>
          <w:rFonts w:ascii="Times New Roman" w:hAnsi="Times New Roman" w:cs="Times New Roman"/>
          <w:color w:val="auto"/>
          <w:sz w:val="20"/>
          <w:szCs w:val="20"/>
        </w:rPr>
        <w:t xml:space="preserve">rivate </w:t>
      </w:r>
      <w:r w:rsidR="00FF5709">
        <w:rPr>
          <w:rFonts w:ascii="Times New Roman" w:hAnsi="Times New Roman" w:cs="Times New Roman"/>
          <w:color w:val="auto"/>
          <w:sz w:val="20"/>
          <w:szCs w:val="20"/>
        </w:rPr>
        <w:t>a</w:t>
      </w:r>
      <w:r w:rsidR="0048239D" w:rsidRPr="0048239D">
        <w:rPr>
          <w:rFonts w:ascii="Times New Roman" w:hAnsi="Times New Roman" w:cs="Times New Roman"/>
          <w:color w:val="auto"/>
          <w:sz w:val="20"/>
          <w:szCs w:val="20"/>
        </w:rPr>
        <w:t xml:space="preserve">ssociations in </w:t>
      </w:r>
      <w:r w:rsidR="00FF5709">
        <w:rPr>
          <w:rFonts w:ascii="Times New Roman" w:hAnsi="Times New Roman" w:cs="Times New Roman"/>
          <w:color w:val="auto"/>
          <w:sz w:val="20"/>
          <w:szCs w:val="20"/>
        </w:rPr>
        <w:t>r</w:t>
      </w:r>
      <w:r w:rsidR="0048239D" w:rsidRPr="0048239D">
        <w:rPr>
          <w:rFonts w:ascii="Times New Roman" w:hAnsi="Times New Roman" w:cs="Times New Roman"/>
          <w:color w:val="auto"/>
          <w:sz w:val="20"/>
          <w:szCs w:val="20"/>
        </w:rPr>
        <w:t xml:space="preserve">ulemaking and </w:t>
      </w:r>
      <w:r w:rsidR="00FF5709">
        <w:rPr>
          <w:rFonts w:ascii="Times New Roman" w:hAnsi="Times New Roman" w:cs="Times New Roman"/>
          <w:color w:val="auto"/>
          <w:sz w:val="20"/>
          <w:szCs w:val="20"/>
        </w:rPr>
        <w:t>a</w:t>
      </w:r>
      <w:r w:rsidR="0048239D" w:rsidRPr="0048239D">
        <w:rPr>
          <w:rFonts w:ascii="Times New Roman" w:hAnsi="Times New Roman" w:cs="Times New Roman"/>
          <w:color w:val="auto"/>
          <w:sz w:val="20"/>
          <w:szCs w:val="20"/>
        </w:rPr>
        <w:t xml:space="preserve">djudication, </w:t>
      </w:r>
      <w:r w:rsidR="00E06A4C">
        <w:rPr>
          <w:rFonts w:ascii="Times New Roman" w:hAnsi="Times New Roman" w:cs="Times New Roman"/>
          <w:i/>
          <w:iCs/>
          <w:color w:val="auto"/>
          <w:sz w:val="20"/>
          <w:szCs w:val="20"/>
        </w:rPr>
        <w:t xml:space="preserve">American Law and Economics Review </w:t>
      </w:r>
      <w:r w:rsidR="0048239D" w:rsidRPr="0048239D">
        <w:rPr>
          <w:rFonts w:ascii="Times New Roman" w:hAnsi="Times New Roman" w:cs="Times New Roman"/>
          <w:color w:val="auto"/>
          <w:sz w:val="20"/>
          <w:szCs w:val="20"/>
        </w:rPr>
        <w:t>18</w:t>
      </w:r>
      <w:r w:rsidR="00E06A4C">
        <w:rPr>
          <w:rFonts w:ascii="Times New Roman" w:hAnsi="Times New Roman" w:cs="Times New Roman"/>
          <w:color w:val="auto"/>
          <w:sz w:val="20"/>
          <w:szCs w:val="20"/>
        </w:rPr>
        <w:t xml:space="preserve">: </w:t>
      </w:r>
      <w:r w:rsidR="0048239D" w:rsidRPr="0048239D">
        <w:rPr>
          <w:rFonts w:ascii="Times New Roman" w:hAnsi="Times New Roman" w:cs="Times New Roman"/>
          <w:color w:val="auto"/>
          <w:sz w:val="20"/>
          <w:szCs w:val="20"/>
        </w:rPr>
        <w:t>237–73</w:t>
      </w:r>
      <w:r w:rsidR="00E06A4C">
        <w:rPr>
          <w:rFonts w:ascii="Times New Roman" w:hAnsi="Times New Roman" w:cs="Times New Roman"/>
          <w:color w:val="auto"/>
          <w:sz w:val="20"/>
          <w:szCs w:val="20"/>
        </w:rPr>
        <w:t xml:space="preserve">. </w:t>
      </w:r>
    </w:p>
  </w:footnote>
  <w:footnote w:id="24">
    <w:p w14:paraId="3A80F890" w14:textId="77777777" w:rsidR="001C29C8" w:rsidRDefault="001C29C8" w:rsidP="001C29C8">
      <w:pPr>
        <w:spacing w:after="0" w:line="240" w:lineRule="auto"/>
      </w:pPr>
      <w:r>
        <w:rPr>
          <w:rStyle w:val="FootnoteReference"/>
        </w:rPr>
        <w:footnoteRef/>
      </w:r>
      <w:r>
        <w:t xml:space="preserve"> </w:t>
      </w:r>
      <w:r w:rsidRPr="004264B3">
        <w:rPr>
          <w:rFonts w:ascii="Times New Roman" w:hAnsi="Times New Roman" w:cs="Times New Roman"/>
          <w:sz w:val="20"/>
          <w:szCs w:val="20"/>
        </w:rPr>
        <w:t xml:space="preserve">Mulligan, C.B. (2023) Beyond Pigou: </w:t>
      </w:r>
      <w:r w:rsidRPr="004542F9">
        <w:rPr>
          <w:rFonts w:ascii="Times New Roman" w:eastAsia="Calibri" w:hAnsi="Times New Roman" w:cs="Times New Roman"/>
          <w:color w:val="000000"/>
          <w:sz w:val="20"/>
          <w:szCs w:val="20"/>
        </w:rPr>
        <w:t>externalities and civil society in the supply–</w:t>
      </w:r>
      <w:r w:rsidRPr="004264B3">
        <w:rPr>
          <w:rFonts w:ascii="Times New Roman" w:eastAsia="Calibri" w:hAnsi="Times New Roman" w:cs="Times New Roman"/>
          <w:color w:val="000000"/>
          <w:sz w:val="20"/>
          <w:szCs w:val="20"/>
        </w:rPr>
        <w:t>d</w:t>
      </w:r>
      <w:r w:rsidRPr="004542F9">
        <w:rPr>
          <w:rFonts w:ascii="Times New Roman" w:eastAsia="Calibri" w:hAnsi="Times New Roman" w:cs="Times New Roman"/>
          <w:color w:val="000000"/>
          <w:sz w:val="20"/>
          <w:szCs w:val="20"/>
        </w:rPr>
        <w:t>emand framework</w:t>
      </w:r>
      <w:r w:rsidRPr="004264B3">
        <w:rPr>
          <w:rFonts w:ascii="Times New Roman" w:eastAsia="Calibri" w:hAnsi="Times New Roman" w:cs="Times New Roman"/>
          <w:color w:val="000000"/>
          <w:sz w:val="20"/>
          <w:szCs w:val="20"/>
        </w:rPr>
        <w:t xml:space="preserve">. </w:t>
      </w:r>
      <w:r w:rsidRPr="0058464A">
        <w:rPr>
          <w:rFonts w:ascii="Times New Roman" w:eastAsia="Calibri" w:hAnsi="Times New Roman" w:cs="Times New Roman"/>
          <w:i/>
          <w:iCs/>
          <w:color w:val="000000"/>
          <w:sz w:val="20"/>
          <w:szCs w:val="20"/>
        </w:rPr>
        <w:t>Public Choice</w:t>
      </w:r>
      <w:r w:rsidRPr="004264B3">
        <w:rPr>
          <w:rFonts w:ascii="Times New Roman" w:eastAsia="Calibri" w:hAnsi="Times New Roman" w:cs="Times New Roman"/>
          <w:color w:val="000000"/>
          <w:sz w:val="20"/>
          <w:szCs w:val="20"/>
        </w:rPr>
        <w:t>. 196: 1–18.</w:t>
      </w:r>
    </w:p>
  </w:footnote>
  <w:footnote w:id="25">
    <w:p w14:paraId="122E20AD" w14:textId="0EFF29F6" w:rsidR="00D914BF" w:rsidRPr="00D42114" w:rsidRDefault="00D914BF" w:rsidP="00D914BF">
      <w:pPr>
        <w:spacing w:after="0" w:line="240" w:lineRule="auto"/>
        <w:rPr>
          <w:rFonts w:ascii="Times New Roman" w:hAnsi="Times New Roman" w:cs="Times New Roman"/>
          <w:sz w:val="20"/>
          <w:szCs w:val="20"/>
        </w:rPr>
      </w:pPr>
      <w:r w:rsidRPr="00D42114">
        <w:rPr>
          <w:rStyle w:val="FootnoteReference"/>
          <w:rFonts w:ascii="Times New Roman" w:hAnsi="Times New Roman" w:cs="Times New Roman"/>
          <w:sz w:val="20"/>
          <w:szCs w:val="20"/>
        </w:rPr>
        <w:footnoteRef/>
      </w:r>
      <w:r w:rsidRPr="00D42114">
        <w:rPr>
          <w:rFonts w:ascii="Times New Roman" w:hAnsi="Times New Roman" w:cs="Times New Roman"/>
          <w:sz w:val="20"/>
          <w:szCs w:val="20"/>
        </w:rPr>
        <w:t xml:space="preserve"> Deryugina, </w:t>
      </w:r>
      <w:r w:rsidR="000663E6">
        <w:rPr>
          <w:rFonts w:ascii="Times New Roman" w:hAnsi="Times New Roman" w:cs="Times New Roman"/>
          <w:sz w:val="20"/>
          <w:szCs w:val="20"/>
        </w:rPr>
        <w:t xml:space="preserve">T., </w:t>
      </w:r>
      <w:r w:rsidRPr="00D42114">
        <w:rPr>
          <w:rFonts w:ascii="Times New Roman" w:hAnsi="Times New Roman" w:cs="Times New Roman"/>
          <w:sz w:val="20"/>
          <w:szCs w:val="20"/>
        </w:rPr>
        <w:t xml:space="preserve">Moore, </w:t>
      </w:r>
      <w:r w:rsidR="000663E6">
        <w:rPr>
          <w:rFonts w:ascii="Times New Roman" w:hAnsi="Times New Roman" w:cs="Times New Roman"/>
          <w:sz w:val="20"/>
          <w:szCs w:val="20"/>
        </w:rPr>
        <w:t xml:space="preserve">F., </w:t>
      </w:r>
      <w:r w:rsidRPr="00D42114">
        <w:rPr>
          <w:rFonts w:ascii="Times New Roman" w:hAnsi="Times New Roman" w:cs="Times New Roman"/>
          <w:sz w:val="20"/>
          <w:szCs w:val="20"/>
        </w:rPr>
        <w:t>and Tol</w:t>
      </w:r>
      <w:r w:rsidR="000663E6">
        <w:rPr>
          <w:rFonts w:ascii="Times New Roman" w:hAnsi="Times New Roman" w:cs="Times New Roman"/>
          <w:sz w:val="20"/>
          <w:szCs w:val="20"/>
        </w:rPr>
        <w:t xml:space="preserve">, R. S. J. </w:t>
      </w:r>
      <w:r w:rsidRPr="00D42114">
        <w:rPr>
          <w:rFonts w:ascii="Times New Roman" w:hAnsi="Times New Roman" w:cs="Times New Roman"/>
          <w:sz w:val="20"/>
          <w:szCs w:val="20"/>
        </w:rPr>
        <w:t xml:space="preserve">(2021) Environmental applications of the Coase Theorem. </w:t>
      </w:r>
      <w:hyperlink r:id="rId7" w:tooltip="Go to Environmental Science &amp; Policy on ScienceDirect" w:history="1">
        <w:r w:rsidRPr="000663E6">
          <w:rPr>
            <w:rFonts w:ascii="Times New Roman" w:eastAsia="Times New Roman" w:hAnsi="Times New Roman" w:cs="Times New Roman"/>
            <w:i/>
            <w:iCs/>
            <w:color w:val="1F1F1F"/>
            <w:sz w:val="20"/>
            <w:szCs w:val="20"/>
          </w:rPr>
          <w:t>Environmental Science and Policy</w:t>
        </w:r>
      </w:hyperlink>
      <w:r w:rsidRPr="00D42114">
        <w:rPr>
          <w:rFonts w:ascii="Times New Roman" w:eastAsia="Times New Roman" w:hAnsi="Times New Roman" w:cs="Times New Roman"/>
          <w:color w:val="1F1F1F"/>
          <w:sz w:val="20"/>
          <w:szCs w:val="20"/>
        </w:rPr>
        <w:t xml:space="preserve"> 120: 81-88.</w:t>
      </w:r>
    </w:p>
  </w:footnote>
  <w:footnote w:id="26">
    <w:p w14:paraId="0EA8407A" w14:textId="2D610695" w:rsidR="00D914BF" w:rsidRDefault="00D914BF" w:rsidP="00D914BF">
      <w:pPr>
        <w:spacing w:after="0" w:line="240" w:lineRule="auto"/>
      </w:pPr>
      <w:r w:rsidRPr="00444F26">
        <w:rPr>
          <w:rStyle w:val="FootnoteReference"/>
          <w:rFonts w:ascii="Times New Roman" w:hAnsi="Times New Roman" w:cs="Times New Roman"/>
          <w:sz w:val="20"/>
          <w:szCs w:val="20"/>
        </w:rPr>
        <w:footnoteRef/>
      </w:r>
      <w:r w:rsidRPr="00444F26">
        <w:rPr>
          <w:rFonts w:ascii="Times New Roman" w:hAnsi="Times New Roman" w:cs="Times New Roman"/>
          <w:sz w:val="20"/>
          <w:szCs w:val="20"/>
        </w:rPr>
        <w:t xml:space="preserve"> </w:t>
      </w:r>
      <w:r w:rsidR="000663E6">
        <w:rPr>
          <w:rFonts w:ascii="Times New Roman" w:hAnsi="Times New Roman" w:cs="Times New Roman"/>
          <w:sz w:val="20"/>
          <w:szCs w:val="20"/>
        </w:rPr>
        <w:t>Costello, C. and Kotchen, M. (2022)</w:t>
      </w:r>
      <w:r w:rsidR="00893FF9">
        <w:rPr>
          <w:rFonts w:ascii="Times New Roman" w:hAnsi="Times New Roman" w:cs="Times New Roman"/>
          <w:sz w:val="20"/>
          <w:szCs w:val="20"/>
        </w:rPr>
        <w:t>.</w:t>
      </w:r>
      <w:r w:rsidR="000663E6">
        <w:rPr>
          <w:rFonts w:ascii="Times New Roman" w:hAnsi="Times New Roman" w:cs="Times New Roman"/>
          <w:sz w:val="20"/>
          <w:szCs w:val="20"/>
        </w:rPr>
        <w:t xml:space="preserve"> </w:t>
      </w:r>
      <w:r w:rsidRPr="00444F26">
        <w:rPr>
          <w:rFonts w:ascii="Times New Roman" w:hAnsi="Times New Roman" w:cs="Times New Roman"/>
          <w:sz w:val="20"/>
          <w:szCs w:val="20"/>
        </w:rPr>
        <w:t xml:space="preserve">Policy </w:t>
      </w:r>
      <w:r w:rsidR="00893FF9">
        <w:rPr>
          <w:rFonts w:ascii="Times New Roman" w:hAnsi="Times New Roman" w:cs="Times New Roman"/>
          <w:sz w:val="20"/>
          <w:szCs w:val="20"/>
        </w:rPr>
        <w:t>i</w:t>
      </w:r>
      <w:r w:rsidRPr="00444F26">
        <w:rPr>
          <w:rFonts w:ascii="Times New Roman" w:hAnsi="Times New Roman" w:cs="Times New Roman"/>
          <w:sz w:val="20"/>
          <w:szCs w:val="20"/>
        </w:rPr>
        <w:t xml:space="preserve">nstrument </w:t>
      </w:r>
      <w:r w:rsidR="00893FF9">
        <w:rPr>
          <w:rFonts w:ascii="Times New Roman" w:hAnsi="Times New Roman" w:cs="Times New Roman"/>
          <w:sz w:val="20"/>
          <w:szCs w:val="20"/>
        </w:rPr>
        <w:t>c</w:t>
      </w:r>
      <w:r w:rsidRPr="00444F26">
        <w:rPr>
          <w:rFonts w:ascii="Times New Roman" w:hAnsi="Times New Roman" w:cs="Times New Roman"/>
          <w:sz w:val="20"/>
          <w:szCs w:val="20"/>
        </w:rPr>
        <w:t xml:space="preserve">hoice with Coasean </w:t>
      </w:r>
      <w:r w:rsidR="00893FF9">
        <w:rPr>
          <w:rFonts w:ascii="Times New Roman" w:hAnsi="Times New Roman" w:cs="Times New Roman"/>
          <w:sz w:val="20"/>
          <w:szCs w:val="20"/>
        </w:rPr>
        <w:t>p</w:t>
      </w:r>
      <w:r w:rsidRPr="00444F26">
        <w:rPr>
          <w:rFonts w:ascii="Times New Roman" w:hAnsi="Times New Roman" w:cs="Times New Roman"/>
          <w:sz w:val="20"/>
          <w:szCs w:val="20"/>
        </w:rPr>
        <w:t xml:space="preserve">rovision of </w:t>
      </w:r>
      <w:r w:rsidR="00893FF9">
        <w:rPr>
          <w:rFonts w:ascii="Times New Roman" w:hAnsi="Times New Roman" w:cs="Times New Roman"/>
          <w:sz w:val="20"/>
          <w:szCs w:val="20"/>
        </w:rPr>
        <w:t>p</w:t>
      </w:r>
      <w:r w:rsidRPr="00444F26">
        <w:rPr>
          <w:rFonts w:ascii="Times New Roman" w:hAnsi="Times New Roman" w:cs="Times New Roman"/>
          <w:sz w:val="20"/>
          <w:szCs w:val="20"/>
        </w:rPr>
        <w:t xml:space="preserve">ublic </w:t>
      </w:r>
      <w:r w:rsidR="00893FF9">
        <w:rPr>
          <w:rFonts w:ascii="Times New Roman" w:hAnsi="Times New Roman" w:cs="Times New Roman"/>
          <w:sz w:val="20"/>
          <w:szCs w:val="20"/>
        </w:rPr>
        <w:t>g</w:t>
      </w:r>
      <w:r w:rsidRPr="00444F26">
        <w:rPr>
          <w:rFonts w:ascii="Times New Roman" w:hAnsi="Times New Roman" w:cs="Times New Roman"/>
          <w:sz w:val="20"/>
          <w:szCs w:val="20"/>
        </w:rPr>
        <w:t xml:space="preserve">oods </w:t>
      </w:r>
      <w:r w:rsidRPr="000663E6">
        <w:rPr>
          <w:rFonts w:ascii="Times New Roman" w:hAnsi="Times New Roman" w:cs="Times New Roman"/>
          <w:i/>
          <w:iCs/>
          <w:sz w:val="20"/>
          <w:szCs w:val="20"/>
        </w:rPr>
        <w:t>Journal of the Association of Environmental and Resource Economists</w:t>
      </w:r>
      <w:r w:rsidRPr="00444F26">
        <w:rPr>
          <w:rFonts w:ascii="Times New Roman" w:hAnsi="Times New Roman" w:cs="Times New Roman"/>
          <w:sz w:val="20"/>
          <w:szCs w:val="20"/>
        </w:rPr>
        <w:t>, 9</w:t>
      </w:r>
      <w:r w:rsidR="000663E6">
        <w:rPr>
          <w:rFonts w:ascii="Times New Roman" w:hAnsi="Times New Roman" w:cs="Times New Roman"/>
          <w:sz w:val="20"/>
          <w:szCs w:val="20"/>
        </w:rPr>
        <w:t xml:space="preserve"> (</w:t>
      </w:r>
      <w:r w:rsidRPr="00444F26">
        <w:rPr>
          <w:rFonts w:ascii="Times New Roman" w:hAnsi="Times New Roman" w:cs="Times New Roman"/>
          <w:sz w:val="20"/>
          <w:szCs w:val="20"/>
        </w:rPr>
        <w:t>5</w:t>
      </w:r>
      <w:r w:rsidR="000663E6">
        <w:rPr>
          <w:rFonts w:ascii="Times New Roman" w:hAnsi="Times New Roman" w:cs="Times New Roman"/>
          <w:sz w:val="20"/>
          <w:szCs w:val="20"/>
        </w:rPr>
        <w:t>)</w:t>
      </w:r>
      <w:r>
        <w:rPr>
          <w:rFonts w:ascii="Times New Roman" w:hAnsi="Times New Roman" w:cs="Times New Roman"/>
          <w:sz w:val="20"/>
          <w:szCs w:val="20"/>
        </w:rPr>
        <w:t>.</w:t>
      </w:r>
    </w:p>
  </w:footnote>
  <w:footnote w:id="27">
    <w:p w14:paraId="67BE4190" w14:textId="5991A82C" w:rsidR="00D914BF" w:rsidRPr="004F3407" w:rsidRDefault="00D914BF" w:rsidP="00D914BF">
      <w:pPr>
        <w:spacing w:after="0" w:line="240" w:lineRule="auto"/>
        <w:rPr>
          <w:rFonts w:ascii="Times New Roman" w:hAnsi="Times New Roman" w:cs="Times New Roman"/>
        </w:rPr>
      </w:pPr>
      <w:r w:rsidRPr="004F3407">
        <w:rPr>
          <w:rStyle w:val="FootnoteReference"/>
          <w:rFonts w:ascii="Times New Roman" w:hAnsi="Times New Roman" w:cs="Times New Roman"/>
          <w:sz w:val="20"/>
          <w:szCs w:val="20"/>
        </w:rPr>
        <w:footnoteRef/>
      </w:r>
      <w:r w:rsidRPr="004F3407">
        <w:rPr>
          <w:rFonts w:ascii="Times New Roman" w:hAnsi="Times New Roman" w:cs="Times New Roman"/>
          <w:sz w:val="20"/>
          <w:szCs w:val="20"/>
        </w:rPr>
        <w:t xml:space="preserve"> Costello and Kotchen assert </w:t>
      </w:r>
      <w:r>
        <w:rPr>
          <w:rFonts w:ascii="Times New Roman" w:hAnsi="Times New Roman" w:cs="Times New Roman"/>
          <w:sz w:val="20"/>
          <w:szCs w:val="20"/>
        </w:rPr>
        <w:t xml:space="preserve">that </w:t>
      </w:r>
      <w:r w:rsidRPr="004F3407">
        <w:rPr>
          <w:rFonts w:ascii="Times New Roman" w:hAnsi="Times New Roman" w:cs="Times New Roman"/>
          <w:sz w:val="20"/>
          <w:szCs w:val="20"/>
        </w:rPr>
        <w:t>Coasean provision affect</w:t>
      </w:r>
      <w:r>
        <w:rPr>
          <w:rFonts w:ascii="Times New Roman" w:hAnsi="Times New Roman" w:cs="Times New Roman"/>
          <w:sz w:val="20"/>
          <w:szCs w:val="20"/>
        </w:rPr>
        <w:t>s</w:t>
      </w:r>
      <w:r w:rsidRPr="004F3407">
        <w:rPr>
          <w:rFonts w:ascii="Times New Roman" w:hAnsi="Times New Roman" w:cs="Times New Roman"/>
          <w:sz w:val="20"/>
          <w:szCs w:val="20"/>
        </w:rPr>
        <w:t xml:space="preserve"> policy instrument choice. </w:t>
      </w:r>
      <w:r>
        <w:rPr>
          <w:rFonts w:ascii="Times New Roman" w:hAnsi="Times New Roman" w:cs="Times New Roman"/>
          <w:sz w:val="20"/>
          <w:szCs w:val="20"/>
        </w:rPr>
        <w:t xml:space="preserve">The underlying assumption is that </w:t>
      </w:r>
      <w:r w:rsidRPr="00D21341">
        <w:rPr>
          <w:rFonts w:ascii="Times New Roman" w:hAnsi="Times New Roman" w:cs="Times New Roman"/>
          <w:i/>
          <w:iCs/>
          <w:sz w:val="20"/>
          <w:szCs w:val="20"/>
        </w:rPr>
        <w:t>ex</w:t>
      </w:r>
      <w:r w:rsidR="004473EA">
        <w:rPr>
          <w:rFonts w:ascii="Times New Roman" w:hAnsi="Times New Roman" w:cs="Times New Roman"/>
          <w:i/>
          <w:iCs/>
          <w:sz w:val="20"/>
          <w:szCs w:val="20"/>
        </w:rPr>
        <w:t>-</w:t>
      </w:r>
      <w:r w:rsidRPr="00D21341">
        <w:rPr>
          <w:rFonts w:ascii="Times New Roman" w:hAnsi="Times New Roman" w:cs="Times New Roman"/>
          <w:i/>
          <w:iCs/>
          <w:sz w:val="20"/>
          <w:szCs w:val="20"/>
        </w:rPr>
        <w:t>ante</w:t>
      </w:r>
      <w:r>
        <w:rPr>
          <w:rFonts w:ascii="Times New Roman" w:hAnsi="Times New Roman" w:cs="Times New Roman"/>
          <w:sz w:val="20"/>
          <w:szCs w:val="20"/>
        </w:rPr>
        <w:t xml:space="preserve"> politicians and agency officials consider how regulatory stringency, costs and delivery would be affected.  There is no reference to legislative history to demonstrate such forward considerations.  They show </w:t>
      </w:r>
      <w:r w:rsidRPr="00D21341">
        <w:rPr>
          <w:rFonts w:ascii="Times New Roman" w:hAnsi="Times New Roman" w:cs="Times New Roman"/>
          <w:i/>
          <w:iCs/>
          <w:sz w:val="20"/>
          <w:szCs w:val="20"/>
        </w:rPr>
        <w:t>ex</w:t>
      </w:r>
      <w:r w:rsidR="004473EA">
        <w:rPr>
          <w:rFonts w:ascii="Times New Roman" w:hAnsi="Times New Roman" w:cs="Times New Roman"/>
          <w:i/>
          <w:iCs/>
          <w:sz w:val="20"/>
          <w:szCs w:val="20"/>
        </w:rPr>
        <w:t>-</w:t>
      </w:r>
      <w:r w:rsidRPr="00D21341">
        <w:rPr>
          <w:rFonts w:ascii="Times New Roman" w:hAnsi="Times New Roman" w:cs="Times New Roman"/>
          <w:i/>
          <w:iCs/>
          <w:sz w:val="20"/>
          <w:szCs w:val="20"/>
        </w:rPr>
        <w:t xml:space="preserve">post </w:t>
      </w:r>
      <w:r>
        <w:rPr>
          <w:rFonts w:ascii="Times New Roman" w:hAnsi="Times New Roman" w:cs="Times New Roman"/>
          <w:sz w:val="20"/>
          <w:szCs w:val="20"/>
        </w:rPr>
        <w:t xml:space="preserve">responses to policies with additional provisions that affect administration of the central policy. There is no </w:t>
      </w:r>
      <w:r w:rsidR="009E4F50">
        <w:rPr>
          <w:rFonts w:ascii="Times New Roman" w:hAnsi="Times New Roman" w:cs="Times New Roman"/>
          <w:sz w:val="20"/>
          <w:szCs w:val="20"/>
        </w:rPr>
        <w:t>p</w:t>
      </w:r>
      <w:r>
        <w:rPr>
          <w:rFonts w:ascii="Times New Roman" w:hAnsi="Times New Roman" w:cs="Times New Roman"/>
          <w:sz w:val="20"/>
          <w:szCs w:val="20"/>
        </w:rPr>
        <w:t xml:space="preserve">ublic </w:t>
      </w:r>
      <w:r w:rsidR="009E4F50">
        <w:rPr>
          <w:rFonts w:ascii="Times New Roman" w:hAnsi="Times New Roman" w:cs="Times New Roman"/>
          <w:sz w:val="20"/>
          <w:szCs w:val="20"/>
        </w:rPr>
        <w:t>c</w:t>
      </w:r>
      <w:r>
        <w:rPr>
          <w:rFonts w:ascii="Times New Roman" w:hAnsi="Times New Roman" w:cs="Times New Roman"/>
          <w:sz w:val="20"/>
          <w:szCs w:val="20"/>
        </w:rPr>
        <w:t xml:space="preserve">hoice analysis of political incentives in initial policy development. </w:t>
      </w:r>
    </w:p>
  </w:footnote>
  <w:footnote w:id="28">
    <w:p w14:paraId="7737BB4D" w14:textId="718CB45D" w:rsidR="00F35E36" w:rsidRDefault="00F35E36" w:rsidP="00686442">
      <w:pPr>
        <w:spacing w:after="0" w:line="240" w:lineRule="auto"/>
      </w:pPr>
      <w:r>
        <w:rPr>
          <w:rStyle w:val="FootnoteReference"/>
        </w:rPr>
        <w:footnoteRef/>
      </w:r>
      <w:r>
        <w:t xml:space="preserve"> </w:t>
      </w:r>
      <w:r w:rsidRPr="005C329C">
        <w:rPr>
          <w:rFonts w:ascii="Times New Roman" w:hAnsi="Times New Roman" w:cs="Times New Roman"/>
          <w:color w:val="000000" w:themeColor="text1"/>
          <w:kern w:val="24"/>
          <w:sz w:val="20"/>
          <w:szCs w:val="20"/>
        </w:rPr>
        <w:t xml:space="preserve">Coase, R.H. (1960). The problem of social cost. </w:t>
      </w:r>
      <w:r>
        <w:rPr>
          <w:rFonts w:ascii="Times New Roman" w:hAnsi="Times New Roman" w:cs="Times New Roman"/>
          <w:i/>
          <w:iCs/>
          <w:color w:val="000000" w:themeColor="text1"/>
          <w:kern w:val="24"/>
          <w:sz w:val="20"/>
          <w:szCs w:val="20"/>
        </w:rPr>
        <w:t>The J</w:t>
      </w:r>
      <w:r w:rsidRPr="005C329C">
        <w:rPr>
          <w:rFonts w:ascii="Times New Roman" w:hAnsi="Times New Roman" w:cs="Times New Roman"/>
          <w:i/>
          <w:iCs/>
          <w:color w:val="000000" w:themeColor="text1"/>
          <w:kern w:val="24"/>
          <w:sz w:val="20"/>
          <w:szCs w:val="20"/>
        </w:rPr>
        <w:t>ournal of Law and Economics</w:t>
      </w:r>
      <w:r w:rsidRPr="005C329C">
        <w:rPr>
          <w:rFonts w:ascii="Times New Roman" w:hAnsi="Times New Roman" w:cs="Times New Roman"/>
          <w:color w:val="000000" w:themeColor="text1"/>
          <w:kern w:val="24"/>
          <w:sz w:val="20"/>
          <w:szCs w:val="20"/>
        </w:rPr>
        <w:t xml:space="preserve"> 3: 1–44; </w:t>
      </w:r>
      <w:r w:rsidRPr="007C629F">
        <w:rPr>
          <w:rFonts w:ascii="Times New Roman" w:hAnsi="Times New Roman" w:cs="Times New Roman"/>
          <w:color w:val="000000" w:themeColor="text1"/>
          <w:kern w:val="24"/>
          <w:sz w:val="20"/>
          <w:szCs w:val="20"/>
        </w:rPr>
        <w:t xml:space="preserve">Demsetz, H. (1964). </w:t>
      </w:r>
      <w:r w:rsidRPr="005C329C">
        <w:rPr>
          <w:rFonts w:ascii="Times New Roman" w:hAnsi="Times New Roman" w:cs="Times New Roman"/>
          <w:color w:val="000000" w:themeColor="text1"/>
          <w:kern w:val="24"/>
          <w:sz w:val="20"/>
          <w:szCs w:val="20"/>
        </w:rPr>
        <w:t xml:space="preserve">The exchange and enforcement of property rights. </w:t>
      </w:r>
      <w:r w:rsidRPr="005C329C">
        <w:rPr>
          <w:rFonts w:ascii="Times New Roman" w:hAnsi="Times New Roman" w:cs="Times New Roman"/>
          <w:i/>
          <w:iCs/>
          <w:color w:val="000000" w:themeColor="text1"/>
          <w:kern w:val="24"/>
          <w:sz w:val="20"/>
          <w:szCs w:val="20"/>
        </w:rPr>
        <w:t>The Journal of Law and Economics</w:t>
      </w:r>
      <w:r w:rsidRPr="005C329C">
        <w:rPr>
          <w:rFonts w:ascii="Times New Roman" w:hAnsi="Times New Roman" w:cs="Times New Roman"/>
          <w:color w:val="000000" w:themeColor="text1"/>
          <w:kern w:val="24"/>
          <w:sz w:val="20"/>
          <w:szCs w:val="20"/>
        </w:rPr>
        <w:t>, 7: 11-16</w:t>
      </w:r>
      <w:r>
        <w:rPr>
          <w:rFonts w:ascii="Times New Roman" w:hAnsi="Times New Roman" w:cs="Times New Roman"/>
          <w:color w:val="000000" w:themeColor="text1"/>
          <w:kern w:val="24"/>
          <w:sz w:val="20"/>
          <w:szCs w:val="20"/>
        </w:rPr>
        <w:t>.</w:t>
      </w:r>
    </w:p>
  </w:footnote>
  <w:footnote w:id="29">
    <w:p w14:paraId="7A6A741B" w14:textId="3074FA77" w:rsidR="009E2F93" w:rsidRPr="006C5131" w:rsidRDefault="009E2F93">
      <w:pPr>
        <w:pStyle w:val="FootnoteText"/>
        <w:rPr>
          <w:rFonts w:ascii="Times New Roman" w:hAnsi="Times New Roman" w:cs="Times New Roman"/>
        </w:rPr>
      </w:pPr>
      <w:r w:rsidRPr="0067131D">
        <w:rPr>
          <w:rStyle w:val="FootnoteReference"/>
          <w:rFonts w:ascii="Times New Roman" w:hAnsi="Times New Roman" w:cs="Times New Roman"/>
        </w:rPr>
        <w:footnoteRef/>
      </w:r>
      <w:r w:rsidRPr="0067131D">
        <w:rPr>
          <w:rFonts w:ascii="Times New Roman" w:hAnsi="Times New Roman" w:cs="Times New Roman"/>
        </w:rPr>
        <w:t xml:space="preserve"> </w:t>
      </w:r>
      <w:r w:rsidR="006C5131" w:rsidRPr="006C5131">
        <w:rPr>
          <w:rFonts w:ascii="Times New Roman" w:eastAsia="Calibri" w:hAnsi="Times New Roman" w:cs="Times New Roman"/>
          <w:kern w:val="0"/>
          <w14:ligatures w14:val="none"/>
        </w:rPr>
        <w:t xml:space="preserve">Tullock, </w:t>
      </w:r>
      <w:r w:rsidR="006C5131">
        <w:rPr>
          <w:rFonts w:ascii="Times New Roman" w:eastAsia="Calibri" w:hAnsi="Times New Roman" w:cs="Times New Roman"/>
          <w:kern w:val="0"/>
          <w14:ligatures w14:val="none"/>
        </w:rPr>
        <w:t>G. (</w:t>
      </w:r>
      <w:r w:rsidR="006C5131" w:rsidRPr="006C5131">
        <w:rPr>
          <w:rFonts w:ascii="Times New Roman" w:eastAsia="Calibri" w:hAnsi="Times New Roman" w:cs="Times New Roman"/>
          <w:kern w:val="0"/>
          <w14:ligatures w14:val="none"/>
        </w:rPr>
        <w:t>1967</w:t>
      </w:r>
      <w:r w:rsidR="006C5131">
        <w:rPr>
          <w:rFonts w:ascii="Times New Roman" w:eastAsia="Calibri" w:hAnsi="Times New Roman" w:cs="Times New Roman"/>
          <w:kern w:val="0"/>
          <w14:ligatures w14:val="none"/>
        </w:rPr>
        <w:t xml:space="preserve">). </w:t>
      </w:r>
      <w:r w:rsidR="006C5131" w:rsidRPr="006C5131">
        <w:rPr>
          <w:rFonts w:ascii="Times New Roman" w:eastAsia="Calibri" w:hAnsi="Times New Roman" w:cs="Times New Roman"/>
          <w:kern w:val="0"/>
          <w14:ligatures w14:val="none"/>
        </w:rPr>
        <w:t xml:space="preserve">The </w:t>
      </w:r>
      <w:r w:rsidR="00CC3913">
        <w:rPr>
          <w:rFonts w:ascii="Times New Roman" w:eastAsia="Calibri" w:hAnsi="Times New Roman" w:cs="Times New Roman"/>
          <w:kern w:val="0"/>
          <w14:ligatures w14:val="none"/>
        </w:rPr>
        <w:t>w</w:t>
      </w:r>
      <w:r w:rsidR="006C5131" w:rsidRPr="006C5131">
        <w:rPr>
          <w:rFonts w:ascii="Times New Roman" w:eastAsia="Calibri" w:hAnsi="Times New Roman" w:cs="Times New Roman"/>
          <w:kern w:val="0"/>
          <w14:ligatures w14:val="none"/>
        </w:rPr>
        <w:t xml:space="preserve">elfare </w:t>
      </w:r>
      <w:r w:rsidR="00CC3913">
        <w:rPr>
          <w:rFonts w:ascii="Times New Roman" w:eastAsia="Calibri" w:hAnsi="Times New Roman" w:cs="Times New Roman"/>
          <w:kern w:val="0"/>
          <w14:ligatures w14:val="none"/>
        </w:rPr>
        <w:t>c</w:t>
      </w:r>
      <w:r w:rsidR="006C5131" w:rsidRPr="006C5131">
        <w:rPr>
          <w:rFonts w:ascii="Times New Roman" w:eastAsia="Calibri" w:hAnsi="Times New Roman" w:cs="Times New Roman"/>
          <w:kern w:val="0"/>
          <w14:ligatures w14:val="none"/>
        </w:rPr>
        <w:t xml:space="preserve">osts of </w:t>
      </w:r>
      <w:r w:rsidR="00CC3913">
        <w:rPr>
          <w:rFonts w:ascii="Times New Roman" w:eastAsia="Calibri" w:hAnsi="Times New Roman" w:cs="Times New Roman"/>
          <w:kern w:val="0"/>
          <w14:ligatures w14:val="none"/>
        </w:rPr>
        <w:t>t</w:t>
      </w:r>
      <w:r w:rsidR="006C5131" w:rsidRPr="006C5131">
        <w:rPr>
          <w:rFonts w:ascii="Times New Roman" w:eastAsia="Calibri" w:hAnsi="Times New Roman" w:cs="Times New Roman"/>
          <w:kern w:val="0"/>
          <w14:ligatures w14:val="none"/>
        </w:rPr>
        <w:t xml:space="preserve">ariffs, </w:t>
      </w:r>
      <w:r w:rsidR="00CC3913">
        <w:rPr>
          <w:rFonts w:ascii="Times New Roman" w:eastAsia="Calibri" w:hAnsi="Times New Roman" w:cs="Times New Roman"/>
          <w:kern w:val="0"/>
          <w14:ligatures w14:val="none"/>
        </w:rPr>
        <w:t>m</w:t>
      </w:r>
      <w:r w:rsidR="006C5131" w:rsidRPr="006C5131">
        <w:rPr>
          <w:rFonts w:ascii="Times New Roman" w:eastAsia="Calibri" w:hAnsi="Times New Roman" w:cs="Times New Roman"/>
          <w:kern w:val="0"/>
          <w14:ligatures w14:val="none"/>
        </w:rPr>
        <w:t xml:space="preserve">onopolies, and </w:t>
      </w:r>
      <w:r w:rsidR="00CC3913">
        <w:rPr>
          <w:rFonts w:ascii="Times New Roman" w:eastAsia="Calibri" w:hAnsi="Times New Roman" w:cs="Times New Roman"/>
          <w:kern w:val="0"/>
          <w14:ligatures w14:val="none"/>
        </w:rPr>
        <w:t>t</w:t>
      </w:r>
      <w:r w:rsidR="006C5131" w:rsidRPr="006C5131">
        <w:rPr>
          <w:rFonts w:ascii="Times New Roman" w:eastAsia="Calibri" w:hAnsi="Times New Roman" w:cs="Times New Roman"/>
          <w:kern w:val="0"/>
          <w14:ligatures w14:val="none"/>
        </w:rPr>
        <w:t xml:space="preserve">heft. </w:t>
      </w:r>
      <w:r w:rsidR="006C5131" w:rsidRPr="006C5131">
        <w:rPr>
          <w:rFonts w:ascii="Times New Roman" w:eastAsia="Calibri" w:hAnsi="Times New Roman" w:cs="Times New Roman"/>
          <w:i/>
          <w:iCs/>
          <w:kern w:val="0"/>
          <w14:ligatures w14:val="none"/>
        </w:rPr>
        <w:t>Western Economic Journal</w:t>
      </w:r>
      <w:r w:rsidR="006C5131" w:rsidRPr="006C5131">
        <w:rPr>
          <w:rFonts w:ascii="Times New Roman" w:eastAsia="Calibri" w:hAnsi="Times New Roman" w:cs="Times New Roman"/>
          <w:kern w:val="0"/>
          <w14:ligatures w14:val="none"/>
        </w:rPr>
        <w:t xml:space="preserve"> </w:t>
      </w:r>
      <w:r w:rsidR="000E566F" w:rsidRPr="000E566F">
        <w:rPr>
          <w:rFonts w:ascii="Times New Roman" w:eastAsia="Times New Roman" w:hAnsi="Times New Roman" w:cs="Times New Roman"/>
          <w:b/>
          <w:bCs/>
          <w:color w:val="202122"/>
          <w:kern w:val="0"/>
          <w14:ligatures w14:val="none"/>
        </w:rPr>
        <w:t>5</w:t>
      </w:r>
      <w:r w:rsidR="000E566F" w:rsidRPr="000E566F">
        <w:rPr>
          <w:rFonts w:ascii="Times New Roman" w:eastAsia="Times New Roman" w:hAnsi="Times New Roman" w:cs="Times New Roman"/>
          <w:color w:val="202122"/>
          <w:kern w:val="0"/>
          <w14:ligatures w14:val="none"/>
        </w:rPr>
        <w:t xml:space="preserve">: 224–232; </w:t>
      </w:r>
      <w:r w:rsidR="000E566F" w:rsidRPr="000E566F">
        <w:rPr>
          <w:rFonts w:ascii="Times New Roman" w:eastAsia="Calibri" w:hAnsi="Times New Roman" w:cs="Times New Roman"/>
          <w:kern w:val="0"/>
          <w14:ligatures w14:val="none"/>
        </w:rPr>
        <w:t>(2005</w:t>
      </w:r>
      <w:r w:rsidR="000E566F" w:rsidRPr="000E566F">
        <w:rPr>
          <w:rFonts w:ascii="Times New Roman" w:eastAsia="Calibri" w:hAnsi="Times New Roman" w:cs="Times New Roman"/>
          <w:i/>
          <w:iCs/>
          <w:kern w:val="0"/>
          <w14:ligatures w14:val="none"/>
        </w:rPr>
        <w:t>) The Rent Seeking Society</w:t>
      </w:r>
      <w:r w:rsidR="000E566F" w:rsidRPr="000E566F">
        <w:rPr>
          <w:rFonts w:ascii="Times New Roman" w:eastAsia="Calibri" w:hAnsi="Times New Roman" w:cs="Times New Roman"/>
          <w:kern w:val="0"/>
          <w14:ligatures w14:val="none"/>
        </w:rPr>
        <w:t xml:space="preserve">; Krueger, A.O. (1974) The </w:t>
      </w:r>
      <w:r w:rsidR="00CC3913">
        <w:rPr>
          <w:rFonts w:ascii="Times New Roman" w:eastAsia="Calibri" w:hAnsi="Times New Roman" w:cs="Times New Roman"/>
          <w:kern w:val="0"/>
          <w14:ligatures w14:val="none"/>
        </w:rPr>
        <w:t>p</w:t>
      </w:r>
      <w:r w:rsidR="000E566F" w:rsidRPr="000E566F">
        <w:rPr>
          <w:rFonts w:ascii="Times New Roman" w:eastAsia="Calibri" w:hAnsi="Times New Roman" w:cs="Times New Roman"/>
          <w:kern w:val="0"/>
          <w14:ligatures w14:val="none"/>
        </w:rPr>
        <w:t xml:space="preserve">olitical </w:t>
      </w:r>
      <w:r w:rsidR="00CC3913">
        <w:rPr>
          <w:rFonts w:ascii="Times New Roman" w:eastAsia="Calibri" w:hAnsi="Times New Roman" w:cs="Times New Roman"/>
          <w:kern w:val="0"/>
          <w14:ligatures w14:val="none"/>
        </w:rPr>
        <w:t>e</w:t>
      </w:r>
      <w:r w:rsidR="000E566F" w:rsidRPr="000E566F">
        <w:rPr>
          <w:rFonts w:ascii="Times New Roman" w:eastAsia="Calibri" w:hAnsi="Times New Roman" w:cs="Times New Roman"/>
          <w:kern w:val="0"/>
          <w14:ligatures w14:val="none"/>
        </w:rPr>
        <w:t xml:space="preserve">conomy of the </w:t>
      </w:r>
      <w:r w:rsidR="00CC3913">
        <w:rPr>
          <w:rFonts w:ascii="Times New Roman" w:eastAsia="Calibri" w:hAnsi="Times New Roman" w:cs="Times New Roman"/>
          <w:kern w:val="0"/>
          <w14:ligatures w14:val="none"/>
        </w:rPr>
        <w:t>r</w:t>
      </w:r>
      <w:r w:rsidR="000E566F" w:rsidRPr="000E566F">
        <w:rPr>
          <w:rFonts w:ascii="Times New Roman" w:eastAsia="Calibri" w:hAnsi="Times New Roman" w:cs="Times New Roman"/>
          <w:kern w:val="0"/>
          <w14:ligatures w14:val="none"/>
        </w:rPr>
        <w:t>ent-</w:t>
      </w:r>
      <w:r w:rsidR="00CC3913">
        <w:rPr>
          <w:rFonts w:ascii="Times New Roman" w:eastAsia="Calibri" w:hAnsi="Times New Roman" w:cs="Times New Roman"/>
          <w:kern w:val="0"/>
          <w14:ligatures w14:val="none"/>
        </w:rPr>
        <w:t>s</w:t>
      </w:r>
      <w:r w:rsidR="000E566F" w:rsidRPr="000E566F">
        <w:rPr>
          <w:rFonts w:ascii="Times New Roman" w:eastAsia="Calibri" w:hAnsi="Times New Roman" w:cs="Times New Roman"/>
          <w:kern w:val="0"/>
          <w14:ligatures w14:val="none"/>
        </w:rPr>
        <w:t xml:space="preserve">eeking </w:t>
      </w:r>
      <w:r w:rsidR="00CC3913">
        <w:rPr>
          <w:rFonts w:ascii="Times New Roman" w:eastAsia="Calibri" w:hAnsi="Times New Roman" w:cs="Times New Roman"/>
          <w:kern w:val="0"/>
          <w14:ligatures w14:val="none"/>
        </w:rPr>
        <w:t>s</w:t>
      </w:r>
      <w:r w:rsidR="000E566F" w:rsidRPr="000E566F">
        <w:rPr>
          <w:rFonts w:ascii="Times New Roman" w:eastAsia="Calibri" w:hAnsi="Times New Roman" w:cs="Times New Roman"/>
          <w:kern w:val="0"/>
          <w14:ligatures w14:val="none"/>
        </w:rPr>
        <w:t xml:space="preserve">ociety, </w:t>
      </w:r>
      <w:r w:rsidR="000E566F" w:rsidRPr="000E566F">
        <w:rPr>
          <w:rFonts w:ascii="Times New Roman" w:eastAsia="Calibri" w:hAnsi="Times New Roman" w:cs="Times New Roman"/>
          <w:i/>
          <w:iCs/>
          <w:kern w:val="0"/>
          <w14:ligatures w14:val="none"/>
        </w:rPr>
        <w:t>American Economic Review</w:t>
      </w:r>
      <w:r w:rsidR="000E566F" w:rsidRPr="000E566F">
        <w:rPr>
          <w:rFonts w:ascii="Times New Roman" w:eastAsia="Calibri" w:hAnsi="Times New Roman" w:cs="Times New Roman"/>
          <w:kern w:val="0"/>
          <w14:ligatures w14:val="none"/>
        </w:rPr>
        <w:t>, 64 (3): 291-303.</w:t>
      </w:r>
    </w:p>
  </w:footnote>
  <w:footnote w:id="30">
    <w:p w14:paraId="25F2A857" w14:textId="370213FB" w:rsidR="005C06F1" w:rsidRDefault="005C06F1" w:rsidP="005C06F1">
      <w:pPr>
        <w:spacing w:after="0" w:line="240" w:lineRule="auto"/>
      </w:pPr>
      <w:r w:rsidRPr="005C329C">
        <w:rPr>
          <w:rStyle w:val="FootnoteReference"/>
          <w:rFonts w:ascii="Times New Roman" w:hAnsi="Times New Roman" w:cs="Times New Roman"/>
          <w:sz w:val="20"/>
          <w:szCs w:val="20"/>
        </w:rPr>
        <w:footnoteRef/>
      </w:r>
      <w:r w:rsidRPr="005C329C">
        <w:rPr>
          <w:rFonts w:ascii="Times New Roman" w:hAnsi="Times New Roman" w:cs="Times New Roman"/>
          <w:sz w:val="20"/>
          <w:szCs w:val="20"/>
        </w:rPr>
        <w:t xml:space="preserve"> </w:t>
      </w:r>
      <w:r w:rsidRPr="003A1465">
        <w:rPr>
          <w:rFonts w:ascii="Times New Roman" w:hAnsi="Times New Roman" w:cs="Times New Roman"/>
          <w:sz w:val="20"/>
          <w:szCs w:val="20"/>
          <w:shd w:val="clear" w:color="auto" w:fill="FFFFFF"/>
        </w:rPr>
        <w:t>Demsetz, H</w:t>
      </w:r>
      <w:r>
        <w:rPr>
          <w:rFonts w:ascii="Times New Roman" w:hAnsi="Times New Roman" w:cs="Times New Roman"/>
          <w:sz w:val="20"/>
          <w:szCs w:val="20"/>
          <w:shd w:val="clear" w:color="auto" w:fill="FFFFFF"/>
        </w:rPr>
        <w:t>.</w:t>
      </w:r>
      <w:r w:rsidRPr="003A1465">
        <w:rPr>
          <w:rFonts w:ascii="Times New Roman" w:hAnsi="Times New Roman" w:cs="Times New Roman"/>
          <w:sz w:val="20"/>
          <w:szCs w:val="20"/>
          <w:shd w:val="clear" w:color="auto" w:fill="FFFFFF"/>
        </w:rPr>
        <w:t xml:space="preserve"> (1969). Information and </w:t>
      </w:r>
      <w:r w:rsidR="009644A2">
        <w:rPr>
          <w:rFonts w:ascii="Times New Roman" w:hAnsi="Times New Roman" w:cs="Times New Roman"/>
          <w:sz w:val="20"/>
          <w:szCs w:val="20"/>
          <w:shd w:val="clear" w:color="auto" w:fill="FFFFFF"/>
        </w:rPr>
        <w:t>e</w:t>
      </w:r>
      <w:r w:rsidRPr="003A1465">
        <w:rPr>
          <w:rFonts w:ascii="Times New Roman" w:hAnsi="Times New Roman" w:cs="Times New Roman"/>
          <w:sz w:val="20"/>
          <w:szCs w:val="20"/>
          <w:shd w:val="clear" w:color="auto" w:fill="FFFFFF"/>
        </w:rPr>
        <w:t xml:space="preserve">fficiency: Another </w:t>
      </w:r>
      <w:r w:rsidR="009644A2">
        <w:rPr>
          <w:rFonts w:ascii="Times New Roman" w:hAnsi="Times New Roman" w:cs="Times New Roman"/>
          <w:sz w:val="20"/>
          <w:szCs w:val="20"/>
          <w:shd w:val="clear" w:color="auto" w:fill="FFFFFF"/>
        </w:rPr>
        <w:t>v</w:t>
      </w:r>
      <w:r w:rsidRPr="003A1465">
        <w:rPr>
          <w:rFonts w:ascii="Times New Roman" w:hAnsi="Times New Roman" w:cs="Times New Roman"/>
          <w:sz w:val="20"/>
          <w:szCs w:val="20"/>
          <w:shd w:val="clear" w:color="auto" w:fill="FFFFFF"/>
        </w:rPr>
        <w:t>iewpoint. </w:t>
      </w:r>
      <w:r w:rsidRPr="003A1465">
        <w:rPr>
          <w:rFonts w:ascii="Times New Roman" w:hAnsi="Times New Roman" w:cs="Times New Roman"/>
          <w:i/>
          <w:iCs/>
          <w:sz w:val="20"/>
          <w:szCs w:val="20"/>
          <w:shd w:val="clear" w:color="auto" w:fill="FFFFFF"/>
        </w:rPr>
        <w:t>The Journal of Law &amp; Economics</w:t>
      </w:r>
      <w:r w:rsidRPr="003A1465">
        <w:rPr>
          <w:rFonts w:ascii="Times New Roman" w:hAnsi="Times New Roman" w:cs="Times New Roman"/>
          <w:sz w:val="20"/>
          <w:szCs w:val="20"/>
          <w:shd w:val="clear" w:color="auto" w:fill="FFFFFF"/>
        </w:rPr>
        <w:t>. </w:t>
      </w:r>
      <w:r w:rsidRPr="003A1465">
        <w:rPr>
          <w:rFonts w:ascii="Times New Roman" w:hAnsi="Times New Roman" w:cs="Times New Roman"/>
          <w:b/>
          <w:bCs/>
          <w:sz w:val="20"/>
          <w:szCs w:val="20"/>
          <w:shd w:val="clear" w:color="auto" w:fill="FFFFFF"/>
        </w:rPr>
        <w:t>12</w:t>
      </w:r>
      <w:r w:rsidRPr="003A1465">
        <w:rPr>
          <w:rFonts w:ascii="Times New Roman" w:hAnsi="Times New Roman" w:cs="Times New Roman"/>
          <w:sz w:val="20"/>
          <w:szCs w:val="20"/>
          <w:shd w:val="clear" w:color="auto" w:fill="FFFFFF"/>
        </w:rPr>
        <w:t> (1): 1–22</w:t>
      </w:r>
      <w:r w:rsidR="001561CE">
        <w:rPr>
          <w:rFonts w:ascii="Times New Roman" w:hAnsi="Times New Roman" w:cs="Times New Roman"/>
          <w:sz w:val="20"/>
          <w:szCs w:val="20"/>
          <w:shd w:val="clear" w:color="auto" w:fill="FFFFFF"/>
        </w:rPr>
        <w:t xml:space="preserve">; </w:t>
      </w:r>
      <w:r w:rsidRPr="003A1465">
        <w:rPr>
          <w:rFonts w:ascii="Times New Roman" w:hAnsi="Times New Roman" w:cs="Times New Roman"/>
          <w:sz w:val="20"/>
          <w:szCs w:val="20"/>
        </w:rPr>
        <w:t>(1988)</w:t>
      </w:r>
      <w:r w:rsidR="001561CE">
        <w:rPr>
          <w:rFonts w:ascii="Times New Roman" w:hAnsi="Times New Roman" w:cs="Times New Roman"/>
          <w:sz w:val="20"/>
          <w:szCs w:val="20"/>
        </w:rPr>
        <w:t>.</w:t>
      </w:r>
      <w:r w:rsidRPr="003A1465">
        <w:rPr>
          <w:rFonts w:ascii="Times New Roman" w:hAnsi="Times New Roman" w:cs="Times New Roman"/>
          <w:sz w:val="20"/>
          <w:szCs w:val="20"/>
        </w:rPr>
        <w:t xml:space="preserve"> The </w:t>
      </w:r>
      <w:r w:rsidR="009644A2">
        <w:rPr>
          <w:rFonts w:ascii="Times New Roman" w:hAnsi="Times New Roman" w:cs="Times New Roman"/>
          <w:sz w:val="20"/>
          <w:szCs w:val="20"/>
        </w:rPr>
        <w:t>t</w:t>
      </w:r>
      <w:r w:rsidRPr="003A1465">
        <w:rPr>
          <w:rFonts w:ascii="Times New Roman" w:hAnsi="Times New Roman" w:cs="Times New Roman"/>
          <w:sz w:val="20"/>
          <w:szCs w:val="20"/>
        </w:rPr>
        <w:t xml:space="preserve">heory of the </w:t>
      </w:r>
      <w:r w:rsidR="009644A2">
        <w:rPr>
          <w:rFonts w:ascii="Times New Roman" w:hAnsi="Times New Roman" w:cs="Times New Roman"/>
          <w:sz w:val="20"/>
          <w:szCs w:val="20"/>
        </w:rPr>
        <w:t>f</w:t>
      </w:r>
      <w:r w:rsidRPr="003A1465">
        <w:rPr>
          <w:rFonts w:ascii="Times New Roman" w:hAnsi="Times New Roman" w:cs="Times New Roman"/>
          <w:sz w:val="20"/>
          <w:szCs w:val="20"/>
        </w:rPr>
        <w:t xml:space="preserve">irm </w:t>
      </w:r>
      <w:r w:rsidR="009644A2">
        <w:rPr>
          <w:rFonts w:ascii="Times New Roman" w:hAnsi="Times New Roman" w:cs="Times New Roman"/>
          <w:sz w:val="20"/>
          <w:szCs w:val="20"/>
        </w:rPr>
        <w:t>r</w:t>
      </w:r>
      <w:r w:rsidRPr="003A1465">
        <w:rPr>
          <w:rFonts w:ascii="Times New Roman" w:hAnsi="Times New Roman" w:cs="Times New Roman"/>
          <w:sz w:val="20"/>
          <w:szCs w:val="20"/>
        </w:rPr>
        <w:t>evisited</w:t>
      </w:r>
      <w:r>
        <w:rPr>
          <w:rFonts w:ascii="Times New Roman" w:hAnsi="Times New Roman" w:cs="Times New Roman"/>
          <w:sz w:val="20"/>
          <w:szCs w:val="20"/>
        </w:rPr>
        <w:t xml:space="preserve">, </w:t>
      </w:r>
      <w:r w:rsidRPr="001561CE">
        <w:rPr>
          <w:rFonts w:ascii="Times New Roman" w:hAnsi="Times New Roman" w:cs="Times New Roman"/>
          <w:i/>
          <w:iCs/>
          <w:sz w:val="20"/>
          <w:szCs w:val="20"/>
        </w:rPr>
        <w:t>The Journal of Law, Economics, and Organization</w:t>
      </w:r>
      <w:r w:rsidRPr="003A1465">
        <w:rPr>
          <w:rFonts w:ascii="Times New Roman" w:hAnsi="Times New Roman" w:cs="Times New Roman"/>
          <w:sz w:val="20"/>
          <w:szCs w:val="20"/>
        </w:rPr>
        <w:t>, 4</w:t>
      </w:r>
      <w:r>
        <w:rPr>
          <w:rFonts w:ascii="Times New Roman" w:hAnsi="Times New Roman" w:cs="Times New Roman"/>
          <w:sz w:val="20"/>
          <w:szCs w:val="20"/>
        </w:rPr>
        <w:t xml:space="preserve"> (</w:t>
      </w:r>
      <w:r w:rsidRPr="003A1465">
        <w:rPr>
          <w:rFonts w:ascii="Times New Roman" w:hAnsi="Times New Roman" w:cs="Times New Roman"/>
          <w:sz w:val="20"/>
          <w:szCs w:val="20"/>
        </w:rPr>
        <w:t>1</w:t>
      </w:r>
      <w:r>
        <w:rPr>
          <w:rFonts w:ascii="Times New Roman" w:hAnsi="Times New Roman" w:cs="Times New Roman"/>
          <w:sz w:val="20"/>
          <w:szCs w:val="20"/>
        </w:rPr>
        <w:t xml:space="preserve">): </w:t>
      </w:r>
      <w:r w:rsidRPr="003A1465">
        <w:rPr>
          <w:rFonts w:ascii="Times New Roman" w:hAnsi="Times New Roman" w:cs="Times New Roman"/>
          <w:sz w:val="20"/>
          <w:szCs w:val="20"/>
        </w:rPr>
        <w:t>141- 161</w:t>
      </w:r>
      <w:r>
        <w:rPr>
          <w:rFonts w:ascii="Times New Roman" w:hAnsi="Times New Roman" w:cs="Times New Roman"/>
          <w:sz w:val="20"/>
          <w:szCs w:val="20"/>
        </w:rPr>
        <w:t xml:space="preserve">; </w:t>
      </w:r>
      <w:r w:rsidRPr="005C329C">
        <w:rPr>
          <w:rFonts w:ascii="Times New Roman" w:hAnsi="Times New Roman" w:cs="Times New Roman"/>
          <w:color w:val="000000" w:themeColor="text1"/>
          <w:kern w:val="24"/>
          <w:sz w:val="20"/>
          <w:szCs w:val="20"/>
        </w:rPr>
        <w:t xml:space="preserve">Demsetz, H. (1967). Toward a theory of property rights. </w:t>
      </w:r>
      <w:r w:rsidRPr="005C329C">
        <w:rPr>
          <w:rFonts w:ascii="Times New Roman" w:hAnsi="Times New Roman" w:cs="Times New Roman"/>
          <w:i/>
          <w:iCs/>
          <w:color w:val="000000" w:themeColor="text1"/>
          <w:kern w:val="24"/>
          <w:sz w:val="20"/>
          <w:szCs w:val="20"/>
        </w:rPr>
        <w:t>The American Economic Review</w:t>
      </w:r>
      <w:r w:rsidRPr="005C329C">
        <w:rPr>
          <w:rFonts w:ascii="Times New Roman" w:hAnsi="Times New Roman" w:cs="Times New Roman"/>
          <w:color w:val="000000" w:themeColor="text1"/>
          <w:kern w:val="24"/>
          <w:sz w:val="20"/>
          <w:szCs w:val="20"/>
        </w:rPr>
        <w:t>, Papers and Proceedings, 57 (2): 347-359.</w:t>
      </w:r>
    </w:p>
  </w:footnote>
  <w:footnote w:id="31">
    <w:p w14:paraId="219D1AFA" w14:textId="0D737A41" w:rsidR="00814A5C" w:rsidRPr="00226FB0" w:rsidRDefault="00814A5C" w:rsidP="00814A5C">
      <w:pPr>
        <w:spacing w:after="0" w:line="240" w:lineRule="auto"/>
        <w:rPr>
          <w:rFonts w:ascii="Times New Roman" w:hAnsi="Times New Roman" w:cs="Times New Roman"/>
          <w:sz w:val="20"/>
          <w:szCs w:val="20"/>
        </w:rPr>
      </w:pPr>
      <w:r w:rsidRPr="002036F7">
        <w:rPr>
          <w:rStyle w:val="FootnoteReference"/>
          <w:rFonts w:ascii="Times New Roman" w:hAnsi="Times New Roman" w:cs="Times New Roman"/>
          <w:sz w:val="20"/>
          <w:szCs w:val="20"/>
        </w:rPr>
        <w:footnoteRef/>
      </w:r>
      <w:r w:rsidRPr="002036F7">
        <w:rPr>
          <w:rFonts w:ascii="Times New Roman" w:hAnsi="Times New Roman" w:cs="Times New Roman"/>
          <w:sz w:val="20"/>
          <w:szCs w:val="20"/>
        </w:rPr>
        <w:t xml:space="preserve"> </w:t>
      </w:r>
      <w:r w:rsidR="005A0D01">
        <w:rPr>
          <w:rFonts w:ascii="Times New Roman" w:hAnsi="Times New Roman" w:cs="Times New Roman"/>
          <w:sz w:val="20"/>
          <w:szCs w:val="20"/>
        </w:rPr>
        <w:t xml:space="preserve">The key attributes of economic property rights are outlined in </w:t>
      </w:r>
      <w:r w:rsidRPr="002036F7">
        <w:rPr>
          <w:rFonts w:ascii="Times New Roman" w:eastAsia="Times New Roman" w:hAnsi="Times New Roman" w:cs="Times New Roman"/>
          <w:color w:val="000000"/>
          <w:sz w:val="20"/>
          <w:szCs w:val="20"/>
        </w:rPr>
        <w:t xml:space="preserve">Arnason, R. (2012).  Property rights in fisheries: How much can individual transferable quotas accomplish? </w:t>
      </w:r>
      <w:r w:rsidRPr="002036F7">
        <w:rPr>
          <w:rFonts w:ascii="Times New Roman" w:eastAsia="Times New Roman" w:hAnsi="Times New Roman" w:cs="Times New Roman"/>
          <w:i/>
          <w:color w:val="000000"/>
          <w:sz w:val="20"/>
          <w:szCs w:val="20"/>
        </w:rPr>
        <w:t>Review of Environmental Economics and Policy.</w:t>
      </w:r>
      <w:r w:rsidRPr="002036F7">
        <w:rPr>
          <w:rFonts w:ascii="Times New Roman" w:eastAsia="Times New Roman" w:hAnsi="Times New Roman" w:cs="Times New Roman"/>
          <w:color w:val="000000"/>
          <w:sz w:val="20"/>
          <w:szCs w:val="20"/>
        </w:rPr>
        <w:t xml:space="preserve"> 6, 217–236; </w:t>
      </w:r>
      <w:r w:rsidRPr="002036F7">
        <w:rPr>
          <w:rFonts w:ascii="Times New Roman" w:hAnsi="Times New Roman" w:cs="Times New Roman"/>
          <w:sz w:val="20"/>
          <w:szCs w:val="20"/>
        </w:rPr>
        <w:t xml:space="preserve">Runolfsson, Birgir (2024) Measuring </w:t>
      </w:r>
      <w:r w:rsidR="003314B7">
        <w:rPr>
          <w:rFonts w:ascii="Times New Roman" w:hAnsi="Times New Roman" w:cs="Times New Roman"/>
          <w:sz w:val="20"/>
          <w:szCs w:val="20"/>
        </w:rPr>
        <w:t>q</w:t>
      </w:r>
      <w:r w:rsidRPr="002036F7">
        <w:rPr>
          <w:rFonts w:ascii="Times New Roman" w:hAnsi="Times New Roman" w:cs="Times New Roman"/>
          <w:sz w:val="20"/>
          <w:szCs w:val="20"/>
        </w:rPr>
        <w:t xml:space="preserve">uality of </w:t>
      </w:r>
      <w:r w:rsidR="003314B7">
        <w:rPr>
          <w:rFonts w:ascii="Times New Roman" w:hAnsi="Times New Roman" w:cs="Times New Roman"/>
          <w:sz w:val="20"/>
          <w:szCs w:val="20"/>
        </w:rPr>
        <w:t>p</w:t>
      </w:r>
      <w:r w:rsidRPr="002036F7">
        <w:rPr>
          <w:rFonts w:ascii="Times New Roman" w:hAnsi="Times New Roman" w:cs="Times New Roman"/>
          <w:sz w:val="20"/>
          <w:szCs w:val="20"/>
        </w:rPr>
        <w:t xml:space="preserve">roperty </w:t>
      </w:r>
      <w:r w:rsidR="003314B7">
        <w:rPr>
          <w:rFonts w:ascii="Times New Roman" w:hAnsi="Times New Roman" w:cs="Times New Roman"/>
          <w:sz w:val="20"/>
          <w:szCs w:val="20"/>
        </w:rPr>
        <w:t>r</w:t>
      </w:r>
      <w:r w:rsidRPr="00226FB0">
        <w:rPr>
          <w:rFonts w:ascii="Times New Roman" w:hAnsi="Times New Roman" w:cs="Times New Roman"/>
          <w:sz w:val="20"/>
          <w:szCs w:val="20"/>
        </w:rPr>
        <w:t xml:space="preserve">ights: Development of </w:t>
      </w:r>
      <w:r w:rsidR="003314B7">
        <w:rPr>
          <w:rFonts w:ascii="Times New Roman" w:hAnsi="Times New Roman" w:cs="Times New Roman"/>
          <w:sz w:val="20"/>
          <w:szCs w:val="20"/>
        </w:rPr>
        <w:t>u</w:t>
      </w:r>
      <w:r w:rsidRPr="00226FB0">
        <w:rPr>
          <w:rFonts w:ascii="Times New Roman" w:hAnsi="Times New Roman" w:cs="Times New Roman"/>
          <w:sz w:val="20"/>
          <w:szCs w:val="20"/>
        </w:rPr>
        <w:t xml:space="preserve">ser </w:t>
      </w:r>
      <w:r w:rsidR="005F5B8D">
        <w:rPr>
          <w:rFonts w:ascii="Times New Roman" w:hAnsi="Times New Roman" w:cs="Times New Roman"/>
          <w:sz w:val="20"/>
          <w:szCs w:val="20"/>
        </w:rPr>
        <w:t>r</w:t>
      </w:r>
      <w:r w:rsidRPr="00226FB0">
        <w:rPr>
          <w:rFonts w:ascii="Times New Roman" w:hAnsi="Times New Roman" w:cs="Times New Roman"/>
          <w:sz w:val="20"/>
          <w:szCs w:val="20"/>
        </w:rPr>
        <w:t xml:space="preserve">ights </w:t>
      </w:r>
      <w:r w:rsidR="005F5B8D">
        <w:rPr>
          <w:rFonts w:ascii="Times New Roman" w:hAnsi="Times New Roman" w:cs="Times New Roman"/>
          <w:sz w:val="20"/>
          <w:szCs w:val="20"/>
        </w:rPr>
        <w:t>q</w:t>
      </w:r>
      <w:r w:rsidRPr="00226FB0">
        <w:rPr>
          <w:rFonts w:ascii="Times New Roman" w:hAnsi="Times New Roman" w:cs="Times New Roman"/>
          <w:sz w:val="20"/>
          <w:szCs w:val="20"/>
        </w:rPr>
        <w:t xml:space="preserve">uality in the Icelandic </w:t>
      </w:r>
      <w:r w:rsidR="005F5B8D">
        <w:rPr>
          <w:rFonts w:ascii="Times New Roman" w:hAnsi="Times New Roman" w:cs="Times New Roman"/>
          <w:sz w:val="20"/>
          <w:szCs w:val="20"/>
        </w:rPr>
        <w:t>f</w:t>
      </w:r>
      <w:r w:rsidRPr="00226FB0">
        <w:rPr>
          <w:rFonts w:ascii="Times New Roman" w:hAnsi="Times New Roman" w:cs="Times New Roman"/>
          <w:sz w:val="20"/>
          <w:szCs w:val="20"/>
        </w:rPr>
        <w:t xml:space="preserve">isheries. </w:t>
      </w:r>
      <w:r w:rsidRPr="00B60430">
        <w:rPr>
          <w:rFonts w:ascii="Times New Roman" w:hAnsi="Times New Roman" w:cs="Times New Roman"/>
          <w:i/>
          <w:iCs/>
          <w:sz w:val="20"/>
          <w:szCs w:val="20"/>
        </w:rPr>
        <w:t>Marine Policy</w:t>
      </w:r>
      <w:r w:rsidRPr="00226FB0">
        <w:rPr>
          <w:rFonts w:ascii="Times New Roman" w:hAnsi="Times New Roman" w:cs="Times New Roman"/>
          <w:color w:val="1F1F1F"/>
          <w:sz w:val="20"/>
          <w:szCs w:val="20"/>
        </w:rPr>
        <w:t>, 160. February.</w:t>
      </w:r>
      <w:r w:rsidRPr="00226FB0">
        <w:rPr>
          <w:rFonts w:ascii="Times New Roman" w:hAnsi="Times New Roman" w:cs="Times New Roman"/>
          <w:sz w:val="20"/>
          <w:szCs w:val="20"/>
        </w:rPr>
        <w:t xml:space="preserve"> </w:t>
      </w:r>
    </w:p>
  </w:footnote>
  <w:footnote w:id="32">
    <w:p w14:paraId="13F64D12" w14:textId="4AF4CA28" w:rsidR="00814A5C" w:rsidRPr="00CE31EA" w:rsidRDefault="00814A5C" w:rsidP="00FF18CC">
      <w:pPr>
        <w:spacing w:after="0" w:line="240" w:lineRule="auto"/>
        <w:rPr>
          <w:rFonts w:ascii="Times New Roman" w:hAnsi="Times New Roman" w:cs="Times New Roman"/>
          <w:sz w:val="20"/>
          <w:szCs w:val="20"/>
        </w:rPr>
      </w:pPr>
      <w:r w:rsidRPr="00CE31EA">
        <w:rPr>
          <w:rStyle w:val="FootnoteReference"/>
          <w:rFonts w:ascii="Times New Roman" w:hAnsi="Times New Roman" w:cs="Times New Roman"/>
          <w:sz w:val="20"/>
          <w:szCs w:val="20"/>
        </w:rPr>
        <w:footnoteRef/>
      </w:r>
      <w:r w:rsidRPr="00CE31EA">
        <w:rPr>
          <w:rFonts w:ascii="Times New Roman" w:hAnsi="Times New Roman" w:cs="Times New Roman"/>
          <w:sz w:val="20"/>
          <w:szCs w:val="20"/>
        </w:rPr>
        <w:t xml:space="preserve"> </w:t>
      </w:r>
      <w:r w:rsidRPr="00CE31EA">
        <w:rPr>
          <w:rFonts w:ascii="Times New Roman" w:eastAsia="Times New Roman" w:hAnsi="Times New Roman" w:cs="Times New Roman"/>
          <w:color w:val="202122"/>
          <w:sz w:val="20"/>
          <w:szCs w:val="20"/>
        </w:rPr>
        <w:t xml:space="preserve">Merrill, T. W. and Smith, H.E. (2007). The </w:t>
      </w:r>
      <w:r w:rsidR="005F5B8D">
        <w:rPr>
          <w:rFonts w:ascii="Times New Roman" w:eastAsia="Times New Roman" w:hAnsi="Times New Roman" w:cs="Times New Roman"/>
          <w:color w:val="202122"/>
          <w:sz w:val="20"/>
          <w:szCs w:val="20"/>
        </w:rPr>
        <w:t>m</w:t>
      </w:r>
      <w:r w:rsidRPr="00CE31EA">
        <w:rPr>
          <w:rFonts w:ascii="Times New Roman" w:eastAsia="Times New Roman" w:hAnsi="Times New Roman" w:cs="Times New Roman"/>
          <w:color w:val="202122"/>
          <w:sz w:val="20"/>
          <w:szCs w:val="20"/>
        </w:rPr>
        <w:t xml:space="preserve">orality of </w:t>
      </w:r>
      <w:r w:rsidR="005F5B8D">
        <w:rPr>
          <w:rFonts w:ascii="Times New Roman" w:eastAsia="Times New Roman" w:hAnsi="Times New Roman" w:cs="Times New Roman"/>
          <w:color w:val="202122"/>
          <w:sz w:val="20"/>
          <w:szCs w:val="20"/>
        </w:rPr>
        <w:t>p</w:t>
      </w:r>
      <w:r w:rsidRPr="00CE31EA">
        <w:rPr>
          <w:rFonts w:ascii="Times New Roman" w:eastAsia="Times New Roman" w:hAnsi="Times New Roman" w:cs="Times New Roman"/>
          <w:color w:val="202122"/>
          <w:sz w:val="20"/>
          <w:szCs w:val="20"/>
        </w:rPr>
        <w:t xml:space="preserve">roperty. </w:t>
      </w:r>
      <w:r w:rsidR="003E5514">
        <w:rPr>
          <w:rFonts w:ascii="Times New Roman" w:hAnsi="Times New Roman" w:cs="Times New Roman"/>
          <w:i/>
          <w:iCs/>
          <w:sz w:val="20"/>
          <w:szCs w:val="20"/>
        </w:rPr>
        <w:t xml:space="preserve">William and Mary Law Review </w:t>
      </w:r>
      <w:r w:rsidR="003E5514">
        <w:rPr>
          <w:rFonts w:ascii="Times New Roman" w:hAnsi="Times New Roman" w:cs="Times New Roman"/>
          <w:sz w:val="20"/>
          <w:szCs w:val="20"/>
        </w:rPr>
        <w:t xml:space="preserve">48: </w:t>
      </w:r>
      <w:r w:rsidRPr="00CE31EA">
        <w:rPr>
          <w:rFonts w:ascii="Times New Roman" w:hAnsi="Times New Roman" w:cs="Times New Roman"/>
          <w:sz w:val="20"/>
          <w:szCs w:val="20"/>
        </w:rPr>
        <w:t xml:space="preserve">1849; </w:t>
      </w:r>
      <w:r w:rsidRPr="00CE31EA">
        <w:rPr>
          <w:rFonts w:ascii="Times New Roman" w:eastAsia="Times New Roman" w:hAnsi="Times New Roman" w:cs="Times New Roman"/>
          <w:color w:val="000000"/>
          <w:sz w:val="20"/>
          <w:szCs w:val="20"/>
        </w:rPr>
        <w:t xml:space="preserve">Wilson, B.J. (2020). </w:t>
      </w:r>
      <w:r w:rsidRPr="00CE31EA">
        <w:rPr>
          <w:rFonts w:ascii="Times New Roman" w:eastAsia="Times New Roman" w:hAnsi="Times New Roman" w:cs="Times New Roman"/>
          <w:i/>
          <w:color w:val="000000"/>
          <w:sz w:val="20"/>
          <w:szCs w:val="20"/>
        </w:rPr>
        <w:t>The property species: Mine, yours, and the human mind</w:t>
      </w:r>
      <w:r w:rsidRPr="00CE31EA">
        <w:rPr>
          <w:rFonts w:ascii="Times New Roman" w:eastAsia="Times New Roman" w:hAnsi="Times New Roman" w:cs="Times New Roman"/>
          <w:color w:val="000000"/>
          <w:sz w:val="20"/>
          <w:szCs w:val="20"/>
        </w:rPr>
        <w:t>. 15.</w:t>
      </w:r>
      <w:r w:rsidR="00FF18CC">
        <w:rPr>
          <w:rFonts w:ascii="Times New Roman" w:eastAsia="Times New Roman" w:hAnsi="Times New Roman" w:cs="Times New Roman"/>
          <w:kern w:val="0"/>
          <w:sz w:val="20"/>
          <w:szCs w:val="20"/>
          <w:lang w:val="en-NZ" w:eastAsia="en-NZ" w:bidi="en-NZ"/>
          <w14:ligatures w14:val="none"/>
        </w:rPr>
        <w:t xml:space="preserve"> </w:t>
      </w:r>
      <w:r w:rsidR="00FF18CC" w:rsidRPr="00DB6570">
        <w:rPr>
          <w:rFonts w:ascii="Times New Roman" w:eastAsia="Times New Roman" w:hAnsi="Times New Roman" w:cs="Times New Roman"/>
          <w:kern w:val="0"/>
          <w:sz w:val="20"/>
          <w:szCs w:val="20"/>
          <w:lang w:val="en-NZ" w:eastAsia="en-NZ" w:bidi="en-NZ"/>
          <w14:ligatures w14:val="none"/>
        </w:rPr>
        <w:t xml:space="preserve">Smith, H.E. (2012). Property as the </w:t>
      </w:r>
      <w:r w:rsidR="00FF18CC">
        <w:rPr>
          <w:rFonts w:ascii="Times New Roman" w:eastAsia="Times New Roman" w:hAnsi="Times New Roman" w:cs="Times New Roman"/>
          <w:kern w:val="0"/>
          <w:sz w:val="20"/>
          <w:szCs w:val="20"/>
          <w:lang w:val="en-NZ" w:eastAsia="en-NZ" w:bidi="en-NZ"/>
          <w14:ligatures w14:val="none"/>
        </w:rPr>
        <w:t>l</w:t>
      </w:r>
      <w:r w:rsidR="00FF18CC" w:rsidRPr="00DB6570">
        <w:rPr>
          <w:rFonts w:ascii="Times New Roman" w:eastAsia="Times New Roman" w:hAnsi="Times New Roman" w:cs="Times New Roman"/>
          <w:kern w:val="0"/>
          <w:sz w:val="20"/>
          <w:szCs w:val="20"/>
          <w:lang w:val="en-NZ" w:eastAsia="en-NZ" w:bidi="en-NZ"/>
          <w14:ligatures w14:val="none"/>
        </w:rPr>
        <w:t xml:space="preserve">aw of </w:t>
      </w:r>
      <w:r w:rsidR="00FF18CC">
        <w:rPr>
          <w:rFonts w:ascii="Times New Roman" w:eastAsia="Times New Roman" w:hAnsi="Times New Roman" w:cs="Times New Roman"/>
          <w:kern w:val="0"/>
          <w:sz w:val="20"/>
          <w:szCs w:val="20"/>
          <w:lang w:val="en-NZ" w:eastAsia="en-NZ" w:bidi="en-NZ"/>
          <w14:ligatures w14:val="none"/>
        </w:rPr>
        <w:t>t</w:t>
      </w:r>
      <w:r w:rsidR="00FF18CC" w:rsidRPr="00DB6570">
        <w:rPr>
          <w:rFonts w:ascii="Times New Roman" w:eastAsia="Times New Roman" w:hAnsi="Times New Roman" w:cs="Times New Roman"/>
          <w:kern w:val="0"/>
          <w:sz w:val="20"/>
          <w:szCs w:val="20"/>
          <w:lang w:val="en-NZ" w:eastAsia="en-NZ" w:bidi="en-NZ"/>
          <w14:ligatures w14:val="none"/>
        </w:rPr>
        <w:t xml:space="preserve">hings. </w:t>
      </w:r>
      <w:r w:rsidR="00FF18CC" w:rsidRPr="00DB6570">
        <w:rPr>
          <w:rFonts w:ascii="Times New Roman" w:eastAsia="Times New Roman" w:hAnsi="Times New Roman" w:cs="Times New Roman"/>
          <w:i/>
          <w:iCs/>
          <w:kern w:val="0"/>
          <w:sz w:val="20"/>
          <w:szCs w:val="20"/>
          <w:lang w:val="en-NZ" w:eastAsia="en-NZ" w:bidi="en-NZ"/>
          <w14:ligatures w14:val="none"/>
        </w:rPr>
        <w:t>Harvard Law Review</w:t>
      </w:r>
      <w:r w:rsidR="00FF18CC" w:rsidRPr="00DB6570">
        <w:rPr>
          <w:rFonts w:ascii="Times New Roman" w:eastAsia="Times New Roman" w:hAnsi="Times New Roman" w:cs="Times New Roman"/>
          <w:kern w:val="0"/>
          <w:sz w:val="20"/>
          <w:szCs w:val="20"/>
          <w:lang w:val="en-NZ" w:eastAsia="en-NZ" w:bidi="en-NZ"/>
          <w14:ligatures w14:val="none"/>
        </w:rPr>
        <w:t xml:space="preserve"> 125: 1691-1726</w:t>
      </w:r>
      <w:r w:rsidR="00FF18CC">
        <w:rPr>
          <w:rFonts w:ascii="Times New Roman" w:eastAsia="Times New Roman" w:hAnsi="Times New Roman" w:cs="Times New Roman"/>
          <w:color w:val="000000"/>
          <w:sz w:val="20"/>
          <w:szCs w:val="20"/>
        </w:rPr>
        <w:t xml:space="preserve">. </w:t>
      </w:r>
      <w:r w:rsidR="00FF18CC" w:rsidRPr="00FF18CC">
        <w:rPr>
          <w:rFonts w:ascii="Times New Roman" w:eastAsia="Calibri" w:hAnsi="Times New Roman" w:cs="Times New Roman"/>
          <w:kern w:val="0"/>
          <w:sz w:val="20"/>
          <w:szCs w:val="20"/>
          <w14:ligatures w14:val="none"/>
        </w:rPr>
        <w:t xml:space="preserve">There is debate over whether property rights are more usefully described as a bundle of sticks or more uniformly as modular institutions where attributes interact in influencing the impact of property rights on behavior. See Lee, B.A. and Smith, H.E. (2012). The nature of Coasean property </w:t>
      </w:r>
      <w:r w:rsidR="00FF18CC" w:rsidRPr="00FF18CC">
        <w:rPr>
          <w:rFonts w:ascii="Times New Roman" w:eastAsia="Calibri" w:hAnsi="Times New Roman" w:cs="Times New Roman"/>
          <w:i/>
          <w:iCs/>
          <w:kern w:val="0"/>
          <w:sz w:val="20"/>
          <w:szCs w:val="20"/>
          <w14:ligatures w14:val="none"/>
        </w:rPr>
        <w:t>International Review of Economics</w:t>
      </w:r>
      <w:r w:rsidR="00FF18CC" w:rsidRPr="00FF18CC">
        <w:rPr>
          <w:rFonts w:ascii="Times New Roman" w:eastAsia="Calibri" w:hAnsi="Times New Roman" w:cs="Times New Roman"/>
          <w:kern w:val="0"/>
          <w:sz w:val="20"/>
          <w:szCs w:val="20"/>
          <w14:ligatures w14:val="none"/>
        </w:rPr>
        <w:t>. 59 (2): 145-155; Smith, H.E. (2025). The complex architecture of property rights; in Alston, L.J., Alston, E.C., and Mueller, B. (eds</w:t>
      </w:r>
      <w:r w:rsidR="00FF18CC" w:rsidRPr="00FF18CC">
        <w:rPr>
          <w:rFonts w:ascii="Times New Roman" w:eastAsia="Calibri" w:hAnsi="Times New Roman" w:cs="Times New Roman"/>
          <w:i/>
          <w:iCs/>
          <w:kern w:val="0"/>
          <w:sz w:val="20"/>
          <w:szCs w:val="20"/>
          <w14:ligatures w14:val="none"/>
        </w:rPr>
        <w:t>). Institutions and Complexity: Emergent Institutions in a Complex World</w:t>
      </w:r>
      <w:r w:rsidR="00FF18CC" w:rsidRPr="00FF18CC">
        <w:rPr>
          <w:rFonts w:ascii="Times New Roman" w:eastAsia="Calibri" w:hAnsi="Times New Roman" w:cs="Times New Roman"/>
          <w:kern w:val="0"/>
          <w:sz w:val="20"/>
          <w:szCs w:val="20"/>
          <w14:ligatures w14:val="none"/>
        </w:rPr>
        <w:t xml:space="preserve">; and Smith H.E. (2024), Property law and economics. </w:t>
      </w:r>
      <w:r w:rsidR="00FF18CC" w:rsidRPr="00FF18CC">
        <w:rPr>
          <w:rFonts w:ascii="Times New Roman" w:eastAsia="Calibri" w:hAnsi="Times New Roman" w:cs="Times New Roman"/>
          <w:i/>
          <w:iCs/>
          <w:kern w:val="0"/>
          <w:sz w:val="20"/>
          <w:szCs w:val="20"/>
          <w14:ligatures w14:val="none"/>
        </w:rPr>
        <w:t>A Research Agenda for Property Law</w:t>
      </w:r>
      <w:r w:rsidR="00FF18CC" w:rsidRPr="00FF18CC">
        <w:rPr>
          <w:rFonts w:ascii="Times New Roman" w:eastAsia="Calibri" w:hAnsi="Times New Roman" w:cs="Times New Roman"/>
          <w:kern w:val="0"/>
          <w:sz w:val="20"/>
          <w:szCs w:val="20"/>
          <w14:ligatures w14:val="none"/>
        </w:rPr>
        <w:t>, Chapter 5. Akkermans, B. (ed).</w:t>
      </w:r>
    </w:p>
  </w:footnote>
  <w:footnote w:id="33">
    <w:p w14:paraId="232D252D" w14:textId="61B46880" w:rsidR="00AF151F" w:rsidRPr="00EC454F" w:rsidRDefault="00AF151F">
      <w:pPr>
        <w:pStyle w:val="FootnoteText"/>
        <w:rPr>
          <w:rFonts w:ascii="Times New Roman" w:hAnsi="Times New Roman" w:cs="Times New Roman"/>
        </w:rPr>
      </w:pPr>
      <w:r w:rsidRPr="00EC454F">
        <w:rPr>
          <w:rStyle w:val="FootnoteReference"/>
          <w:rFonts w:ascii="Times New Roman" w:hAnsi="Times New Roman" w:cs="Times New Roman"/>
        </w:rPr>
        <w:footnoteRef/>
      </w:r>
      <w:r w:rsidRPr="00EC454F">
        <w:rPr>
          <w:rFonts w:ascii="Times New Roman" w:hAnsi="Times New Roman" w:cs="Times New Roman"/>
        </w:rPr>
        <w:t xml:space="preserve"> Pigou, A. C. (1920).</w:t>
      </w:r>
      <w:hyperlink r:id="rId8">
        <w:r w:rsidRPr="00EC454F">
          <w:rPr>
            <w:rFonts w:ascii="Times New Roman" w:hAnsi="Times New Roman" w:cs="Times New Roman"/>
          </w:rPr>
          <w:t xml:space="preserve"> </w:t>
        </w:r>
      </w:hyperlink>
      <w:hyperlink r:id="rId9">
        <w:r w:rsidRPr="00EC454F">
          <w:rPr>
            <w:rFonts w:ascii="Times New Roman" w:eastAsia="Times New Roman" w:hAnsi="Times New Roman" w:cs="Times New Roman"/>
            <w:i/>
          </w:rPr>
          <w:t xml:space="preserve">The </w:t>
        </w:r>
        <w:r w:rsidR="000E2570">
          <w:rPr>
            <w:rFonts w:ascii="Times New Roman" w:eastAsia="Times New Roman" w:hAnsi="Times New Roman" w:cs="Times New Roman"/>
            <w:i/>
          </w:rPr>
          <w:t>E</w:t>
        </w:r>
        <w:r w:rsidRPr="00EC454F">
          <w:rPr>
            <w:rFonts w:ascii="Times New Roman" w:eastAsia="Times New Roman" w:hAnsi="Times New Roman" w:cs="Times New Roman"/>
            <w:i/>
          </w:rPr>
          <w:t xml:space="preserve">conomics of </w:t>
        </w:r>
        <w:r w:rsidR="000E2570">
          <w:rPr>
            <w:rFonts w:ascii="Times New Roman" w:eastAsia="Times New Roman" w:hAnsi="Times New Roman" w:cs="Times New Roman"/>
            <w:i/>
          </w:rPr>
          <w:t>W</w:t>
        </w:r>
        <w:r w:rsidRPr="00EC454F">
          <w:rPr>
            <w:rFonts w:ascii="Times New Roman" w:eastAsia="Times New Roman" w:hAnsi="Times New Roman" w:cs="Times New Roman"/>
            <w:i/>
          </w:rPr>
          <w:t>elfare</w:t>
        </w:r>
      </w:hyperlink>
      <w:hyperlink r:id="rId10">
        <w:r w:rsidRPr="00EC454F">
          <w:rPr>
            <w:rFonts w:ascii="Times New Roman" w:eastAsia="Times New Roman" w:hAnsi="Times New Roman" w:cs="Times New Roman"/>
            <w:i/>
          </w:rPr>
          <w:t>.</w:t>
        </w:r>
      </w:hyperlink>
      <w:r w:rsidRPr="00EC454F">
        <w:rPr>
          <w:rFonts w:ascii="Times New Roman" w:hAnsi="Times New Roman" w:cs="Times New Roman"/>
        </w:rPr>
        <w:t xml:space="preserve"> </w:t>
      </w:r>
    </w:p>
  </w:footnote>
  <w:footnote w:id="34">
    <w:p w14:paraId="5420720E" w14:textId="2EE29CF3" w:rsidR="00CB22DA" w:rsidRPr="00EC454F" w:rsidRDefault="00CB22DA" w:rsidP="0001786C">
      <w:pPr>
        <w:pStyle w:val="footnotedescription"/>
        <w:spacing w:line="240" w:lineRule="auto"/>
        <w:ind w:left="0"/>
      </w:pPr>
      <w:r w:rsidRPr="00EC454F">
        <w:rPr>
          <w:rStyle w:val="FootnoteReference"/>
        </w:rPr>
        <w:footnoteRef/>
      </w:r>
      <w:r w:rsidRPr="00EC454F">
        <w:t xml:space="preserve"> Depending on market conditions, some trading parties may gain more surplus, so that their benefits relative to costs exceed those of other traders.  Nevertheless, with voluntary markets and ease of entry and exit, </w:t>
      </w:r>
      <w:r w:rsidR="0001786C" w:rsidRPr="0001786C">
        <w:t xml:space="preserve">aggregate outcomes would promote efficiency. On the other hand, with state regulation and distribution of costs and benefits, outcomes are apt to be more static </w:t>
      </w:r>
      <w:r w:rsidR="0001786C">
        <w:t xml:space="preserve">with ambiguous efficiency outcomes. </w:t>
      </w:r>
    </w:p>
  </w:footnote>
  <w:footnote w:id="35">
    <w:p w14:paraId="0D364DF2" w14:textId="77777777" w:rsidR="00FC0570" w:rsidRPr="003059F2" w:rsidRDefault="00FC0570" w:rsidP="00FC0570">
      <w:pPr>
        <w:spacing w:after="0" w:line="240" w:lineRule="auto"/>
        <w:rPr>
          <w:rFonts w:ascii="Times New Roman" w:hAnsi="Times New Roman" w:cs="Times New Roman"/>
          <w:sz w:val="20"/>
          <w:szCs w:val="20"/>
        </w:rPr>
      </w:pPr>
      <w:r w:rsidRPr="003059F2">
        <w:rPr>
          <w:rStyle w:val="FootnoteReference"/>
          <w:rFonts w:ascii="Times New Roman" w:hAnsi="Times New Roman" w:cs="Times New Roman"/>
          <w:sz w:val="20"/>
          <w:szCs w:val="20"/>
        </w:rPr>
        <w:footnoteRef/>
      </w:r>
      <w:r w:rsidRPr="003059F2">
        <w:rPr>
          <w:rFonts w:ascii="Times New Roman" w:hAnsi="Times New Roman" w:cs="Times New Roman"/>
          <w:sz w:val="20"/>
          <w:szCs w:val="20"/>
        </w:rPr>
        <w:t xml:space="preserve"> </w:t>
      </w:r>
      <w:r w:rsidRPr="003059F2">
        <w:rPr>
          <w:rFonts w:ascii="Times New Roman" w:hAnsi="Times New Roman" w:cs="Times New Roman"/>
          <w:color w:val="222222"/>
          <w:sz w:val="20"/>
          <w:szCs w:val="20"/>
        </w:rPr>
        <w:t>Van Doren</w:t>
      </w:r>
      <w:r>
        <w:rPr>
          <w:rFonts w:ascii="Times New Roman" w:hAnsi="Times New Roman" w:cs="Times New Roman"/>
          <w:color w:val="222222"/>
          <w:sz w:val="20"/>
          <w:szCs w:val="20"/>
        </w:rPr>
        <w:t>, P.</w:t>
      </w:r>
      <w:r w:rsidRPr="003059F2">
        <w:rPr>
          <w:rFonts w:ascii="Times New Roman" w:hAnsi="Times New Roman" w:cs="Times New Roman"/>
          <w:color w:val="222222"/>
          <w:sz w:val="20"/>
          <w:szCs w:val="20"/>
        </w:rPr>
        <w:t xml:space="preserve"> and Firey</w:t>
      </w:r>
      <w:r>
        <w:rPr>
          <w:rFonts w:ascii="Times New Roman" w:hAnsi="Times New Roman" w:cs="Times New Roman"/>
          <w:color w:val="222222"/>
          <w:sz w:val="20"/>
          <w:szCs w:val="20"/>
        </w:rPr>
        <w:t>, T.A.</w:t>
      </w:r>
      <w:r w:rsidRPr="003059F2">
        <w:rPr>
          <w:rFonts w:ascii="Times New Roman" w:hAnsi="Times New Roman" w:cs="Times New Roman"/>
          <w:color w:val="222222"/>
          <w:sz w:val="20"/>
          <w:szCs w:val="20"/>
        </w:rPr>
        <w:t xml:space="preserve"> </w:t>
      </w:r>
      <w:r>
        <w:rPr>
          <w:rFonts w:ascii="Times New Roman" w:hAnsi="Times New Roman" w:cs="Times New Roman"/>
          <w:color w:val="222222"/>
          <w:sz w:val="20"/>
          <w:szCs w:val="20"/>
        </w:rPr>
        <w:t xml:space="preserve">(2017). </w:t>
      </w:r>
      <w:r w:rsidRPr="003059F2">
        <w:rPr>
          <w:rFonts w:ascii="Times New Roman" w:hAnsi="Times New Roman" w:cs="Times New Roman"/>
          <w:color w:val="222222"/>
          <w:sz w:val="20"/>
          <w:szCs w:val="20"/>
        </w:rPr>
        <w:t xml:space="preserve">Regulation at 40, </w:t>
      </w:r>
      <w:r w:rsidRPr="003059F2">
        <w:rPr>
          <w:rFonts w:ascii="Times New Roman" w:hAnsi="Times New Roman" w:cs="Times New Roman"/>
          <w:i/>
          <w:iCs/>
          <w:color w:val="222222"/>
          <w:sz w:val="20"/>
          <w:szCs w:val="20"/>
        </w:rPr>
        <w:t>Regulation</w:t>
      </w:r>
      <w:r w:rsidRPr="003059F2">
        <w:rPr>
          <w:rFonts w:ascii="Times New Roman" w:hAnsi="Times New Roman" w:cs="Times New Roman"/>
          <w:color w:val="222222"/>
          <w:sz w:val="20"/>
          <w:szCs w:val="20"/>
        </w:rPr>
        <w:t xml:space="preserve"> Spring.</w:t>
      </w:r>
    </w:p>
  </w:footnote>
  <w:footnote w:id="36">
    <w:p w14:paraId="065ACF0D" w14:textId="77777777" w:rsidR="00D234F9" w:rsidRPr="00B81901" w:rsidRDefault="00D234F9" w:rsidP="00D234F9">
      <w:pPr>
        <w:pStyle w:val="FootnoteText"/>
        <w:rPr>
          <w:rFonts w:ascii="Times New Roman" w:hAnsi="Times New Roman" w:cs="Times New Roman"/>
        </w:rPr>
      </w:pPr>
      <w:r w:rsidRPr="00B81901">
        <w:rPr>
          <w:rStyle w:val="FootnoteReference"/>
          <w:rFonts w:ascii="Times New Roman" w:hAnsi="Times New Roman" w:cs="Times New Roman"/>
        </w:rPr>
        <w:footnoteRef/>
      </w:r>
      <w:r w:rsidRPr="00B81901">
        <w:rPr>
          <w:rFonts w:ascii="Times New Roman" w:hAnsi="Times New Roman" w:cs="Times New Roman"/>
        </w:rPr>
        <w:t xml:space="preserve"> </w:t>
      </w:r>
      <w:r w:rsidRPr="00B81901">
        <w:rPr>
          <w:rFonts w:ascii="Times New Roman" w:hAnsi="Times New Roman" w:cs="Times New Roman"/>
          <w:color w:val="222222"/>
        </w:rPr>
        <w:t xml:space="preserve"> Van Doren, P. and Firey, T.A.  (2017), Regulation at 40, </w:t>
      </w:r>
      <w:r w:rsidRPr="00B81901">
        <w:rPr>
          <w:rFonts w:ascii="Times New Roman" w:hAnsi="Times New Roman" w:cs="Times New Roman"/>
          <w:i/>
          <w:iCs/>
          <w:color w:val="222222"/>
        </w:rPr>
        <w:t>Regulation</w:t>
      </w:r>
      <w:r w:rsidRPr="00B81901">
        <w:rPr>
          <w:rFonts w:ascii="Times New Roman" w:hAnsi="Times New Roman" w:cs="Times New Roman"/>
          <w:color w:val="222222"/>
        </w:rPr>
        <w:t xml:space="preserve"> Spring, 34-36. </w:t>
      </w:r>
    </w:p>
  </w:footnote>
  <w:footnote w:id="37">
    <w:p w14:paraId="4362229D" w14:textId="164E974B" w:rsidR="00163026" w:rsidRPr="00EC3CEB" w:rsidRDefault="00163026" w:rsidP="00163026">
      <w:pPr>
        <w:pStyle w:val="FootnoteText"/>
        <w:rPr>
          <w:rFonts w:ascii="Times New Roman" w:hAnsi="Times New Roman" w:cs="Times New Roman"/>
        </w:rPr>
      </w:pPr>
      <w:r w:rsidRPr="00FA1116">
        <w:rPr>
          <w:rStyle w:val="FootnoteReference"/>
          <w:rFonts w:ascii="Times New Roman" w:hAnsi="Times New Roman" w:cs="Times New Roman"/>
        </w:rPr>
        <w:footnoteRef/>
      </w:r>
      <w:r w:rsidRPr="00FA1116">
        <w:rPr>
          <w:rFonts w:ascii="Times New Roman" w:hAnsi="Times New Roman" w:cs="Times New Roman"/>
        </w:rPr>
        <w:t xml:space="preserve"> </w:t>
      </w:r>
      <w:bookmarkStart w:id="3" w:name="_Hlk177479869"/>
      <w:r w:rsidRPr="00EC3CEB">
        <w:rPr>
          <w:rFonts w:ascii="Times New Roman" w:hAnsi="Times New Roman" w:cs="Times New Roman"/>
        </w:rPr>
        <w:t xml:space="preserve">Stern, A.C. (1982). History of </w:t>
      </w:r>
      <w:r w:rsidR="001F6B54">
        <w:rPr>
          <w:rFonts w:ascii="Times New Roman" w:hAnsi="Times New Roman" w:cs="Times New Roman"/>
        </w:rPr>
        <w:t>a</w:t>
      </w:r>
      <w:r w:rsidRPr="00EC3CEB">
        <w:rPr>
          <w:rFonts w:ascii="Times New Roman" w:hAnsi="Times New Roman" w:cs="Times New Roman"/>
        </w:rPr>
        <w:t xml:space="preserve">ir </w:t>
      </w:r>
      <w:r w:rsidR="001F6B54">
        <w:rPr>
          <w:rFonts w:ascii="Times New Roman" w:hAnsi="Times New Roman" w:cs="Times New Roman"/>
        </w:rPr>
        <w:t>p</w:t>
      </w:r>
      <w:r w:rsidRPr="00EC3CEB">
        <w:rPr>
          <w:rFonts w:ascii="Times New Roman" w:hAnsi="Times New Roman" w:cs="Times New Roman"/>
        </w:rPr>
        <w:t xml:space="preserve">ollution </w:t>
      </w:r>
      <w:r w:rsidR="001F6B54">
        <w:rPr>
          <w:rFonts w:ascii="Times New Roman" w:hAnsi="Times New Roman" w:cs="Times New Roman"/>
        </w:rPr>
        <w:t>l</w:t>
      </w:r>
      <w:r w:rsidRPr="00EC3CEB">
        <w:rPr>
          <w:rFonts w:ascii="Times New Roman" w:hAnsi="Times New Roman" w:cs="Times New Roman"/>
        </w:rPr>
        <w:t xml:space="preserve">egislation in the United States </w:t>
      </w:r>
      <w:r w:rsidRPr="00EC3CEB">
        <w:rPr>
          <w:rFonts w:ascii="Times New Roman" w:hAnsi="Times New Roman" w:cs="Times New Roman"/>
          <w:i/>
          <w:iCs/>
        </w:rPr>
        <w:t>Journal of the Air Pollution Control Association</w:t>
      </w:r>
      <w:r w:rsidRPr="00EC3CEB">
        <w:rPr>
          <w:rFonts w:ascii="Times New Roman" w:hAnsi="Times New Roman" w:cs="Times New Roman"/>
        </w:rPr>
        <w:t>, 32</w:t>
      </w:r>
      <w:r>
        <w:rPr>
          <w:rFonts w:ascii="Times New Roman" w:hAnsi="Times New Roman" w:cs="Times New Roman"/>
        </w:rPr>
        <w:t>(</w:t>
      </w:r>
      <w:r w:rsidRPr="00EC3CEB">
        <w:rPr>
          <w:rFonts w:ascii="Times New Roman" w:hAnsi="Times New Roman" w:cs="Times New Roman"/>
        </w:rPr>
        <w:t>1</w:t>
      </w:r>
      <w:r>
        <w:rPr>
          <w:rFonts w:ascii="Times New Roman" w:hAnsi="Times New Roman" w:cs="Times New Roman"/>
        </w:rPr>
        <w:t>)</w:t>
      </w:r>
      <w:r w:rsidRPr="00EC3CEB">
        <w:rPr>
          <w:rFonts w:ascii="Times New Roman" w:hAnsi="Times New Roman" w:cs="Times New Roman"/>
        </w:rPr>
        <w:t xml:space="preserve">, 44-61; McCubbins, M., Noll, R.G., and Weingast, B.R. (1989). Political </w:t>
      </w:r>
      <w:r w:rsidR="001F6B54">
        <w:rPr>
          <w:rFonts w:ascii="Times New Roman" w:hAnsi="Times New Roman" w:cs="Times New Roman"/>
        </w:rPr>
        <w:t>c</w:t>
      </w:r>
      <w:r w:rsidRPr="00EC3CEB">
        <w:rPr>
          <w:rFonts w:ascii="Times New Roman" w:hAnsi="Times New Roman" w:cs="Times New Roman"/>
        </w:rPr>
        <w:t xml:space="preserve">ontrol of </w:t>
      </w:r>
      <w:r w:rsidR="001F6B54">
        <w:rPr>
          <w:rFonts w:ascii="Times New Roman" w:hAnsi="Times New Roman" w:cs="Times New Roman"/>
        </w:rPr>
        <w:t>a</w:t>
      </w:r>
      <w:r w:rsidRPr="00EC3CEB">
        <w:rPr>
          <w:rFonts w:ascii="Times New Roman" w:hAnsi="Times New Roman" w:cs="Times New Roman"/>
        </w:rPr>
        <w:t xml:space="preserve">gencies. </w:t>
      </w:r>
      <w:r w:rsidRPr="00EC3CEB">
        <w:rPr>
          <w:rFonts w:ascii="Times New Roman" w:hAnsi="Times New Roman" w:cs="Times New Roman"/>
          <w:i/>
          <w:iCs/>
        </w:rPr>
        <w:t>Virginia Law Review</w:t>
      </w:r>
      <w:r w:rsidRPr="00EC3CEB">
        <w:rPr>
          <w:rFonts w:ascii="Times New Roman" w:hAnsi="Times New Roman" w:cs="Times New Roman"/>
        </w:rPr>
        <w:t xml:space="preserve"> 75: 431-482; </w:t>
      </w:r>
      <w:bookmarkStart w:id="4" w:name="_Hlk176959885"/>
      <w:bookmarkEnd w:id="3"/>
      <w:r w:rsidRPr="00EC3CEB">
        <w:rPr>
          <w:rFonts w:ascii="Times New Roman" w:hAnsi="Times New Roman" w:cs="Times New Roman"/>
        </w:rPr>
        <w:t xml:space="preserve">Orford, A.D. (2021). The Clean Air Act of 1963: Postwar </w:t>
      </w:r>
      <w:r w:rsidR="001F6B54">
        <w:rPr>
          <w:rFonts w:ascii="Times New Roman" w:hAnsi="Times New Roman" w:cs="Times New Roman"/>
        </w:rPr>
        <w:t>e</w:t>
      </w:r>
      <w:r w:rsidRPr="00EC3CEB">
        <w:rPr>
          <w:rFonts w:ascii="Times New Roman" w:hAnsi="Times New Roman" w:cs="Times New Roman"/>
        </w:rPr>
        <w:t xml:space="preserve">nvironmental </w:t>
      </w:r>
      <w:r w:rsidR="001F6B54">
        <w:rPr>
          <w:rFonts w:ascii="Times New Roman" w:hAnsi="Times New Roman" w:cs="Times New Roman"/>
        </w:rPr>
        <w:t>p</w:t>
      </w:r>
      <w:r w:rsidRPr="00EC3CEB">
        <w:rPr>
          <w:rFonts w:ascii="Times New Roman" w:hAnsi="Times New Roman" w:cs="Times New Roman"/>
        </w:rPr>
        <w:t xml:space="preserve">olitics and the </w:t>
      </w:r>
      <w:r w:rsidR="001F6B54">
        <w:rPr>
          <w:rFonts w:ascii="Times New Roman" w:hAnsi="Times New Roman" w:cs="Times New Roman"/>
        </w:rPr>
        <w:t>d</w:t>
      </w:r>
      <w:r w:rsidRPr="00EC3CEB">
        <w:rPr>
          <w:rFonts w:ascii="Times New Roman" w:hAnsi="Times New Roman" w:cs="Times New Roman"/>
        </w:rPr>
        <w:t xml:space="preserve">ebate </w:t>
      </w:r>
      <w:r w:rsidR="001F6B54">
        <w:rPr>
          <w:rFonts w:ascii="Times New Roman" w:hAnsi="Times New Roman" w:cs="Times New Roman"/>
        </w:rPr>
        <w:t>o</w:t>
      </w:r>
      <w:r w:rsidRPr="00EC3CEB">
        <w:rPr>
          <w:rFonts w:ascii="Times New Roman" w:hAnsi="Times New Roman" w:cs="Times New Roman"/>
        </w:rPr>
        <w:t xml:space="preserve">ver </w:t>
      </w:r>
      <w:r w:rsidR="001F6B54">
        <w:rPr>
          <w:rFonts w:ascii="Times New Roman" w:hAnsi="Times New Roman" w:cs="Times New Roman"/>
        </w:rPr>
        <w:t>f</w:t>
      </w:r>
      <w:r w:rsidRPr="00EC3CEB">
        <w:rPr>
          <w:rFonts w:ascii="Times New Roman" w:hAnsi="Times New Roman" w:cs="Times New Roman"/>
        </w:rPr>
        <w:t xml:space="preserve">ederal </w:t>
      </w:r>
      <w:r w:rsidR="001F6B54">
        <w:rPr>
          <w:rFonts w:ascii="Times New Roman" w:hAnsi="Times New Roman" w:cs="Times New Roman"/>
        </w:rPr>
        <w:t>p</w:t>
      </w:r>
      <w:r w:rsidRPr="00EC3CEB">
        <w:rPr>
          <w:rFonts w:ascii="Times New Roman" w:hAnsi="Times New Roman" w:cs="Times New Roman"/>
        </w:rPr>
        <w:t>ower</w:t>
      </w:r>
      <w:r w:rsidRPr="00EC3CEB">
        <w:rPr>
          <w:rFonts w:ascii="Times New Roman" w:hAnsi="Times New Roman" w:cs="Times New Roman"/>
          <w:i/>
          <w:iCs/>
        </w:rPr>
        <w:t xml:space="preserve">. Hastings Environmental Law Journal </w:t>
      </w:r>
      <w:r w:rsidRPr="00EC3CEB">
        <w:rPr>
          <w:rFonts w:ascii="Times New Roman" w:hAnsi="Times New Roman" w:cs="Times New Roman"/>
        </w:rPr>
        <w:t xml:space="preserve">27 (2), </w:t>
      </w:r>
      <w:r>
        <w:rPr>
          <w:rFonts w:ascii="Times New Roman" w:hAnsi="Times New Roman" w:cs="Times New Roman"/>
        </w:rPr>
        <w:t xml:space="preserve">Article 2: </w:t>
      </w:r>
      <w:r w:rsidRPr="00EC3CEB">
        <w:rPr>
          <w:rFonts w:ascii="Times New Roman" w:hAnsi="Times New Roman" w:cs="Times New Roman"/>
        </w:rPr>
        <w:t>1-77; and</w:t>
      </w:r>
      <w:r>
        <w:rPr>
          <w:rFonts w:ascii="Times New Roman" w:hAnsi="Times New Roman" w:cs="Times New Roman"/>
        </w:rPr>
        <w:t xml:space="preserve"> </w:t>
      </w:r>
      <w:bookmarkStart w:id="5" w:name="_Hlk176885547"/>
      <w:r w:rsidRPr="00FB4923">
        <w:rPr>
          <w:rFonts w:ascii="Times New Roman" w:eastAsia="Calibri" w:hAnsi="Times New Roman" w:cs="Times New Roman"/>
          <w:kern w:val="0"/>
          <w14:ligatures w14:val="none"/>
        </w:rPr>
        <w:t xml:space="preserve">Daniels, B., Follett, J.P., and Davis, J. (2020). The </w:t>
      </w:r>
      <w:r w:rsidR="001F6B54">
        <w:rPr>
          <w:rFonts w:ascii="Times New Roman" w:eastAsia="Calibri" w:hAnsi="Times New Roman" w:cs="Times New Roman"/>
          <w:kern w:val="0"/>
          <w14:ligatures w14:val="none"/>
        </w:rPr>
        <w:t>m</w:t>
      </w:r>
      <w:r w:rsidRPr="00FB4923">
        <w:rPr>
          <w:rFonts w:ascii="Times New Roman" w:eastAsia="Calibri" w:hAnsi="Times New Roman" w:cs="Times New Roman"/>
          <w:kern w:val="0"/>
          <w14:ligatures w14:val="none"/>
        </w:rPr>
        <w:t xml:space="preserve">aking of the Clean Air Act. </w:t>
      </w:r>
      <w:r w:rsidRPr="00FB4923">
        <w:rPr>
          <w:rFonts w:ascii="Times New Roman" w:eastAsia="Calibri" w:hAnsi="Times New Roman" w:cs="Times New Roman"/>
          <w:i/>
          <w:iCs/>
          <w:kern w:val="0"/>
          <w14:ligatures w14:val="none"/>
        </w:rPr>
        <w:t>Hastings Law Journal</w:t>
      </w:r>
      <w:r w:rsidRPr="00FB4923">
        <w:rPr>
          <w:rFonts w:ascii="Times New Roman" w:eastAsia="Calibri" w:hAnsi="Times New Roman" w:cs="Times New Roman"/>
          <w:kern w:val="0"/>
          <w14:ligatures w14:val="none"/>
        </w:rPr>
        <w:t>. 71 (4). Article 3. 901</w:t>
      </w:r>
      <w:r>
        <w:rPr>
          <w:rFonts w:ascii="Times New Roman" w:eastAsia="Calibri" w:hAnsi="Times New Roman" w:cs="Times New Roman"/>
          <w:kern w:val="0"/>
          <w14:ligatures w14:val="none"/>
        </w:rPr>
        <w:t>.</w:t>
      </w:r>
      <w:bookmarkEnd w:id="4"/>
      <w:bookmarkEnd w:id="5"/>
    </w:p>
  </w:footnote>
  <w:footnote w:id="38">
    <w:p w14:paraId="26D6AEBD" w14:textId="7BED2D7E" w:rsidR="00163026" w:rsidRDefault="00163026" w:rsidP="00163026">
      <w:pPr>
        <w:pStyle w:val="Heading1"/>
        <w:shd w:val="clear" w:color="auto" w:fill="FFFFFF"/>
        <w:spacing w:before="0" w:line="240" w:lineRule="auto"/>
      </w:pPr>
      <w:r w:rsidRPr="00EC3CEB">
        <w:rPr>
          <w:rStyle w:val="FootnoteReference"/>
          <w:rFonts w:ascii="Times New Roman" w:hAnsi="Times New Roman" w:cs="Times New Roman"/>
          <w:color w:val="auto"/>
          <w:sz w:val="20"/>
          <w:szCs w:val="20"/>
        </w:rPr>
        <w:footnoteRef/>
      </w:r>
      <w:r w:rsidRPr="00EC3CEB">
        <w:rPr>
          <w:rFonts w:ascii="Times New Roman" w:hAnsi="Times New Roman" w:cs="Times New Roman"/>
          <w:color w:val="auto"/>
          <w:sz w:val="20"/>
          <w:szCs w:val="20"/>
        </w:rPr>
        <w:t xml:space="preserve"> Discussion of</w:t>
      </w:r>
      <w:r>
        <w:rPr>
          <w:rFonts w:ascii="Times New Roman" w:hAnsi="Times New Roman" w:cs="Times New Roman"/>
          <w:color w:val="auto"/>
          <w:sz w:val="20"/>
          <w:szCs w:val="20"/>
        </w:rPr>
        <w:t xml:space="preserve"> lobbying and exchanges with politicians is in </w:t>
      </w:r>
      <w:r w:rsidRPr="00FA1116">
        <w:rPr>
          <w:rFonts w:ascii="Times New Roman" w:hAnsi="Times New Roman" w:cs="Times New Roman"/>
          <w:color w:val="auto"/>
          <w:sz w:val="20"/>
          <w:szCs w:val="20"/>
        </w:rPr>
        <w:t xml:space="preserve">Bombardini, M. and Trebbi, F. (2020). </w:t>
      </w:r>
      <w:r w:rsidRPr="00FA1116">
        <w:rPr>
          <w:rFonts w:ascii="Times New Roman" w:eastAsia="Times New Roman" w:hAnsi="Times New Roman" w:cs="Times New Roman"/>
          <w:color w:val="auto"/>
          <w:kern w:val="36"/>
          <w:sz w:val="20"/>
          <w:szCs w:val="20"/>
        </w:rPr>
        <w:t xml:space="preserve">Empirical </w:t>
      </w:r>
      <w:r w:rsidR="001F6B54">
        <w:rPr>
          <w:rFonts w:ascii="Times New Roman" w:eastAsia="Times New Roman" w:hAnsi="Times New Roman" w:cs="Times New Roman"/>
          <w:color w:val="auto"/>
          <w:kern w:val="36"/>
          <w:sz w:val="20"/>
          <w:szCs w:val="20"/>
        </w:rPr>
        <w:t>m</w:t>
      </w:r>
      <w:r w:rsidRPr="00FA1116">
        <w:rPr>
          <w:rFonts w:ascii="Times New Roman" w:eastAsia="Times New Roman" w:hAnsi="Times New Roman" w:cs="Times New Roman"/>
          <w:color w:val="auto"/>
          <w:kern w:val="36"/>
          <w:sz w:val="20"/>
          <w:szCs w:val="20"/>
        </w:rPr>
        <w:t xml:space="preserve">odels of </w:t>
      </w:r>
      <w:r w:rsidR="001F6B54">
        <w:rPr>
          <w:rFonts w:ascii="Times New Roman" w:eastAsia="Times New Roman" w:hAnsi="Times New Roman" w:cs="Times New Roman"/>
          <w:color w:val="auto"/>
          <w:kern w:val="36"/>
          <w:sz w:val="20"/>
          <w:szCs w:val="20"/>
        </w:rPr>
        <w:t>l</w:t>
      </w:r>
      <w:r w:rsidRPr="00FA1116">
        <w:rPr>
          <w:rFonts w:ascii="Times New Roman" w:eastAsia="Times New Roman" w:hAnsi="Times New Roman" w:cs="Times New Roman"/>
          <w:color w:val="auto"/>
          <w:kern w:val="36"/>
          <w:sz w:val="20"/>
          <w:szCs w:val="20"/>
        </w:rPr>
        <w:t xml:space="preserve">obbying. </w:t>
      </w:r>
      <w:r w:rsidRPr="00FA1116">
        <w:rPr>
          <w:rFonts w:ascii="Times New Roman" w:eastAsia="Times New Roman" w:hAnsi="Times New Roman" w:cs="Times New Roman"/>
          <w:i/>
          <w:iCs/>
          <w:color w:val="auto"/>
          <w:kern w:val="36"/>
          <w:sz w:val="20"/>
          <w:szCs w:val="20"/>
        </w:rPr>
        <w:t>Annual Review of Economics</w:t>
      </w:r>
      <w:r w:rsidRPr="00FA1116">
        <w:rPr>
          <w:rFonts w:ascii="Times New Roman" w:eastAsia="Times New Roman" w:hAnsi="Times New Roman" w:cs="Times New Roman"/>
          <w:color w:val="auto"/>
          <w:kern w:val="36"/>
          <w:sz w:val="20"/>
          <w:szCs w:val="20"/>
        </w:rPr>
        <w:t>. 12:391-413.</w:t>
      </w:r>
      <w:r>
        <w:rPr>
          <w:rFonts w:ascii="Times New Roman" w:eastAsia="Times New Roman" w:hAnsi="Times New Roman" w:cs="Times New Roman"/>
          <w:color w:val="auto"/>
          <w:kern w:val="36"/>
          <w:sz w:val="20"/>
          <w:szCs w:val="20"/>
        </w:rPr>
        <w:t xml:space="preserve"> See also, Aces</w:t>
      </w:r>
      <w:r w:rsidR="00B57D30">
        <w:rPr>
          <w:rFonts w:ascii="Times New Roman" w:eastAsia="Times New Roman" w:hAnsi="Times New Roman" w:cs="Times New Roman"/>
          <w:color w:val="auto"/>
          <w:kern w:val="36"/>
          <w:sz w:val="20"/>
          <w:szCs w:val="20"/>
        </w:rPr>
        <w:t xml:space="preserve">, A. </w:t>
      </w:r>
      <w:r>
        <w:rPr>
          <w:rFonts w:ascii="Times New Roman" w:eastAsia="Times New Roman" w:hAnsi="Times New Roman" w:cs="Times New Roman"/>
          <w:color w:val="auto"/>
          <w:kern w:val="36"/>
          <w:sz w:val="20"/>
          <w:szCs w:val="20"/>
        </w:rPr>
        <w:t>(2024)</w:t>
      </w:r>
      <w:r w:rsidR="00B57D30">
        <w:rPr>
          <w:rFonts w:ascii="Times New Roman" w:eastAsia="Times New Roman" w:hAnsi="Times New Roman" w:cs="Times New Roman"/>
          <w:color w:val="auto"/>
          <w:kern w:val="36"/>
          <w:sz w:val="20"/>
          <w:szCs w:val="20"/>
        </w:rPr>
        <w:t>.</w:t>
      </w:r>
      <w:r>
        <w:rPr>
          <w:rFonts w:ascii="Times New Roman" w:eastAsia="Times New Roman" w:hAnsi="Times New Roman" w:cs="Times New Roman"/>
          <w:color w:val="auto"/>
          <w:kern w:val="36"/>
          <w:sz w:val="20"/>
          <w:szCs w:val="20"/>
        </w:rPr>
        <w:t xml:space="preserve"> Influence </w:t>
      </w:r>
      <w:r w:rsidR="00254C0F">
        <w:rPr>
          <w:rFonts w:ascii="Times New Roman" w:eastAsia="Times New Roman" w:hAnsi="Times New Roman" w:cs="Times New Roman"/>
          <w:color w:val="auto"/>
          <w:kern w:val="36"/>
          <w:sz w:val="20"/>
          <w:szCs w:val="20"/>
        </w:rPr>
        <w:t>s</w:t>
      </w:r>
      <w:r>
        <w:rPr>
          <w:rFonts w:ascii="Times New Roman" w:eastAsia="Times New Roman" w:hAnsi="Times New Roman" w:cs="Times New Roman"/>
          <w:color w:val="auto"/>
          <w:kern w:val="36"/>
          <w:sz w:val="20"/>
          <w:szCs w:val="20"/>
        </w:rPr>
        <w:t xml:space="preserve">eeking in the </w:t>
      </w:r>
      <w:r w:rsidR="00254C0F">
        <w:rPr>
          <w:rFonts w:ascii="Times New Roman" w:eastAsia="Times New Roman" w:hAnsi="Times New Roman" w:cs="Times New Roman"/>
          <w:color w:val="auto"/>
          <w:kern w:val="36"/>
          <w:sz w:val="20"/>
          <w:szCs w:val="20"/>
        </w:rPr>
        <w:t>f</w:t>
      </w:r>
      <w:r>
        <w:rPr>
          <w:rFonts w:ascii="Times New Roman" w:eastAsia="Times New Roman" w:hAnsi="Times New Roman" w:cs="Times New Roman"/>
          <w:color w:val="auto"/>
          <w:kern w:val="36"/>
          <w:sz w:val="20"/>
          <w:szCs w:val="20"/>
        </w:rPr>
        <w:t xml:space="preserve">ederal </w:t>
      </w:r>
      <w:r w:rsidR="00254C0F">
        <w:rPr>
          <w:rFonts w:ascii="Times New Roman" w:eastAsia="Times New Roman" w:hAnsi="Times New Roman" w:cs="Times New Roman"/>
          <w:color w:val="auto"/>
          <w:kern w:val="36"/>
          <w:sz w:val="20"/>
          <w:szCs w:val="20"/>
        </w:rPr>
        <w:t>b</w:t>
      </w:r>
      <w:r>
        <w:rPr>
          <w:rFonts w:ascii="Times New Roman" w:eastAsia="Times New Roman" w:hAnsi="Times New Roman" w:cs="Times New Roman"/>
          <w:color w:val="auto"/>
          <w:kern w:val="36"/>
          <w:sz w:val="20"/>
          <w:szCs w:val="20"/>
        </w:rPr>
        <w:t xml:space="preserve">ureaucracy: Do </w:t>
      </w:r>
      <w:r w:rsidR="00254C0F">
        <w:rPr>
          <w:rFonts w:ascii="Times New Roman" w:eastAsia="Times New Roman" w:hAnsi="Times New Roman" w:cs="Times New Roman"/>
          <w:color w:val="auto"/>
          <w:kern w:val="36"/>
          <w:sz w:val="20"/>
          <w:szCs w:val="20"/>
        </w:rPr>
        <w:t>g</w:t>
      </w:r>
      <w:r>
        <w:rPr>
          <w:rFonts w:ascii="Times New Roman" w:eastAsia="Times New Roman" w:hAnsi="Times New Roman" w:cs="Times New Roman"/>
          <w:color w:val="auto"/>
          <w:kern w:val="36"/>
          <w:sz w:val="20"/>
          <w:szCs w:val="20"/>
        </w:rPr>
        <w:t xml:space="preserve">roups </w:t>
      </w:r>
      <w:r w:rsidR="00254C0F">
        <w:rPr>
          <w:rFonts w:ascii="Times New Roman" w:eastAsia="Times New Roman" w:hAnsi="Times New Roman" w:cs="Times New Roman"/>
          <w:color w:val="auto"/>
          <w:kern w:val="36"/>
          <w:sz w:val="20"/>
          <w:szCs w:val="20"/>
        </w:rPr>
        <w:t>l</w:t>
      </w:r>
      <w:r>
        <w:rPr>
          <w:rFonts w:ascii="Times New Roman" w:eastAsia="Times New Roman" w:hAnsi="Times New Roman" w:cs="Times New Roman"/>
          <w:color w:val="auto"/>
          <w:kern w:val="36"/>
          <w:sz w:val="20"/>
          <w:szCs w:val="20"/>
        </w:rPr>
        <w:t xml:space="preserve">obby or </w:t>
      </w:r>
      <w:r w:rsidR="00254C0F">
        <w:rPr>
          <w:rFonts w:ascii="Times New Roman" w:eastAsia="Times New Roman" w:hAnsi="Times New Roman" w:cs="Times New Roman"/>
          <w:color w:val="auto"/>
          <w:kern w:val="36"/>
          <w:sz w:val="20"/>
          <w:szCs w:val="20"/>
        </w:rPr>
        <w:t>m</w:t>
      </w:r>
      <w:r>
        <w:rPr>
          <w:rFonts w:ascii="Times New Roman" w:eastAsia="Times New Roman" w:hAnsi="Times New Roman" w:cs="Times New Roman"/>
          <w:color w:val="auto"/>
          <w:kern w:val="36"/>
          <w:sz w:val="20"/>
          <w:szCs w:val="20"/>
        </w:rPr>
        <w:t xml:space="preserve">onitor </w:t>
      </w:r>
      <w:r w:rsidR="00254C0F">
        <w:rPr>
          <w:rFonts w:ascii="Times New Roman" w:eastAsia="Times New Roman" w:hAnsi="Times New Roman" w:cs="Times New Roman"/>
          <w:color w:val="auto"/>
          <w:kern w:val="36"/>
          <w:sz w:val="20"/>
          <w:szCs w:val="20"/>
        </w:rPr>
        <w:t>p</w:t>
      </w:r>
      <w:r>
        <w:rPr>
          <w:rFonts w:ascii="Times New Roman" w:eastAsia="Times New Roman" w:hAnsi="Times New Roman" w:cs="Times New Roman"/>
          <w:color w:val="auto"/>
          <w:kern w:val="36"/>
          <w:sz w:val="20"/>
          <w:szCs w:val="20"/>
        </w:rPr>
        <w:t xml:space="preserve">olicymakers? </w:t>
      </w:r>
      <w:r w:rsidRPr="008327A1">
        <w:rPr>
          <w:rFonts w:ascii="Times New Roman" w:eastAsia="Times New Roman" w:hAnsi="Times New Roman" w:cs="Times New Roman"/>
          <w:i/>
          <w:iCs/>
          <w:color w:val="auto"/>
          <w:kern w:val="36"/>
          <w:sz w:val="20"/>
          <w:szCs w:val="20"/>
        </w:rPr>
        <w:t>Quarterly Journal of Political Science</w:t>
      </w:r>
      <w:r>
        <w:rPr>
          <w:rFonts w:ascii="Times New Roman" w:eastAsia="Times New Roman" w:hAnsi="Times New Roman" w:cs="Times New Roman"/>
          <w:color w:val="auto"/>
          <w:kern w:val="36"/>
          <w:sz w:val="20"/>
          <w:szCs w:val="20"/>
        </w:rPr>
        <w:t xml:space="preserve"> 19(1): 27-52. </w:t>
      </w:r>
    </w:p>
  </w:footnote>
  <w:footnote w:id="39">
    <w:p w14:paraId="303F8C79" w14:textId="77777777" w:rsidR="00FE04EA" w:rsidRPr="00B00B69" w:rsidRDefault="00FE04EA" w:rsidP="00FE04EA">
      <w:pPr>
        <w:pStyle w:val="FootnoteText"/>
        <w:rPr>
          <w:rFonts w:ascii="Times New Roman" w:hAnsi="Times New Roman" w:cs="Times New Roman"/>
        </w:rPr>
      </w:pPr>
      <w:r w:rsidRPr="00B00B69">
        <w:rPr>
          <w:rStyle w:val="FootnoteReference"/>
          <w:rFonts w:ascii="Times New Roman" w:hAnsi="Times New Roman" w:cs="Times New Roman"/>
        </w:rPr>
        <w:footnoteRef/>
      </w:r>
      <w:r w:rsidRPr="00B00B69">
        <w:rPr>
          <w:rFonts w:ascii="Times New Roman" w:hAnsi="Times New Roman" w:cs="Times New Roman"/>
        </w:rPr>
        <w:t xml:space="preserve"> </w:t>
      </w:r>
      <w:r w:rsidRPr="00B00B69">
        <w:rPr>
          <w:rFonts w:ascii="Times New Roman" w:hAnsi="Times New Roman" w:cs="Times New Roman"/>
          <w:kern w:val="0"/>
          <w14:ligatures w14:val="none"/>
        </w:rPr>
        <w:t>Clean Air Act of 1963, Pub. L. 88-206, 77 Stat. 392 (1963).</w:t>
      </w:r>
    </w:p>
  </w:footnote>
  <w:footnote w:id="40">
    <w:p w14:paraId="63BCF60F" w14:textId="77777777" w:rsidR="00C22B85" w:rsidRPr="0054545C" w:rsidRDefault="00C22B85" w:rsidP="00C22B85">
      <w:pPr>
        <w:pStyle w:val="FootnoteText"/>
        <w:rPr>
          <w:rFonts w:ascii="Times New Roman" w:hAnsi="Times New Roman" w:cs="Times New Roman"/>
        </w:rPr>
      </w:pPr>
      <w:r w:rsidRPr="0054545C">
        <w:rPr>
          <w:rStyle w:val="FootnoteReference"/>
          <w:rFonts w:ascii="Times New Roman" w:hAnsi="Times New Roman" w:cs="Times New Roman"/>
        </w:rPr>
        <w:footnoteRef/>
      </w:r>
      <w:r w:rsidRPr="0054545C">
        <w:rPr>
          <w:rFonts w:ascii="Times New Roman" w:hAnsi="Times New Roman" w:cs="Times New Roman"/>
        </w:rPr>
        <w:t xml:space="preserve"> </w:t>
      </w:r>
      <w:r w:rsidRPr="0054545C">
        <w:rPr>
          <w:rFonts w:ascii="Times New Roman" w:hAnsi="Times New Roman" w:cs="Times New Roman"/>
          <w:color w:val="000000"/>
        </w:rPr>
        <w:t>Aldy, J E, Auffhammer, M. and Cropper, M. (2022), Looking back at 50 years of the Clean Air Act, </w:t>
      </w:r>
      <w:r w:rsidRPr="0054545C">
        <w:rPr>
          <w:rStyle w:val="Emphasis"/>
          <w:rFonts w:ascii="Times New Roman" w:hAnsi="Times New Roman" w:cs="Times New Roman"/>
          <w:color w:val="000000"/>
          <w:bdr w:val="none" w:sz="0" w:space="0" w:color="auto" w:frame="1"/>
        </w:rPr>
        <w:t>Journal of Economic Literature</w:t>
      </w:r>
      <w:r w:rsidRPr="0054545C">
        <w:rPr>
          <w:rFonts w:ascii="Times New Roman" w:hAnsi="Times New Roman" w:cs="Times New Roman"/>
          <w:color w:val="000000"/>
        </w:rPr>
        <w:t> 60(1): 179-232.</w:t>
      </w:r>
    </w:p>
  </w:footnote>
  <w:footnote w:id="41">
    <w:p w14:paraId="652413A6" w14:textId="166620E1" w:rsidR="00957363" w:rsidRDefault="00957363">
      <w:pPr>
        <w:pStyle w:val="FootnoteText"/>
      </w:pPr>
      <w:r>
        <w:rPr>
          <w:rStyle w:val="FootnoteReference"/>
        </w:rPr>
        <w:footnoteRef/>
      </w:r>
      <w:r>
        <w:t xml:space="preserve"> </w:t>
      </w:r>
      <w:r w:rsidRPr="006E1714">
        <w:rPr>
          <w:rFonts w:ascii="Times New Roman" w:eastAsia="Calibri" w:hAnsi="Times New Roman" w:cs="Times New Roman"/>
          <w:kern w:val="0"/>
          <w14:ligatures w14:val="none"/>
        </w:rPr>
        <w:t xml:space="preserve">Currie, J. and Walker, R. (2019) What </w:t>
      </w:r>
      <w:r w:rsidR="001B3917">
        <w:rPr>
          <w:rFonts w:ascii="Times New Roman" w:eastAsia="Calibri" w:hAnsi="Times New Roman" w:cs="Times New Roman"/>
          <w:kern w:val="0"/>
          <w14:ligatures w14:val="none"/>
        </w:rPr>
        <w:t>d</w:t>
      </w:r>
      <w:r w:rsidRPr="006E1714">
        <w:rPr>
          <w:rFonts w:ascii="Times New Roman" w:eastAsia="Calibri" w:hAnsi="Times New Roman" w:cs="Times New Roman"/>
          <w:kern w:val="0"/>
          <w14:ligatures w14:val="none"/>
        </w:rPr>
        <w:t xml:space="preserve">o </w:t>
      </w:r>
      <w:r w:rsidR="001B3917">
        <w:rPr>
          <w:rFonts w:ascii="Times New Roman" w:eastAsia="Calibri" w:hAnsi="Times New Roman" w:cs="Times New Roman"/>
          <w:kern w:val="0"/>
          <w14:ligatures w14:val="none"/>
        </w:rPr>
        <w:t>e</w:t>
      </w:r>
      <w:r w:rsidRPr="006E1714">
        <w:rPr>
          <w:rFonts w:ascii="Times New Roman" w:eastAsia="Calibri" w:hAnsi="Times New Roman" w:cs="Times New Roman"/>
          <w:kern w:val="0"/>
          <w14:ligatures w14:val="none"/>
        </w:rPr>
        <w:t xml:space="preserve">conomists </w:t>
      </w:r>
      <w:r w:rsidR="001B3917">
        <w:rPr>
          <w:rFonts w:ascii="Times New Roman" w:eastAsia="Calibri" w:hAnsi="Times New Roman" w:cs="Times New Roman"/>
          <w:kern w:val="0"/>
          <w14:ligatures w14:val="none"/>
        </w:rPr>
        <w:t>h</w:t>
      </w:r>
      <w:r w:rsidRPr="006E1714">
        <w:rPr>
          <w:rFonts w:ascii="Times New Roman" w:eastAsia="Calibri" w:hAnsi="Times New Roman" w:cs="Times New Roman"/>
          <w:kern w:val="0"/>
          <w14:ligatures w14:val="none"/>
        </w:rPr>
        <w:t xml:space="preserve">ave to </w:t>
      </w:r>
      <w:r w:rsidR="001B3917">
        <w:rPr>
          <w:rFonts w:ascii="Times New Roman" w:eastAsia="Calibri" w:hAnsi="Times New Roman" w:cs="Times New Roman"/>
          <w:kern w:val="0"/>
          <w14:ligatures w14:val="none"/>
        </w:rPr>
        <w:t>s</w:t>
      </w:r>
      <w:r w:rsidRPr="006E1714">
        <w:rPr>
          <w:rFonts w:ascii="Times New Roman" w:eastAsia="Calibri" w:hAnsi="Times New Roman" w:cs="Times New Roman"/>
          <w:kern w:val="0"/>
          <w14:ligatures w14:val="none"/>
        </w:rPr>
        <w:t xml:space="preserve">ay about the Clean Air Act 50 </w:t>
      </w:r>
      <w:r w:rsidR="001B3917">
        <w:rPr>
          <w:rFonts w:ascii="Times New Roman" w:eastAsia="Calibri" w:hAnsi="Times New Roman" w:cs="Times New Roman"/>
          <w:kern w:val="0"/>
          <w14:ligatures w14:val="none"/>
        </w:rPr>
        <w:t>y</w:t>
      </w:r>
      <w:r w:rsidRPr="006E1714">
        <w:rPr>
          <w:rFonts w:ascii="Times New Roman" w:eastAsia="Calibri" w:hAnsi="Times New Roman" w:cs="Times New Roman"/>
          <w:kern w:val="0"/>
          <w14:ligatures w14:val="none"/>
        </w:rPr>
        <w:t xml:space="preserve">ears after the </w:t>
      </w:r>
      <w:r w:rsidR="001B3917">
        <w:rPr>
          <w:rFonts w:ascii="Times New Roman" w:eastAsia="Calibri" w:hAnsi="Times New Roman" w:cs="Times New Roman"/>
          <w:kern w:val="0"/>
          <w14:ligatures w14:val="none"/>
        </w:rPr>
        <w:t>e</w:t>
      </w:r>
      <w:r w:rsidRPr="006E1714">
        <w:rPr>
          <w:rFonts w:ascii="Times New Roman" w:eastAsia="Calibri" w:hAnsi="Times New Roman" w:cs="Times New Roman"/>
          <w:kern w:val="0"/>
          <w14:ligatures w14:val="none"/>
        </w:rPr>
        <w:t xml:space="preserve">stablishment of the Environmental Protection Agency? </w:t>
      </w:r>
      <w:r w:rsidRPr="006E1714">
        <w:rPr>
          <w:rFonts w:ascii="Times New Roman" w:eastAsia="Calibri" w:hAnsi="Times New Roman" w:cs="Times New Roman"/>
          <w:i/>
          <w:iCs/>
          <w:kern w:val="0"/>
          <w14:ligatures w14:val="none"/>
        </w:rPr>
        <w:t>Journal of Economic Perspectives</w:t>
      </w:r>
      <w:r w:rsidRPr="006E1714">
        <w:rPr>
          <w:rFonts w:ascii="Times New Roman" w:eastAsia="Calibri" w:hAnsi="Times New Roman" w:cs="Times New Roman"/>
          <w:kern w:val="0"/>
          <w14:ligatures w14:val="none"/>
        </w:rPr>
        <w:t xml:space="preserve"> 33(4): 3–26</w:t>
      </w:r>
      <w:r>
        <w:rPr>
          <w:rFonts w:ascii="Times New Roman" w:eastAsia="Calibri" w:hAnsi="Times New Roman" w:cs="Times New Roman"/>
          <w:kern w:val="0"/>
          <w14:ligatures w14:val="none"/>
        </w:rPr>
        <w:t>.</w:t>
      </w:r>
    </w:p>
  </w:footnote>
  <w:footnote w:id="42">
    <w:p w14:paraId="0CC01B2D" w14:textId="3B3D0B12" w:rsidR="006E1714" w:rsidRPr="00F249E8" w:rsidRDefault="006E1714" w:rsidP="006E1714">
      <w:pPr>
        <w:pStyle w:val="FootnoteText"/>
        <w:rPr>
          <w:rFonts w:ascii="Times New Roman" w:hAnsi="Times New Roman" w:cs="Times New Roman"/>
        </w:rPr>
      </w:pPr>
      <w:r w:rsidRPr="00F249E8">
        <w:rPr>
          <w:rStyle w:val="FootnoteReference"/>
          <w:rFonts w:ascii="Times New Roman" w:hAnsi="Times New Roman" w:cs="Times New Roman"/>
        </w:rPr>
        <w:footnoteRef/>
      </w:r>
      <w:r w:rsidRPr="00F249E8">
        <w:rPr>
          <w:rFonts w:ascii="Times New Roman" w:hAnsi="Times New Roman" w:cs="Times New Roman"/>
        </w:rPr>
        <w:t xml:space="preserve"> See also similar conclusions in </w:t>
      </w:r>
      <w:r w:rsidR="00F922AB" w:rsidRPr="007B2E90">
        <w:rPr>
          <w:rFonts w:ascii="Times New Roman" w:hAnsi="Times New Roman" w:cs="Times New Roman"/>
          <w:color w:val="000000"/>
        </w:rPr>
        <w:t xml:space="preserve">Aldy, </w:t>
      </w:r>
      <w:r w:rsidR="0061694B">
        <w:rPr>
          <w:rFonts w:ascii="Times New Roman" w:hAnsi="Times New Roman" w:cs="Times New Roman"/>
          <w:color w:val="000000"/>
        </w:rPr>
        <w:t xml:space="preserve">et al </w:t>
      </w:r>
      <w:r w:rsidR="00F922AB" w:rsidRPr="007B2E90">
        <w:rPr>
          <w:rFonts w:ascii="Times New Roman" w:hAnsi="Times New Roman" w:cs="Times New Roman"/>
          <w:color w:val="000000"/>
        </w:rPr>
        <w:t>(2022</w:t>
      </w:r>
      <w:r w:rsidR="0061694B">
        <w:rPr>
          <w:rFonts w:ascii="Times New Roman" w:hAnsi="Times New Roman" w:cs="Times New Roman"/>
          <w:color w:val="000000"/>
        </w:rPr>
        <w:t xml:space="preserve">, </w:t>
      </w:r>
      <w:r w:rsidRPr="00F249E8">
        <w:rPr>
          <w:rFonts w:ascii="Times New Roman" w:hAnsi="Times New Roman" w:cs="Times New Roman"/>
        </w:rPr>
        <w:t>179</w:t>
      </w:r>
      <w:r w:rsidR="0061694B">
        <w:rPr>
          <w:rFonts w:ascii="Times New Roman" w:hAnsi="Times New Roman" w:cs="Times New Roman"/>
        </w:rPr>
        <w:t>)</w:t>
      </w:r>
      <w:r w:rsidRPr="00F249E8">
        <w:rPr>
          <w:rFonts w:ascii="Times New Roman" w:hAnsi="Times New Roman" w:cs="Times New Roman"/>
        </w:rPr>
        <w:t>.</w:t>
      </w:r>
    </w:p>
  </w:footnote>
  <w:footnote w:id="43">
    <w:p w14:paraId="6A3DBA1A" w14:textId="2FDE9259" w:rsidR="00D234F9" w:rsidRPr="007B2E90" w:rsidRDefault="00D234F9" w:rsidP="00D234F9">
      <w:pPr>
        <w:spacing w:after="0" w:line="240" w:lineRule="auto"/>
        <w:rPr>
          <w:rFonts w:ascii="Times New Roman" w:hAnsi="Times New Roman" w:cs="Times New Roman"/>
          <w:sz w:val="20"/>
          <w:szCs w:val="20"/>
        </w:rPr>
      </w:pPr>
      <w:r w:rsidRPr="0054545C">
        <w:rPr>
          <w:rStyle w:val="FootnoteReference"/>
          <w:rFonts w:ascii="Times New Roman" w:hAnsi="Times New Roman" w:cs="Times New Roman"/>
        </w:rPr>
        <w:footnoteRef/>
      </w:r>
      <w:r w:rsidRPr="0054545C">
        <w:rPr>
          <w:rFonts w:ascii="Times New Roman" w:hAnsi="Times New Roman" w:cs="Times New Roman"/>
        </w:rPr>
        <w:t xml:space="preserve"> </w:t>
      </w:r>
      <w:r w:rsidRPr="007B2E90">
        <w:rPr>
          <w:rFonts w:ascii="Times New Roman" w:eastAsia="Times New Roman" w:hAnsi="Times New Roman" w:cs="Times New Roman"/>
          <w:sz w:val="20"/>
          <w:szCs w:val="20"/>
        </w:rPr>
        <w:t xml:space="preserve">Mulligan </w:t>
      </w:r>
      <w:r w:rsidR="005902A1">
        <w:rPr>
          <w:rFonts w:ascii="Times New Roman" w:eastAsia="Times New Roman" w:hAnsi="Times New Roman" w:cs="Times New Roman"/>
          <w:sz w:val="20"/>
          <w:szCs w:val="20"/>
        </w:rPr>
        <w:t xml:space="preserve">(2023) </w:t>
      </w:r>
      <w:r w:rsidRPr="007B2E90">
        <w:rPr>
          <w:rFonts w:ascii="Times New Roman" w:eastAsia="Times New Roman" w:hAnsi="Times New Roman" w:cs="Times New Roman"/>
          <w:sz w:val="20"/>
          <w:szCs w:val="20"/>
        </w:rPr>
        <w:t xml:space="preserve">criticizes Pigouvian approaches because they ignore negotiated regulation. </w:t>
      </w:r>
    </w:p>
  </w:footnote>
  <w:footnote w:id="44">
    <w:p w14:paraId="5D19739A" w14:textId="5BA3CF7E" w:rsidR="00D234F9" w:rsidRPr="004A7A91" w:rsidRDefault="00D234F9" w:rsidP="00D234F9">
      <w:pPr>
        <w:pStyle w:val="FootnoteText"/>
      </w:pPr>
      <w:r>
        <w:rPr>
          <w:rStyle w:val="FootnoteReference"/>
        </w:rPr>
        <w:footnoteRef/>
      </w:r>
      <w:r>
        <w:t xml:space="preserve"> </w:t>
      </w:r>
      <w:r w:rsidRPr="003B31CB">
        <w:rPr>
          <w:rFonts w:ascii="Times New Roman" w:hAnsi="Times New Roman" w:cs="Times New Roman"/>
        </w:rPr>
        <w:t xml:space="preserve">For </w:t>
      </w:r>
      <w:r>
        <w:rPr>
          <w:rFonts w:ascii="Times New Roman" w:hAnsi="Times New Roman" w:cs="Times New Roman"/>
        </w:rPr>
        <w:t xml:space="preserve">infant mortality and other health </w:t>
      </w:r>
      <w:r w:rsidRPr="003B31CB">
        <w:rPr>
          <w:rFonts w:ascii="Times New Roman" w:hAnsi="Times New Roman" w:cs="Times New Roman"/>
        </w:rPr>
        <w:t xml:space="preserve">benefits of reduced </w:t>
      </w:r>
      <w:r>
        <w:rPr>
          <w:rFonts w:ascii="Times New Roman" w:hAnsi="Times New Roman" w:cs="Times New Roman"/>
        </w:rPr>
        <w:t xml:space="preserve">air </w:t>
      </w:r>
      <w:r w:rsidRPr="003B31CB">
        <w:rPr>
          <w:rFonts w:ascii="Times New Roman" w:hAnsi="Times New Roman" w:cs="Times New Roman"/>
        </w:rPr>
        <w:t xml:space="preserve">pollution, see research summarized in Clay, K. and Severnini, E.R. (2024). </w:t>
      </w:r>
      <w:r w:rsidRPr="003B31CB">
        <w:rPr>
          <w:rFonts w:ascii="Times New Roman" w:eastAsia="Times New Roman" w:hAnsi="Times New Roman" w:cs="Times New Roman"/>
          <w:spacing w:val="-8"/>
          <w:kern w:val="36"/>
        </w:rPr>
        <w:t xml:space="preserve">Clearing the </w:t>
      </w:r>
      <w:r w:rsidR="006052D2">
        <w:rPr>
          <w:rFonts w:ascii="Times New Roman" w:eastAsia="Times New Roman" w:hAnsi="Times New Roman" w:cs="Times New Roman"/>
          <w:spacing w:val="-8"/>
          <w:kern w:val="36"/>
        </w:rPr>
        <w:t>a</w:t>
      </w:r>
      <w:r w:rsidRPr="003B31CB">
        <w:rPr>
          <w:rFonts w:ascii="Times New Roman" w:eastAsia="Times New Roman" w:hAnsi="Times New Roman" w:cs="Times New Roman"/>
          <w:spacing w:val="-8"/>
          <w:kern w:val="36"/>
        </w:rPr>
        <w:t xml:space="preserve">ir: Historical </w:t>
      </w:r>
      <w:r w:rsidR="006052D2">
        <w:rPr>
          <w:rFonts w:ascii="Times New Roman" w:eastAsia="Times New Roman" w:hAnsi="Times New Roman" w:cs="Times New Roman"/>
          <w:spacing w:val="-8"/>
          <w:kern w:val="36"/>
        </w:rPr>
        <w:t>a</w:t>
      </w:r>
      <w:r w:rsidRPr="003B31CB">
        <w:rPr>
          <w:rFonts w:ascii="Times New Roman" w:eastAsia="Times New Roman" w:hAnsi="Times New Roman" w:cs="Times New Roman"/>
          <w:spacing w:val="-8"/>
          <w:kern w:val="36"/>
        </w:rPr>
        <w:t xml:space="preserve">ir </w:t>
      </w:r>
      <w:r w:rsidR="006052D2">
        <w:rPr>
          <w:rFonts w:ascii="Times New Roman" w:eastAsia="Times New Roman" w:hAnsi="Times New Roman" w:cs="Times New Roman"/>
          <w:spacing w:val="-8"/>
          <w:kern w:val="36"/>
        </w:rPr>
        <w:t>p</w:t>
      </w:r>
      <w:r w:rsidRPr="003B31CB">
        <w:rPr>
          <w:rFonts w:ascii="Times New Roman" w:eastAsia="Times New Roman" w:hAnsi="Times New Roman" w:cs="Times New Roman"/>
          <w:spacing w:val="-8"/>
          <w:kern w:val="36"/>
        </w:rPr>
        <w:t xml:space="preserve">ollution and </w:t>
      </w:r>
      <w:r w:rsidR="006052D2">
        <w:rPr>
          <w:rFonts w:ascii="Times New Roman" w:eastAsia="Times New Roman" w:hAnsi="Times New Roman" w:cs="Times New Roman"/>
          <w:spacing w:val="-8"/>
          <w:kern w:val="36"/>
        </w:rPr>
        <w:t>h</w:t>
      </w:r>
      <w:r w:rsidRPr="003B31CB">
        <w:rPr>
          <w:rFonts w:ascii="Times New Roman" w:eastAsia="Times New Roman" w:hAnsi="Times New Roman" w:cs="Times New Roman"/>
          <w:spacing w:val="-8"/>
          <w:kern w:val="36"/>
        </w:rPr>
        <w:t xml:space="preserve">ealth. </w:t>
      </w:r>
      <w:r w:rsidRPr="00B43299">
        <w:rPr>
          <w:rFonts w:ascii="Times New Roman" w:eastAsia="Times New Roman" w:hAnsi="Times New Roman" w:cs="Times New Roman"/>
          <w:i/>
          <w:iCs/>
          <w:spacing w:val="-8"/>
          <w:kern w:val="36"/>
        </w:rPr>
        <w:t xml:space="preserve">NBER </w:t>
      </w:r>
      <w:r>
        <w:rPr>
          <w:rFonts w:ascii="Times New Roman" w:eastAsia="Times New Roman" w:hAnsi="Times New Roman" w:cs="Times New Roman"/>
          <w:i/>
          <w:iCs/>
          <w:spacing w:val="-8"/>
          <w:kern w:val="36"/>
        </w:rPr>
        <w:t>Reporter</w:t>
      </w:r>
      <w:r>
        <w:rPr>
          <w:rFonts w:ascii="Times New Roman" w:eastAsia="Times New Roman" w:hAnsi="Times New Roman" w:cs="Times New Roman"/>
          <w:spacing w:val="-8"/>
          <w:kern w:val="36"/>
        </w:rPr>
        <w:t xml:space="preserve"> July 23, 2024.</w:t>
      </w:r>
    </w:p>
  </w:footnote>
  <w:footnote w:id="45">
    <w:p w14:paraId="245DFF2F" w14:textId="77777777" w:rsidR="00702CC6" w:rsidRPr="00E70A25" w:rsidRDefault="00702CC6" w:rsidP="00702CC6">
      <w:pPr>
        <w:pStyle w:val="FootnoteText"/>
        <w:rPr>
          <w:rFonts w:ascii="Times New Roman" w:hAnsi="Times New Roman" w:cs="Times New Roman"/>
        </w:rPr>
      </w:pPr>
      <w:r w:rsidRPr="00E70A25">
        <w:rPr>
          <w:rStyle w:val="FootnoteReference"/>
          <w:rFonts w:ascii="Times New Roman" w:hAnsi="Times New Roman" w:cs="Times New Roman"/>
        </w:rPr>
        <w:footnoteRef/>
      </w:r>
      <w:r w:rsidRPr="00E70A25">
        <w:rPr>
          <w:rFonts w:ascii="Times New Roman" w:hAnsi="Times New Roman" w:cs="Times New Roman"/>
        </w:rPr>
        <w:t xml:space="preserve"> Quoted in Daniels et al (2020, 957).</w:t>
      </w:r>
    </w:p>
  </w:footnote>
  <w:footnote w:id="46">
    <w:p w14:paraId="45137F99" w14:textId="77777777" w:rsidR="00702CC6" w:rsidRPr="00D83F31" w:rsidRDefault="00702CC6" w:rsidP="00702CC6">
      <w:pPr>
        <w:pStyle w:val="FootnoteText"/>
        <w:rPr>
          <w:rFonts w:ascii="Times New Roman" w:hAnsi="Times New Roman" w:cs="Times New Roman"/>
        </w:rPr>
      </w:pPr>
      <w:r w:rsidRPr="00D83F31">
        <w:rPr>
          <w:rStyle w:val="FootnoteReference"/>
          <w:rFonts w:ascii="Times New Roman" w:hAnsi="Times New Roman" w:cs="Times New Roman"/>
        </w:rPr>
        <w:footnoteRef/>
      </w:r>
      <w:r w:rsidRPr="00D83F31">
        <w:rPr>
          <w:rFonts w:ascii="Times New Roman" w:hAnsi="Times New Roman" w:cs="Times New Roman"/>
        </w:rPr>
        <w:t xml:space="preserve"> </w:t>
      </w:r>
      <w:r w:rsidRPr="00D83F31">
        <w:rPr>
          <w:rFonts w:ascii="Times New Roman" w:eastAsia="Times New Roman" w:hAnsi="Times New Roman" w:cs="Times New Roman"/>
          <w:color w:val="1B1B1B"/>
        </w:rPr>
        <w:t xml:space="preserve">The </w:t>
      </w:r>
      <w:r w:rsidRPr="00D83F31">
        <w:rPr>
          <w:rFonts w:ascii="Times New Roman" w:hAnsi="Times New Roman" w:cs="Times New Roman"/>
          <w:color w:val="222222"/>
        </w:rPr>
        <w:t xml:space="preserve">US Supreme Court ruled in 2001 in </w:t>
      </w:r>
      <w:r w:rsidRPr="00D83F31">
        <w:rPr>
          <w:rFonts w:ascii="Times New Roman" w:hAnsi="Times New Roman" w:cs="Times New Roman"/>
          <w:i/>
          <w:iCs/>
          <w:color w:val="222222"/>
        </w:rPr>
        <w:t>Whitman v American Trucking Associations Inc</w:t>
      </w:r>
      <w:r w:rsidRPr="00D83F31">
        <w:rPr>
          <w:rFonts w:ascii="Times New Roman" w:hAnsi="Times New Roman" w:cs="Times New Roman"/>
          <w:color w:val="161619"/>
          <w:spacing w:val="-5"/>
          <w:shd w:val="clear" w:color="auto" w:fill="FFFFFF"/>
        </w:rPr>
        <w:t xml:space="preserve"> (531 U.S. 457), </w:t>
      </w:r>
      <w:r w:rsidRPr="00D83F31">
        <w:rPr>
          <w:rFonts w:ascii="Times New Roman" w:hAnsi="Times New Roman" w:cs="Times New Roman"/>
          <w:color w:val="222222"/>
        </w:rPr>
        <w:t>that the Clean Air Act “unambiguously bars cost considerations from the [pollution limits]-setting process.”</w:t>
      </w:r>
    </w:p>
  </w:footnote>
  <w:footnote w:id="47">
    <w:p w14:paraId="1812DC0A" w14:textId="77777777" w:rsidR="00702CC6" w:rsidRPr="00EF7723" w:rsidRDefault="00702CC6" w:rsidP="00702CC6">
      <w:pPr>
        <w:pStyle w:val="FootnoteText"/>
        <w:rPr>
          <w:rFonts w:ascii="Times New Roman" w:hAnsi="Times New Roman" w:cs="Times New Roman"/>
        </w:rPr>
      </w:pPr>
      <w:r w:rsidRPr="00EF7723">
        <w:rPr>
          <w:rStyle w:val="FootnoteReference"/>
          <w:rFonts w:ascii="Times New Roman" w:hAnsi="Times New Roman" w:cs="Times New Roman"/>
        </w:rPr>
        <w:footnoteRef/>
      </w:r>
      <w:r w:rsidRPr="00EF7723">
        <w:rPr>
          <w:rFonts w:ascii="Times New Roman" w:hAnsi="Times New Roman" w:cs="Times New Roman"/>
        </w:rPr>
        <w:t xml:space="preserve"> https://en.wikipedia.org/wiki/Michigan_v._EPA</w:t>
      </w:r>
    </w:p>
  </w:footnote>
  <w:footnote w:id="48">
    <w:p w14:paraId="3474B3F6" w14:textId="562379FE" w:rsidR="00D234F9" w:rsidRPr="00423F94" w:rsidRDefault="00D234F9" w:rsidP="00D234F9">
      <w:pPr>
        <w:pStyle w:val="FootnoteText"/>
        <w:rPr>
          <w:rFonts w:ascii="Times New Roman" w:hAnsi="Times New Roman" w:cs="Times New Roman"/>
        </w:rPr>
      </w:pPr>
      <w:r w:rsidRPr="00423F94">
        <w:rPr>
          <w:rStyle w:val="FootnoteReference"/>
          <w:rFonts w:ascii="Times New Roman" w:hAnsi="Times New Roman" w:cs="Times New Roman"/>
        </w:rPr>
        <w:footnoteRef/>
      </w:r>
      <w:r w:rsidRPr="00423F94">
        <w:rPr>
          <w:rFonts w:ascii="Times New Roman" w:hAnsi="Times New Roman" w:cs="Times New Roman"/>
        </w:rPr>
        <w:t xml:space="preserve"> Shapiro, J.S. and Walker, R. (2004). Is Air </w:t>
      </w:r>
      <w:r w:rsidR="00521981">
        <w:rPr>
          <w:rFonts w:ascii="Times New Roman" w:hAnsi="Times New Roman" w:cs="Times New Roman"/>
        </w:rPr>
        <w:t>p</w:t>
      </w:r>
      <w:r w:rsidRPr="00423F94">
        <w:rPr>
          <w:rFonts w:ascii="Times New Roman" w:hAnsi="Times New Roman" w:cs="Times New Roman"/>
        </w:rPr>
        <w:t xml:space="preserve">ollution </w:t>
      </w:r>
      <w:r w:rsidR="00521981">
        <w:rPr>
          <w:rFonts w:ascii="Times New Roman" w:hAnsi="Times New Roman" w:cs="Times New Roman"/>
        </w:rPr>
        <w:t>r</w:t>
      </w:r>
      <w:r w:rsidRPr="00423F94">
        <w:rPr>
          <w:rFonts w:ascii="Times New Roman" w:hAnsi="Times New Roman" w:cs="Times New Roman"/>
        </w:rPr>
        <w:t xml:space="preserve">egulation too </w:t>
      </w:r>
      <w:r w:rsidR="00521981">
        <w:rPr>
          <w:rFonts w:ascii="Times New Roman" w:hAnsi="Times New Roman" w:cs="Times New Roman"/>
        </w:rPr>
        <w:t>l</w:t>
      </w:r>
      <w:r w:rsidRPr="00423F94">
        <w:rPr>
          <w:rFonts w:ascii="Times New Roman" w:hAnsi="Times New Roman" w:cs="Times New Roman"/>
        </w:rPr>
        <w:t xml:space="preserve">enient? Evidence from US </w:t>
      </w:r>
      <w:r w:rsidR="00521981">
        <w:rPr>
          <w:rFonts w:ascii="Times New Roman" w:hAnsi="Times New Roman" w:cs="Times New Roman"/>
        </w:rPr>
        <w:t>o</w:t>
      </w:r>
      <w:r w:rsidRPr="00423F94">
        <w:rPr>
          <w:rFonts w:ascii="Times New Roman" w:hAnsi="Times New Roman" w:cs="Times New Roman"/>
        </w:rPr>
        <w:t xml:space="preserve">ffset </w:t>
      </w:r>
      <w:r w:rsidR="00521981">
        <w:rPr>
          <w:rFonts w:ascii="Times New Roman" w:hAnsi="Times New Roman" w:cs="Times New Roman"/>
        </w:rPr>
        <w:t>m</w:t>
      </w:r>
      <w:r w:rsidRPr="00423F94">
        <w:rPr>
          <w:rFonts w:ascii="Times New Roman" w:hAnsi="Times New Roman" w:cs="Times New Roman"/>
        </w:rPr>
        <w:t xml:space="preserve">arkets. </w:t>
      </w:r>
      <w:r w:rsidRPr="00D84FE3">
        <w:rPr>
          <w:rFonts w:ascii="Times New Roman" w:hAnsi="Times New Roman" w:cs="Times New Roman"/>
          <w:i/>
          <w:iCs/>
        </w:rPr>
        <w:t>NBER Working Paper 28199</w:t>
      </w:r>
      <w:r w:rsidRPr="00423F94">
        <w:rPr>
          <w:rFonts w:ascii="Times New Roman" w:hAnsi="Times New Roman" w:cs="Times New Roman"/>
        </w:rPr>
        <w:t>, 2020, revised 2024.</w:t>
      </w:r>
    </w:p>
  </w:footnote>
  <w:footnote w:id="49">
    <w:p w14:paraId="0C40BE44" w14:textId="20DAC6AE" w:rsidR="00D37012" w:rsidRPr="00CC63BA" w:rsidRDefault="00D37012" w:rsidP="00D37012">
      <w:pPr>
        <w:pStyle w:val="FootnoteText"/>
        <w:rPr>
          <w:rFonts w:ascii="Times New Roman" w:hAnsi="Times New Roman" w:cs="Times New Roman"/>
        </w:rPr>
      </w:pPr>
      <w:r w:rsidRPr="00CC63BA">
        <w:rPr>
          <w:rStyle w:val="FootnoteReference"/>
          <w:rFonts w:ascii="Times New Roman" w:hAnsi="Times New Roman" w:cs="Times New Roman"/>
        </w:rPr>
        <w:footnoteRef/>
      </w:r>
      <w:r w:rsidRPr="00CC63BA">
        <w:rPr>
          <w:rFonts w:ascii="Times New Roman" w:hAnsi="Times New Roman" w:cs="Times New Roman"/>
        </w:rPr>
        <w:t xml:space="preserve"> Greenstone, M. (2002). The </w:t>
      </w:r>
      <w:r w:rsidR="00521981">
        <w:rPr>
          <w:rFonts w:ascii="Times New Roman" w:hAnsi="Times New Roman" w:cs="Times New Roman"/>
        </w:rPr>
        <w:t>i</w:t>
      </w:r>
      <w:r w:rsidRPr="00CC63BA">
        <w:rPr>
          <w:rFonts w:ascii="Times New Roman" w:hAnsi="Times New Roman" w:cs="Times New Roman"/>
        </w:rPr>
        <w:t xml:space="preserve">mpacts of </w:t>
      </w:r>
      <w:r w:rsidR="00521981">
        <w:rPr>
          <w:rFonts w:ascii="Times New Roman" w:hAnsi="Times New Roman" w:cs="Times New Roman"/>
        </w:rPr>
        <w:t>e</w:t>
      </w:r>
      <w:r w:rsidRPr="00CC63BA">
        <w:rPr>
          <w:rFonts w:ascii="Times New Roman" w:hAnsi="Times New Roman" w:cs="Times New Roman"/>
        </w:rPr>
        <w:t xml:space="preserve">nvironmental </w:t>
      </w:r>
      <w:r w:rsidR="00521981">
        <w:rPr>
          <w:rFonts w:ascii="Times New Roman" w:hAnsi="Times New Roman" w:cs="Times New Roman"/>
        </w:rPr>
        <w:t>r</w:t>
      </w:r>
      <w:r w:rsidRPr="00CC63BA">
        <w:rPr>
          <w:rFonts w:ascii="Times New Roman" w:hAnsi="Times New Roman" w:cs="Times New Roman"/>
        </w:rPr>
        <w:t xml:space="preserve">egulations on </w:t>
      </w:r>
      <w:r w:rsidR="00521981">
        <w:rPr>
          <w:rFonts w:ascii="Times New Roman" w:hAnsi="Times New Roman" w:cs="Times New Roman"/>
        </w:rPr>
        <w:t>i</w:t>
      </w:r>
      <w:r w:rsidRPr="00CC63BA">
        <w:rPr>
          <w:rFonts w:ascii="Times New Roman" w:hAnsi="Times New Roman" w:cs="Times New Roman"/>
        </w:rPr>
        <w:t xml:space="preserve">ndustrial </w:t>
      </w:r>
      <w:r w:rsidR="00521981">
        <w:rPr>
          <w:rFonts w:ascii="Times New Roman" w:hAnsi="Times New Roman" w:cs="Times New Roman"/>
        </w:rPr>
        <w:t>a</w:t>
      </w:r>
      <w:r w:rsidRPr="00CC63BA">
        <w:rPr>
          <w:rFonts w:ascii="Times New Roman" w:hAnsi="Times New Roman" w:cs="Times New Roman"/>
        </w:rPr>
        <w:t xml:space="preserve">ctivity: Evidence from the 1970 and 1977 Clean Air Act Amendments and the Census of Manufactures. </w:t>
      </w:r>
      <w:r w:rsidRPr="00CC63BA">
        <w:rPr>
          <w:rFonts w:ascii="Times New Roman" w:hAnsi="Times New Roman" w:cs="Times New Roman"/>
          <w:i/>
          <w:iCs/>
        </w:rPr>
        <w:t>Journal of Political Economy</w:t>
      </w:r>
      <w:r w:rsidRPr="00CC63BA">
        <w:rPr>
          <w:rFonts w:ascii="Times New Roman" w:hAnsi="Times New Roman" w:cs="Times New Roman"/>
        </w:rPr>
        <w:t xml:space="preserve"> 110 (6): 1175-1219.  </w:t>
      </w:r>
    </w:p>
  </w:footnote>
  <w:footnote w:id="50">
    <w:p w14:paraId="2ACFEEFA" w14:textId="072C8C91" w:rsidR="00D37012" w:rsidRPr="00AD2A67" w:rsidRDefault="00D37012" w:rsidP="004D19BE">
      <w:pPr>
        <w:pStyle w:val="FootnoteText"/>
        <w:rPr>
          <w:rFonts w:ascii="Times New Roman" w:hAnsi="Times New Roman" w:cs="Times New Roman"/>
        </w:rPr>
      </w:pPr>
      <w:r w:rsidRPr="00AD2A67">
        <w:rPr>
          <w:rStyle w:val="FootnoteReference"/>
          <w:rFonts w:ascii="Times New Roman" w:hAnsi="Times New Roman" w:cs="Times New Roman"/>
        </w:rPr>
        <w:footnoteRef/>
      </w:r>
      <w:r w:rsidR="006E1714" w:rsidRPr="006E1714">
        <w:rPr>
          <w:rFonts w:ascii="Times New Roman" w:eastAsia="Calibri" w:hAnsi="Times New Roman" w:cs="Times New Roman"/>
          <w:kern w:val="0"/>
          <w14:ligatures w14:val="none"/>
        </w:rPr>
        <w:t>Currie, J. and Walker, R. (2019</w:t>
      </w:r>
      <w:r w:rsidR="004D19BE">
        <w:rPr>
          <w:rFonts w:ascii="Times New Roman" w:eastAsia="Calibri" w:hAnsi="Times New Roman" w:cs="Times New Roman"/>
          <w:kern w:val="0"/>
          <w14:ligatures w14:val="none"/>
        </w:rPr>
        <w:t xml:space="preserve">, </w:t>
      </w:r>
      <w:r w:rsidR="006E1714" w:rsidRPr="006E1714">
        <w:rPr>
          <w:rFonts w:ascii="Times New Roman" w:eastAsia="Calibri" w:hAnsi="Times New Roman" w:cs="Times New Roman"/>
          <w:kern w:val="0"/>
          <w14:ligatures w14:val="none"/>
        </w:rPr>
        <w:t xml:space="preserve">3–26, </w:t>
      </w:r>
      <w:r w:rsidR="006E1714">
        <w:rPr>
          <w:rFonts w:ascii="Times New Roman" w:eastAsia="Calibri" w:hAnsi="Times New Roman" w:cs="Times New Roman"/>
          <w:kern w:val="0"/>
          <w14:ligatures w14:val="none"/>
        </w:rPr>
        <w:t>15-16</w:t>
      </w:r>
      <w:r w:rsidR="004D19BE">
        <w:rPr>
          <w:rFonts w:ascii="Times New Roman" w:eastAsia="Calibri" w:hAnsi="Times New Roman" w:cs="Times New Roman"/>
          <w:kern w:val="0"/>
          <w14:ligatures w14:val="none"/>
        </w:rPr>
        <w:t xml:space="preserve">); </w:t>
      </w:r>
      <w:r w:rsidRPr="00AD2A67">
        <w:rPr>
          <w:rFonts w:ascii="Times New Roman" w:hAnsi="Times New Roman" w:cs="Times New Roman"/>
        </w:rPr>
        <w:t xml:space="preserve">Walker, R. (2013). </w:t>
      </w:r>
      <w:r w:rsidRPr="00AD2A67">
        <w:rPr>
          <w:rFonts w:ascii="Times New Roman" w:eastAsia="Times New Roman" w:hAnsi="Times New Roman" w:cs="Times New Roman"/>
          <w:color w:val="221F20"/>
        </w:rPr>
        <w:t xml:space="preserve">The </w:t>
      </w:r>
      <w:r w:rsidR="008C3D3B">
        <w:rPr>
          <w:rFonts w:ascii="Times New Roman" w:eastAsia="Times New Roman" w:hAnsi="Times New Roman" w:cs="Times New Roman"/>
          <w:color w:val="221F20"/>
        </w:rPr>
        <w:t>t</w:t>
      </w:r>
      <w:r w:rsidRPr="00AD2A67">
        <w:rPr>
          <w:rFonts w:ascii="Times New Roman" w:eastAsia="Times New Roman" w:hAnsi="Times New Roman" w:cs="Times New Roman"/>
          <w:color w:val="221F20"/>
        </w:rPr>
        <w:t xml:space="preserve">ransitional </w:t>
      </w:r>
      <w:r w:rsidR="008C3D3B">
        <w:rPr>
          <w:rFonts w:ascii="Times New Roman" w:eastAsia="Times New Roman" w:hAnsi="Times New Roman" w:cs="Times New Roman"/>
          <w:color w:val="221F20"/>
        </w:rPr>
        <w:t>c</w:t>
      </w:r>
      <w:r w:rsidRPr="00AD2A67">
        <w:rPr>
          <w:rFonts w:ascii="Times New Roman" w:eastAsia="Times New Roman" w:hAnsi="Times New Roman" w:cs="Times New Roman"/>
          <w:color w:val="221F20"/>
        </w:rPr>
        <w:t>osts of</w:t>
      </w:r>
      <w:r w:rsidR="008C3D3B">
        <w:rPr>
          <w:rFonts w:ascii="Times New Roman" w:eastAsia="Times New Roman" w:hAnsi="Times New Roman" w:cs="Times New Roman"/>
          <w:color w:val="221F20"/>
        </w:rPr>
        <w:t xml:space="preserve"> s</w:t>
      </w:r>
      <w:r w:rsidRPr="00AD2A67">
        <w:rPr>
          <w:rFonts w:ascii="Times New Roman" w:eastAsia="Times New Roman" w:hAnsi="Times New Roman" w:cs="Times New Roman"/>
          <w:color w:val="221F20"/>
        </w:rPr>
        <w:t xml:space="preserve">ectoral </w:t>
      </w:r>
      <w:r w:rsidR="008C3D3B">
        <w:rPr>
          <w:rFonts w:ascii="Times New Roman" w:eastAsia="Times New Roman" w:hAnsi="Times New Roman" w:cs="Times New Roman"/>
          <w:color w:val="221F20"/>
        </w:rPr>
        <w:t>r</w:t>
      </w:r>
      <w:r w:rsidRPr="00AD2A67">
        <w:rPr>
          <w:rFonts w:ascii="Times New Roman" w:eastAsia="Times New Roman" w:hAnsi="Times New Roman" w:cs="Times New Roman"/>
          <w:color w:val="221F20"/>
        </w:rPr>
        <w:t xml:space="preserve">eallocation: Evidence from the Clean Air Act and the </w:t>
      </w:r>
      <w:r w:rsidR="008C3D3B">
        <w:rPr>
          <w:rFonts w:ascii="Times New Roman" w:eastAsia="Times New Roman" w:hAnsi="Times New Roman" w:cs="Times New Roman"/>
          <w:color w:val="221F20"/>
        </w:rPr>
        <w:t>w</w:t>
      </w:r>
      <w:r w:rsidRPr="00AD2A67">
        <w:rPr>
          <w:rFonts w:ascii="Times New Roman" w:eastAsia="Times New Roman" w:hAnsi="Times New Roman" w:cs="Times New Roman"/>
          <w:color w:val="221F20"/>
        </w:rPr>
        <w:t xml:space="preserve">orkforce. </w:t>
      </w:r>
      <w:r w:rsidRPr="00AD2A67">
        <w:rPr>
          <w:rFonts w:ascii="Times New Roman" w:eastAsia="Times New Roman" w:hAnsi="Times New Roman" w:cs="Times New Roman"/>
          <w:i/>
          <w:color w:val="221F20"/>
        </w:rPr>
        <w:t>Quarterly Journal of Economics</w:t>
      </w:r>
      <w:r w:rsidRPr="00AD2A67">
        <w:rPr>
          <w:rFonts w:ascii="Times New Roman" w:eastAsia="Times New Roman" w:hAnsi="Times New Roman" w:cs="Times New Roman"/>
          <w:color w:val="221F20"/>
        </w:rPr>
        <w:t xml:space="preserve"> 128 (4): 1787–835.</w:t>
      </w:r>
    </w:p>
  </w:footnote>
  <w:footnote w:id="51">
    <w:p w14:paraId="082F563C" w14:textId="4FC66105" w:rsidR="00A90DB8" w:rsidRDefault="00A90DB8" w:rsidP="00A90DB8">
      <w:pPr>
        <w:pStyle w:val="FootnoteText"/>
      </w:pPr>
      <w:r>
        <w:rPr>
          <w:rStyle w:val="FootnoteReference"/>
        </w:rPr>
        <w:footnoteRef/>
      </w:r>
      <w:r>
        <w:t xml:space="preserve"> </w:t>
      </w:r>
      <w:r w:rsidR="000C4C0E" w:rsidRPr="004D19BE">
        <w:rPr>
          <w:rFonts w:ascii="Times New Roman" w:hAnsi="Times New Roman" w:cs="Times New Roman"/>
        </w:rPr>
        <w:t xml:space="preserve">See </w:t>
      </w:r>
      <w:r w:rsidRPr="004D19BE">
        <w:rPr>
          <w:rFonts w:ascii="Times New Roman" w:eastAsia="Calibri" w:hAnsi="Times New Roman" w:cs="Times New Roman"/>
          <w:kern w:val="0"/>
          <w14:ligatures w14:val="none"/>
        </w:rPr>
        <w:t>Clay,</w:t>
      </w:r>
      <w:r w:rsidRPr="000355D8">
        <w:rPr>
          <w:rFonts w:ascii="Times New Roman" w:eastAsia="Calibri" w:hAnsi="Times New Roman" w:cs="Times New Roman"/>
          <w:kern w:val="0"/>
          <w14:ligatures w14:val="none"/>
        </w:rPr>
        <w:t xml:space="preserve"> K.</w:t>
      </w:r>
      <w:r w:rsidR="000C4C0E">
        <w:rPr>
          <w:rFonts w:ascii="Times New Roman" w:eastAsia="Calibri" w:hAnsi="Times New Roman" w:cs="Times New Roman"/>
          <w:kern w:val="0"/>
          <w14:ligatures w14:val="none"/>
        </w:rPr>
        <w:t xml:space="preserve"> et al (2022,</w:t>
      </w:r>
      <w:r w:rsidRPr="000355D8">
        <w:rPr>
          <w:rFonts w:ascii="Times New Roman" w:eastAsia="Calibri" w:hAnsi="Times New Roman" w:cs="Times New Roman"/>
          <w:kern w:val="0"/>
          <w14:ligatures w14:val="none"/>
        </w:rPr>
        <w:t xml:space="preserve"> 33</w:t>
      </w:r>
      <w:r w:rsidR="000C4C0E">
        <w:rPr>
          <w:rFonts w:ascii="Times New Roman" w:eastAsia="Calibri" w:hAnsi="Times New Roman" w:cs="Times New Roman"/>
          <w:kern w:val="0"/>
          <w14:ligatures w14:val="none"/>
        </w:rPr>
        <w:t xml:space="preserve">) for discussion of </w:t>
      </w:r>
      <w:r w:rsidRPr="000355D8">
        <w:rPr>
          <w:rFonts w:ascii="Times New Roman" w:eastAsia="Calibri" w:hAnsi="Times New Roman" w:cs="Times New Roman"/>
          <w:kern w:val="0"/>
          <w14:ligatures w14:val="none"/>
        </w:rPr>
        <w:t>industry opposition</w:t>
      </w:r>
      <w:r w:rsidR="000C4C0E">
        <w:rPr>
          <w:rFonts w:ascii="Times New Roman" w:eastAsia="Calibri" w:hAnsi="Times New Roman" w:cs="Times New Roman"/>
          <w:kern w:val="0"/>
          <w14:ligatures w14:val="none"/>
        </w:rPr>
        <w:t xml:space="preserve">. </w:t>
      </w:r>
      <w:r w:rsidRPr="000355D8">
        <w:rPr>
          <w:rFonts w:ascii="Times New Roman" w:eastAsia="Calibri" w:hAnsi="Times New Roman" w:cs="Times New Roman"/>
          <w:kern w:val="0"/>
          <w14:ligatures w14:val="none"/>
        </w:rPr>
        <w:t xml:space="preserve"> </w:t>
      </w:r>
    </w:p>
  </w:footnote>
  <w:footnote w:id="52">
    <w:p w14:paraId="40DF56E5" w14:textId="77777777" w:rsidR="00D234F9" w:rsidRPr="0062416B" w:rsidRDefault="00D234F9" w:rsidP="00D234F9">
      <w:pPr>
        <w:pStyle w:val="FootnoteText"/>
        <w:rPr>
          <w:rFonts w:ascii="Times New Roman" w:hAnsi="Times New Roman" w:cs="Times New Roman"/>
        </w:rPr>
      </w:pPr>
      <w:r w:rsidRPr="0062416B">
        <w:rPr>
          <w:rStyle w:val="FootnoteReference"/>
          <w:rFonts w:ascii="Times New Roman" w:hAnsi="Times New Roman" w:cs="Times New Roman"/>
        </w:rPr>
        <w:footnoteRef/>
      </w:r>
      <w:r w:rsidRPr="0062416B">
        <w:rPr>
          <w:rFonts w:ascii="Times New Roman" w:hAnsi="Times New Roman" w:cs="Times New Roman"/>
        </w:rPr>
        <w:t xml:space="preserve"> </w:t>
      </w:r>
      <w:r w:rsidRPr="0062416B">
        <w:rPr>
          <w:rFonts w:ascii="Times New Roman" w:hAnsi="Times New Roman" w:cs="Times New Roman"/>
          <w:i/>
          <w:iCs/>
        </w:rPr>
        <w:t>Sierra Club v. Ruckelshaus</w:t>
      </w:r>
      <w:r w:rsidRPr="0062416B">
        <w:rPr>
          <w:rFonts w:ascii="Times New Roman" w:hAnsi="Times New Roman" w:cs="Times New Roman"/>
        </w:rPr>
        <w:t xml:space="preserve">, 344 F. Supp. 253 (D.D.C. 1972), aff'd per </w:t>
      </w:r>
      <w:proofErr w:type="spellStart"/>
      <w:r w:rsidRPr="0062416B">
        <w:rPr>
          <w:rFonts w:ascii="Times New Roman" w:hAnsi="Times New Roman" w:cs="Times New Roman"/>
        </w:rPr>
        <w:t>curiam</w:t>
      </w:r>
      <w:proofErr w:type="spellEnd"/>
      <w:r w:rsidRPr="0062416B">
        <w:rPr>
          <w:rFonts w:ascii="Times New Roman" w:hAnsi="Times New Roman" w:cs="Times New Roman"/>
        </w:rPr>
        <w:t xml:space="preserve"> by an equally divided Court sub nom. Fri v. Sierra Club, 412 U.S. 541 (1973).</w:t>
      </w:r>
    </w:p>
  </w:footnote>
  <w:footnote w:id="53">
    <w:p w14:paraId="53155972" w14:textId="77777777" w:rsidR="00D234F9" w:rsidRDefault="00D234F9" w:rsidP="00D234F9">
      <w:pPr>
        <w:pStyle w:val="FootnoteText"/>
      </w:pPr>
      <w:r>
        <w:rPr>
          <w:rStyle w:val="FootnoteReference"/>
        </w:rPr>
        <w:footnoteRef/>
      </w:r>
      <w:r>
        <w:t xml:space="preserve"> </w:t>
      </w:r>
      <w:r w:rsidRPr="00D27915">
        <w:rPr>
          <w:rFonts w:ascii="Times New Roman" w:hAnsi="Times New Roman" w:cs="Times New Roman"/>
        </w:rPr>
        <w:t>McCubbins, Noll, and Weingast (1989, 45</w:t>
      </w:r>
      <w:r>
        <w:rPr>
          <w:rFonts w:ascii="Times New Roman" w:hAnsi="Times New Roman" w:cs="Times New Roman"/>
        </w:rPr>
        <w:t>2-453</w:t>
      </w:r>
      <w:r w:rsidRPr="00D27915">
        <w:rPr>
          <w:rFonts w:ascii="Times New Roman" w:hAnsi="Times New Roman" w:cs="Times New Roman"/>
        </w:rPr>
        <w:t>).</w:t>
      </w:r>
    </w:p>
  </w:footnote>
  <w:footnote w:id="54">
    <w:p w14:paraId="7515447A" w14:textId="77777777" w:rsidR="00D234F9" w:rsidRDefault="00D234F9" w:rsidP="00D234F9">
      <w:pPr>
        <w:pStyle w:val="FootnoteText"/>
      </w:pPr>
      <w:r>
        <w:rPr>
          <w:rStyle w:val="FootnoteReference"/>
        </w:rPr>
        <w:footnoteRef/>
      </w:r>
      <w:r>
        <w:t xml:space="preserve"> </w:t>
      </w:r>
      <w:r w:rsidRPr="00D27915">
        <w:rPr>
          <w:rFonts w:ascii="Times New Roman" w:hAnsi="Times New Roman" w:cs="Times New Roman"/>
        </w:rPr>
        <w:t>McCubbins, Noll, and Weingast (1989, 4</w:t>
      </w:r>
      <w:r>
        <w:rPr>
          <w:rFonts w:ascii="Times New Roman" w:hAnsi="Times New Roman" w:cs="Times New Roman"/>
        </w:rPr>
        <w:t>67-468</w:t>
      </w:r>
      <w:r w:rsidRPr="00D27915">
        <w:rPr>
          <w:rFonts w:ascii="Times New Roman" w:hAnsi="Times New Roman" w:cs="Times New Roman"/>
        </w:rPr>
        <w:t>).</w:t>
      </w:r>
    </w:p>
  </w:footnote>
  <w:footnote w:id="55">
    <w:p w14:paraId="4BF0E2E6" w14:textId="2A2231B2" w:rsidR="00D234F9" w:rsidRPr="00EE7484" w:rsidRDefault="00D234F9" w:rsidP="00D234F9">
      <w:pPr>
        <w:pStyle w:val="FootnoteText"/>
        <w:rPr>
          <w:rFonts w:ascii="Times New Roman" w:hAnsi="Times New Roman" w:cs="Times New Roman"/>
        </w:rPr>
      </w:pPr>
      <w:r w:rsidRPr="00D83F31">
        <w:rPr>
          <w:rStyle w:val="FootnoteReference"/>
          <w:rFonts w:ascii="Times New Roman" w:hAnsi="Times New Roman" w:cs="Times New Roman"/>
        </w:rPr>
        <w:footnoteRef/>
      </w:r>
      <w:r w:rsidRPr="00D83F31">
        <w:rPr>
          <w:rFonts w:ascii="Times New Roman" w:hAnsi="Times New Roman" w:cs="Times New Roman"/>
        </w:rPr>
        <w:t xml:space="preserve"> Pashigian, B. P. (1985). Environmental </w:t>
      </w:r>
      <w:r w:rsidR="00304EB8">
        <w:rPr>
          <w:rFonts w:ascii="Times New Roman" w:hAnsi="Times New Roman" w:cs="Times New Roman"/>
        </w:rPr>
        <w:t>r</w:t>
      </w:r>
      <w:r w:rsidRPr="00D83F31">
        <w:rPr>
          <w:rFonts w:ascii="Times New Roman" w:hAnsi="Times New Roman" w:cs="Times New Roman"/>
        </w:rPr>
        <w:t xml:space="preserve">egulation: Whose </w:t>
      </w:r>
      <w:r w:rsidR="00304EB8">
        <w:rPr>
          <w:rFonts w:ascii="Times New Roman" w:hAnsi="Times New Roman" w:cs="Times New Roman"/>
        </w:rPr>
        <w:t>s</w:t>
      </w:r>
      <w:r w:rsidRPr="00D83F31">
        <w:rPr>
          <w:rFonts w:ascii="Times New Roman" w:hAnsi="Times New Roman" w:cs="Times New Roman"/>
        </w:rPr>
        <w:t>elf-</w:t>
      </w:r>
      <w:r w:rsidR="00304EB8">
        <w:rPr>
          <w:rFonts w:ascii="Times New Roman" w:hAnsi="Times New Roman" w:cs="Times New Roman"/>
        </w:rPr>
        <w:t>i</w:t>
      </w:r>
      <w:r w:rsidRPr="00D83F31">
        <w:rPr>
          <w:rFonts w:ascii="Times New Roman" w:hAnsi="Times New Roman" w:cs="Times New Roman"/>
        </w:rPr>
        <w:t xml:space="preserve">nterests are being </w:t>
      </w:r>
      <w:r w:rsidR="00304EB8">
        <w:rPr>
          <w:rFonts w:ascii="Times New Roman" w:hAnsi="Times New Roman" w:cs="Times New Roman"/>
        </w:rPr>
        <w:t>p</w:t>
      </w:r>
      <w:r w:rsidRPr="00D83F31">
        <w:rPr>
          <w:rFonts w:ascii="Times New Roman" w:hAnsi="Times New Roman" w:cs="Times New Roman"/>
        </w:rPr>
        <w:t xml:space="preserve">rotected?  </w:t>
      </w:r>
      <w:r w:rsidRPr="00304EB8">
        <w:rPr>
          <w:rFonts w:ascii="Times New Roman" w:hAnsi="Times New Roman" w:cs="Times New Roman"/>
          <w:i/>
          <w:iCs/>
        </w:rPr>
        <w:t>Economic Inquiry</w:t>
      </w:r>
      <w:r w:rsidRPr="00D83F31">
        <w:rPr>
          <w:rFonts w:ascii="Times New Roman" w:hAnsi="Times New Roman" w:cs="Times New Roman"/>
        </w:rPr>
        <w:t xml:space="preserve"> 23 (4): 551-74; see also Buchanan, J. M. and Tullock, G., (1975) Polluters’ </w:t>
      </w:r>
      <w:r w:rsidR="00304EB8">
        <w:rPr>
          <w:rFonts w:ascii="Times New Roman" w:hAnsi="Times New Roman" w:cs="Times New Roman"/>
        </w:rPr>
        <w:t>p</w:t>
      </w:r>
      <w:r w:rsidRPr="00D83F31">
        <w:rPr>
          <w:rFonts w:ascii="Times New Roman" w:hAnsi="Times New Roman" w:cs="Times New Roman"/>
        </w:rPr>
        <w:t>rofits and</w:t>
      </w:r>
      <w:r w:rsidRPr="00EE7484">
        <w:rPr>
          <w:rFonts w:ascii="Times New Roman" w:hAnsi="Times New Roman" w:cs="Times New Roman"/>
        </w:rPr>
        <w:t xml:space="preserve"> </w:t>
      </w:r>
      <w:r w:rsidR="00304EB8">
        <w:rPr>
          <w:rFonts w:ascii="Times New Roman" w:hAnsi="Times New Roman" w:cs="Times New Roman"/>
        </w:rPr>
        <w:t>p</w:t>
      </w:r>
      <w:r w:rsidRPr="00EE7484">
        <w:rPr>
          <w:rFonts w:ascii="Times New Roman" w:hAnsi="Times New Roman" w:cs="Times New Roman"/>
        </w:rPr>
        <w:t xml:space="preserve">olitical </w:t>
      </w:r>
      <w:r w:rsidR="00304EB8">
        <w:rPr>
          <w:rFonts w:ascii="Times New Roman" w:hAnsi="Times New Roman" w:cs="Times New Roman"/>
        </w:rPr>
        <w:t>r</w:t>
      </w:r>
      <w:r w:rsidRPr="00EE7484">
        <w:rPr>
          <w:rFonts w:ascii="Times New Roman" w:hAnsi="Times New Roman" w:cs="Times New Roman"/>
        </w:rPr>
        <w:t xml:space="preserve">esponse: Direct </w:t>
      </w:r>
      <w:r w:rsidR="00304EB8">
        <w:rPr>
          <w:rFonts w:ascii="Times New Roman" w:hAnsi="Times New Roman" w:cs="Times New Roman"/>
        </w:rPr>
        <w:t>c</w:t>
      </w:r>
      <w:r w:rsidRPr="00EE7484">
        <w:rPr>
          <w:rFonts w:ascii="Times New Roman" w:hAnsi="Times New Roman" w:cs="Times New Roman"/>
        </w:rPr>
        <w:t>ontrols</w:t>
      </w:r>
      <w:r>
        <w:rPr>
          <w:rFonts w:ascii="Times New Roman" w:hAnsi="Times New Roman" w:cs="Times New Roman"/>
        </w:rPr>
        <w:t xml:space="preserve"> </w:t>
      </w:r>
      <w:r w:rsidR="00304EB8">
        <w:rPr>
          <w:rFonts w:ascii="Times New Roman" w:hAnsi="Times New Roman" w:cs="Times New Roman"/>
        </w:rPr>
        <w:t>v</w:t>
      </w:r>
      <w:r w:rsidRPr="00EE7484">
        <w:rPr>
          <w:rFonts w:ascii="Times New Roman" w:hAnsi="Times New Roman" w:cs="Times New Roman"/>
        </w:rPr>
        <w:t xml:space="preserve">ersus </w:t>
      </w:r>
      <w:r w:rsidR="00304EB8">
        <w:rPr>
          <w:rFonts w:ascii="Times New Roman" w:hAnsi="Times New Roman" w:cs="Times New Roman"/>
        </w:rPr>
        <w:t>t</w:t>
      </w:r>
      <w:r w:rsidRPr="00EE7484">
        <w:rPr>
          <w:rFonts w:ascii="Times New Roman" w:hAnsi="Times New Roman" w:cs="Times New Roman"/>
        </w:rPr>
        <w:t xml:space="preserve">axes,” </w:t>
      </w:r>
      <w:r w:rsidRPr="00DC6E06">
        <w:rPr>
          <w:rFonts w:ascii="Times New Roman" w:hAnsi="Times New Roman" w:cs="Times New Roman"/>
          <w:i/>
          <w:iCs/>
        </w:rPr>
        <w:t>American Economic Review</w:t>
      </w:r>
      <w:r w:rsidRPr="00EE7484">
        <w:rPr>
          <w:rFonts w:ascii="Times New Roman" w:hAnsi="Times New Roman" w:cs="Times New Roman"/>
        </w:rPr>
        <w:t>, March: 139-47.</w:t>
      </w:r>
    </w:p>
  </w:footnote>
  <w:footnote w:id="56">
    <w:p w14:paraId="733D5EA7" w14:textId="3FC80796" w:rsidR="00D234F9" w:rsidRPr="00EE7484" w:rsidRDefault="00D234F9" w:rsidP="00731906">
      <w:pPr>
        <w:shd w:val="clear" w:color="auto" w:fill="FFFFFF"/>
        <w:spacing w:after="0" w:line="240" w:lineRule="auto"/>
        <w:rPr>
          <w:rFonts w:ascii="Times New Roman" w:hAnsi="Times New Roman" w:cs="Times New Roman"/>
        </w:rPr>
      </w:pPr>
      <w:r w:rsidRPr="002C0ACE">
        <w:rPr>
          <w:rStyle w:val="FootnoteReference"/>
          <w:rFonts w:ascii="Times New Roman" w:hAnsi="Times New Roman" w:cs="Times New Roman"/>
        </w:rPr>
        <w:footnoteRef/>
      </w:r>
      <w:r w:rsidRPr="002C0ACE">
        <w:rPr>
          <w:rFonts w:ascii="Times New Roman" w:hAnsi="Times New Roman" w:cs="Times New Roman"/>
        </w:rPr>
        <w:t>Schmalensee,</w:t>
      </w:r>
      <w:r w:rsidR="00F66CEB">
        <w:rPr>
          <w:rFonts w:ascii="Times New Roman" w:hAnsi="Times New Roman" w:cs="Times New Roman"/>
        </w:rPr>
        <w:t xml:space="preserve"> </w:t>
      </w:r>
      <w:r w:rsidRPr="002C0ACE">
        <w:rPr>
          <w:rFonts w:ascii="Times New Roman" w:hAnsi="Times New Roman" w:cs="Times New Roman"/>
        </w:rPr>
        <w:t>R. and Stavins, R.N. (2019)</w:t>
      </w:r>
      <w:r w:rsidR="00F66CEB">
        <w:rPr>
          <w:rFonts w:ascii="Times New Roman" w:hAnsi="Times New Roman" w:cs="Times New Roman"/>
        </w:rPr>
        <w:t>.</w:t>
      </w:r>
      <w:r w:rsidR="00731906" w:rsidRPr="00731906">
        <w:rPr>
          <w:rFonts w:ascii="Times New Roman" w:hAnsi="Times New Roman" w:cs="Times New Roman"/>
          <w:sz w:val="20"/>
          <w:szCs w:val="20"/>
        </w:rPr>
        <w:t xml:space="preserve"> </w:t>
      </w:r>
      <w:r w:rsidR="00731906" w:rsidRPr="00BF653E">
        <w:rPr>
          <w:rFonts w:ascii="Times New Roman" w:hAnsi="Times New Roman" w:cs="Times New Roman"/>
          <w:sz w:val="20"/>
          <w:szCs w:val="20"/>
        </w:rPr>
        <w:t xml:space="preserve">Policy </w:t>
      </w:r>
      <w:r w:rsidR="00731906">
        <w:rPr>
          <w:rFonts w:ascii="Times New Roman" w:hAnsi="Times New Roman" w:cs="Times New Roman"/>
          <w:sz w:val="20"/>
          <w:szCs w:val="20"/>
        </w:rPr>
        <w:t>e</w:t>
      </w:r>
      <w:r w:rsidR="00731906" w:rsidRPr="00BF653E">
        <w:rPr>
          <w:rFonts w:ascii="Times New Roman" w:hAnsi="Times New Roman" w:cs="Times New Roman"/>
          <w:sz w:val="20"/>
          <w:szCs w:val="20"/>
        </w:rPr>
        <w:t>volution under the Clean Air Act</w:t>
      </w:r>
      <w:r w:rsidR="00731906">
        <w:rPr>
          <w:rFonts w:ascii="Times New Roman" w:hAnsi="Times New Roman" w:cs="Times New Roman"/>
          <w:sz w:val="20"/>
          <w:szCs w:val="20"/>
        </w:rPr>
        <w:t xml:space="preserve">. </w:t>
      </w:r>
      <w:r w:rsidR="00731906" w:rsidRPr="00F75E4D">
        <w:rPr>
          <w:rFonts w:ascii="Times New Roman" w:hAnsi="Times New Roman" w:cs="Times New Roman"/>
          <w:i/>
          <w:iCs/>
          <w:sz w:val="20"/>
          <w:szCs w:val="20"/>
        </w:rPr>
        <w:t>Journal of Economic Perspectives</w:t>
      </w:r>
      <w:r w:rsidR="00731906">
        <w:rPr>
          <w:rFonts w:ascii="Times New Roman" w:hAnsi="Times New Roman" w:cs="Times New Roman"/>
          <w:sz w:val="20"/>
          <w:szCs w:val="20"/>
        </w:rPr>
        <w:t xml:space="preserve"> </w:t>
      </w:r>
      <w:r w:rsidR="00731906" w:rsidRPr="00BF653E">
        <w:rPr>
          <w:rFonts w:ascii="Times New Roman" w:hAnsi="Times New Roman" w:cs="Times New Roman"/>
          <w:sz w:val="20"/>
          <w:szCs w:val="20"/>
        </w:rPr>
        <w:t>33</w:t>
      </w:r>
      <w:r w:rsidR="00731906">
        <w:rPr>
          <w:rFonts w:ascii="Times New Roman" w:hAnsi="Times New Roman" w:cs="Times New Roman"/>
          <w:sz w:val="20"/>
          <w:szCs w:val="20"/>
        </w:rPr>
        <w:t>(</w:t>
      </w:r>
      <w:r w:rsidR="00731906" w:rsidRPr="00BF653E">
        <w:rPr>
          <w:rFonts w:ascii="Times New Roman" w:hAnsi="Times New Roman" w:cs="Times New Roman"/>
          <w:sz w:val="20"/>
          <w:szCs w:val="20"/>
        </w:rPr>
        <w:t>4</w:t>
      </w:r>
      <w:r w:rsidR="00731906">
        <w:rPr>
          <w:rFonts w:ascii="Times New Roman" w:hAnsi="Times New Roman" w:cs="Times New Roman"/>
          <w:sz w:val="20"/>
          <w:szCs w:val="20"/>
        </w:rPr>
        <w:t xml:space="preserve">): </w:t>
      </w:r>
      <w:r w:rsidR="00731906" w:rsidRPr="00BF653E">
        <w:rPr>
          <w:rFonts w:ascii="Times New Roman" w:hAnsi="Times New Roman" w:cs="Times New Roman"/>
          <w:sz w:val="20"/>
          <w:szCs w:val="20"/>
        </w:rPr>
        <w:t>27–50</w:t>
      </w:r>
      <w:r w:rsidR="00731906">
        <w:rPr>
          <w:rFonts w:ascii="Times New Roman" w:hAnsi="Times New Roman" w:cs="Times New Roman"/>
          <w:sz w:val="20"/>
          <w:szCs w:val="20"/>
        </w:rPr>
        <w:t>.</w:t>
      </w:r>
      <w:r>
        <w:rPr>
          <w:rFonts w:ascii="Times New Roman" w:hAnsi="Times New Roman" w:cs="Times New Roman"/>
        </w:rPr>
        <w:t xml:space="preserve">  </w:t>
      </w:r>
    </w:p>
  </w:footnote>
  <w:footnote w:id="57">
    <w:p w14:paraId="1465295A" w14:textId="77777777" w:rsidR="00D234F9" w:rsidRPr="001040BB" w:rsidRDefault="00D234F9" w:rsidP="00D234F9">
      <w:pPr>
        <w:pStyle w:val="Heading1"/>
        <w:shd w:val="clear" w:color="auto" w:fill="FFFFFF"/>
        <w:spacing w:before="0"/>
        <w:rPr>
          <w:rFonts w:ascii="Times New Roman" w:hAnsi="Times New Roman" w:cs="Times New Roman"/>
          <w:sz w:val="20"/>
          <w:szCs w:val="20"/>
        </w:rPr>
      </w:pPr>
      <w:r w:rsidRPr="00EE7484">
        <w:rPr>
          <w:rStyle w:val="FootnoteReference"/>
          <w:rFonts w:ascii="Times New Roman" w:hAnsi="Times New Roman" w:cs="Times New Roman"/>
          <w:color w:val="auto"/>
          <w:sz w:val="20"/>
          <w:szCs w:val="20"/>
        </w:rPr>
        <w:footnoteRef/>
      </w:r>
      <w:r w:rsidRPr="00EE7484">
        <w:rPr>
          <w:rFonts w:ascii="Times New Roman" w:hAnsi="Times New Roman" w:cs="Times New Roman"/>
          <w:color w:val="auto"/>
          <w:sz w:val="20"/>
          <w:szCs w:val="20"/>
        </w:rPr>
        <w:t xml:space="preserve"> </w:t>
      </w:r>
      <w:r w:rsidRPr="001040BB">
        <w:rPr>
          <w:rFonts w:ascii="Times New Roman" w:hAnsi="Times New Roman" w:cs="Times New Roman"/>
          <w:color w:val="auto"/>
          <w:sz w:val="20"/>
          <w:szCs w:val="20"/>
        </w:rPr>
        <w:t xml:space="preserve">As described by Anderson, T. L. and Libecap, G.D. (2014). </w:t>
      </w:r>
      <w:r w:rsidRPr="001040BB">
        <w:rPr>
          <w:rFonts w:ascii="Times New Roman" w:hAnsi="Times New Roman" w:cs="Times New Roman"/>
          <w:i/>
          <w:iCs/>
          <w:color w:val="auto"/>
          <w:sz w:val="20"/>
          <w:szCs w:val="20"/>
        </w:rPr>
        <w:t>Environmental Markets: A Property Rights Approach</w:t>
      </w:r>
      <w:r w:rsidRPr="001040BB">
        <w:rPr>
          <w:rFonts w:ascii="Times New Roman" w:hAnsi="Times New Roman" w:cs="Times New Roman"/>
          <w:color w:val="auto"/>
          <w:sz w:val="20"/>
          <w:szCs w:val="20"/>
        </w:rPr>
        <w:t xml:space="preserve">, 159-166, </w:t>
      </w:r>
      <w:r>
        <w:rPr>
          <w:rFonts w:ascii="Times New Roman" w:hAnsi="Times New Roman" w:cs="Times New Roman"/>
          <w:color w:val="auto"/>
          <w:sz w:val="20"/>
          <w:szCs w:val="20"/>
        </w:rPr>
        <w:t>t</w:t>
      </w:r>
      <w:r w:rsidRPr="001040BB">
        <w:rPr>
          <w:rFonts w:ascii="Times New Roman" w:hAnsi="Times New Roman" w:cs="Times New Roman"/>
          <w:color w:val="auto"/>
          <w:sz w:val="20"/>
          <w:szCs w:val="20"/>
        </w:rPr>
        <w:t>he SO</w:t>
      </w:r>
      <w:r w:rsidRPr="001040BB">
        <w:rPr>
          <w:rFonts w:ascii="Times New Roman" w:hAnsi="Times New Roman" w:cs="Times New Roman"/>
          <w:color w:val="auto"/>
          <w:sz w:val="20"/>
          <w:szCs w:val="20"/>
          <w:vertAlign w:val="subscript"/>
        </w:rPr>
        <w:t xml:space="preserve">2 </w:t>
      </w:r>
      <w:r w:rsidRPr="001040BB">
        <w:rPr>
          <w:rFonts w:ascii="Times New Roman" w:hAnsi="Times New Roman" w:cs="Times New Roman"/>
          <w:color w:val="auto"/>
          <w:sz w:val="20"/>
          <w:szCs w:val="20"/>
        </w:rPr>
        <w:t xml:space="preserve">allowance market eventually collapsed as various subsequent regulatory interventions to meet a variety of objectives undermined the security and trade of the allowances. See also Schmalensee, R. and Stavins, R.N. (2013). </w:t>
      </w:r>
      <w:r w:rsidRPr="001040BB">
        <w:rPr>
          <w:rFonts w:ascii="Times New Roman" w:eastAsia="Times New Roman" w:hAnsi="Times New Roman" w:cs="Times New Roman"/>
          <w:color w:val="auto"/>
          <w:kern w:val="36"/>
          <w:sz w:val="20"/>
          <w:szCs w:val="20"/>
        </w:rPr>
        <w:t>The SO</w:t>
      </w:r>
      <w:r w:rsidRPr="001040BB">
        <w:rPr>
          <w:rFonts w:ascii="Times New Roman" w:eastAsia="Times New Roman" w:hAnsi="Times New Roman" w:cs="Times New Roman"/>
          <w:color w:val="auto"/>
          <w:kern w:val="36"/>
          <w:sz w:val="20"/>
          <w:szCs w:val="20"/>
          <w:bdr w:val="none" w:sz="0" w:space="0" w:color="auto" w:frame="1"/>
          <w:vertAlign w:val="subscript"/>
        </w:rPr>
        <w:t>2</w:t>
      </w:r>
      <w:r w:rsidRPr="001040BB">
        <w:rPr>
          <w:rFonts w:ascii="Times New Roman" w:eastAsia="Times New Roman" w:hAnsi="Times New Roman" w:cs="Times New Roman"/>
          <w:color w:val="auto"/>
          <w:kern w:val="36"/>
          <w:sz w:val="20"/>
          <w:szCs w:val="20"/>
        </w:rPr>
        <w:t xml:space="preserve"> Allowance Trading System: The Ironic History of a Grand Policy Experiment. </w:t>
      </w:r>
      <w:r w:rsidRPr="001040BB">
        <w:rPr>
          <w:rFonts w:ascii="Times New Roman" w:eastAsia="Times New Roman" w:hAnsi="Times New Roman" w:cs="Times New Roman"/>
          <w:i/>
          <w:iCs/>
          <w:color w:val="auto"/>
          <w:kern w:val="36"/>
          <w:sz w:val="20"/>
          <w:szCs w:val="20"/>
        </w:rPr>
        <w:t xml:space="preserve">Journal of Economic Perspectives </w:t>
      </w:r>
      <w:r w:rsidRPr="001040BB">
        <w:rPr>
          <w:rFonts w:ascii="Times New Roman" w:eastAsia="Times New Roman" w:hAnsi="Times New Roman" w:cs="Times New Roman"/>
          <w:caps/>
          <w:color w:val="auto"/>
          <w:spacing w:val="24"/>
          <w:sz w:val="20"/>
          <w:szCs w:val="20"/>
        </w:rPr>
        <w:t>27(1):</w:t>
      </w:r>
      <w:r w:rsidRPr="001040BB">
        <w:rPr>
          <w:rFonts w:ascii="Times New Roman" w:eastAsia="Times New Roman" w:hAnsi="Times New Roman" w:cs="Times New Roman"/>
          <w:color w:val="auto"/>
          <w:sz w:val="20"/>
          <w:szCs w:val="20"/>
        </w:rPr>
        <w:t>103-22.</w:t>
      </w:r>
      <w:r w:rsidRPr="001040BB">
        <w:rPr>
          <w:rFonts w:ascii="Times New Roman" w:eastAsia="Times New Roman" w:hAnsi="Times New Roman" w:cs="Times New Roman"/>
          <w:b/>
          <w:bCs/>
          <w:color w:val="auto"/>
          <w:sz w:val="21"/>
          <w:szCs w:val="21"/>
        </w:rPr>
        <w:t xml:space="preserve"> </w:t>
      </w:r>
    </w:p>
  </w:footnote>
  <w:footnote w:id="58">
    <w:p w14:paraId="2AD59D79" w14:textId="77777777" w:rsidR="007C1042" w:rsidRPr="004F6805" w:rsidRDefault="007C1042" w:rsidP="007C1042">
      <w:pPr>
        <w:pStyle w:val="Heading3"/>
        <w:rPr>
          <w:rFonts w:ascii="Times New Roman" w:hAnsi="Times New Roman" w:cs="Times New Roman"/>
          <w:color w:val="auto"/>
          <w:sz w:val="20"/>
          <w:szCs w:val="20"/>
        </w:rPr>
      </w:pPr>
      <w:r w:rsidRPr="004F6805">
        <w:rPr>
          <w:rStyle w:val="FootnoteReference"/>
          <w:rFonts w:ascii="Times New Roman" w:hAnsi="Times New Roman" w:cs="Times New Roman"/>
          <w:color w:val="auto"/>
          <w:sz w:val="20"/>
          <w:szCs w:val="20"/>
        </w:rPr>
        <w:footnoteRef/>
      </w:r>
      <w:r w:rsidRPr="004F6805">
        <w:rPr>
          <w:rFonts w:ascii="Times New Roman" w:hAnsi="Times New Roman" w:cs="Times New Roman"/>
          <w:color w:val="auto"/>
          <w:sz w:val="20"/>
          <w:szCs w:val="20"/>
        </w:rPr>
        <w:t xml:space="preserve"> Public Law 94–265, 1976, 90 Stat. 331; Public Law 104-297 1996, 110 Stat. 3559; </w:t>
      </w:r>
      <w:r w:rsidRPr="004F6805">
        <w:rPr>
          <w:rFonts w:ascii="Times New Roman" w:eastAsiaTheme="minorHAnsi" w:hAnsi="Times New Roman" w:cs="Times New Roman"/>
          <w:color w:val="auto"/>
          <w:sz w:val="20"/>
          <w:szCs w:val="20"/>
          <w:shd w:val="clear" w:color="auto" w:fill="FFFFFF"/>
        </w:rPr>
        <w:t> </w:t>
      </w:r>
      <w:hyperlink r:id="rId11" w:history="1">
        <w:r w:rsidRPr="004F6805">
          <w:rPr>
            <w:rFonts w:ascii="Times New Roman" w:eastAsiaTheme="minorHAnsi" w:hAnsi="Times New Roman" w:cs="Times New Roman"/>
            <w:color w:val="auto"/>
            <w:sz w:val="20"/>
            <w:szCs w:val="20"/>
            <w:shd w:val="clear" w:color="auto" w:fill="FFFFFF"/>
          </w:rPr>
          <w:t>Public Law No: 109-479</w:t>
        </w:r>
      </w:hyperlink>
      <w:r w:rsidRPr="004F6805">
        <w:rPr>
          <w:rFonts w:ascii="Times New Roman" w:hAnsi="Times New Roman" w:cs="Times New Roman"/>
          <w:color w:val="auto"/>
          <w:sz w:val="20"/>
          <w:szCs w:val="20"/>
        </w:rPr>
        <w:t xml:space="preserve"> 121 Stat. 3575, 2007.</w:t>
      </w:r>
      <w:r w:rsidRPr="004F6805">
        <w:rPr>
          <w:rFonts w:ascii="Times New Roman" w:hAnsi="Times New Roman" w:cs="Times New Roman"/>
          <w:color w:val="auto"/>
          <w:sz w:val="20"/>
          <w:szCs w:val="20"/>
        </w:rPr>
        <w:tab/>
      </w:r>
    </w:p>
  </w:footnote>
  <w:footnote w:id="59">
    <w:p w14:paraId="64C20429" w14:textId="64E06ACE" w:rsidR="00957F25" w:rsidRPr="001923D3" w:rsidRDefault="00957F25" w:rsidP="00957F25">
      <w:pPr>
        <w:spacing w:after="0" w:line="240" w:lineRule="auto"/>
        <w:rPr>
          <w:rFonts w:ascii="Times New Roman" w:hAnsi="Times New Roman" w:cs="Times New Roman"/>
          <w:sz w:val="20"/>
          <w:szCs w:val="20"/>
        </w:rPr>
      </w:pPr>
      <w:r w:rsidRPr="00957F25">
        <w:rPr>
          <w:rStyle w:val="FootnoteReference"/>
          <w:rFonts w:ascii="Times New Roman" w:hAnsi="Times New Roman" w:cs="Times New Roman"/>
          <w:sz w:val="20"/>
          <w:szCs w:val="20"/>
        </w:rPr>
        <w:footnoteRef/>
      </w:r>
      <w:r w:rsidRPr="00957F25">
        <w:rPr>
          <w:rFonts w:ascii="Times New Roman" w:hAnsi="Times New Roman" w:cs="Times New Roman"/>
          <w:sz w:val="20"/>
          <w:szCs w:val="20"/>
        </w:rPr>
        <w:t xml:space="preserve"> </w:t>
      </w:r>
      <w:r w:rsidRPr="00957F25">
        <w:rPr>
          <w:rFonts w:ascii="Times New Roman" w:eastAsia="Times New Roman" w:hAnsi="Times New Roman" w:cs="Times New Roman"/>
          <w:color w:val="000000"/>
          <w:sz w:val="20"/>
          <w:szCs w:val="20"/>
        </w:rPr>
        <w:t xml:space="preserve">Gordon, H. S. (1954). The economic theory of a common-property resource: The fishery. </w:t>
      </w:r>
      <w:r w:rsidRPr="00957F25">
        <w:rPr>
          <w:rFonts w:ascii="Times New Roman" w:eastAsia="Times New Roman" w:hAnsi="Times New Roman" w:cs="Times New Roman"/>
          <w:i/>
          <w:color w:val="000000"/>
          <w:sz w:val="20"/>
          <w:szCs w:val="20"/>
        </w:rPr>
        <w:t>Journal of Political Economy</w:t>
      </w:r>
      <w:r w:rsidRPr="00957F25">
        <w:rPr>
          <w:rFonts w:ascii="Times New Roman" w:eastAsia="Times New Roman" w:hAnsi="Times New Roman" w:cs="Times New Roman"/>
          <w:color w:val="000000"/>
          <w:sz w:val="20"/>
          <w:szCs w:val="20"/>
        </w:rPr>
        <w:t xml:space="preserve">, 62(2): 124-42. </w:t>
      </w:r>
      <w:r w:rsidRPr="00957F25">
        <w:rPr>
          <w:rFonts w:ascii="Times New Roman" w:hAnsi="Times New Roman" w:cs="Times New Roman"/>
          <w:sz w:val="20"/>
          <w:szCs w:val="20"/>
        </w:rPr>
        <w:t xml:space="preserve">Scott, A. (1955). The fishery: The objectives of sole ownership. </w:t>
      </w:r>
      <w:r w:rsidRPr="00957F25">
        <w:rPr>
          <w:rFonts w:ascii="Times New Roman" w:hAnsi="Times New Roman" w:cs="Times New Roman"/>
          <w:i/>
          <w:sz w:val="20"/>
          <w:szCs w:val="20"/>
        </w:rPr>
        <w:t xml:space="preserve">Journal of Political </w:t>
      </w:r>
      <w:r w:rsidRPr="001923D3">
        <w:rPr>
          <w:rFonts w:ascii="Times New Roman" w:hAnsi="Times New Roman" w:cs="Times New Roman"/>
          <w:i/>
          <w:sz w:val="20"/>
          <w:szCs w:val="20"/>
        </w:rPr>
        <w:t xml:space="preserve">Economy. </w:t>
      </w:r>
      <w:r w:rsidRPr="001923D3">
        <w:rPr>
          <w:rFonts w:ascii="Times New Roman" w:hAnsi="Times New Roman" w:cs="Times New Roman"/>
          <w:sz w:val="20"/>
          <w:szCs w:val="20"/>
        </w:rPr>
        <w:t xml:space="preserve">63. 116. </w:t>
      </w:r>
      <w:r w:rsidRPr="001923D3">
        <w:rPr>
          <w:rFonts w:ascii="Times New Roman" w:eastAsia="Times New Roman" w:hAnsi="Times New Roman" w:cs="Times New Roman"/>
          <w:color w:val="000000"/>
          <w:sz w:val="20"/>
          <w:szCs w:val="20"/>
        </w:rPr>
        <w:t xml:space="preserve"> </w:t>
      </w:r>
      <w:r w:rsidRPr="001923D3">
        <w:rPr>
          <w:rFonts w:ascii="Times New Roman" w:hAnsi="Times New Roman" w:cs="Times New Roman"/>
          <w:color w:val="333333"/>
          <w:sz w:val="20"/>
          <w:szCs w:val="20"/>
        </w:rPr>
        <w:t xml:space="preserve">Christy, F.T., (1973). Fisherman quotas: a tentative suggestion for domestic management. Law </w:t>
      </w:r>
      <w:r w:rsidRPr="001923D3">
        <w:rPr>
          <w:rFonts w:ascii="Times New Roman" w:hAnsi="Times New Roman" w:cs="Times New Roman"/>
          <w:color w:val="333333"/>
          <w:sz w:val="20"/>
          <w:szCs w:val="20"/>
          <w:shd w:val="clear" w:color="auto" w:fill="FCFCFC"/>
        </w:rPr>
        <w:t>of</w:t>
      </w:r>
      <w:r w:rsidRPr="001923D3">
        <w:rPr>
          <w:rFonts w:ascii="Times New Roman" w:hAnsi="Times New Roman" w:cs="Times New Roman"/>
          <w:color w:val="333333"/>
          <w:sz w:val="20"/>
          <w:szCs w:val="20"/>
        </w:rPr>
        <w:t xml:space="preserve"> the Sea Institute, Univ. Rhode Island, Occ. Pap. No. 19, June.</w:t>
      </w:r>
    </w:p>
  </w:footnote>
  <w:footnote w:id="60">
    <w:p w14:paraId="6D9F062B" w14:textId="474BDCDD" w:rsidR="002127C5" w:rsidRPr="001923D3" w:rsidRDefault="002127C5">
      <w:pPr>
        <w:pStyle w:val="FootnoteText"/>
        <w:rPr>
          <w:rFonts w:ascii="Times New Roman" w:hAnsi="Times New Roman" w:cs="Times New Roman"/>
        </w:rPr>
      </w:pPr>
      <w:r w:rsidRPr="001923D3">
        <w:rPr>
          <w:rStyle w:val="FootnoteReference"/>
          <w:rFonts w:ascii="Times New Roman" w:hAnsi="Times New Roman" w:cs="Times New Roman"/>
        </w:rPr>
        <w:footnoteRef/>
      </w:r>
      <w:r w:rsidRPr="001923D3">
        <w:rPr>
          <w:rFonts w:ascii="Times New Roman" w:hAnsi="Times New Roman" w:cs="Times New Roman"/>
        </w:rPr>
        <w:t xml:space="preserve"> For complete overview of ITQs see Arnason, R. (2024) Individual transferable quotas in fisheries</w:t>
      </w:r>
      <w:r w:rsidR="001923D3" w:rsidRPr="001923D3">
        <w:rPr>
          <w:rFonts w:ascii="Times New Roman" w:hAnsi="Times New Roman" w:cs="Times New Roman"/>
        </w:rPr>
        <w:t>.</w:t>
      </w:r>
      <w:r w:rsidRPr="001923D3">
        <w:rPr>
          <w:rFonts w:ascii="Times New Roman" w:hAnsi="Times New Roman" w:cs="Times New Roman"/>
        </w:rPr>
        <w:t xml:space="preserve"> </w:t>
      </w:r>
      <w:r w:rsidRPr="001923D3">
        <w:rPr>
          <w:rFonts w:ascii="Times New Roman" w:hAnsi="Times New Roman" w:cs="Times New Roman"/>
          <w:i/>
          <w:iCs/>
        </w:rPr>
        <w:t>Encyclopedia of Energy, Natural Resource, and Environmental Economics</w:t>
      </w:r>
      <w:r w:rsidR="001923D3" w:rsidRPr="001923D3">
        <w:rPr>
          <w:rFonts w:ascii="Times New Roman" w:hAnsi="Times New Roman" w:cs="Times New Roman"/>
          <w:i/>
          <w:iCs/>
        </w:rPr>
        <w:t xml:space="preserve">. </w:t>
      </w:r>
    </w:p>
  </w:footnote>
  <w:footnote w:id="61">
    <w:p w14:paraId="22C5DE7A" w14:textId="77777777" w:rsidR="002A15C1" w:rsidRPr="00B4345A" w:rsidRDefault="002A15C1" w:rsidP="002A15C1">
      <w:pPr>
        <w:pStyle w:val="FootnoteText"/>
      </w:pPr>
      <w:r>
        <w:rPr>
          <w:rStyle w:val="FootnoteReference"/>
        </w:rPr>
        <w:footnoteRef/>
      </w:r>
      <w:r>
        <w:t xml:space="preserve"> Dan Holland, Senior</w:t>
      </w:r>
      <w:r w:rsidRPr="00B4345A">
        <w:rPr>
          <w:color w:val="474747"/>
          <w:shd w:val="clear" w:color="auto" w:fill="FFFFFF"/>
        </w:rPr>
        <w:t xml:space="preserve"> Scientist</w:t>
      </w:r>
      <w:r>
        <w:rPr>
          <w:color w:val="474747"/>
          <w:shd w:val="clear" w:color="auto" w:fill="FFFFFF"/>
        </w:rPr>
        <w:t xml:space="preserve">, </w:t>
      </w:r>
      <w:r w:rsidRPr="00B4345A">
        <w:rPr>
          <w:color w:val="474747"/>
          <w:shd w:val="clear" w:color="auto" w:fill="FFFFFF"/>
        </w:rPr>
        <w:t>Northwest Fisheries Science Center</w:t>
      </w:r>
      <w:r>
        <w:rPr>
          <w:color w:val="474747"/>
          <w:shd w:val="clear" w:color="auto" w:fill="FFFFFF"/>
        </w:rPr>
        <w:t xml:space="preserve">, NOAA pointed this to me. </w:t>
      </w:r>
    </w:p>
  </w:footnote>
  <w:footnote w:id="62">
    <w:p w14:paraId="60645039" w14:textId="45279291" w:rsidR="006633B9" w:rsidRPr="00C103AA" w:rsidRDefault="006633B9" w:rsidP="008F0DCE">
      <w:pPr>
        <w:shd w:val="clear" w:color="auto" w:fill="FFFFFF"/>
        <w:spacing w:after="0" w:line="240" w:lineRule="auto"/>
        <w:rPr>
          <w:rFonts w:ascii="Times New Roman" w:hAnsi="Times New Roman" w:cs="Times New Roman"/>
          <w:sz w:val="20"/>
          <w:szCs w:val="20"/>
        </w:rPr>
      </w:pPr>
      <w:r w:rsidRPr="001923D3">
        <w:rPr>
          <w:rStyle w:val="FootnoteReference"/>
          <w:rFonts w:ascii="Times New Roman" w:hAnsi="Times New Roman" w:cs="Times New Roman"/>
          <w:sz w:val="20"/>
          <w:szCs w:val="20"/>
        </w:rPr>
        <w:footnoteRef/>
      </w:r>
      <w:r w:rsidR="00CC384F" w:rsidRPr="001923D3">
        <w:rPr>
          <w:rFonts w:ascii="Times New Roman" w:eastAsia="Times New Roman" w:hAnsi="Times New Roman" w:cs="Times New Roman"/>
          <w:color w:val="4D5156"/>
          <w:sz w:val="20"/>
          <w:szCs w:val="20"/>
        </w:rPr>
        <w:t xml:space="preserve"> </w:t>
      </w:r>
      <w:r w:rsidR="00CC384F" w:rsidRPr="001923D3">
        <w:rPr>
          <w:rFonts w:ascii="Times New Roman" w:eastAsia="Times New Roman" w:hAnsi="Times New Roman" w:cs="Times New Roman"/>
          <w:kern w:val="0"/>
          <w:sz w:val="20"/>
          <w:szCs w:val="20"/>
          <w:lang w:val="en-NZ" w:eastAsia="en-NZ" w:bidi="en-NZ"/>
          <w14:ligatures w14:val="none"/>
        </w:rPr>
        <w:t>Johnson, R.N. and Libecap, G.D. (1982).</w:t>
      </w:r>
      <w:r w:rsidR="008F0DCE" w:rsidRPr="001923D3">
        <w:rPr>
          <w:rFonts w:ascii="Times New Roman" w:eastAsia="Times New Roman" w:hAnsi="Times New Roman" w:cs="Times New Roman"/>
          <w:kern w:val="0"/>
          <w:sz w:val="20"/>
          <w:szCs w:val="20"/>
          <w:lang w:val="en-NZ" w:eastAsia="en-NZ" w:bidi="en-NZ"/>
          <w14:ligatures w14:val="none"/>
        </w:rPr>
        <w:t xml:space="preserve"> </w:t>
      </w:r>
      <w:r w:rsidR="00CC384F" w:rsidRPr="001923D3">
        <w:rPr>
          <w:rFonts w:ascii="Times New Roman" w:eastAsia="Times New Roman" w:hAnsi="Times New Roman" w:cs="Times New Roman"/>
          <w:spacing w:val="-5"/>
          <w:kern w:val="36"/>
          <w:sz w:val="20"/>
          <w:szCs w:val="20"/>
          <w14:ligatures w14:val="none"/>
        </w:rPr>
        <w:t>Contracting problems</w:t>
      </w:r>
      <w:r w:rsidR="00CC384F" w:rsidRPr="00C103AA">
        <w:rPr>
          <w:rFonts w:ascii="Times New Roman" w:eastAsia="Times New Roman" w:hAnsi="Times New Roman" w:cs="Times New Roman"/>
          <w:spacing w:val="-5"/>
          <w:kern w:val="36"/>
          <w:sz w:val="20"/>
          <w:szCs w:val="20"/>
          <w14:ligatures w14:val="none"/>
        </w:rPr>
        <w:t xml:space="preserve"> and regulation: The case of the fishery.  </w:t>
      </w:r>
      <w:hyperlink r:id="rId12" w:history="1">
        <w:r w:rsidR="00CC384F" w:rsidRPr="00C103AA">
          <w:rPr>
            <w:rFonts w:ascii="Times New Roman" w:eastAsia="Times New Roman" w:hAnsi="Times New Roman" w:cs="Times New Roman"/>
            <w:i/>
            <w:iCs/>
            <w:spacing w:val="-5"/>
            <w:kern w:val="0"/>
            <w:sz w:val="20"/>
            <w:szCs w:val="20"/>
            <w14:ligatures w14:val="none"/>
          </w:rPr>
          <w:t>The American Economic Review</w:t>
        </w:r>
      </w:hyperlink>
      <w:r w:rsidR="00CC384F" w:rsidRPr="00C103AA">
        <w:rPr>
          <w:rFonts w:ascii="Times New Roman" w:eastAsia="Times New Roman" w:hAnsi="Times New Roman" w:cs="Times New Roman"/>
          <w:spacing w:val="-5"/>
          <w:kern w:val="0"/>
          <w:sz w:val="20"/>
          <w:szCs w:val="20"/>
          <w14:ligatures w14:val="none"/>
        </w:rPr>
        <w:t xml:space="preserve">,  72 (5): 1005-1022; </w:t>
      </w:r>
      <w:r w:rsidR="00CC384F" w:rsidRPr="00C103AA">
        <w:rPr>
          <w:rFonts w:ascii="Times New Roman" w:eastAsia="Times New Roman" w:hAnsi="Times New Roman" w:cs="Times New Roman"/>
          <w:color w:val="4D5156"/>
          <w:sz w:val="20"/>
          <w:szCs w:val="20"/>
        </w:rPr>
        <w:t>Grafton, R.Q., Squires, D., and Fox K.J.</w:t>
      </w:r>
      <w:r w:rsidR="00CC384F" w:rsidRPr="00C103AA">
        <w:rPr>
          <w:rFonts w:ascii="Times New Roman" w:eastAsia="Times New Roman" w:hAnsi="Times New Roman" w:cs="Times New Roman"/>
          <w:color w:val="000000"/>
          <w:sz w:val="20"/>
          <w:szCs w:val="20"/>
        </w:rPr>
        <w:t xml:space="preserve"> (2000). Private property and economic efficiency: a study of a common-pool resource. </w:t>
      </w:r>
      <w:r w:rsidR="00CC384F" w:rsidRPr="00C103AA">
        <w:rPr>
          <w:rFonts w:ascii="Times New Roman" w:eastAsia="Times New Roman" w:hAnsi="Times New Roman" w:cs="Times New Roman"/>
          <w:i/>
          <w:color w:val="000000"/>
          <w:sz w:val="20"/>
          <w:szCs w:val="20"/>
        </w:rPr>
        <w:t>The Journal of Law and Economics, 43</w:t>
      </w:r>
      <w:r w:rsidR="00CC384F" w:rsidRPr="00C103AA">
        <w:rPr>
          <w:rFonts w:ascii="Times New Roman" w:eastAsia="Times New Roman" w:hAnsi="Times New Roman" w:cs="Times New Roman"/>
          <w:color w:val="000000"/>
          <w:sz w:val="20"/>
          <w:szCs w:val="20"/>
        </w:rPr>
        <w:t xml:space="preserve">(2), 679-714. </w:t>
      </w:r>
    </w:p>
  </w:footnote>
  <w:footnote w:id="63">
    <w:p w14:paraId="661EB5E1" w14:textId="534BC335" w:rsidR="008F0DCE" w:rsidRPr="00C103AA" w:rsidRDefault="008F0DCE" w:rsidP="008F0DCE">
      <w:pPr>
        <w:spacing w:after="0" w:line="240" w:lineRule="auto"/>
        <w:rPr>
          <w:rFonts w:ascii="Times New Roman" w:hAnsi="Times New Roman" w:cs="Times New Roman"/>
          <w:sz w:val="20"/>
          <w:szCs w:val="20"/>
        </w:rPr>
      </w:pPr>
      <w:r w:rsidRPr="00C103AA">
        <w:rPr>
          <w:rStyle w:val="FootnoteReference"/>
          <w:rFonts w:ascii="Times New Roman" w:hAnsi="Times New Roman" w:cs="Times New Roman"/>
          <w:sz w:val="20"/>
          <w:szCs w:val="20"/>
        </w:rPr>
        <w:footnoteRef/>
      </w:r>
      <w:r w:rsidRPr="00C103AA">
        <w:rPr>
          <w:rFonts w:ascii="Times New Roman" w:hAnsi="Times New Roman" w:cs="Times New Roman"/>
          <w:sz w:val="20"/>
          <w:szCs w:val="20"/>
        </w:rPr>
        <w:t xml:space="preserve"> </w:t>
      </w:r>
      <w:r w:rsidRPr="00C103AA">
        <w:rPr>
          <w:rFonts w:ascii="Times New Roman" w:eastAsia="Times New Roman" w:hAnsi="Times New Roman" w:cs="Times New Roman"/>
          <w:color w:val="000000"/>
          <w:sz w:val="20"/>
          <w:szCs w:val="20"/>
        </w:rPr>
        <w:t xml:space="preserve">Hannesson, R. (2006). </w:t>
      </w:r>
      <w:r w:rsidRPr="00687716">
        <w:rPr>
          <w:rFonts w:ascii="Times New Roman" w:eastAsia="Times New Roman" w:hAnsi="Times New Roman" w:cs="Times New Roman"/>
          <w:i/>
          <w:iCs/>
          <w:color w:val="000000"/>
          <w:sz w:val="20"/>
          <w:szCs w:val="20"/>
        </w:rPr>
        <w:t xml:space="preserve">The </w:t>
      </w:r>
      <w:r w:rsidR="008A59A4">
        <w:rPr>
          <w:rFonts w:ascii="Times New Roman" w:eastAsia="Times New Roman" w:hAnsi="Times New Roman" w:cs="Times New Roman"/>
          <w:i/>
          <w:iCs/>
          <w:color w:val="000000"/>
          <w:sz w:val="20"/>
          <w:szCs w:val="20"/>
        </w:rPr>
        <w:t>P</w:t>
      </w:r>
      <w:r w:rsidRPr="00687716">
        <w:rPr>
          <w:rFonts w:ascii="Times New Roman" w:eastAsia="Times New Roman" w:hAnsi="Times New Roman" w:cs="Times New Roman"/>
          <w:i/>
          <w:iCs/>
          <w:color w:val="000000"/>
          <w:sz w:val="20"/>
          <w:szCs w:val="20"/>
        </w:rPr>
        <w:t xml:space="preserve">rivatization of the </w:t>
      </w:r>
      <w:r w:rsidR="008A59A4">
        <w:rPr>
          <w:rFonts w:ascii="Times New Roman" w:eastAsia="Times New Roman" w:hAnsi="Times New Roman" w:cs="Times New Roman"/>
          <w:i/>
          <w:iCs/>
          <w:color w:val="000000"/>
          <w:sz w:val="20"/>
          <w:szCs w:val="20"/>
        </w:rPr>
        <w:t>O</w:t>
      </w:r>
      <w:r w:rsidRPr="00687716">
        <w:rPr>
          <w:rFonts w:ascii="Times New Roman" w:eastAsia="Times New Roman" w:hAnsi="Times New Roman" w:cs="Times New Roman"/>
          <w:i/>
          <w:iCs/>
          <w:color w:val="000000"/>
          <w:sz w:val="20"/>
          <w:szCs w:val="20"/>
        </w:rPr>
        <w:t>ceans</w:t>
      </w:r>
      <w:r w:rsidRPr="00C103AA">
        <w:rPr>
          <w:rFonts w:ascii="Times New Roman" w:eastAsia="Times New Roman" w:hAnsi="Times New Roman" w:cs="Times New Roman"/>
          <w:color w:val="000000"/>
          <w:sz w:val="20"/>
          <w:szCs w:val="20"/>
        </w:rPr>
        <w:t xml:space="preserve">. Cambridge, MA: MIT Press. </w:t>
      </w:r>
    </w:p>
  </w:footnote>
  <w:footnote w:id="64">
    <w:p w14:paraId="61E1B512" w14:textId="058AFB1C" w:rsidR="0050257D" w:rsidRPr="00C103AA" w:rsidRDefault="0050257D" w:rsidP="0050257D">
      <w:pPr>
        <w:pStyle w:val="FootnoteText"/>
        <w:rPr>
          <w:rFonts w:ascii="Times New Roman" w:hAnsi="Times New Roman" w:cs="Times New Roman"/>
        </w:rPr>
      </w:pPr>
      <w:r w:rsidRPr="00C103AA">
        <w:rPr>
          <w:rStyle w:val="FootnoteReference"/>
          <w:rFonts w:ascii="Times New Roman" w:hAnsi="Times New Roman" w:cs="Times New Roman"/>
        </w:rPr>
        <w:footnoteRef/>
      </w:r>
      <w:r w:rsidRPr="00C103AA">
        <w:rPr>
          <w:rFonts w:ascii="Times New Roman" w:hAnsi="Times New Roman" w:cs="Times New Roman"/>
        </w:rPr>
        <w:t xml:space="preserve"> </w:t>
      </w:r>
      <w:r w:rsidRPr="00C103AA">
        <w:rPr>
          <w:rFonts w:ascii="Times New Roman" w:hAnsi="Times New Roman" w:cs="Times New Roman"/>
          <w:color w:val="000000"/>
        </w:rPr>
        <w:t xml:space="preserve">S. 39, hearing on the reauthorization of the Magnuson Fishery Conservation and Management Act: hearing before the Subcommittee on Oceans and Fisheries of the Committee on Commerce, Science, and Transportation, United States Senate, One Hundred Fourth Congress, first session, </w:t>
      </w:r>
      <w:r w:rsidR="003F6662" w:rsidRPr="00C103AA">
        <w:rPr>
          <w:rFonts w:ascii="Times New Roman" w:hAnsi="Times New Roman" w:cs="Times New Roman"/>
          <w:color w:val="000000"/>
          <w:shd w:val="clear" w:color="auto" w:fill="FFFFFF"/>
        </w:rPr>
        <w:t xml:space="preserve">March 4, 1995, Boston, Massachusetts; </w:t>
      </w:r>
      <w:r w:rsidRPr="00C103AA">
        <w:rPr>
          <w:rFonts w:ascii="Times New Roman" w:hAnsi="Times New Roman" w:cs="Times New Roman"/>
          <w:color w:val="000000"/>
        </w:rPr>
        <w:t>March 25, 1995, Anchorage, Alaska</w:t>
      </w:r>
      <w:r w:rsidR="003F6662" w:rsidRPr="00C103AA">
        <w:rPr>
          <w:rFonts w:ascii="Times New Roman" w:hAnsi="Times New Roman" w:cs="Times New Roman"/>
          <w:color w:val="000000"/>
        </w:rPr>
        <w:t xml:space="preserve">; </w:t>
      </w:r>
      <w:r w:rsidR="003F6662" w:rsidRPr="00C103AA">
        <w:rPr>
          <w:rFonts w:ascii="Times New Roman" w:hAnsi="Times New Roman" w:cs="Times New Roman"/>
          <w:color w:val="000000"/>
          <w:shd w:val="clear" w:color="auto" w:fill="FFFFFF"/>
        </w:rPr>
        <w:t>May 13, 1995, New Orleans, Louisiana</w:t>
      </w:r>
      <w:r w:rsidR="00C103AA" w:rsidRPr="00C103AA">
        <w:rPr>
          <w:rFonts w:ascii="Times New Roman" w:hAnsi="Times New Roman" w:cs="Times New Roman"/>
          <w:color w:val="000000"/>
        </w:rPr>
        <w:t xml:space="preserve">; </w:t>
      </w:r>
      <w:r w:rsidR="003F6662" w:rsidRPr="00C103AA">
        <w:rPr>
          <w:rFonts w:ascii="Times New Roman" w:hAnsi="Times New Roman" w:cs="Times New Roman"/>
          <w:color w:val="000000"/>
        </w:rPr>
        <w:t>July 15, 1995, Charleston, South Carolina</w:t>
      </w:r>
      <w:r w:rsidRPr="00C103AA">
        <w:rPr>
          <w:rFonts w:ascii="Times New Roman" w:hAnsi="Times New Roman" w:cs="Times New Roman"/>
          <w:color w:val="000000"/>
        </w:rPr>
        <w:t>.</w:t>
      </w:r>
    </w:p>
  </w:footnote>
  <w:footnote w:id="65">
    <w:p w14:paraId="61443795" w14:textId="7EC94DC4" w:rsidR="00E80438" w:rsidRPr="00E21811" w:rsidRDefault="00E80438" w:rsidP="00CA771E">
      <w:pPr>
        <w:tabs>
          <w:tab w:val="left" w:pos="1680"/>
        </w:tabs>
        <w:spacing w:after="0" w:line="240" w:lineRule="auto"/>
        <w:rPr>
          <w:rFonts w:ascii="Times New Roman" w:hAnsi="Times New Roman" w:cs="Times New Roman"/>
          <w:sz w:val="20"/>
          <w:szCs w:val="20"/>
        </w:rPr>
      </w:pPr>
      <w:r w:rsidRPr="005C4319">
        <w:rPr>
          <w:rStyle w:val="FootnoteReference"/>
          <w:rFonts w:ascii="Times New Roman" w:hAnsi="Times New Roman" w:cs="Times New Roman"/>
          <w:sz w:val="20"/>
          <w:szCs w:val="20"/>
        </w:rPr>
        <w:footnoteRef/>
      </w:r>
      <w:r w:rsidRPr="005C4319">
        <w:rPr>
          <w:rFonts w:ascii="Times New Roman" w:hAnsi="Times New Roman" w:cs="Times New Roman"/>
          <w:sz w:val="20"/>
          <w:szCs w:val="20"/>
        </w:rPr>
        <w:t xml:space="preserve"> </w:t>
      </w:r>
      <w:r w:rsidRPr="005C4319">
        <w:rPr>
          <w:rFonts w:ascii="Times New Roman" w:eastAsia="Times New Roman" w:hAnsi="Times New Roman" w:cs="Times New Roman"/>
          <w:sz w:val="20"/>
          <w:szCs w:val="20"/>
          <w:shd w:val="clear" w:color="auto" w:fill="FFFFFF"/>
        </w:rPr>
        <w:t>16 U.S.C. § 1853a</w:t>
      </w:r>
      <w:r w:rsidRPr="005C4319">
        <w:rPr>
          <w:rFonts w:ascii="Times New Roman" w:eastAsia="Times New Roman" w:hAnsi="Times New Roman" w:cs="Times New Roman"/>
          <w:color w:val="3C3C3C"/>
          <w:sz w:val="20"/>
          <w:szCs w:val="20"/>
          <w:shd w:val="clear" w:color="auto" w:fill="FFFFFF"/>
        </w:rPr>
        <w:t>(b)</w:t>
      </w:r>
      <w:r w:rsidRPr="005C4319">
        <w:rPr>
          <w:rFonts w:ascii="Times New Roman" w:hAnsi="Times New Roman" w:cs="Times New Roman"/>
          <w:color w:val="3C3C3C"/>
          <w:sz w:val="20"/>
          <w:szCs w:val="20"/>
          <w:shd w:val="clear" w:color="auto" w:fill="FFFFFF"/>
        </w:rPr>
        <w:t xml:space="preserve">, </w:t>
      </w:r>
      <w:r w:rsidRPr="005C4319">
        <w:rPr>
          <w:rFonts w:ascii="Times New Roman" w:hAnsi="Times New Roman" w:cs="Times New Roman"/>
          <w:color w:val="222222"/>
          <w:sz w:val="20"/>
          <w:szCs w:val="20"/>
        </w:rPr>
        <w:t xml:space="preserve">(16 USC as amended 110 Stat 3576-77. </w:t>
      </w:r>
      <w:r w:rsidR="00CA771E" w:rsidRPr="005C4319">
        <w:rPr>
          <w:rFonts w:ascii="Times New Roman" w:eastAsia="Times New Roman" w:hAnsi="Times New Roman" w:cs="Times New Roman"/>
          <w:sz w:val="20"/>
          <w:szCs w:val="20"/>
        </w:rPr>
        <w:t>Courts held that fishing licenses and permits do not function as property protected by the Fifth Amendment Takings Clause. </w:t>
      </w:r>
      <w:r w:rsidR="00CA771E" w:rsidRPr="005C4319">
        <w:rPr>
          <w:rFonts w:ascii="Times New Roman" w:eastAsia="Times New Roman" w:hAnsi="Times New Roman" w:cs="Times New Roman"/>
          <w:i/>
          <w:iCs/>
          <w:sz w:val="20"/>
          <w:szCs w:val="20"/>
        </w:rPr>
        <w:t>American Pelagic Fishing Company v. U.S., 379 F.3d 1363</w:t>
      </w:r>
      <w:r w:rsidR="00CA771E" w:rsidRPr="005C4319">
        <w:rPr>
          <w:rFonts w:ascii="Times New Roman" w:eastAsia="Times New Roman" w:hAnsi="Times New Roman" w:cs="Times New Roman"/>
          <w:sz w:val="20"/>
          <w:szCs w:val="20"/>
        </w:rPr>
        <w:t xml:space="preserve">. </w:t>
      </w:r>
      <w:r w:rsidR="00E21811">
        <w:rPr>
          <w:rFonts w:ascii="Times New Roman" w:eastAsia="Times New Roman" w:hAnsi="Times New Roman" w:cs="Times New Roman"/>
          <w:sz w:val="20"/>
          <w:szCs w:val="20"/>
        </w:rPr>
        <w:t xml:space="preserve">For </w:t>
      </w:r>
      <w:r w:rsidR="00E21811">
        <w:rPr>
          <w:rFonts w:ascii="Times New Roman" w:hAnsi="Times New Roman" w:cs="Times New Roman"/>
          <w:color w:val="222222"/>
          <w:sz w:val="20"/>
          <w:szCs w:val="20"/>
        </w:rPr>
        <w:t xml:space="preserve">the benefits of property rights in fisheries and the nature of the actual privileges provided under Magnuson Stevens, see </w:t>
      </w:r>
      <w:r w:rsidR="00E21811" w:rsidRPr="00E21811">
        <w:rPr>
          <w:rFonts w:ascii="Times New Roman" w:hAnsi="Times New Roman" w:cs="Times New Roman"/>
          <w:color w:val="222222"/>
          <w:sz w:val="20"/>
          <w:szCs w:val="20"/>
          <w:shd w:val="clear" w:color="auto" w:fill="FFFFFF"/>
        </w:rPr>
        <w:t>Fina, M. and Kade, T.,</w:t>
      </w:r>
      <w:r w:rsidR="00E21811">
        <w:rPr>
          <w:rFonts w:ascii="Times New Roman" w:hAnsi="Times New Roman" w:cs="Times New Roman"/>
          <w:color w:val="222222"/>
          <w:sz w:val="20"/>
          <w:szCs w:val="20"/>
          <w:shd w:val="clear" w:color="auto" w:fill="FFFFFF"/>
        </w:rPr>
        <w:t xml:space="preserve"> (</w:t>
      </w:r>
      <w:r w:rsidR="00E21811" w:rsidRPr="00E21811">
        <w:rPr>
          <w:rFonts w:ascii="Times New Roman" w:hAnsi="Times New Roman" w:cs="Times New Roman"/>
          <w:color w:val="222222"/>
          <w:sz w:val="20"/>
          <w:szCs w:val="20"/>
          <w:shd w:val="clear" w:color="auto" w:fill="FFFFFF"/>
        </w:rPr>
        <w:t>2012</w:t>
      </w:r>
      <w:r w:rsidR="00E21811">
        <w:rPr>
          <w:rFonts w:ascii="Times New Roman" w:hAnsi="Times New Roman" w:cs="Times New Roman"/>
          <w:color w:val="222222"/>
          <w:sz w:val="20"/>
          <w:szCs w:val="20"/>
          <w:shd w:val="clear" w:color="auto" w:fill="FFFFFF"/>
        </w:rPr>
        <w:t>)</w:t>
      </w:r>
      <w:r w:rsidR="00E21811" w:rsidRPr="00E21811">
        <w:rPr>
          <w:rFonts w:ascii="Times New Roman" w:hAnsi="Times New Roman" w:cs="Times New Roman"/>
          <w:color w:val="222222"/>
          <w:sz w:val="20"/>
          <w:szCs w:val="20"/>
          <w:shd w:val="clear" w:color="auto" w:fill="FFFFFF"/>
        </w:rPr>
        <w:t xml:space="preserve">. Legal and </w:t>
      </w:r>
      <w:r w:rsidR="008A59A4">
        <w:rPr>
          <w:rFonts w:ascii="Times New Roman" w:hAnsi="Times New Roman" w:cs="Times New Roman"/>
          <w:color w:val="222222"/>
          <w:sz w:val="20"/>
          <w:szCs w:val="20"/>
          <w:shd w:val="clear" w:color="auto" w:fill="FFFFFF"/>
        </w:rPr>
        <w:t>p</w:t>
      </w:r>
      <w:r w:rsidR="00E21811" w:rsidRPr="00E21811">
        <w:rPr>
          <w:rFonts w:ascii="Times New Roman" w:hAnsi="Times New Roman" w:cs="Times New Roman"/>
          <w:color w:val="222222"/>
          <w:sz w:val="20"/>
          <w:szCs w:val="20"/>
          <w:shd w:val="clear" w:color="auto" w:fill="FFFFFF"/>
        </w:rPr>
        <w:t xml:space="preserve">olicy </w:t>
      </w:r>
      <w:r w:rsidR="008A59A4">
        <w:rPr>
          <w:rFonts w:ascii="Times New Roman" w:hAnsi="Times New Roman" w:cs="Times New Roman"/>
          <w:color w:val="222222"/>
          <w:sz w:val="20"/>
          <w:szCs w:val="20"/>
          <w:shd w:val="clear" w:color="auto" w:fill="FFFFFF"/>
        </w:rPr>
        <w:t>i</w:t>
      </w:r>
      <w:r w:rsidR="00E21811" w:rsidRPr="00E21811">
        <w:rPr>
          <w:rFonts w:ascii="Times New Roman" w:hAnsi="Times New Roman" w:cs="Times New Roman"/>
          <w:color w:val="222222"/>
          <w:sz w:val="20"/>
          <w:szCs w:val="20"/>
          <w:shd w:val="clear" w:color="auto" w:fill="FFFFFF"/>
        </w:rPr>
        <w:t xml:space="preserve">mplications of the </w:t>
      </w:r>
      <w:r w:rsidR="008A59A4">
        <w:rPr>
          <w:rFonts w:ascii="Times New Roman" w:hAnsi="Times New Roman" w:cs="Times New Roman"/>
          <w:color w:val="222222"/>
          <w:sz w:val="20"/>
          <w:szCs w:val="20"/>
          <w:shd w:val="clear" w:color="auto" w:fill="FFFFFF"/>
        </w:rPr>
        <w:t>p</w:t>
      </w:r>
      <w:r w:rsidR="00E21811" w:rsidRPr="00E21811">
        <w:rPr>
          <w:rFonts w:ascii="Times New Roman" w:hAnsi="Times New Roman" w:cs="Times New Roman"/>
          <w:color w:val="222222"/>
          <w:sz w:val="20"/>
          <w:szCs w:val="20"/>
          <w:shd w:val="clear" w:color="auto" w:fill="FFFFFF"/>
        </w:rPr>
        <w:t xml:space="preserve">erception of </w:t>
      </w:r>
      <w:r w:rsidR="008A59A4">
        <w:rPr>
          <w:rFonts w:ascii="Times New Roman" w:hAnsi="Times New Roman" w:cs="Times New Roman"/>
          <w:color w:val="222222"/>
          <w:sz w:val="20"/>
          <w:szCs w:val="20"/>
          <w:shd w:val="clear" w:color="auto" w:fill="FFFFFF"/>
        </w:rPr>
        <w:t>p</w:t>
      </w:r>
      <w:r w:rsidR="00E21811" w:rsidRPr="00E21811">
        <w:rPr>
          <w:rFonts w:ascii="Times New Roman" w:hAnsi="Times New Roman" w:cs="Times New Roman"/>
          <w:color w:val="222222"/>
          <w:sz w:val="20"/>
          <w:szCs w:val="20"/>
          <w:shd w:val="clear" w:color="auto" w:fill="FFFFFF"/>
        </w:rPr>
        <w:t xml:space="preserve">roperty </w:t>
      </w:r>
      <w:r w:rsidR="008A59A4">
        <w:rPr>
          <w:rFonts w:ascii="Times New Roman" w:hAnsi="Times New Roman" w:cs="Times New Roman"/>
          <w:color w:val="222222"/>
          <w:sz w:val="20"/>
          <w:szCs w:val="20"/>
          <w:shd w:val="clear" w:color="auto" w:fill="FFFFFF"/>
        </w:rPr>
        <w:t>r</w:t>
      </w:r>
      <w:r w:rsidR="00E21811" w:rsidRPr="00E21811">
        <w:rPr>
          <w:rFonts w:ascii="Times New Roman" w:hAnsi="Times New Roman" w:cs="Times New Roman"/>
          <w:color w:val="222222"/>
          <w:sz w:val="20"/>
          <w:szCs w:val="20"/>
          <w:shd w:val="clear" w:color="auto" w:fill="FFFFFF"/>
        </w:rPr>
        <w:t xml:space="preserve">ights in </w:t>
      </w:r>
      <w:r w:rsidR="008A59A4">
        <w:rPr>
          <w:rFonts w:ascii="Times New Roman" w:hAnsi="Times New Roman" w:cs="Times New Roman"/>
          <w:color w:val="222222"/>
          <w:sz w:val="20"/>
          <w:szCs w:val="20"/>
          <w:shd w:val="clear" w:color="auto" w:fill="FFFFFF"/>
        </w:rPr>
        <w:t>c</w:t>
      </w:r>
      <w:r w:rsidR="00E21811" w:rsidRPr="00E21811">
        <w:rPr>
          <w:rFonts w:ascii="Times New Roman" w:hAnsi="Times New Roman" w:cs="Times New Roman"/>
          <w:color w:val="222222"/>
          <w:sz w:val="20"/>
          <w:szCs w:val="20"/>
          <w:shd w:val="clear" w:color="auto" w:fill="FFFFFF"/>
        </w:rPr>
        <w:t xml:space="preserve">atch </w:t>
      </w:r>
      <w:r w:rsidR="008A59A4">
        <w:rPr>
          <w:rFonts w:ascii="Times New Roman" w:hAnsi="Times New Roman" w:cs="Times New Roman"/>
          <w:color w:val="222222"/>
          <w:sz w:val="20"/>
          <w:szCs w:val="20"/>
          <w:shd w:val="clear" w:color="auto" w:fill="FFFFFF"/>
        </w:rPr>
        <w:t>s</w:t>
      </w:r>
      <w:r w:rsidR="00E21811" w:rsidRPr="00E21811">
        <w:rPr>
          <w:rFonts w:ascii="Times New Roman" w:hAnsi="Times New Roman" w:cs="Times New Roman"/>
          <w:color w:val="222222"/>
          <w:sz w:val="20"/>
          <w:szCs w:val="20"/>
          <w:shd w:val="clear" w:color="auto" w:fill="FFFFFF"/>
        </w:rPr>
        <w:t>hares</w:t>
      </w:r>
      <w:r w:rsidR="00E21811">
        <w:rPr>
          <w:rFonts w:ascii="Times New Roman" w:hAnsi="Times New Roman" w:cs="Times New Roman"/>
          <w:color w:val="222222"/>
          <w:sz w:val="20"/>
          <w:szCs w:val="20"/>
          <w:shd w:val="clear" w:color="auto" w:fill="FFFFFF"/>
        </w:rPr>
        <w:t xml:space="preserve">, </w:t>
      </w:r>
      <w:r w:rsidR="00E21811" w:rsidRPr="00E21811">
        <w:rPr>
          <w:rFonts w:ascii="Times New Roman" w:hAnsi="Times New Roman" w:cs="Times New Roman"/>
          <w:i/>
          <w:iCs/>
          <w:color w:val="222222"/>
          <w:sz w:val="20"/>
          <w:szCs w:val="20"/>
          <w:shd w:val="clear" w:color="auto" w:fill="FFFFFF"/>
        </w:rPr>
        <w:t>Wash</w:t>
      </w:r>
      <w:r w:rsidR="00E21811">
        <w:rPr>
          <w:rFonts w:ascii="Times New Roman" w:hAnsi="Times New Roman" w:cs="Times New Roman"/>
          <w:i/>
          <w:iCs/>
          <w:color w:val="222222"/>
          <w:sz w:val="20"/>
          <w:szCs w:val="20"/>
          <w:shd w:val="clear" w:color="auto" w:fill="FFFFFF"/>
        </w:rPr>
        <w:t xml:space="preserve">ington Journal of Environmental Law and Policy </w:t>
      </w:r>
      <w:r w:rsidR="00E21811">
        <w:rPr>
          <w:rFonts w:ascii="Times New Roman" w:hAnsi="Times New Roman" w:cs="Times New Roman"/>
          <w:color w:val="222222"/>
          <w:sz w:val="20"/>
          <w:szCs w:val="20"/>
          <w:shd w:val="clear" w:color="auto" w:fill="FFFFFF"/>
        </w:rPr>
        <w:t xml:space="preserve">2(2): </w:t>
      </w:r>
      <w:r w:rsidR="00E21811" w:rsidRPr="00E21811">
        <w:rPr>
          <w:rFonts w:ascii="Times New Roman" w:hAnsi="Times New Roman" w:cs="Times New Roman"/>
          <w:color w:val="222222"/>
          <w:sz w:val="20"/>
          <w:szCs w:val="20"/>
          <w:shd w:val="clear" w:color="auto" w:fill="FFFFFF"/>
        </w:rPr>
        <w:t>283</w:t>
      </w:r>
      <w:r w:rsidR="00E21811">
        <w:rPr>
          <w:rFonts w:ascii="Times New Roman" w:hAnsi="Times New Roman" w:cs="Times New Roman"/>
          <w:color w:val="222222"/>
          <w:sz w:val="20"/>
          <w:szCs w:val="20"/>
          <w:shd w:val="clear" w:color="auto" w:fill="FFFFFF"/>
        </w:rPr>
        <w:t>-327</w:t>
      </w:r>
      <w:r w:rsidR="00E21811" w:rsidRPr="00E21811">
        <w:rPr>
          <w:rFonts w:ascii="Times New Roman" w:hAnsi="Times New Roman" w:cs="Times New Roman"/>
          <w:color w:val="222222"/>
          <w:sz w:val="20"/>
          <w:szCs w:val="20"/>
          <w:shd w:val="clear" w:color="auto" w:fill="FFFFFF"/>
        </w:rPr>
        <w:t>.</w:t>
      </w:r>
    </w:p>
  </w:footnote>
  <w:footnote w:id="66">
    <w:p w14:paraId="4EB8CE50" w14:textId="48E412FD" w:rsidR="00E80438" w:rsidRPr="005C4319" w:rsidRDefault="00E80438" w:rsidP="00E80438">
      <w:pPr>
        <w:pStyle w:val="FootnoteText"/>
        <w:rPr>
          <w:rFonts w:ascii="Times New Roman" w:hAnsi="Times New Roman" w:cs="Times New Roman"/>
        </w:rPr>
      </w:pPr>
      <w:r w:rsidRPr="005C4319">
        <w:rPr>
          <w:rStyle w:val="FootnoteReference"/>
          <w:rFonts w:ascii="Times New Roman" w:hAnsi="Times New Roman" w:cs="Times New Roman"/>
        </w:rPr>
        <w:footnoteRef/>
      </w:r>
      <w:r w:rsidR="005C4319" w:rsidRPr="005C4319">
        <w:rPr>
          <w:rFonts w:ascii="Times New Roman" w:hAnsi="Times New Roman" w:cs="Times New Roman"/>
        </w:rPr>
        <w:t xml:space="preserve"> Lian</w:t>
      </w:r>
      <w:r w:rsidR="005C4319">
        <w:rPr>
          <w:rFonts w:ascii="Times New Roman" w:hAnsi="Times New Roman" w:cs="Times New Roman"/>
        </w:rPr>
        <w:t>, C.,</w:t>
      </w:r>
      <w:r w:rsidR="005C4319" w:rsidRPr="005C4319">
        <w:rPr>
          <w:rFonts w:ascii="Times New Roman" w:hAnsi="Times New Roman" w:cs="Times New Roman"/>
        </w:rPr>
        <w:t xml:space="preserve"> Singh</w:t>
      </w:r>
      <w:r w:rsidR="005C4319">
        <w:rPr>
          <w:rFonts w:ascii="Times New Roman" w:hAnsi="Times New Roman" w:cs="Times New Roman"/>
        </w:rPr>
        <w:t>, R.,</w:t>
      </w:r>
      <w:r w:rsidR="005C4319" w:rsidRPr="005C4319">
        <w:rPr>
          <w:rFonts w:ascii="Times New Roman" w:hAnsi="Times New Roman" w:cs="Times New Roman"/>
        </w:rPr>
        <w:t xml:space="preserve"> </w:t>
      </w:r>
      <w:r w:rsidR="005C4319">
        <w:rPr>
          <w:rFonts w:ascii="Times New Roman" w:hAnsi="Times New Roman" w:cs="Times New Roman"/>
        </w:rPr>
        <w:t xml:space="preserve">and </w:t>
      </w:r>
      <w:r w:rsidR="005C4319" w:rsidRPr="005C4319">
        <w:rPr>
          <w:rFonts w:ascii="Times New Roman" w:hAnsi="Times New Roman" w:cs="Times New Roman"/>
        </w:rPr>
        <w:t>Weninger</w:t>
      </w:r>
      <w:r w:rsidR="005C4319">
        <w:rPr>
          <w:rFonts w:ascii="Times New Roman" w:hAnsi="Times New Roman" w:cs="Times New Roman"/>
        </w:rPr>
        <w:t>, Q. (</w:t>
      </w:r>
      <w:r w:rsidR="001131C5">
        <w:rPr>
          <w:rFonts w:ascii="Times New Roman" w:hAnsi="Times New Roman" w:cs="Times New Roman"/>
        </w:rPr>
        <w:t>2009</w:t>
      </w:r>
      <w:r w:rsidR="005C4319">
        <w:rPr>
          <w:rFonts w:ascii="Times New Roman" w:hAnsi="Times New Roman" w:cs="Times New Roman"/>
        </w:rPr>
        <w:t>)</w:t>
      </w:r>
      <w:r w:rsidR="008A59A4">
        <w:rPr>
          <w:rFonts w:ascii="Times New Roman" w:hAnsi="Times New Roman" w:cs="Times New Roman"/>
        </w:rPr>
        <w:t>.</w:t>
      </w:r>
      <w:r w:rsidR="001131C5">
        <w:rPr>
          <w:rFonts w:ascii="Times New Roman" w:hAnsi="Times New Roman" w:cs="Times New Roman"/>
        </w:rPr>
        <w:t xml:space="preserve"> </w:t>
      </w:r>
      <w:r w:rsidR="005C4319" w:rsidRPr="005C4319">
        <w:rPr>
          <w:rFonts w:ascii="Times New Roman" w:hAnsi="Times New Roman" w:cs="Times New Roman"/>
        </w:rPr>
        <w:t xml:space="preserve">Fleet </w:t>
      </w:r>
      <w:r w:rsidR="008A59A4">
        <w:rPr>
          <w:rFonts w:ascii="Times New Roman" w:hAnsi="Times New Roman" w:cs="Times New Roman"/>
        </w:rPr>
        <w:t>r</w:t>
      </w:r>
      <w:r w:rsidR="005C4319" w:rsidRPr="005C4319">
        <w:rPr>
          <w:rFonts w:ascii="Times New Roman" w:hAnsi="Times New Roman" w:cs="Times New Roman"/>
        </w:rPr>
        <w:t xml:space="preserve">estructuring, </w:t>
      </w:r>
      <w:r w:rsidR="008A59A4">
        <w:rPr>
          <w:rFonts w:ascii="Times New Roman" w:hAnsi="Times New Roman" w:cs="Times New Roman"/>
        </w:rPr>
        <w:t>r</w:t>
      </w:r>
      <w:r w:rsidR="005C4319" w:rsidRPr="005C4319">
        <w:rPr>
          <w:rFonts w:ascii="Times New Roman" w:hAnsi="Times New Roman" w:cs="Times New Roman"/>
        </w:rPr>
        <w:t xml:space="preserve">ent </w:t>
      </w:r>
      <w:r w:rsidR="008A59A4">
        <w:rPr>
          <w:rFonts w:ascii="Times New Roman" w:hAnsi="Times New Roman" w:cs="Times New Roman"/>
        </w:rPr>
        <w:t>g</w:t>
      </w:r>
      <w:r w:rsidR="005C4319" w:rsidRPr="005C4319">
        <w:rPr>
          <w:rFonts w:ascii="Times New Roman" w:hAnsi="Times New Roman" w:cs="Times New Roman"/>
        </w:rPr>
        <w:t xml:space="preserve">eneration, and the </w:t>
      </w:r>
      <w:r w:rsidR="008A59A4">
        <w:rPr>
          <w:rFonts w:ascii="Times New Roman" w:hAnsi="Times New Roman" w:cs="Times New Roman"/>
        </w:rPr>
        <w:t>d</w:t>
      </w:r>
      <w:r w:rsidR="005C4319" w:rsidRPr="005C4319">
        <w:rPr>
          <w:rFonts w:ascii="Times New Roman" w:hAnsi="Times New Roman" w:cs="Times New Roman"/>
        </w:rPr>
        <w:t xml:space="preserve">esign of </w:t>
      </w:r>
      <w:r w:rsidR="008A59A4">
        <w:rPr>
          <w:rFonts w:ascii="Times New Roman" w:hAnsi="Times New Roman" w:cs="Times New Roman"/>
        </w:rPr>
        <w:t>i</w:t>
      </w:r>
      <w:r w:rsidR="005C4319" w:rsidRPr="005C4319">
        <w:rPr>
          <w:rFonts w:ascii="Times New Roman" w:hAnsi="Times New Roman" w:cs="Times New Roman"/>
        </w:rPr>
        <w:t xml:space="preserve">ndividual </w:t>
      </w:r>
      <w:r w:rsidR="008A59A4">
        <w:rPr>
          <w:rFonts w:ascii="Times New Roman" w:hAnsi="Times New Roman" w:cs="Times New Roman"/>
        </w:rPr>
        <w:t>f</w:t>
      </w:r>
      <w:r w:rsidR="005C4319" w:rsidRPr="005C4319">
        <w:rPr>
          <w:rFonts w:ascii="Times New Roman" w:hAnsi="Times New Roman" w:cs="Times New Roman"/>
        </w:rPr>
        <w:t xml:space="preserve">ishing </w:t>
      </w:r>
      <w:r w:rsidR="008A59A4">
        <w:rPr>
          <w:rFonts w:ascii="Times New Roman" w:hAnsi="Times New Roman" w:cs="Times New Roman"/>
        </w:rPr>
        <w:t>q</w:t>
      </w:r>
      <w:r w:rsidR="005C4319" w:rsidRPr="005C4319">
        <w:rPr>
          <w:rFonts w:ascii="Times New Roman" w:hAnsi="Times New Roman" w:cs="Times New Roman"/>
        </w:rPr>
        <w:t xml:space="preserve">uota </w:t>
      </w:r>
      <w:r w:rsidR="008A59A4">
        <w:rPr>
          <w:rFonts w:ascii="Times New Roman" w:hAnsi="Times New Roman" w:cs="Times New Roman"/>
        </w:rPr>
        <w:t>p</w:t>
      </w:r>
      <w:r w:rsidR="005C4319" w:rsidRPr="005C4319">
        <w:rPr>
          <w:rFonts w:ascii="Times New Roman" w:hAnsi="Times New Roman" w:cs="Times New Roman"/>
        </w:rPr>
        <w:t xml:space="preserve">rograms: Empirical </w:t>
      </w:r>
      <w:r w:rsidR="008A59A4">
        <w:rPr>
          <w:rFonts w:ascii="Times New Roman" w:hAnsi="Times New Roman" w:cs="Times New Roman"/>
        </w:rPr>
        <w:t>e</w:t>
      </w:r>
      <w:r w:rsidR="005C4319" w:rsidRPr="005C4319">
        <w:rPr>
          <w:rFonts w:ascii="Times New Roman" w:hAnsi="Times New Roman" w:cs="Times New Roman"/>
        </w:rPr>
        <w:t>vidence from the Pacific Coast Groundfish Fishery</w:t>
      </w:r>
      <w:r w:rsidR="008A59A4">
        <w:rPr>
          <w:rFonts w:ascii="Times New Roman" w:hAnsi="Times New Roman" w:cs="Times New Roman"/>
        </w:rPr>
        <w:t>.</w:t>
      </w:r>
      <w:r w:rsidR="005C4319" w:rsidRPr="005C4319">
        <w:rPr>
          <w:rFonts w:ascii="Times New Roman" w:hAnsi="Times New Roman" w:cs="Times New Roman"/>
          <w:i/>
          <w:iCs/>
        </w:rPr>
        <w:t xml:space="preserve"> </w:t>
      </w:r>
      <w:r w:rsidR="00694186" w:rsidRPr="005C4319">
        <w:rPr>
          <w:rFonts w:ascii="Times New Roman" w:hAnsi="Times New Roman" w:cs="Times New Roman"/>
          <w:i/>
          <w:iCs/>
        </w:rPr>
        <w:t>Marine Resource Economics</w:t>
      </w:r>
      <w:r w:rsidR="00694186" w:rsidRPr="005C4319">
        <w:rPr>
          <w:rFonts w:ascii="Times New Roman" w:hAnsi="Times New Roman" w:cs="Times New Roman"/>
        </w:rPr>
        <w:t>, 24</w:t>
      </w:r>
      <w:r w:rsidR="005C4319">
        <w:rPr>
          <w:rFonts w:ascii="Times New Roman" w:hAnsi="Times New Roman" w:cs="Times New Roman"/>
        </w:rPr>
        <w:t>:</w:t>
      </w:r>
      <w:r w:rsidR="00694186" w:rsidRPr="005C4319">
        <w:rPr>
          <w:rFonts w:ascii="Times New Roman" w:hAnsi="Times New Roman" w:cs="Times New Roman"/>
        </w:rPr>
        <w:t xml:space="preserve"> 329–359</w:t>
      </w:r>
      <w:r w:rsidR="005C4319">
        <w:rPr>
          <w:rFonts w:ascii="Times New Roman" w:hAnsi="Times New Roman" w:cs="Times New Roman"/>
        </w:rPr>
        <w:t>.</w:t>
      </w:r>
      <w:r w:rsidR="00694186" w:rsidRPr="005C4319">
        <w:rPr>
          <w:rFonts w:ascii="Times New Roman" w:hAnsi="Times New Roman" w:cs="Times New Roman"/>
        </w:rPr>
        <w:t xml:space="preserve"> </w:t>
      </w:r>
    </w:p>
  </w:footnote>
  <w:footnote w:id="67">
    <w:p w14:paraId="0C2AF3C9" w14:textId="554D177D" w:rsidR="00061C62" w:rsidRPr="005C4319" w:rsidRDefault="00061C62" w:rsidP="00061C62">
      <w:pPr>
        <w:pStyle w:val="FootnoteText"/>
        <w:rPr>
          <w:rFonts w:ascii="Times New Roman" w:hAnsi="Times New Roman" w:cs="Times New Roman"/>
        </w:rPr>
      </w:pPr>
      <w:r w:rsidRPr="005C4319">
        <w:rPr>
          <w:rStyle w:val="FootnoteReference"/>
          <w:rFonts w:ascii="Times New Roman" w:hAnsi="Times New Roman" w:cs="Times New Roman"/>
        </w:rPr>
        <w:footnoteRef/>
      </w:r>
      <w:r w:rsidRPr="005C4319">
        <w:rPr>
          <w:rFonts w:ascii="Times New Roman" w:hAnsi="Times New Roman" w:cs="Times New Roman"/>
        </w:rPr>
        <w:t xml:space="preserve"> </w:t>
      </w:r>
      <w:r w:rsidR="00B64142" w:rsidRPr="005C4319">
        <w:rPr>
          <w:rFonts w:ascii="Times New Roman" w:hAnsi="Times New Roman" w:cs="Times New Roman"/>
        </w:rPr>
        <w:t xml:space="preserve">Holland, D.S., E. Thunberg, J. Agar, S. Crosson, C. Demarest, S. Kasperski, L. Perruso, E. Steiner, J. Stephen, A. Strelcheck, and M. Travis. </w:t>
      </w:r>
      <w:r w:rsidR="00687716">
        <w:rPr>
          <w:rFonts w:ascii="Times New Roman" w:hAnsi="Times New Roman" w:cs="Times New Roman"/>
        </w:rPr>
        <w:t>(</w:t>
      </w:r>
      <w:r w:rsidR="00B64142" w:rsidRPr="005C4319">
        <w:rPr>
          <w:rFonts w:ascii="Times New Roman" w:hAnsi="Times New Roman" w:cs="Times New Roman"/>
        </w:rPr>
        <w:t>2015</w:t>
      </w:r>
      <w:r w:rsidR="00687716">
        <w:rPr>
          <w:rFonts w:ascii="Times New Roman" w:hAnsi="Times New Roman" w:cs="Times New Roman"/>
        </w:rPr>
        <w:t>)</w:t>
      </w:r>
      <w:r w:rsidR="00B64142" w:rsidRPr="005C4319">
        <w:rPr>
          <w:rFonts w:ascii="Times New Roman" w:hAnsi="Times New Roman" w:cs="Times New Roman"/>
        </w:rPr>
        <w:t xml:space="preserve">. US </w:t>
      </w:r>
      <w:r w:rsidR="008A59A4">
        <w:rPr>
          <w:rFonts w:ascii="Times New Roman" w:hAnsi="Times New Roman" w:cs="Times New Roman"/>
        </w:rPr>
        <w:t>c</w:t>
      </w:r>
      <w:r w:rsidR="00B64142" w:rsidRPr="005C4319">
        <w:rPr>
          <w:rFonts w:ascii="Times New Roman" w:hAnsi="Times New Roman" w:cs="Times New Roman"/>
        </w:rPr>
        <w:t xml:space="preserve">atch </w:t>
      </w:r>
      <w:r w:rsidR="008A59A4">
        <w:rPr>
          <w:rFonts w:ascii="Times New Roman" w:hAnsi="Times New Roman" w:cs="Times New Roman"/>
        </w:rPr>
        <w:t>s</w:t>
      </w:r>
      <w:r w:rsidR="00B64142" w:rsidRPr="005C4319">
        <w:rPr>
          <w:rFonts w:ascii="Times New Roman" w:hAnsi="Times New Roman" w:cs="Times New Roman"/>
        </w:rPr>
        <w:t xml:space="preserve">hare </w:t>
      </w:r>
      <w:r w:rsidR="008A59A4">
        <w:rPr>
          <w:rFonts w:ascii="Times New Roman" w:hAnsi="Times New Roman" w:cs="Times New Roman"/>
        </w:rPr>
        <w:t>m</w:t>
      </w:r>
      <w:r w:rsidR="00B64142" w:rsidRPr="005C4319">
        <w:rPr>
          <w:rFonts w:ascii="Times New Roman" w:hAnsi="Times New Roman" w:cs="Times New Roman"/>
        </w:rPr>
        <w:t xml:space="preserve">arkets: A </w:t>
      </w:r>
      <w:r w:rsidR="008A59A4">
        <w:rPr>
          <w:rFonts w:ascii="Times New Roman" w:hAnsi="Times New Roman" w:cs="Times New Roman"/>
        </w:rPr>
        <w:t>r</w:t>
      </w:r>
      <w:r w:rsidR="00B64142" w:rsidRPr="005C4319">
        <w:rPr>
          <w:rFonts w:ascii="Times New Roman" w:hAnsi="Times New Roman" w:cs="Times New Roman"/>
        </w:rPr>
        <w:t xml:space="preserve">eview of </w:t>
      </w:r>
      <w:r w:rsidR="008A59A4">
        <w:rPr>
          <w:rFonts w:ascii="Times New Roman" w:hAnsi="Times New Roman" w:cs="Times New Roman"/>
        </w:rPr>
        <w:t>d</w:t>
      </w:r>
      <w:r w:rsidR="00B64142" w:rsidRPr="005C4319">
        <w:rPr>
          <w:rFonts w:ascii="Times New Roman" w:hAnsi="Times New Roman" w:cs="Times New Roman"/>
        </w:rPr>
        <w:t xml:space="preserve">ata </w:t>
      </w:r>
      <w:r w:rsidR="008A59A4">
        <w:rPr>
          <w:rFonts w:ascii="Times New Roman" w:hAnsi="Times New Roman" w:cs="Times New Roman"/>
        </w:rPr>
        <w:t>a</w:t>
      </w:r>
      <w:r w:rsidR="00B64142" w:rsidRPr="005C4319">
        <w:rPr>
          <w:rFonts w:ascii="Times New Roman" w:hAnsi="Times New Roman" w:cs="Times New Roman"/>
        </w:rPr>
        <w:t xml:space="preserve">vailability and </w:t>
      </w:r>
      <w:r w:rsidR="008A59A4">
        <w:rPr>
          <w:rFonts w:ascii="Times New Roman" w:hAnsi="Times New Roman" w:cs="Times New Roman"/>
        </w:rPr>
        <w:t>i</w:t>
      </w:r>
      <w:r w:rsidR="00B64142" w:rsidRPr="005C4319">
        <w:rPr>
          <w:rFonts w:ascii="Times New Roman" w:hAnsi="Times New Roman" w:cs="Times New Roman"/>
        </w:rPr>
        <w:t xml:space="preserve">mpediments to </w:t>
      </w:r>
      <w:r w:rsidR="008A59A4">
        <w:rPr>
          <w:rFonts w:ascii="Times New Roman" w:hAnsi="Times New Roman" w:cs="Times New Roman"/>
        </w:rPr>
        <w:t>t</w:t>
      </w:r>
      <w:r w:rsidR="00B64142" w:rsidRPr="005C4319">
        <w:rPr>
          <w:rFonts w:ascii="Times New Roman" w:hAnsi="Times New Roman" w:cs="Times New Roman"/>
        </w:rPr>
        <w:t xml:space="preserve">ransparent </w:t>
      </w:r>
      <w:r w:rsidR="008A59A4">
        <w:rPr>
          <w:rFonts w:ascii="Times New Roman" w:hAnsi="Times New Roman" w:cs="Times New Roman"/>
        </w:rPr>
        <w:t>m</w:t>
      </w:r>
      <w:r w:rsidR="00B64142" w:rsidRPr="005C4319">
        <w:rPr>
          <w:rFonts w:ascii="Times New Roman" w:hAnsi="Times New Roman" w:cs="Times New Roman"/>
        </w:rPr>
        <w:t xml:space="preserve">arkets. </w:t>
      </w:r>
      <w:r w:rsidR="00B64142" w:rsidRPr="00687716">
        <w:rPr>
          <w:rFonts w:ascii="Times New Roman" w:hAnsi="Times New Roman" w:cs="Times New Roman"/>
          <w:i/>
          <w:iCs/>
        </w:rPr>
        <w:t>Marine Policy</w:t>
      </w:r>
      <w:r w:rsidR="00B64142" w:rsidRPr="005C4319">
        <w:rPr>
          <w:rFonts w:ascii="Times New Roman" w:hAnsi="Times New Roman" w:cs="Times New Roman"/>
        </w:rPr>
        <w:t xml:space="preserve"> 57:103–110.</w:t>
      </w:r>
    </w:p>
  </w:footnote>
  <w:footnote w:id="68">
    <w:p w14:paraId="40A492F8" w14:textId="32D3888E" w:rsidR="00C85076" w:rsidRPr="006B55E4" w:rsidRDefault="00C85076" w:rsidP="00C85076">
      <w:pPr>
        <w:pStyle w:val="Heading2"/>
        <w:spacing w:before="0" w:line="240" w:lineRule="auto"/>
        <w:textAlignment w:val="center"/>
      </w:pPr>
      <w:r w:rsidRPr="006B55E4">
        <w:rPr>
          <w:rStyle w:val="FootnoteReference"/>
          <w:rFonts w:ascii="Times New Roman" w:hAnsi="Times New Roman" w:cs="Times New Roman"/>
          <w:color w:val="auto"/>
          <w:sz w:val="20"/>
          <w:szCs w:val="20"/>
        </w:rPr>
        <w:footnoteRef/>
      </w:r>
      <w:r w:rsidRPr="006B55E4">
        <w:rPr>
          <w:rFonts w:ascii="Times New Roman" w:hAnsi="Times New Roman" w:cs="Times New Roman"/>
          <w:color w:val="auto"/>
          <w:sz w:val="20"/>
          <w:szCs w:val="20"/>
        </w:rPr>
        <w:t xml:space="preserve"> </w:t>
      </w:r>
      <w:r w:rsidRPr="006B55E4">
        <w:rPr>
          <w:rFonts w:ascii="Times New Roman" w:eastAsia="Times New Roman" w:hAnsi="Times New Roman" w:cs="Times New Roman"/>
          <w:color w:val="auto"/>
          <w:kern w:val="0"/>
          <w:sz w:val="20"/>
          <w:szCs w:val="20"/>
          <w14:ligatures w14:val="none"/>
        </w:rPr>
        <w:t xml:space="preserve">Grainger and Costello (2014) compare dividend price ratios (lease price/sales price) for weak fishery rights in the US and compare them with the secure property rights in New Zealand. </w:t>
      </w:r>
      <w:r>
        <w:rPr>
          <w:rFonts w:ascii="Times New Roman" w:eastAsia="Times New Roman" w:hAnsi="Times New Roman" w:cs="Times New Roman"/>
          <w:color w:val="auto"/>
          <w:kern w:val="0"/>
          <w:sz w:val="20"/>
          <w:szCs w:val="20"/>
          <w14:ligatures w14:val="none"/>
        </w:rPr>
        <w:t>Dividend price ratios are higher in the US as parties relied more upon short</w:t>
      </w:r>
      <w:r w:rsidR="008A59A4">
        <w:rPr>
          <w:rFonts w:ascii="Times New Roman" w:eastAsia="Times New Roman" w:hAnsi="Times New Roman" w:cs="Times New Roman"/>
          <w:color w:val="auto"/>
          <w:kern w:val="0"/>
          <w:sz w:val="20"/>
          <w:szCs w:val="20"/>
          <w14:ligatures w14:val="none"/>
        </w:rPr>
        <w:t xml:space="preserve"> </w:t>
      </w:r>
      <w:r>
        <w:rPr>
          <w:rFonts w:ascii="Times New Roman" w:eastAsia="Times New Roman" w:hAnsi="Times New Roman" w:cs="Times New Roman"/>
          <w:color w:val="auto"/>
          <w:kern w:val="0"/>
          <w:sz w:val="20"/>
          <w:szCs w:val="20"/>
          <w14:ligatures w14:val="none"/>
        </w:rPr>
        <w:t xml:space="preserve">term leasing than sales. </w:t>
      </w:r>
      <w:r w:rsidRPr="006B55E4">
        <w:rPr>
          <w:rFonts w:ascii="Times New Roman" w:eastAsia="Times New Roman" w:hAnsi="Times New Roman" w:cs="Times New Roman"/>
          <w:color w:val="auto"/>
          <w:kern w:val="0"/>
          <w:sz w:val="20"/>
          <w:szCs w:val="20"/>
          <w14:ligatures w14:val="none"/>
        </w:rPr>
        <w:t xml:space="preserve">Grainger, C.A. and Costello, C.J. (2014). </w:t>
      </w:r>
      <w:r w:rsidRPr="00E23C21">
        <w:rPr>
          <w:rFonts w:ascii="Times New Roman" w:eastAsia="Times New Roman" w:hAnsi="Times New Roman" w:cs="Times New Roman"/>
          <w:color w:val="auto"/>
          <w:kern w:val="36"/>
          <w:sz w:val="20"/>
          <w:szCs w:val="20"/>
          <w14:ligatures w14:val="none"/>
        </w:rPr>
        <w:t>Capitalizing property rights insecurity in natural resource assets</w:t>
      </w:r>
      <w:r w:rsidRPr="006B55E4">
        <w:rPr>
          <w:rFonts w:ascii="Times New Roman" w:eastAsia="Times New Roman" w:hAnsi="Times New Roman" w:cs="Times New Roman"/>
          <w:color w:val="auto"/>
          <w:kern w:val="0"/>
          <w:sz w:val="20"/>
          <w:szCs w:val="20"/>
          <w14:ligatures w14:val="none"/>
        </w:rPr>
        <w:t xml:space="preserve">. </w:t>
      </w:r>
      <w:hyperlink r:id="rId13" w:tooltip="Go to Journal of Environmental Economics and Management on ScienceDirect" w:history="1">
        <w:r w:rsidRPr="006B55E4">
          <w:rPr>
            <w:rFonts w:ascii="Times New Roman" w:eastAsia="Times New Roman" w:hAnsi="Times New Roman" w:cs="Times New Roman"/>
            <w:i/>
            <w:iCs/>
            <w:color w:val="auto"/>
            <w:kern w:val="0"/>
            <w:sz w:val="20"/>
            <w:szCs w:val="20"/>
            <w14:ligatures w14:val="none"/>
          </w:rPr>
          <w:t>Journal of Environmental Economics and Management</w:t>
        </w:r>
      </w:hyperlink>
      <w:r w:rsidRPr="006B55E4">
        <w:rPr>
          <w:rFonts w:ascii="Times New Roman" w:eastAsia="Times New Roman" w:hAnsi="Times New Roman" w:cs="Times New Roman"/>
          <w:i/>
          <w:iCs/>
          <w:color w:val="auto"/>
          <w:kern w:val="0"/>
          <w:sz w:val="20"/>
          <w:szCs w:val="20"/>
          <w14:ligatures w14:val="none"/>
        </w:rPr>
        <w:t xml:space="preserve"> </w:t>
      </w:r>
      <w:hyperlink r:id="rId14" w:tooltip="Go to table of contents for this volume/issue" w:history="1">
        <w:r w:rsidRPr="00E23C21">
          <w:rPr>
            <w:rFonts w:ascii="Times New Roman" w:eastAsia="Times New Roman" w:hAnsi="Times New Roman" w:cs="Times New Roman"/>
            <w:color w:val="auto"/>
            <w:kern w:val="0"/>
            <w:sz w:val="20"/>
            <w:szCs w:val="20"/>
            <w14:ligatures w14:val="none"/>
          </w:rPr>
          <w:t>67</w:t>
        </w:r>
        <w:r w:rsidRPr="006B55E4">
          <w:rPr>
            <w:rFonts w:ascii="Times New Roman" w:eastAsia="Times New Roman" w:hAnsi="Times New Roman" w:cs="Times New Roman"/>
            <w:color w:val="auto"/>
            <w:kern w:val="0"/>
            <w:sz w:val="20"/>
            <w:szCs w:val="20"/>
            <w14:ligatures w14:val="none"/>
          </w:rPr>
          <w:t xml:space="preserve"> (</w:t>
        </w:r>
        <w:r w:rsidRPr="00E23C21">
          <w:rPr>
            <w:rFonts w:ascii="Times New Roman" w:eastAsia="Times New Roman" w:hAnsi="Times New Roman" w:cs="Times New Roman"/>
            <w:color w:val="auto"/>
            <w:kern w:val="0"/>
            <w:sz w:val="20"/>
            <w:szCs w:val="20"/>
            <w14:ligatures w14:val="none"/>
          </w:rPr>
          <w:t>2</w:t>
        </w:r>
      </w:hyperlink>
      <w:r w:rsidRPr="006B55E4">
        <w:rPr>
          <w:rFonts w:ascii="Times New Roman" w:eastAsia="Times New Roman" w:hAnsi="Times New Roman" w:cs="Times New Roman"/>
          <w:color w:val="auto"/>
          <w:kern w:val="0"/>
          <w:sz w:val="20"/>
          <w:szCs w:val="20"/>
          <w14:ligatures w14:val="none"/>
        </w:rPr>
        <w:t>):</w:t>
      </w:r>
      <w:r w:rsidRPr="00E23C21">
        <w:rPr>
          <w:rFonts w:ascii="Times New Roman" w:eastAsia="Times New Roman" w:hAnsi="Times New Roman" w:cs="Times New Roman"/>
          <w:color w:val="auto"/>
          <w:kern w:val="0"/>
          <w:sz w:val="20"/>
          <w:szCs w:val="20"/>
          <w14:ligatures w14:val="none"/>
        </w:rPr>
        <w:t xml:space="preserve"> 224-240</w:t>
      </w:r>
      <w:r w:rsidRPr="006B55E4">
        <w:rPr>
          <w:rFonts w:ascii="Times New Roman" w:eastAsia="Times New Roman" w:hAnsi="Times New Roman" w:cs="Times New Roman"/>
          <w:color w:val="auto"/>
          <w:kern w:val="0"/>
          <w:sz w:val="20"/>
          <w:szCs w:val="20"/>
          <w14:ligatures w14:val="none"/>
        </w:rPr>
        <w:t xml:space="preserve">. </w:t>
      </w:r>
    </w:p>
  </w:footnote>
  <w:footnote w:id="69">
    <w:p w14:paraId="463D6593" w14:textId="1781826D" w:rsidR="00F854F9" w:rsidRPr="004C63AB" w:rsidRDefault="00F854F9" w:rsidP="00F854F9">
      <w:pPr>
        <w:pStyle w:val="FootnoteText"/>
        <w:rPr>
          <w:rFonts w:ascii="Times New Roman" w:hAnsi="Times New Roman" w:cs="Times New Roman"/>
        </w:rPr>
      </w:pPr>
      <w:r w:rsidRPr="004C63AB">
        <w:rPr>
          <w:rStyle w:val="FootnoteReference"/>
          <w:rFonts w:ascii="Times New Roman" w:hAnsi="Times New Roman" w:cs="Times New Roman"/>
        </w:rPr>
        <w:footnoteRef/>
      </w:r>
      <w:r w:rsidRPr="004C63AB">
        <w:rPr>
          <w:rFonts w:ascii="Times New Roman" w:hAnsi="Times New Roman" w:cs="Times New Roman"/>
        </w:rPr>
        <w:t xml:space="preserve"> See discussion and references in Adler, J.H. (202</w:t>
      </w:r>
      <w:r w:rsidR="00FF5BE8">
        <w:rPr>
          <w:rFonts w:ascii="Times New Roman" w:hAnsi="Times New Roman" w:cs="Times New Roman"/>
        </w:rPr>
        <w:t>4</w:t>
      </w:r>
      <w:r w:rsidRPr="004C63AB">
        <w:rPr>
          <w:rFonts w:ascii="Times New Roman" w:hAnsi="Times New Roman" w:cs="Times New Roman"/>
        </w:rPr>
        <w:t>). Tarnished Gold: The Endangered Species Act at 50,</w:t>
      </w:r>
      <w:r w:rsidRPr="004C63AB">
        <w:rPr>
          <w:rFonts w:ascii="Times New Roman" w:hAnsi="Times New Roman" w:cs="Times New Roman"/>
          <w:i/>
          <w:iCs/>
        </w:rPr>
        <w:t xml:space="preserve"> Florida International University Law Review</w:t>
      </w:r>
      <w:bookmarkStart w:id="7" w:name="_Hlk173582485"/>
      <w:r w:rsidRPr="004C63AB">
        <w:rPr>
          <w:rFonts w:ascii="Times New Roman" w:hAnsi="Times New Roman" w:cs="Times New Roman"/>
        </w:rPr>
        <w:t xml:space="preserve">, </w:t>
      </w:r>
      <w:r w:rsidR="00931D0A">
        <w:rPr>
          <w:rFonts w:ascii="Times New Roman" w:hAnsi="Times New Roman" w:cs="Times New Roman"/>
        </w:rPr>
        <w:t xml:space="preserve">18 (2). Symposium: Environment </w:t>
      </w:r>
      <w:r w:rsidR="008A59A4">
        <w:rPr>
          <w:rFonts w:ascii="Times New Roman" w:hAnsi="Times New Roman" w:cs="Times New Roman"/>
        </w:rPr>
        <w:t>f</w:t>
      </w:r>
      <w:r w:rsidR="00931D0A">
        <w:rPr>
          <w:rFonts w:ascii="Times New Roman" w:hAnsi="Times New Roman" w:cs="Times New Roman"/>
        </w:rPr>
        <w:t xml:space="preserve">orum: From </w:t>
      </w:r>
      <w:r w:rsidR="008A59A4">
        <w:rPr>
          <w:rFonts w:ascii="Times New Roman" w:hAnsi="Times New Roman" w:cs="Times New Roman"/>
        </w:rPr>
        <w:t>s</w:t>
      </w:r>
      <w:r w:rsidR="00931D0A">
        <w:rPr>
          <w:rFonts w:ascii="Times New Roman" w:hAnsi="Times New Roman" w:cs="Times New Roman"/>
        </w:rPr>
        <w:t xml:space="preserve">cience to </w:t>
      </w:r>
      <w:r w:rsidR="008A59A4">
        <w:rPr>
          <w:rFonts w:ascii="Times New Roman" w:hAnsi="Times New Roman" w:cs="Times New Roman"/>
        </w:rPr>
        <w:t>p</w:t>
      </w:r>
      <w:r w:rsidR="00931D0A">
        <w:rPr>
          <w:rFonts w:ascii="Times New Roman" w:hAnsi="Times New Roman" w:cs="Times New Roman"/>
        </w:rPr>
        <w:t xml:space="preserve">ublic </w:t>
      </w:r>
      <w:r w:rsidR="008A59A4">
        <w:rPr>
          <w:rFonts w:ascii="Times New Roman" w:hAnsi="Times New Roman" w:cs="Times New Roman"/>
        </w:rPr>
        <w:t>p</w:t>
      </w:r>
      <w:r w:rsidR="00931D0A">
        <w:rPr>
          <w:rFonts w:ascii="Times New Roman" w:hAnsi="Times New Roman" w:cs="Times New Roman"/>
        </w:rPr>
        <w:t>olicy</w:t>
      </w:r>
      <w:bookmarkEnd w:id="7"/>
      <w:r w:rsidR="00931D0A">
        <w:rPr>
          <w:rFonts w:ascii="Times New Roman" w:hAnsi="Times New Roman" w:cs="Times New Roman"/>
        </w:rPr>
        <w:t>.</w:t>
      </w:r>
      <w:r w:rsidRPr="004C63AB">
        <w:rPr>
          <w:rFonts w:ascii="Times New Roman" w:hAnsi="Times New Roman" w:cs="Times New Roman"/>
        </w:rPr>
        <w:t xml:space="preserve"> 2-3.</w:t>
      </w:r>
    </w:p>
  </w:footnote>
  <w:footnote w:id="70">
    <w:p w14:paraId="3C6E9876" w14:textId="50576F0E" w:rsidR="00F854F9" w:rsidRPr="0025357A" w:rsidRDefault="00F854F9" w:rsidP="00F854F9">
      <w:pPr>
        <w:pStyle w:val="Heading1"/>
        <w:spacing w:before="0"/>
        <w:rPr>
          <w:rFonts w:ascii="Times New Roman" w:hAnsi="Times New Roman" w:cs="Times New Roman"/>
          <w:color w:val="auto"/>
        </w:rPr>
      </w:pPr>
      <w:r w:rsidRPr="00671157">
        <w:rPr>
          <w:rStyle w:val="FootnoteReference"/>
          <w:rFonts w:ascii="Times New Roman" w:hAnsi="Times New Roman" w:cs="Times New Roman"/>
          <w:color w:val="auto"/>
          <w:sz w:val="20"/>
          <w:szCs w:val="20"/>
        </w:rPr>
        <w:footnoteRef/>
      </w:r>
      <w:r w:rsidRPr="00671157">
        <w:rPr>
          <w:rFonts w:ascii="Times New Roman" w:hAnsi="Times New Roman" w:cs="Times New Roman"/>
          <w:color w:val="auto"/>
          <w:sz w:val="20"/>
          <w:szCs w:val="20"/>
        </w:rPr>
        <w:t xml:space="preserve"> See discussion in Wood</w:t>
      </w:r>
      <w:r w:rsidR="00AB6742">
        <w:rPr>
          <w:rFonts w:ascii="Times New Roman" w:hAnsi="Times New Roman" w:cs="Times New Roman"/>
          <w:color w:val="auto"/>
          <w:sz w:val="20"/>
          <w:szCs w:val="20"/>
        </w:rPr>
        <w:t xml:space="preserve">, J. </w:t>
      </w:r>
      <w:r w:rsidRPr="00671157">
        <w:rPr>
          <w:rFonts w:ascii="Times New Roman" w:hAnsi="Times New Roman" w:cs="Times New Roman"/>
          <w:color w:val="auto"/>
          <w:sz w:val="20"/>
          <w:szCs w:val="20"/>
        </w:rPr>
        <w:t xml:space="preserve"> (2024), America’s </w:t>
      </w:r>
      <w:r w:rsidR="008A59A4">
        <w:rPr>
          <w:rFonts w:ascii="Times New Roman" w:hAnsi="Times New Roman" w:cs="Times New Roman"/>
          <w:color w:val="auto"/>
          <w:sz w:val="20"/>
          <w:szCs w:val="20"/>
        </w:rPr>
        <w:t>w</w:t>
      </w:r>
      <w:r w:rsidRPr="00671157">
        <w:rPr>
          <w:rFonts w:ascii="Times New Roman" w:hAnsi="Times New Roman" w:cs="Times New Roman"/>
          <w:color w:val="auto"/>
          <w:sz w:val="20"/>
          <w:szCs w:val="20"/>
        </w:rPr>
        <w:t xml:space="preserve">ildlife </w:t>
      </w:r>
      <w:r w:rsidR="008A59A4">
        <w:rPr>
          <w:rFonts w:ascii="Times New Roman" w:hAnsi="Times New Roman" w:cs="Times New Roman"/>
          <w:color w:val="auto"/>
          <w:sz w:val="20"/>
          <w:szCs w:val="20"/>
        </w:rPr>
        <w:t>h</w:t>
      </w:r>
      <w:r w:rsidRPr="00671157">
        <w:rPr>
          <w:rFonts w:ascii="Times New Roman" w:hAnsi="Times New Roman" w:cs="Times New Roman"/>
          <w:color w:val="auto"/>
          <w:sz w:val="20"/>
          <w:szCs w:val="20"/>
        </w:rPr>
        <w:t xml:space="preserve">abitat </w:t>
      </w:r>
      <w:r w:rsidR="008A59A4">
        <w:rPr>
          <w:rFonts w:ascii="Times New Roman" w:hAnsi="Times New Roman" w:cs="Times New Roman"/>
          <w:color w:val="auto"/>
          <w:sz w:val="20"/>
          <w:szCs w:val="20"/>
        </w:rPr>
        <w:t>c</w:t>
      </w:r>
      <w:r w:rsidRPr="00671157">
        <w:rPr>
          <w:rFonts w:ascii="Times New Roman" w:hAnsi="Times New Roman" w:cs="Times New Roman"/>
          <w:color w:val="auto"/>
          <w:sz w:val="20"/>
          <w:szCs w:val="20"/>
        </w:rPr>
        <w:t xml:space="preserve">onservation </w:t>
      </w:r>
      <w:r w:rsidR="008A59A4">
        <w:rPr>
          <w:rFonts w:ascii="Times New Roman" w:hAnsi="Times New Roman" w:cs="Times New Roman"/>
          <w:color w:val="auto"/>
          <w:sz w:val="20"/>
          <w:szCs w:val="20"/>
        </w:rPr>
        <w:t>a</w:t>
      </w:r>
      <w:r w:rsidRPr="00671157">
        <w:rPr>
          <w:rFonts w:ascii="Times New Roman" w:hAnsi="Times New Roman" w:cs="Times New Roman"/>
          <w:color w:val="auto"/>
          <w:sz w:val="20"/>
          <w:szCs w:val="20"/>
        </w:rPr>
        <w:t xml:space="preserve">ct, </w:t>
      </w:r>
      <w:r w:rsidR="008A59A4">
        <w:rPr>
          <w:rFonts w:ascii="Times New Roman" w:hAnsi="Times New Roman" w:cs="Times New Roman"/>
          <w:color w:val="auto"/>
          <w:sz w:val="20"/>
          <w:szCs w:val="20"/>
        </w:rPr>
        <w:t>e</w:t>
      </w:r>
      <w:r w:rsidRPr="00671157">
        <w:rPr>
          <w:rFonts w:ascii="Times New Roman" w:hAnsi="Times New Roman" w:cs="Times New Roman"/>
          <w:color w:val="auto"/>
          <w:sz w:val="20"/>
          <w:szCs w:val="20"/>
        </w:rPr>
        <w:t>xplained</w:t>
      </w:r>
      <w:r w:rsidR="008A59A4">
        <w:rPr>
          <w:rFonts w:ascii="Times New Roman" w:hAnsi="Times New Roman" w:cs="Times New Roman"/>
          <w:color w:val="auto"/>
          <w:sz w:val="20"/>
          <w:szCs w:val="20"/>
        </w:rPr>
        <w:t xml:space="preserve">. </w:t>
      </w:r>
      <w:r w:rsidRPr="00671157">
        <w:rPr>
          <w:rFonts w:ascii="Times New Roman" w:hAnsi="Times New Roman" w:cs="Times New Roman"/>
          <w:color w:val="auto"/>
          <w:sz w:val="20"/>
          <w:szCs w:val="20"/>
        </w:rPr>
        <w:t>Downey,</w:t>
      </w:r>
      <w:r w:rsidR="00AB6742">
        <w:rPr>
          <w:rFonts w:ascii="Times New Roman" w:hAnsi="Times New Roman" w:cs="Times New Roman"/>
          <w:color w:val="auto"/>
          <w:sz w:val="20"/>
          <w:szCs w:val="20"/>
        </w:rPr>
        <w:t xml:space="preserve"> H., </w:t>
      </w:r>
      <w:r w:rsidRPr="00671157">
        <w:rPr>
          <w:rFonts w:ascii="Times New Roman" w:hAnsi="Times New Roman" w:cs="Times New Roman"/>
          <w:color w:val="auto"/>
          <w:sz w:val="20"/>
          <w:szCs w:val="20"/>
        </w:rPr>
        <w:t xml:space="preserve">Priest, </w:t>
      </w:r>
      <w:r w:rsidR="00AB6742">
        <w:rPr>
          <w:rFonts w:ascii="Times New Roman" w:hAnsi="Times New Roman" w:cs="Times New Roman"/>
          <w:color w:val="auto"/>
          <w:sz w:val="20"/>
          <w:szCs w:val="20"/>
        </w:rPr>
        <w:t xml:space="preserve">J., </w:t>
      </w:r>
      <w:r w:rsidRPr="00671157">
        <w:rPr>
          <w:rFonts w:ascii="Times New Roman" w:hAnsi="Times New Roman" w:cs="Times New Roman"/>
          <w:color w:val="auto"/>
          <w:sz w:val="20"/>
          <w:szCs w:val="20"/>
        </w:rPr>
        <w:t xml:space="preserve">Regan, </w:t>
      </w:r>
      <w:r w:rsidR="00AB6742">
        <w:rPr>
          <w:rFonts w:ascii="Times New Roman" w:hAnsi="Times New Roman" w:cs="Times New Roman"/>
          <w:color w:val="auto"/>
          <w:sz w:val="20"/>
          <w:szCs w:val="20"/>
        </w:rPr>
        <w:t xml:space="preserve">S, </w:t>
      </w:r>
      <w:r w:rsidRPr="00671157">
        <w:rPr>
          <w:rFonts w:ascii="Times New Roman" w:hAnsi="Times New Roman" w:cs="Times New Roman"/>
          <w:color w:val="auto"/>
          <w:sz w:val="20"/>
          <w:szCs w:val="20"/>
        </w:rPr>
        <w:t>Watkins,</w:t>
      </w:r>
      <w:r w:rsidR="00AB6742">
        <w:rPr>
          <w:rFonts w:ascii="Times New Roman" w:hAnsi="Times New Roman" w:cs="Times New Roman"/>
          <w:color w:val="auto"/>
          <w:sz w:val="20"/>
          <w:szCs w:val="20"/>
        </w:rPr>
        <w:t xml:space="preserve"> T.,</w:t>
      </w:r>
      <w:r w:rsidRPr="00671157">
        <w:rPr>
          <w:rFonts w:ascii="Times New Roman" w:hAnsi="Times New Roman" w:cs="Times New Roman"/>
          <w:color w:val="auto"/>
          <w:sz w:val="20"/>
          <w:szCs w:val="20"/>
        </w:rPr>
        <w:t xml:space="preserve"> Wood, </w:t>
      </w:r>
      <w:r w:rsidR="00AB6742">
        <w:rPr>
          <w:rFonts w:ascii="Times New Roman" w:hAnsi="Times New Roman" w:cs="Times New Roman"/>
          <w:color w:val="auto"/>
          <w:sz w:val="20"/>
          <w:szCs w:val="20"/>
        </w:rPr>
        <w:t xml:space="preserve">J., </w:t>
      </w:r>
      <w:r w:rsidRPr="00671157">
        <w:rPr>
          <w:rFonts w:ascii="Times New Roman" w:hAnsi="Times New Roman" w:cs="Times New Roman"/>
          <w:color w:val="auto"/>
          <w:sz w:val="20"/>
          <w:szCs w:val="20"/>
        </w:rPr>
        <w:t>and Yablonski</w:t>
      </w:r>
      <w:r w:rsidR="00AB6742">
        <w:rPr>
          <w:rFonts w:ascii="Times New Roman" w:hAnsi="Times New Roman" w:cs="Times New Roman"/>
          <w:color w:val="auto"/>
          <w:sz w:val="20"/>
          <w:szCs w:val="20"/>
        </w:rPr>
        <w:t>, M.</w:t>
      </w:r>
      <w:r w:rsidRPr="00671157">
        <w:rPr>
          <w:rFonts w:ascii="Times New Roman" w:hAnsi="Times New Roman" w:cs="Times New Roman"/>
          <w:color w:val="auto"/>
          <w:sz w:val="20"/>
          <w:szCs w:val="20"/>
        </w:rPr>
        <w:t xml:space="preserve"> (2023) </w:t>
      </w:r>
      <w:r w:rsidRPr="00A357CA">
        <w:rPr>
          <w:rFonts w:ascii="Times New Roman" w:hAnsi="Times New Roman" w:cs="Times New Roman"/>
          <w:i/>
          <w:iCs/>
          <w:color w:val="auto"/>
          <w:sz w:val="20"/>
          <w:szCs w:val="20"/>
        </w:rPr>
        <w:t>A Field Guide for Wildlife Recovery: The Endangered Species Act’s Elusive Search to Recover Species—And What to Do About It</w:t>
      </w:r>
      <w:r w:rsidRPr="0025357A">
        <w:rPr>
          <w:rFonts w:ascii="Times New Roman" w:hAnsi="Times New Roman" w:cs="Times New Roman"/>
          <w:color w:val="auto"/>
          <w:sz w:val="20"/>
          <w:szCs w:val="20"/>
        </w:rPr>
        <w:t xml:space="preserve">, Property and Environment Research Center, Bozeman, MT. </w:t>
      </w:r>
    </w:p>
  </w:footnote>
  <w:footnote w:id="71">
    <w:p w14:paraId="054681D8" w14:textId="528C1766" w:rsidR="00337880" w:rsidRPr="009E7D04" w:rsidRDefault="00337880" w:rsidP="00337880">
      <w:pPr>
        <w:pStyle w:val="FootnoteText"/>
        <w:rPr>
          <w:rFonts w:ascii="Times New Roman" w:hAnsi="Times New Roman" w:cs="Times New Roman"/>
        </w:rPr>
      </w:pPr>
      <w:r w:rsidRPr="009E7D04">
        <w:rPr>
          <w:rStyle w:val="FootnoteReference"/>
          <w:rFonts w:ascii="Times New Roman" w:hAnsi="Times New Roman" w:cs="Times New Roman"/>
        </w:rPr>
        <w:footnoteRef/>
      </w:r>
      <w:r w:rsidRPr="009321C5">
        <w:rPr>
          <w:rFonts w:ascii="Times New Roman" w:hAnsi="Times New Roman" w:cs="Times New Roman"/>
        </w:rPr>
        <w:t xml:space="preserve"> Adler, J.H. (202</w:t>
      </w:r>
      <w:r w:rsidR="00FF5BE8">
        <w:rPr>
          <w:rFonts w:ascii="Times New Roman" w:hAnsi="Times New Roman" w:cs="Times New Roman"/>
        </w:rPr>
        <w:t>4</w:t>
      </w:r>
      <w:r w:rsidR="00347225">
        <w:rPr>
          <w:rFonts w:ascii="Times New Roman" w:hAnsi="Times New Roman" w:cs="Times New Roman"/>
        </w:rPr>
        <w:t xml:space="preserve">, </w:t>
      </w:r>
      <w:r w:rsidR="00931D0A">
        <w:rPr>
          <w:rFonts w:ascii="Times New Roman" w:hAnsi="Times New Roman" w:cs="Times New Roman"/>
        </w:rPr>
        <w:t>12</w:t>
      </w:r>
      <w:r w:rsidRPr="009321C5">
        <w:rPr>
          <w:rFonts w:ascii="Times New Roman" w:hAnsi="Times New Roman" w:cs="Times New Roman"/>
        </w:rPr>
        <w:t xml:space="preserve">). </w:t>
      </w:r>
      <w:r w:rsidRPr="009E7D04">
        <w:rPr>
          <w:rFonts w:ascii="Times New Roman" w:hAnsi="Times New Roman" w:cs="Times New Roman"/>
        </w:rPr>
        <w:t xml:space="preserve">On persistent under funding, see Eberhard, </w:t>
      </w:r>
      <w:r>
        <w:rPr>
          <w:rFonts w:ascii="Times New Roman" w:hAnsi="Times New Roman" w:cs="Times New Roman"/>
        </w:rPr>
        <w:t xml:space="preserve">E.K., </w:t>
      </w:r>
      <w:r w:rsidRPr="009E7D04">
        <w:rPr>
          <w:rFonts w:ascii="Times New Roman" w:hAnsi="Times New Roman" w:cs="Times New Roman"/>
        </w:rPr>
        <w:t>Wilcove,</w:t>
      </w:r>
      <w:r>
        <w:rPr>
          <w:rFonts w:ascii="Times New Roman" w:hAnsi="Times New Roman" w:cs="Times New Roman"/>
        </w:rPr>
        <w:t xml:space="preserve"> D.S.,</w:t>
      </w:r>
      <w:r w:rsidRPr="009E7D04">
        <w:rPr>
          <w:rFonts w:ascii="Times New Roman" w:hAnsi="Times New Roman" w:cs="Times New Roman"/>
        </w:rPr>
        <w:t xml:space="preserve"> and Dobson</w:t>
      </w:r>
      <w:r>
        <w:rPr>
          <w:rFonts w:ascii="Times New Roman" w:hAnsi="Times New Roman" w:cs="Times New Roman"/>
        </w:rPr>
        <w:t xml:space="preserve"> A.P.</w:t>
      </w:r>
      <w:r w:rsidRPr="009E7D04">
        <w:rPr>
          <w:rFonts w:ascii="Times New Roman" w:hAnsi="Times New Roman" w:cs="Times New Roman"/>
        </w:rPr>
        <w:t xml:space="preserve"> (2022) Too </w:t>
      </w:r>
      <w:r w:rsidR="008A59A4">
        <w:rPr>
          <w:rFonts w:ascii="Times New Roman" w:hAnsi="Times New Roman" w:cs="Times New Roman"/>
        </w:rPr>
        <w:t>f</w:t>
      </w:r>
      <w:r w:rsidRPr="009E7D04">
        <w:rPr>
          <w:rFonts w:ascii="Times New Roman" w:hAnsi="Times New Roman" w:cs="Times New Roman"/>
        </w:rPr>
        <w:t xml:space="preserve">ew, Too </w:t>
      </w:r>
      <w:r w:rsidR="008A59A4">
        <w:rPr>
          <w:rFonts w:ascii="Times New Roman" w:hAnsi="Times New Roman" w:cs="Times New Roman"/>
        </w:rPr>
        <w:t>l</w:t>
      </w:r>
      <w:r w:rsidRPr="009E7D04">
        <w:rPr>
          <w:rFonts w:ascii="Times New Roman" w:hAnsi="Times New Roman" w:cs="Times New Roman"/>
        </w:rPr>
        <w:t xml:space="preserve">ate: US Endangered Species Act </w:t>
      </w:r>
      <w:r w:rsidR="008A59A4">
        <w:rPr>
          <w:rFonts w:ascii="Times New Roman" w:hAnsi="Times New Roman" w:cs="Times New Roman"/>
        </w:rPr>
        <w:t>u</w:t>
      </w:r>
      <w:r w:rsidRPr="009E7D04">
        <w:rPr>
          <w:rFonts w:ascii="Times New Roman" w:hAnsi="Times New Roman" w:cs="Times New Roman"/>
        </w:rPr>
        <w:t xml:space="preserve">ndermined by </w:t>
      </w:r>
      <w:r w:rsidR="008A59A4">
        <w:rPr>
          <w:rFonts w:ascii="Times New Roman" w:hAnsi="Times New Roman" w:cs="Times New Roman"/>
        </w:rPr>
        <w:t>i</w:t>
      </w:r>
      <w:r w:rsidRPr="009E7D04">
        <w:rPr>
          <w:rFonts w:ascii="Times New Roman" w:hAnsi="Times New Roman" w:cs="Times New Roman"/>
        </w:rPr>
        <w:t xml:space="preserve">naction and </w:t>
      </w:r>
      <w:r w:rsidR="008A59A4">
        <w:rPr>
          <w:rFonts w:ascii="Times New Roman" w:hAnsi="Times New Roman" w:cs="Times New Roman"/>
        </w:rPr>
        <w:t>i</w:t>
      </w:r>
      <w:r w:rsidRPr="009E7D04">
        <w:rPr>
          <w:rFonts w:ascii="Times New Roman" w:hAnsi="Times New Roman" w:cs="Times New Roman"/>
        </w:rPr>
        <w:t xml:space="preserve">nadequate </w:t>
      </w:r>
      <w:r w:rsidR="008A59A4">
        <w:rPr>
          <w:rFonts w:ascii="Times New Roman" w:hAnsi="Times New Roman" w:cs="Times New Roman"/>
        </w:rPr>
        <w:t>f</w:t>
      </w:r>
      <w:r w:rsidRPr="009E7D04">
        <w:rPr>
          <w:rFonts w:ascii="Times New Roman" w:hAnsi="Times New Roman" w:cs="Times New Roman"/>
        </w:rPr>
        <w:t xml:space="preserve">unding. 19 </w:t>
      </w:r>
      <w:r w:rsidRPr="00A357CA">
        <w:rPr>
          <w:rFonts w:ascii="Times New Roman" w:hAnsi="Times New Roman" w:cs="Times New Roman"/>
          <w:i/>
          <w:iCs/>
        </w:rPr>
        <w:t>PLOS ONE</w:t>
      </w:r>
      <w:r w:rsidRPr="009E7D04">
        <w:rPr>
          <w:rFonts w:ascii="Times New Roman" w:hAnsi="Times New Roman" w:cs="Times New Roman"/>
        </w:rPr>
        <w:t>, October 12, 2022.</w:t>
      </w:r>
    </w:p>
  </w:footnote>
  <w:footnote w:id="72">
    <w:p w14:paraId="0DD80041" w14:textId="77777777" w:rsidR="004C42A0" w:rsidRPr="007C24A6" w:rsidRDefault="004C42A0" w:rsidP="004C42A0">
      <w:pPr>
        <w:spacing w:after="0" w:line="240" w:lineRule="auto"/>
        <w:rPr>
          <w:rFonts w:ascii="Times New Roman" w:hAnsi="Times New Roman" w:cs="Times New Roman"/>
          <w:sz w:val="20"/>
          <w:szCs w:val="20"/>
        </w:rPr>
      </w:pPr>
      <w:r w:rsidRPr="007C24A6">
        <w:rPr>
          <w:rStyle w:val="FootnoteReference"/>
          <w:rFonts w:ascii="Times New Roman" w:hAnsi="Times New Roman" w:cs="Times New Roman"/>
          <w:sz w:val="20"/>
          <w:szCs w:val="20"/>
        </w:rPr>
        <w:footnoteRef/>
      </w:r>
      <w:r w:rsidRPr="007C24A6">
        <w:rPr>
          <w:rFonts w:ascii="Times New Roman" w:hAnsi="Times New Roman" w:cs="Times New Roman"/>
          <w:sz w:val="20"/>
          <w:szCs w:val="20"/>
        </w:rPr>
        <w:t xml:space="preserve"> Bean, M.J. and Rowland M.J. (1997). </w:t>
      </w:r>
      <w:r w:rsidRPr="007C24A6">
        <w:rPr>
          <w:rFonts w:ascii="Times New Roman" w:hAnsi="Times New Roman" w:cs="Times New Roman"/>
          <w:i/>
          <w:iCs/>
          <w:sz w:val="20"/>
          <w:szCs w:val="20"/>
        </w:rPr>
        <w:t>The Evolution of National Wildlife Law</w:t>
      </w:r>
      <w:r w:rsidRPr="007C24A6">
        <w:rPr>
          <w:rFonts w:ascii="Times New Roman" w:hAnsi="Times New Roman" w:cs="Times New Roman"/>
          <w:sz w:val="20"/>
          <w:szCs w:val="20"/>
        </w:rPr>
        <w:t xml:space="preserve">: 198-200. Congressional Research Service, </w:t>
      </w:r>
      <w:r w:rsidRPr="007C24A6">
        <w:rPr>
          <w:rFonts w:ascii="Times New Roman" w:hAnsi="Times New Roman" w:cs="Times New Roman"/>
          <w:i/>
          <w:iCs/>
          <w:sz w:val="20"/>
          <w:szCs w:val="20"/>
        </w:rPr>
        <w:t xml:space="preserve">The Endangered Species Act: Overview and Implementation.  The Endangered Species Act of 1973 </w:t>
      </w:r>
      <w:r w:rsidRPr="007C24A6">
        <w:rPr>
          <w:rFonts w:ascii="Times New Roman" w:hAnsi="Times New Roman" w:cs="Times New Roman"/>
          <w:sz w:val="20"/>
          <w:szCs w:val="20"/>
        </w:rPr>
        <w:t>(ESA; P.L. 93-205, 87 Stat. 884, 16 U.S.C. §§1531-1544).</w:t>
      </w:r>
    </w:p>
  </w:footnote>
  <w:footnote w:id="73">
    <w:p w14:paraId="694A1B35" w14:textId="55D9187A" w:rsidR="007A4FE7" w:rsidRPr="00FC0857" w:rsidRDefault="007A4FE7" w:rsidP="007A4FE7">
      <w:pPr>
        <w:pStyle w:val="FootnoteText"/>
        <w:rPr>
          <w:rFonts w:ascii="Times New Roman" w:hAnsi="Times New Roman" w:cs="Times New Roman"/>
        </w:rPr>
      </w:pPr>
      <w:r w:rsidRPr="007C24A6">
        <w:rPr>
          <w:rStyle w:val="FootnoteReference"/>
          <w:rFonts w:ascii="Times New Roman" w:hAnsi="Times New Roman" w:cs="Times New Roman"/>
        </w:rPr>
        <w:footnoteRef/>
      </w:r>
      <w:r w:rsidRPr="007C24A6">
        <w:rPr>
          <w:rFonts w:ascii="Times New Roman" w:hAnsi="Times New Roman" w:cs="Times New Roman"/>
        </w:rPr>
        <w:t xml:space="preserve"> Adler, J.H. (202</w:t>
      </w:r>
      <w:r w:rsidR="00347225" w:rsidRPr="007C24A6">
        <w:rPr>
          <w:rFonts w:ascii="Times New Roman" w:hAnsi="Times New Roman" w:cs="Times New Roman"/>
        </w:rPr>
        <w:t>4</w:t>
      </w:r>
      <w:r w:rsidR="001B7131" w:rsidRPr="007C24A6">
        <w:rPr>
          <w:rFonts w:ascii="Times New Roman" w:hAnsi="Times New Roman" w:cs="Times New Roman"/>
        </w:rPr>
        <w:t>, 9</w:t>
      </w:r>
      <w:r w:rsidRPr="007C24A6">
        <w:rPr>
          <w:rFonts w:ascii="Times New Roman" w:hAnsi="Times New Roman" w:cs="Times New Roman"/>
        </w:rPr>
        <w:t>).</w:t>
      </w:r>
    </w:p>
  </w:footnote>
  <w:footnote w:id="74">
    <w:p w14:paraId="6DA92A8E" w14:textId="03DA5842" w:rsidR="00FC0857" w:rsidRPr="00FC0857" w:rsidRDefault="00FC0857">
      <w:pPr>
        <w:pStyle w:val="FootnoteText"/>
        <w:rPr>
          <w:rFonts w:ascii="Times New Roman" w:hAnsi="Times New Roman" w:cs="Times New Roman"/>
        </w:rPr>
      </w:pPr>
      <w:r w:rsidRPr="00FC0857">
        <w:rPr>
          <w:rStyle w:val="FootnoteReference"/>
          <w:rFonts w:ascii="Times New Roman" w:hAnsi="Times New Roman" w:cs="Times New Roman"/>
        </w:rPr>
        <w:footnoteRef/>
      </w:r>
      <w:r w:rsidRPr="00FC0857">
        <w:rPr>
          <w:rFonts w:ascii="Times New Roman" w:hAnsi="Times New Roman" w:cs="Times New Roman"/>
        </w:rPr>
        <w:t xml:space="preserve"> </w:t>
      </w:r>
      <w:r w:rsidRPr="00FC0857">
        <w:rPr>
          <w:rFonts w:ascii="Times New Roman" w:hAnsi="Times New Roman" w:cs="Times New Roman"/>
          <w:color w:val="333333"/>
        </w:rPr>
        <w:t xml:space="preserve">Construction was halted by the US Supreme Court in </w:t>
      </w:r>
      <w:r w:rsidRPr="00FC0857">
        <w:rPr>
          <w:rFonts w:ascii="Times New Roman" w:hAnsi="Times New Roman" w:cs="Times New Roman"/>
          <w:i/>
          <w:iCs/>
          <w:color w:val="333333"/>
        </w:rPr>
        <w:t>Tennessee Valley Authority v Hill</w:t>
      </w:r>
      <w:r w:rsidRPr="00FC0857">
        <w:rPr>
          <w:rFonts w:ascii="Times New Roman" w:hAnsi="Times New Roman" w:cs="Times New Roman"/>
          <w:color w:val="333333"/>
        </w:rPr>
        <w:t xml:space="preserve"> (437 US. 153, 172-73, 1978).</w:t>
      </w:r>
    </w:p>
  </w:footnote>
  <w:footnote w:id="75">
    <w:p w14:paraId="7C5762BC" w14:textId="33BC7338" w:rsidR="00C62C81" w:rsidRPr="0027625D" w:rsidRDefault="00C62C81" w:rsidP="00C62C81">
      <w:pPr>
        <w:pStyle w:val="FootnoteText"/>
        <w:rPr>
          <w:rFonts w:ascii="Times New Roman" w:hAnsi="Times New Roman" w:cs="Times New Roman"/>
        </w:rPr>
      </w:pPr>
      <w:r w:rsidRPr="00FC0857">
        <w:rPr>
          <w:rStyle w:val="FootnoteReference"/>
          <w:rFonts w:ascii="Times New Roman" w:hAnsi="Times New Roman" w:cs="Times New Roman"/>
        </w:rPr>
        <w:footnoteRef/>
      </w:r>
      <w:r w:rsidRPr="00FC0857">
        <w:rPr>
          <w:rFonts w:ascii="Times New Roman" w:hAnsi="Times New Roman" w:cs="Times New Roman"/>
        </w:rPr>
        <w:t xml:space="preserve"> See:</w:t>
      </w:r>
      <w:r>
        <w:rPr>
          <w:rFonts w:ascii="Times New Roman" w:hAnsi="Times New Roman" w:cs="Times New Roman"/>
        </w:rPr>
        <w:t xml:space="preserve"> </w:t>
      </w:r>
      <w:r w:rsidRPr="0027625D">
        <w:rPr>
          <w:rFonts w:ascii="Times New Roman" w:hAnsi="Times New Roman" w:cs="Times New Roman"/>
        </w:rPr>
        <w:t xml:space="preserve"> Congressional discussion of the Tellico Dam controversy in </w:t>
      </w:r>
      <w:r w:rsidRPr="00A357CA">
        <w:rPr>
          <w:rFonts w:ascii="Times New Roman" w:hAnsi="Times New Roman" w:cs="Times New Roman"/>
          <w:i/>
          <w:iCs/>
        </w:rPr>
        <w:t>A Legislative history of the Endangered Species Act of 1973, as amended in 1976, 1977, 1978, 1979, and 1980</w:t>
      </w:r>
      <w:r w:rsidRPr="0027625D">
        <w:rPr>
          <w:rFonts w:ascii="Times New Roman" w:hAnsi="Times New Roman" w:cs="Times New Roman"/>
        </w:rPr>
        <w:t>: together with a section-by-section index / prepared by the Congressional Research Service of the Library of Congress for the Committee on Environment and Public Works, U.S. Senate</w:t>
      </w:r>
    </w:p>
  </w:footnote>
  <w:footnote w:id="76">
    <w:p w14:paraId="6C9759FD" w14:textId="2CE04403" w:rsidR="00B7608B" w:rsidRDefault="00B7608B">
      <w:pPr>
        <w:pStyle w:val="FootnoteText"/>
      </w:pPr>
      <w:r>
        <w:rPr>
          <w:rStyle w:val="FootnoteReference"/>
        </w:rPr>
        <w:footnoteRef/>
      </w:r>
      <w:r>
        <w:t xml:space="preserve"> </w:t>
      </w:r>
      <w:r w:rsidRPr="00CB7748">
        <w:rPr>
          <w:rFonts w:ascii="Times New Roman" w:hAnsi="Times New Roman" w:cs="Times New Roman"/>
        </w:rPr>
        <w:t xml:space="preserve">See Nark, J. (2025). This </w:t>
      </w:r>
      <w:r>
        <w:rPr>
          <w:rFonts w:ascii="Times New Roman" w:hAnsi="Times New Roman" w:cs="Times New Roman"/>
        </w:rPr>
        <w:t>t</w:t>
      </w:r>
      <w:r w:rsidRPr="00CB7748">
        <w:rPr>
          <w:rFonts w:ascii="Times New Roman" w:hAnsi="Times New Roman" w:cs="Times New Roman"/>
        </w:rPr>
        <w:t xml:space="preserve">iny </w:t>
      </w:r>
      <w:r>
        <w:rPr>
          <w:rFonts w:ascii="Times New Roman" w:hAnsi="Times New Roman" w:cs="Times New Roman"/>
        </w:rPr>
        <w:t>f</w:t>
      </w:r>
      <w:r w:rsidRPr="00CB7748">
        <w:rPr>
          <w:rFonts w:ascii="Times New Roman" w:hAnsi="Times New Roman" w:cs="Times New Roman"/>
        </w:rPr>
        <w:t xml:space="preserve">ish’s </w:t>
      </w:r>
      <w:r>
        <w:rPr>
          <w:rFonts w:ascii="Times New Roman" w:hAnsi="Times New Roman" w:cs="Times New Roman"/>
        </w:rPr>
        <w:t>m</w:t>
      </w:r>
      <w:r w:rsidRPr="00CB7748">
        <w:rPr>
          <w:rFonts w:ascii="Times New Roman" w:hAnsi="Times New Roman" w:cs="Times New Roman"/>
        </w:rPr>
        <w:t xml:space="preserve">istaken </w:t>
      </w:r>
      <w:r>
        <w:rPr>
          <w:rFonts w:ascii="Times New Roman" w:hAnsi="Times New Roman" w:cs="Times New Roman"/>
        </w:rPr>
        <w:t>i</w:t>
      </w:r>
      <w:r w:rsidRPr="00CB7748">
        <w:rPr>
          <w:rFonts w:ascii="Times New Roman" w:hAnsi="Times New Roman" w:cs="Times New Roman"/>
        </w:rPr>
        <w:t xml:space="preserve">dentity </w:t>
      </w:r>
      <w:r>
        <w:rPr>
          <w:rFonts w:ascii="Times New Roman" w:hAnsi="Times New Roman" w:cs="Times New Roman"/>
        </w:rPr>
        <w:t>h</w:t>
      </w:r>
      <w:r w:rsidRPr="00CB7748">
        <w:rPr>
          <w:rFonts w:ascii="Times New Roman" w:hAnsi="Times New Roman" w:cs="Times New Roman"/>
        </w:rPr>
        <w:t xml:space="preserve">alted a </w:t>
      </w:r>
      <w:r>
        <w:rPr>
          <w:rFonts w:ascii="Times New Roman" w:hAnsi="Times New Roman" w:cs="Times New Roman"/>
        </w:rPr>
        <w:t>d</w:t>
      </w:r>
      <w:r w:rsidRPr="00CB7748">
        <w:rPr>
          <w:rFonts w:ascii="Times New Roman" w:hAnsi="Times New Roman" w:cs="Times New Roman"/>
        </w:rPr>
        <w:t xml:space="preserve">am’s </w:t>
      </w:r>
      <w:r>
        <w:rPr>
          <w:rFonts w:ascii="Times New Roman" w:hAnsi="Times New Roman" w:cs="Times New Roman"/>
        </w:rPr>
        <w:t>c</w:t>
      </w:r>
      <w:r w:rsidRPr="00CB7748">
        <w:rPr>
          <w:rFonts w:ascii="Times New Roman" w:hAnsi="Times New Roman" w:cs="Times New Roman"/>
        </w:rPr>
        <w:t xml:space="preserve">onstruction. Scientists say the snail darter, whose endangered species status delayed the building of a dam in Tennessee in the 1970s, is a genetic match of a different fish. </w:t>
      </w:r>
      <w:r w:rsidRPr="00CB7748">
        <w:rPr>
          <w:rFonts w:ascii="Times New Roman" w:hAnsi="Times New Roman" w:cs="Times New Roman"/>
          <w:i/>
          <w:iCs/>
        </w:rPr>
        <w:t>New York Times</w:t>
      </w:r>
      <w:r w:rsidRPr="00CB7748">
        <w:rPr>
          <w:rFonts w:ascii="Times New Roman" w:hAnsi="Times New Roman" w:cs="Times New Roman"/>
        </w:rPr>
        <w:t xml:space="preserve"> January 3, 2025.</w:t>
      </w:r>
      <w:r w:rsidRPr="00F00030">
        <w:t xml:space="preserve"> </w:t>
      </w:r>
      <w:hyperlink r:id="rId15" w:history="1">
        <w:r w:rsidRPr="004B1EA3">
          <w:rPr>
            <w:rStyle w:val="Hyperlink"/>
            <w:rFonts w:ascii="Times New Roman" w:hAnsi="Times New Roman" w:cs="Times New Roman"/>
          </w:rPr>
          <w:t>https://www.nytimes.com/2025/01/03/science/snail-darter-fish-tellico-dam.html</w:t>
        </w:r>
      </w:hyperlink>
      <w:r>
        <w:rPr>
          <w:rFonts w:ascii="Times New Roman" w:hAnsi="Times New Roman" w:cs="Times New Roman"/>
        </w:rPr>
        <w:t xml:space="preserve">.  </w:t>
      </w:r>
    </w:p>
  </w:footnote>
  <w:footnote w:id="77">
    <w:p w14:paraId="45DDA338" w14:textId="7E8812E4" w:rsidR="00C62C81" w:rsidRPr="001B4A7D" w:rsidRDefault="00C62C81" w:rsidP="00C62C81">
      <w:pPr>
        <w:pStyle w:val="NormalWeb"/>
        <w:shd w:val="clear" w:color="auto" w:fill="FFFFFF"/>
        <w:spacing w:before="0" w:beforeAutospacing="0" w:after="0" w:afterAutospacing="0"/>
        <w:rPr>
          <w:sz w:val="20"/>
          <w:szCs w:val="20"/>
        </w:rPr>
      </w:pPr>
      <w:r w:rsidRPr="00A60015">
        <w:rPr>
          <w:rStyle w:val="FootnoteReference"/>
          <w:sz w:val="20"/>
          <w:szCs w:val="20"/>
        </w:rPr>
        <w:footnoteRef/>
      </w:r>
      <w:r w:rsidRPr="00A60015">
        <w:rPr>
          <w:sz w:val="20"/>
          <w:szCs w:val="20"/>
        </w:rPr>
        <w:t xml:space="preserve"> Congressional Research Service, </w:t>
      </w:r>
      <w:r w:rsidRPr="00A357CA">
        <w:rPr>
          <w:i/>
          <w:iCs/>
          <w:sz w:val="20"/>
          <w:szCs w:val="20"/>
        </w:rPr>
        <w:t xml:space="preserve">Home is Where the Habitat is: Supreme Court Addresses Critical Habitat under the Endangered Species Act </w:t>
      </w:r>
      <w:r w:rsidRPr="00A60015">
        <w:rPr>
          <w:sz w:val="20"/>
          <w:szCs w:val="20"/>
        </w:rPr>
        <w:t xml:space="preserve">December 19, 2018.  The Supreme Court held that only actual habitat of an endangered species could be designated as critical habitat under the Endangered Species Act (ESA). See also </w:t>
      </w:r>
      <w:r w:rsidRPr="00A60015">
        <w:rPr>
          <w:sz w:val="20"/>
          <w:szCs w:val="20"/>
          <w:shd w:val="clear" w:color="auto" w:fill="FFFFFF"/>
        </w:rPr>
        <w:t>Wood</w:t>
      </w:r>
      <w:r w:rsidR="001B4A7D">
        <w:rPr>
          <w:sz w:val="20"/>
          <w:szCs w:val="20"/>
          <w:shd w:val="clear" w:color="auto" w:fill="FFFFFF"/>
        </w:rPr>
        <w:t>, J.</w:t>
      </w:r>
      <w:r w:rsidRPr="00A60015">
        <w:rPr>
          <w:sz w:val="20"/>
          <w:szCs w:val="20"/>
          <w:shd w:val="clear" w:color="auto" w:fill="FFFFFF"/>
        </w:rPr>
        <w:t xml:space="preserve"> and Watkins,</w:t>
      </w:r>
      <w:r w:rsidR="001B4A7D">
        <w:rPr>
          <w:sz w:val="20"/>
          <w:szCs w:val="20"/>
          <w:shd w:val="clear" w:color="auto" w:fill="FFFFFF"/>
        </w:rPr>
        <w:t xml:space="preserve"> T. (2021)</w:t>
      </w:r>
      <w:r w:rsidRPr="00A60015">
        <w:rPr>
          <w:sz w:val="20"/>
          <w:szCs w:val="20"/>
          <w:shd w:val="clear" w:color="auto" w:fill="FFFFFF"/>
        </w:rPr>
        <w:t xml:space="preserve"> </w:t>
      </w:r>
      <w:hyperlink r:id="rId16" w:history="1">
        <w:r w:rsidRPr="001B4A7D">
          <w:rPr>
            <w:rStyle w:val="Hyperlink"/>
            <w:color w:val="auto"/>
            <w:sz w:val="20"/>
            <w:szCs w:val="20"/>
            <w:u w:val="none"/>
            <w:bdr w:val="single" w:sz="2" w:space="0" w:color="E5E7EB" w:frame="1"/>
          </w:rPr>
          <w:t xml:space="preserve">Critical </w:t>
        </w:r>
        <w:r w:rsidR="007301B4">
          <w:rPr>
            <w:rStyle w:val="Hyperlink"/>
            <w:color w:val="auto"/>
            <w:sz w:val="20"/>
            <w:szCs w:val="20"/>
            <w:u w:val="none"/>
            <w:bdr w:val="single" w:sz="2" w:space="0" w:color="E5E7EB" w:frame="1"/>
          </w:rPr>
          <w:t>h</w:t>
        </w:r>
        <w:r w:rsidRPr="001B4A7D">
          <w:rPr>
            <w:rStyle w:val="Hyperlink"/>
            <w:color w:val="auto"/>
            <w:sz w:val="20"/>
            <w:szCs w:val="20"/>
            <w:u w:val="none"/>
            <w:bdr w:val="single" w:sz="2" w:space="0" w:color="E5E7EB" w:frame="1"/>
          </w:rPr>
          <w:t xml:space="preserve">abitat’s ‘Private Land Problem’: Lessons from the </w:t>
        </w:r>
        <w:r w:rsidR="007301B4">
          <w:rPr>
            <w:rStyle w:val="Hyperlink"/>
            <w:color w:val="auto"/>
            <w:sz w:val="20"/>
            <w:szCs w:val="20"/>
            <w:u w:val="none"/>
            <w:bdr w:val="single" w:sz="2" w:space="0" w:color="E5E7EB" w:frame="1"/>
          </w:rPr>
          <w:t>d</w:t>
        </w:r>
        <w:r w:rsidRPr="001B4A7D">
          <w:rPr>
            <w:rStyle w:val="Hyperlink"/>
            <w:color w:val="auto"/>
            <w:sz w:val="20"/>
            <w:szCs w:val="20"/>
            <w:u w:val="none"/>
            <w:bdr w:val="single" w:sz="2" w:space="0" w:color="E5E7EB" w:frame="1"/>
          </w:rPr>
          <w:t xml:space="preserve">usky </w:t>
        </w:r>
        <w:r w:rsidR="007301B4">
          <w:rPr>
            <w:rStyle w:val="Hyperlink"/>
            <w:color w:val="auto"/>
            <w:sz w:val="20"/>
            <w:szCs w:val="20"/>
            <w:u w:val="none"/>
            <w:bdr w:val="single" w:sz="2" w:space="0" w:color="E5E7EB" w:frame="1"/>
          </w:rPr>
          <w:t>g</w:t>
        </w:r>
        <w:r w:rsidRPr="001B4A7D">
          <w:rPr>
            <w:rStyle w:val="Hyperlink"/>
            <w:color w:val="auto"/>
            <w:sz w:val="20"/>
            <w:szCs w:val="20"/>
            <w:u w:val="none"/>
            <w:bdr w:val="single" w:sz="2" w:space="0" w:color="E5E7EB" w:frame="1"/>
          </w:rPr>
          <w:t xml:space="preserve">opher </w:t>
        </w:r>
        <w:r w:rsidR="007301B4">
          <w:rPr>
            <w:rStyle w:val="Hyperlink"/>
            <w:color w:val="auto"/>
            <w:sz w:val="20"/>
            <w:szCs w:val="20"/>
            <w:u w:val="none"/>
            <w:bdr w:val="single" w:sz="2" w:space="0" w:color="E5E7EB" w:frame="1"/>
          </w:rPr>
          <w:t>f</w:t>
        </w:r>
        <w:r w:rsidRPr="001B4A7D">
          <w:rPr>
            <w:rStyle w:val="Hyperlink"/>
            <w:color w:val="auto"/>
            <w:sz w:val="20"/>
            <w:szCs w:val="20"/>
            <w:u w:val="none"/>
            <w:bdr w:val="single" w:sz="2" w:space="0" w:color="E5E7EB" w:frame="1"/>
          </w:rPr>
          <w:t>rog</w:t>
        </w:r>
      </w:hyperlink>
      <w:r w:rsidRPr="001B4A7D">
        <w:rPr>
          <w:sz w:val="20"/>
          <w:szCs w:val="20"/>
          <w:shd w:val="clear" w:color="auto" w:fill="FFFFFF"/>
        </w:rPr>
        <w:t>,” </w:t>
      </w:r>
      <w:r w:rsidRPr="001B4A7D">
        <w:rPr>
          <w:rStyle w:val="Emphasis"/>
          <w:sz w:val="20"/>
          <w:szCs w:val="20"/>
          <w:bdr w:val="single" w:sz="2" w:space="0" w:color="E5E7EB" w:frame="1"/>
        </w:rPr>
        <w:t>Environmental Law Reporter</w:t>
      </w:r>
      <w:r w:rsidRPr="001B4A7D">
        <w:rPr>
          <w:sz w:val="20"/>
          <w:szCs w:val="20"/>
          <w:shd w:val="clear" w:color="auto" w:fill="FFFFFF"/>
        </w:rPr>
        <w:t> 51, no. 7.</w:t>
      </w:r>
    </w:p>
  </w:footnote>
  <w:footnote w:id="78">
    <w:p w14:paraId="582B8789" w14:textId="5001D122" w:rsidR="00C62C81" w:rsidRPr="00AD5D22" w:rsidRDefault="00C62C81" w:rsidP="00A357CA">
      <w:pPr>
        <w:shd w:val="clear" w:color="auto" w:fill="FFFFFF"/>
        <w:spacing w:after="0" w:line="240" w:lineRule="auto"/>
        <w:rPr>
          <w:rFonts w:ascii="Times New Roman" w:hAnsi="Times New Roman" w:cs="Times New Roman"/>
        </w:rPr>
      </w:pPr>
      <w:r w:rsidRPr="001B4A7D">
        <w:rPr>
          <w:rStyle w:val="FootnoteReference"/>
          <w:rFonts w:ascii="Times New Roman" w:hAnsi="Times New Roman" w:cs="Times New Roman"/>
          <w:sz w:val="20"/>
          <w:szCs w:val="20"/>
        </w:rPr>
        <w:footnoteRef/>
      </w:r>
      <w:r w:rsidRPr="001B4A7D">
        <w:rPr>
          <w:rFonts w:ascii="Times New Roman" w:hAnsi="Times New Roman" w:cs="Times New Roman"/>
          <w:sz w:val="20"/>
          <w:szCs w:val="20"/>
        </w:rPr>
        <w:t xml:space="preserve"> </w:t>
      </w:r>
      <w:r w:rsidRPr="00AD5D22">
        <w:rPr>
          <w:rFonts w:ascii="Times New Roman" w:eastAsia="Times New Roman" w:hAnsi="Times New Roman" w:cs="Times New Roman"/>
          <w:kern w:val="0"/>
          <w:sz w:val="20"/>
          <w:szCs w:val="20"/>
          <w:bdr w:val="none" w:sz="0" w:space="0" w:color="auto" w:frame="1"/>
          <w14:ligatures w14:val="none"/>
        </w:rPr>
        <w:t>Auffhammer, </w:t>
      </w:r>
      <w:r w:rsidR="001B4A7D">
        <w:rPr>
          <w:rFonts w:ascii="Times New Roman" w:eastAsia="Times New Roman" w:hAnsi="Times New Roman" w:cs="Times New Roman"/>
          <w:kern w:val="0"/>
          <w:sz w:val="20"/>
          <w:szCs w:val="20"/>
          <w:bdr w:val="none" w:sz="0" w:space="0" w:color="auto" w:frame="1"/>
          <w14:ligatures w14:val="none"/>
        </w:rPr>
        <w:t xml:space="preserve">M., </w:t>
      </w:r>
      <w:r w:rsidRPr="00AD5D22">
        <w:rPr>
          <w:rFonts w:ascii="Times New Roman" w:eastAsia="Times New Roman" w:hAnsi="Times New Roman" w:cs="Times New Roman"/>
          <w:kern w:val="0"/>
          <w:sz w:val="20"/>
          <w:szCs w:val="20"/>
          <w:bdr w:val="none" w:sz="0" w:space="0" w:color="auto" w:frame="1"/>
          <w14:ligatures w14:val="none"/>
        </w:rPr>
        <w:t>Duru,</w:t>
      </w:r>
      <w:r w:rsidR="001B4A7D">
        <w:rPr>
          <w:rFonts w:ascii="Times New Roman" w:eastAsia="Times New Roman" w:hAnsi="Times New Roman" w:cs="Times New Roman"/>
          <w:kern w:val="0"/>
          <w:sz w:val="20"/>
          <w:szCs w:val="20"/>
          <w:bdr w:val="none" w:sz="0" w:space="0" w:color="auto" w:frame="1"/>
          <w14:ligatures w14:val="none"/>
        </w:rPr>
        <w:t xml:space="preserve"> M., </w:t>
      </w:r>
      <w:r w:rsidRPr="00AD5D22">
        <w:rPr>
          <w:rFonts w:ascii="Times New Roman" w:eastAsia="Times New Roman" w:hAnsi="Times New Roman" w:cs="Times New Roman"/>
          <w:kern w:val="0"/>
          <w:sz w:val="20"/>
          <w:szCs w:val="20"/>
          <w:bdr w:val="none" w:sz="0" w:space="0" w:color="auto" w:frame="1"/>
          <w14:ligatures w14:val="none"/>
        </w:rPr>
        <w:t>Rubin</w:t>
      </w:r>
      <w:r w:rsidR="001B4A7D">
        <w:rPr>
          <w:rFonts w:ascii="Times New Roman" w:eastAsia="Times New Roman" w:hAnsi="Times New Roman" w:cs="Times New Roman"/>
          <w:kern w:val="0"/>
          <w:sz w:val="20"/>
          <w:szCs w:val="20"/>
          <w:bdr w:val="none" w:sz="0" w:space="0" w:color="auto" w:frame="1"/>
          <w14:ligatures w14:val="none"/>
        </w:rPr>
        <w:t>, E.,</w:t>
      </w:r>
      <w:r w:rsidRPr="00AD5D22">
        <w:rPr>
          <w:rFonts w:ascii="Times New Roman" w:eastAsia="Times New Roman" w:hAnsi="Times New Roman" w:cs="Times New Roman"/>
          <w:kern w:val="0"/>
          <w:sz w:val="20"/>
          <w:szCs w:val="20"/>
          <w:bdr w:val="none" w:sz="0" w:space="0" w:color="auto" w:frame="1"/>
          <w14:ligatures w14:val="none"/>
        </w:rPr>
        <w:t> and Sunding</w:t>
      </w:r>
      <w:r w:rsidR="001B4A7D">
        <w:rPr>
          <w:rFonts w:ascii="Times New Roman" w:eastAsia="Times New Roman" w:hAnsi="Times New Roman" w:cs="Times New Roman"/>
          <w:kern w:val="0"/>
          <w:sz w:val="20"/>
          <w:szCs w:val="20"/>
          <w:bdr w:val="none" w:sz="0" w:space="0" w:color="auto" w:frame="1"/>
          <w14:ligatures w14:val="none"/>
        </w:rPr>
        <w:t>, D.L. (2020).</w:t>
      </w:r>
      <w:r w:rsidR="00A357CA">
        <w:rPr>
          <w:rFonts w:ascii="Times New Roman" w:eastAsia="Times New Roman" w:hAnsi="Times New Roman" w:cs="Times New Roman"/>
          <w:kern w:val="0"/>
          <w:sz w:val="20"/>
          <w:szCs w:val="20"/>
          <w:bdr w:val="none" w:sz="0" w:space="0" w:color="auto" w:frame="1"/>
          <w14:ligatures w14:val="none"/>
        </w:rPr>
        <w:t xml:space="preserve"> </w:t>
      </w:r>
      <w:r w:rsidR="00A357CA" w:rsidRPr="001B4A7D">
        <w:rPr>
          <w:rFonts w:ascii="Times New Roman" w:eastAsia="Times New Roman" w:hAnsi="Times New Roman" w:cs="Times New Roman"/>
          <w:spacing w:val="-7"/>
          <w:kern w:val="36"/>
          <w:sz w:val="20"/>
          <w:szCs w:val="20"/>
          <w14:ligatures w14:val="none"/>
        </w:rPr>
        <w:t xml:space="preserve">The </w:t>
      </w:r>
      <w:r w:rsidR="007301B4">
        <w:rPr>
          <w:rFonts w:ascii="Times New Roman" w:eastAsia="Times New Roman" w:hAnsi="Times New Roman" w:cs="Times New Roman"/>
          <w:spacing w:val="-7"/>
          <w:kern w:val="36"/>
          <w:sz w:val="20"/>
          <w:szCs w:val="20"/>
          <w14:ligatures w14:val="none"/>
        </w:rPr>
        <w:t>e</w:t>
      </w:r>
      <w:r w:rsidR="00A357CA" w:rsidRPr="001B4A7D">
        <w:rPr>
          <w:rFonts w:ascii="Times New Roman" w:eastAsia="Times New Roman" w:hAnsi="Times New Roman" w:cs="Times New Roman"/>
          <w:spacing w:val="-7"/>
          <w:kern w:val="36"/>
          <w:sz w:val="20"/>
          <w:szCs w:val="20"/>
          <w14:ligatures w14:val="none"/>
        </w:rPr>
        <w:t>conomi</w:t>
      </w:r>
      <w:r w:rsidR="00A357CA" w:rsidRPr="00A60015">
        <w:rPr>
          <w:rFonts w:ascii="Times New Roman" w:eastAsia="Times New Roman" w:hAnsi="Times New Roman" w:cs="Times New Roman"/>
          <w:spacing w:val="-7"/>
          <w:kern w:val="36"/>
          <w:sz w:val="20"/>
          <w:szCs w:val="20"/>
          <w14:ligatures w14:val="none"/>
        </w:rPr>
        <w:t xml:space="preserve">c </w:t>
      </w:r>
      <w:r w:rsidR="000C4225">
        <w:rPr>
          <w:rFonts w:ascii="Times New Roman" w:eastAsia="Times New Roman" w:hAnsi="Times New Roman" w:cs="Times New Roman"/>
          <w:spacing w:val="-7"/>
          <w:kern w:val="36"/>
          <w:sz w:val="20"/>
          <w:szCs w:val="20"/>
          <w14:ligatures w14:val="none"/>
        </w:rPr>
        <w:t>i</w:t>
      </w:r>
      <w:r w:rsidR="00A357CA" w:rsidRPr="00A60015">
        <w:rPr>
          <w:rFonts w:ascii="Times New Roman" w:eastAsia="Times New Roman" w:hAnsi="Times New Roman" w:cs="Times New Roman"/>
          <w:spacing w:val="-7"/>
          <w:kern w:val="36"/>
          <w:sz w:val="20"/>
          <w:szCs w:val="20"/>
          <w14:ligatures w14:val="none"/>
        </w:rPr>
        <w:t>mpact</w:t>
      </w:r>
      <w:r w:rsidR="00A357CA" w:rsidRPr="00AD5D22">
        <w:rPr>
          <w:rFonts w:ascii="Times New Roman" w:eastAsia="Times New Roman" w:hAnsi="Times New Roman" w:cs="Times New Roman"/>
          <w:spacing w:val="-7"/>
          <w:kern w:val="36"/>
          <w:sz w:val="20"/>
          <w:szCs w:val="20"/>
          <w14:ligatures w14:val="none"/>
        </w:rPr>
        <w:t xml:space="preserve"> of </w:t>
      </w:r>
      <w:r w:rsidR="000C4225">
        <w:rPr>
          <w:rFonts w:ascii="Times New Roman" w:eastAsia="Times New Roman" w:hAnsi="Times New Roman" w:cs="Times New Roman"/>
          <w:spacing w:val="-7"/>
          <w:kern w:val="36"/>
          <w:sz w:val="20"/>
          <w:szCs w:val="20"/>
          <w14:ligatures w14:val="none"/>
        </w:rPr>
        <w:t>c</w:t>
      </w:r>
      <w:r w:rsidR="00A357CA" w:rsidRPr="00AD5D22">
        <w:rPr>
          <w:rFonts w:ascii="Times New Roman" w:eastAsia="Times New Roman" w:hAnsi="Times New Roman" w:cs="Times New Roman"/>
          <w:spacing w:val="-7"/>
          <w:kern w:val="36"/>
          <w:sz w:val="20"/>
          <w:szCs w:val="20"/>
          <w14:ligatures w14:val="none"/>
        </w:rPr>
        <w:t>ritical-</w:t>
      </w:r>
      <w:r w:rsidR="000C4225">
        <w:rPr>
          <w:rFonts w:ascii="Times New Roman" w:eastAsia="Times New Roman" w:hAnsi="Times New Roman" w:cs="Times New Roman"/>
          <w:spacing w:val="-7"/>
          <w:kern w:val="36"/>
          <w:sz w:val="20"/>
          <w:szCs w:val="20"/>
          <w14:ligatures w14:val="none"/>
        </w:rPr>
        <w:t>h</w:t>
      </w:r>
      <w:r w:rsidR="00A357CA" w:rsidRPr="00AD5D22">
        <w:rPr>
          <w:rFonts w:ascii="Times New Roman" w:eastAsia="Times New Roman" w:hAnsi="Times New Roman" w:cs="Times New Roman"/>
          <w:spacing w:val="-7"/>
          <w:kern w:val="36"/>
          <w:sz w:val="20"/>
          <w:szCs w:val="20"/>
          <w14:ligatures w14:val="none"/>
        </w:rPr>
        <w:t xml:space="preserve">abitat </w:t>
      </w:r>
      <w:r w:rsidR="000C4225">
        <w:rPr>
          <w:rFonts w:ascii="Times New Roman" w:eastAsia="Times New Roman" w:hAnsi="Times New Roman" w:cs="Times New Roman"/>
          <w:spacing w:val="-7"/>
          <w:kern w:val="36"/>
          <w:sz w:val="20"/>
          <w:szCs w:val="20"/>
          <w14:ligatures w14:val="none"/>
        </w:rPr>
        <w:t>d</w:t>
      </w:r>
      <w:r w:rsidR="00A357CA" w:rsidRPr="00AD5D22">
        <w:rPr>
          <w:rFonts w:ascii="Times New Roman" w:eastAsia="Times New Roman" w:hAnsi="Times New Roman" w:cs="Times New Roman"/>
          <w:spacing w:val="-7"/>
          <w:kern w:val="36"/>
          <w:sz w:val="20"/>
          <w:szCs w:val="20"/>
          <w14:ligatures w14:val="none"/>
        </w:rPr>
        <w:t xml:space="preserve">esignation: Evidence from </w:t>
      </w:r>
      <w:r w:rsidR="000C4225">
        <w:rPr>
          <w:rFonts w:ascii="Times New Roman" w:eastAsia="Times New Roman" w:hAnsi="Times New Roman" w:cs="Times New Roman"/>
          <w:spacing w:val="-7"/>
          <w:kern w:val="36"/>
          <w:sz w:val="20"/>
          <w:szCs w:val="20"/>
          <w14:ligatures w14:val="none"/>
        </w:rPr>
        <w:t>v</w:t>
      </w:r>
      <w:r w:rsidR="00A357CA" w:rsidRPr="00AD5D22">
        <w:rPr>
          <w:rFonts w:ascii="Times New Roman" w:eastAsia="Times New Roman" w:hAnsi="Times New Roman" w:cs="Times New Roman"/>
          <w:spacing w:val="-7"/>
          <w:kern w:val="36"/>
          <w:sz w:val="20"/>
          <w:szCs w:val="20"/>
          <w14:ligatures w14:val="none"/>
        </w:rPr>
        <w:t>acant-</w:t>
      </w:r>
      <w:r w:rsidR="000C4225">
        <w:rPr>
          <w:rFonts w:ascii="Times New Roman" w:eastAsia="Times New Roman" w:hAnsi="Times New Roman" w:cs="Times New Roman"/>
          <w:spacing w:val="-7"/>
          <w:kern w:val="36"/>
          <w:sz w:val="20"/>
          <w:szCs w:val="20"/>
          <w14:ligatures w14:val="none"/>
        </w:rPr>
        <w:t>l</w:t>
      </w:r>
      <w:r w:rsidR="00A357CA" w:rsidRPr="00AD5D22">
        <w:rPr>
          <w:rFonts w:ascii="Times New Roman" w:eastAsia="Times New Roman" w:hAnsi="Times New Roman" w:cs="Times New Roman"/>
          <w:spacing w:val="-7"/>
          <w:kern w:val="36"/>
          <w:sz w:val="20"/>
          <w:szCs w:val="20"/>
          <w14:ligatures w14:val="none"/>
        </w:rPr>
        <w:t xml:space="preserve">and </w:t>
      </w:r>
      <w:r w:rsidR="000C4225">
        <w:rPr>
          <w:rFonts w:ascii="Times New Roman" w:eastAsia="Times New Roman" w:hAnsi="Times New Roman" w:cs="Times New Roman"/>
          <w:spacing w:val="-7"/>
          <w:kern w:val="36"/>
          <w:sz w:val="20"/>
          <w:szCs w:val="20"/>
          <w14:ligatures w14:val="none"/>
        </w:rPr>
        <w:t>t</w:t>
      </w:r>
      <w:r w:rsidR="00A357CA" w:rsidRPr="00AD5D22">
        <w:rPr>
          <w:rFonts w:ascii="Times New Roman" w:eastAsia="Times New Roman" w:hAnsi="Times New Roman" w:cs="Times New Roman"/>
          <w:spacing w:val="-7"/>
          <w:kern w:val="36"/>
          <w:sz w:val="20"/>
          <w:szCs w:val="20"/>
          <w14:ligatures w14:val="none"/>
        </w:rPr>
        <w:t>ransactions</w:t>
      </w:r>
      <w:r w:rsidR="000C4225">
        <w:rPr>
          <w:rFonts w:ascii="Times New Roman" w:eastAsia="Times New Roman" w:hAnsi="Times New Roman" w:cs="Times New Roman"/>
          <w:spacing w:val="-7"/>
          <w:kern w:val="36"/>
          <w:sz w:val="20"/>
          <w:szCs w:val="20"/>
          <w14:ligatures w14:val="none"/>
        </w:rPr>
        <w:t xml:space="preserve">. </w:t>
      </w:r>
      <w:r w:rsidR="00A357CA" w:rsidRPr="00AD5D22">
        <w:rPr>
          <w:rFonts w:ascii="Times New Roman" w:eastAsia="Times New Roman" w:hAnsi="Times New Roman" w:cs="Times New Roman"/>
          <w:i/>
          <w:iCs/>
          <w:kern w:val="0"/>
          <w:sz w:val="20"/>
          <w:szCs w:val="20"/>
          <w:bdr w:val="none" w:sz="0" w:space="0" w:color="auto" w:frame="1"/>
          <w14:ligatures w14:val="none"/>
        </w:rPr>
        <w:t xml:space="preserve"> </w:t>
      </w:r>
      <w:r w:rsidRPr="00AD5D22">
        <w:rPr>
          <w:rFonts w:ascii="Times New Roman" w:eastAsia="Times New Roman" w:hAnsi="Times New Roman" w:cs="Times New Roman"/>
          <w:i/>
          <w:iCs/>
          <w:kern w:val="0"/>
          <w:sz w:val="20"/>
          <w:szCs w:val="20"/>
          <w:bdr w:val="none" w:sz="0" w:space="0" w:color="auto" w:frame="1"/>
          <w14:ligatures w14:val="none"/>
        </w:rPr>
        <w:t>Land Economics,</w:t>
      </w:r>
      <w:r w:rsidRPr="00AD5D22">
        <w:rPr>
          <w:rFonts w:ascii="Times New Roman" w:eastAsia="Times New Roman" w:hAnsi="Times New Roman" w:cs="Times New Roman"/>
          <w:kern w:val="0"/>
          <w:sz w:val="20"/>
          <w:szCs w:val="20"/>
          <w:bdr w:val="none" w:sz="0" w:space="0" w:color="auto" w:frame="1"/>
          <w14:ligatures w14:val="none"/>
        </w:rPr>
        <w:t> 96 (2) 188-206.</w:t>
      </w:r>
    </w:p>
  </w:footnote>
  <w:footnote w:id="79">
    <w:p w14:paraId="00F7570E" w14:textId="4592E7E3" w:rsidR="001B4A7D" w:rsidRPr="00347050" w:rsidRDefault="001B4A7D" w:rsidP="001B4A7D">
      <w:pPr>
        <w:pStyle w:val="NormalWeb"/>
        <w:shd w:val="clear" w:color="auto" w:fill="FFFFFF"/>
        <w:spacing w:before="0" w:beforeAutospacing="0" w:after="0" w:afterAutospacing="0"/>
        <w:rPr>
          <w:sz w:val="20"/>
          <w:szCs w:val="20"/>
        </w:rPr>
      </w:pPr>
      <w:r w:rsidRPr="001B4A7D">
        <w:rPr>
          <w:rStyle w:val="FootnoteReference"/>
          <w:sz w:val="20"/>
          <w:szCs w:val="20"/>
        </w:rPr>
        <w:footnoteRef/>
      </w:r>
      <w:r w:rsidRPr="001B4A7D">
        <w:rPr>
          <w:sz w:val="20"/>
          <w:szCs w:val="20"/>
        </w:rPr>
        <w:t xml:space="preserve"> </w:t>
      </w:r>
      <w:r w:rsidRPr="001B4A7D">
        <w:rPr>
          <w:sz w:val="20"/>
          <w:szCs w:val="20"/>
          <w:shd w:val="clear" w:color="auto" w:fill="FFFFFF"/>
        </w:rPr>
        <w:t xml:space="preserve"> Ferris, A.E. and Frank, E.G (20</w:t>
      </w:r>
      <w:r>
        <w:rPr>
          <w:sz w:val="20"/>
          <w:szCs w:val="20"/>
          <w:shd w:val="clear" w:color="auto" w:fill="FFFFFF"/>
        </w:rPr>
        <w:t>2</w:t>
      </w:r>
      <w:r w:rsidRPr="001B4A7D">
        <w:rPr>
          <w:sz w:val="20"/>
          <w:szCs w:val="20"/>
          <w:shd w:val="clear" w:color="auto" w:fill="FFFFFF"/>
        </w:rPr>
        <w:t>1) “</w:t>
      </w:r>
      <w:hyperlink r:id="rId17" w:history="1">
        <w:r w:rsidRPr="001B4A7D">
          <w:rPr>
            <w:rStyle w:val="Hyperlink"/>
            <w:color w:val="auto"/>
            <w:sz w:val="20"/>
            <w:szCs w:val="20"/>
            <w:u w:val="none"/>
            <w:bdr w:val="single" w:sz="2" w:space="0" w:color="E5E7EB" w:frame="1"/>
          </w:rPr>
          <w:t>Labor Market Impacts of Land Protection: The Northern Spotted Owl</w:t>
        </w:r>
      </w:hyperlink>
      <w:r w:rsidRPr="001B4A7D">
        <w:rPr>
          <w:sz w:val="20"/>
          <w:szCs w:val="20"/>
          <w:shd w:val="clear" w:color="auto" w:fill="FFFFFF"/>
        </w:rPr>
        <w:t>,” </w:t>
      </w:r>
      <w:r w:rsidRPr="001B4A7D">
        <w:rPr>
          <w:rStyle w:val="Emphasis"/>
          <w:sz w:val="20"/>
          <w:szCs w:val="20"/>
          <w:bdr w:val="single" w:sz="2" w:space="0" w:color="E5E7EB" w:frame="1"/>
        </w:rPr>
        <w:t>Journal of Enviro</w:t>
      </w:r>
      <w:r w:rsidRPr="00DD02DC">
        <w:rPr>
          <w:rStyle w:val="Emphasis"/>
          <w:sz w:val="20"/>
          <w:szCs w:val="20"/>
          <w:bdr w:val="single" w:sz="2" w:space="0" w:color="E5E7EB" w:frame="1"/>
        </w:rPr>
        <w:t>nmental Economics and Management</w:t>
      </w:r>
      <w:r w:rsidRPr="00DD02DC">
        <w:rPr>
          <w:sz w:val="20"/>
          <w:szCs w:val="20"/>
          <w:shd w:val="clear" w:color="auto" w:fill="FFFFFF"/>
        </w:rPr>
        <w:t>, 109:102480 (2021).</w:t>
      </w:r>
      <w:r w:rsidRPr="00DD02DC">
        <w:rPr>
          <w:sz w:val="20"/>
          <w:szCs w:val="20"/>
        </w:rPr>
        <w:t xml:space="preserve">  </w:t>
      </w:r>
      <w:r>
        <w:rPr>
          <w:sz w:val="20"/>
          <w:szCs w:val="20"/>
          <w:shd w:val="clear" w:color="auto" w:fill="FFFFFF"/>
        </w:rPr>
        <w:t>See also “</w:t>
      </w:r>
      <w:r w:rsidRPr="00DD02DC">
        <w:rPr>
          <w:sz w:val="20"/>
          <w:szCs w:val="20"/>
          <w:shd w:val="clear" w:color="auto" w:fill="FFFFFF"/>
        </w:rPr>
        <w:t>Endangered and Threatened Wildlife and Plants; 12-Month Finding for the Northern Spotted Owl,</w:t>
      </w:r>
      <w:r>
        <w:rPr>
          <w:sz w:val="20"/>
          <w:szCs w:val="20"/>
          <w:shd w:val="clear" w:color="auto" w:fill="FFFFFF"/>
        </w:rPr>
        <w:t xml:space="preserve">” </w:t>
      </w:r>
      <w:r w:rsidRPr="00DD02DC">
        <w:rPr>
          <w:sz w:val="20"/>
          <w:szCs w:val="20"/>
          <w:shd w:val="clear" w:color="auto" w:fill="FFFFFF"/>
        </w:rPr>
        <w:t xml:space="preserve">85 Fed. Reg. 81144, 81152 (December 15, 2020).  </w:t>
      </w:r>
      <w:r w:rsidRPr="00347050">
        <w:rPr>
          <w:sz w:val="20"/>
          <w:szCs w:val="20"/>
        </w:rPr>
        <w:t> </w:t>
      </w:r>
    </w:p>
  </w:footnote>
  <w:footnote w:id="80">
    <w:p w14:paraId="06D98437" w14:textId="1E9EFB2E" w:rsidR="00900A79" w:rsidRDefault="00900A79" w:rsidP="00900A79">
      <w:pPr>
        <w:spacing w:after="0" w:line="240" w:lineRule="auto"/>
      </w:pPr>
      <w:r>
        <w:rPr>
          <w:rStyle w:val="FootnoteReference"/>
        </w:rPr>
        <w:footnoteRef/>
      </w:r>
      <w:r w:rsidR="00A357CA">
        <w:t xml:space="preserve"> </w:t>
      </w:r>
      <w:r w:rsidR="00A357CA" w:rsidRPr="001C7D26">
        <w:rPr>
          <w:rFonts w:ascii="Times New Roman" w:hAnsi="Times New Roman" w:cs="Times New Roman"/>
          <w:sz w:val="20"/>
          <w:szCs w:val="20"/>
        </w:rPr>
        <w:t xml:space="preserve">Downey, </w:t>
      </w:r>
      <w:r w:rsidR="00A357CA">
        <w:rPr>
          <w:rFonts w:ascii="Times New Roman" w:hAnsi="Times New Roman" w:cs="Times New Roman"/>
          <w:sz w:val="20"/>
          <w:szCs w:val="20"/>
        </w:rPr>
        <w:t xml:space="preserve">H., </w:t>
      </w:r>
      <w:r w:rsidR="00A357CA" w:rsidRPr="001C7D26">
        <w:rPr>
          <w:rFonts w:ascii="Times New Roman" w:hAnsi="Times New Roman" w:cs="Times New Roman"/>
          <w:sz w:val="20"/>
          <w:szCs w:val="20"/>
        </w:rPr>
        <w:t>Priest,</w:t>
      </w:r>
      <w:r w:rsidR="00A357CA">
        <w:rPr>
          <w:rFonts w:ascii="Times New Roman" w:hAnsi="Times New Roman" w:cs="Times New Roman"/>
          <w:sz w:val="20"/>
          <w:szCs w:val="20"/>
        </w:rPr>
        <w:t xml:space="preserve"> J.,</w:t>
      </w:r>
      <w:r w:rsidR="00A357CA" w:rsidRPr="001C7D26">
        <w:rPr>
          <w:rFonts w:ascii="Times New Roman" w:hAnsi="Times New Roman" w:cs="Times New Roman"/>
          <w:sz w:val="20"/>
          <w:szCs w:val="20"/>
        </w:rPr>
        <w:t xml:space="preserve"> Regan,</w:t>
      </w:r>
      <w:r w:rsidR="00A357CA">
        <w:rPr>
          <w:rFonts w:ascii="Times New Roman" w:hAnsi="Times New Roman" w:cs="Times New Roman"/>
          <w:sz w:val="20"/>
          <w:szCs w:val="20"/>
        </w:rPr>
        <w:t xml:space="preserve"> S., </w:t>
      </w:r>
      <w:r w:rsidR="00A357CA" w:rsidRPr="001C7D26">
        <w:rPr>
          <w:rFonts w:ascii="Times New Roman" w:hAnsi="Times New Roman" w:cs="Times New Roman"/>
          <w:sz w:val="20"/>
          <w:szCs w:val="20"/>
        </w:rPr>
        <w:t xml:space="preserve">Watkins, </w:t>
      </w:r>
      <w:r w:rsidR="00A357CA">
        <w:rPr>
          <w:rFonts w:ascii="Times New Roman" w:hAnsi="Times New Roman" w:cs="Times New Roman"/>
          <w:sz w:val="20"/>
          <w:szCs w:val="20"/>
        </w:rPr>
        <w:t xml:space="preserve">T., </w:t>
      </w:r>
      <w:r w:rsidR="00A357CA" w:rsidRPr="001C7D26">
        <w:rPr>
          <w:rFonts w:ascii="Times New Roman" w:hAnsi="Times New Roman" w:cs="Times New Roman"/>
          <w:sz w:val="20"/>
          <w:szCs w:val="20"/>
        </w:rPr>
        <w:t xml:space="preserve">Wood, </w:t>
      </w:r>
      <w:r w:rsidR="00A357CA">
        <w:rPr>
          <w:rFonts w:ascii="Times New Roman" w:hAnsi="Times New Roman" w:cs="Times New Roman"/>
          <w:sz w:val="20"/>
          <w:szCs w:val="20"/>
        </w:rPr>
        <w:t xml:space="preserve">J., and </w:t>
      </w:r>
      <w:r w:rsidR="00A357CA" w:rsidRPr="001C7D26">
        <w:rPr>
          <w:rFonts w:ascii="Times New Roman" w:hAnsi="Times New Roman" w:cs="Times New Roman"/>
          <w:sz w:val="20"/>
          <w:szCs w:val="20"/>
        </w:rPr>
        <w:t>Yablonski,</w:t>
      </w:r>
      <w:r w:rsidR="00A357CA">
        <w:rPr>
          <w:rFonts w:ascii="Times New Roman" w:hAnsi="Times New Roman" w:cs="Times New Roman"/>
          <w:sz w:val="20"/>
          <w:szCs w:val="20"/>
        </w:rPr>
        <w:t xml:space="preserve"> M.</w:t>
      </w:r>
      <w:r w:rsidR="00A357CA" w:rsidRPr="001C7D26">
        <w:rPr>
          <w:rFonts w:ascii="Times New Roman" w:hAnsi="Times New Roman" w:cs="Times New Roman"/>
          <w:sz w:val="20"/>
          <w:szCs w:val="20"/>
        </w:rPr>
        <w:t xml:space="preserve"> </w:t>
      </w:r>
      <w:r w:rsidR="00ED6FE3">
        <w:rPr>
          <w:rFonts w:ascii="Times New Roman" w:hAnsi="Times New Roman" w:cs="Times New Roman"/>
          <w:sz w:val="20"/>
          <w:szCs w:val="20"/>
        </w:rPr>
        <w:t xml:space="preserve">(2023). </w:t>
      </w:r>
      <w:r w:rsidRPr="00A357CA">
        <w:rPr>
          <w:rFonts w:ascii="Times New Roman" w:hAnsi="Times New Roman" w:cs="Times New Roman"/>
          <w:i/>
          <w:iCs/>
          <w:sz w:val="20"/>
          <w:szCs w:val="20"/>
        </w:rPr>
        <w:t>A Field Guide for Wildlife Recovery: The Endangered Species Act's Elusive Search to Recover Species—and What to Do About It</w:t>
      </w:r>
      <w:r w:rsidRPr="001C7D26">
        <w:rPr>
          <w:rFonts w:ascii="Times New Roman" w:hAnsi="Times New Roman" w:cs="Times New Roman"/>
          <w:sz w:val="20"/>
          <w:szCs w:val="20"/>
        </w:rPr>
        <w:t xml:space="preserve">.  Property and Environment research Center. September 20, 2023. </w:t>
      </w:r>
    </w:p>
  </w:footnote>
  <w:footnote w:id="81">
    <w:p w14:paraId="4E24D765" w14:textId="5C091C09" w:rsidR="00582D85" w:rsidRPr="00D85EDA" w:rsidRDefault="00582D85" w:rsidP="00582D85">
      <w:pPr>
        <w:pStyle w:val="FootnoteText"/>
        <w:rPr>
          <w:rFonts w:ascii="Times New Roman" w:hAnsi="Times New Roman" w:cs="Times New Roman"/>
        </w:rPr>
      </w:pPr>
      <w:r w:rsidRPr="00D85EDA">
        <w:rPr>
          <w:rStyle w:val="FootnoteReference"/>
          <w:rFonts w:ascii="Times New Roman" w:hAnsi="Times New Roman" w:cs="Times New Roman"/>
        </w:rPr>
        <w:footnoteRef/>
      </w:r>
      <w:r w:rsidRPr="00D85EDA">
        <w:rPr>
          <w:rFonts w:ascii="Times New Roman" w:hAnsi="Times New Roman" w:cs="Times New Roman"/>
        </w:rPr>
        <w:t xml:space="preserve"> Ando (2003, 148).</w:t>
      </w:r>
      <w:r w:rsidR="00D85EDA" w:rsidRPr="00D85EDA">
        <w:rPr>
          <w:rFonts w:ascii="Times New Roman" w:hAnsi="Times New Roman" w:cs="Times New Roman"/>
        </w:rPr>
        <w:t xml:space="preserve"> Do interest groups compete? An application to endangered species. </w:t>
      </w:r>
      <w:r w:rsidR="00D85EDA" w:rsidRPr="00D85EDA">
        <w:rPr>
          <w:rFonts w:ascii="Times New Roman" w:hAnsi="Times New Roman" w:cs="Times New Roman"/>
          <w:i/>
          <w:iCs/>
        </w:rPr>
        <w:t>Public Choice</w:t>
      </w:r>
      <w:r w:rsidR="00D85EDA" w:rsidRPr="00D85EDA">
        <w:rPr>
          <w:rFonts w:ascii="Times New Roman" w:hAnsi="Times New Roman" w:cs="Times New Roman"/>
        </w:rPr>
        <w:t xml:space="preserve"> 114: 137–159</w:t>
      </w:r>
    </w:p>
  </w:footnote>
  <w:footnote w:id="82">
    <w:p w14:paraId="58D3C7BF" w14:textId="7045242C" w:rsidR="00324567" w:rsidRPr="00991E1D" w:rsidRDefault="00324567" w:rsidP="00324567">
      <w:pPr>
        <w:spacing w:after="0" w:line="240" w:lineRule="auto"/>
        <w:rPr>
          <w:rFonts w:ascii="Times New Roman" w:hAnsi="Times New Roman" w:cs="Times New Roman"/>
        </w:rPr>
      </w:pPr>
      <w:r w:rsidRPr="00D85EDA">
        <w:rPr>
          <w:rStyle w:val="FootnoteReference"/>
          <w:rFonts w:ascii="Times New Roman" w:hAnsi="Times New Roman" w:cs="Times New Roman"/>
          <w:sz w:val="20"/>
          <w:szCs w:val="20"/>
        </w:rPr>
        <w:footnoteRef/>
      </w:r>
      <w:r w:rsidRPr="00D85EDA">
        <w:rPr>
          <w:rFonts w:ascii="Times New Roman" w:hAnsi="Times New Roman" w:cs="Times New Roman"/>
          <w:sz w:val="20"/>
          <w:szCs w:val="20"/>
        </w:rPr>
        <w:t xml:space="preserve">  Ando, A.W. (1999)</w:t>
      </w:r>
      <w:r w:rsidR="000C4225">
        <w:rPr>
          <w:rFonts w:ascii="Times New Roman" w:hAnsi="Times New Roman" w:cs="Times New Roman"/>
          <w:sz w:val="20"/>
          <w:szCs w:val="20"/>
        </w:rPr>
        <w:t>.</w:t>
      </w:r>
      <w:r w:rsidRPr="00D85EDA">
        <w:rPr>
          <w:rFonts w:ascii="Times New Roman" w:hAnsi="Times New Roman" w:cs="Times New Roman"/>
          <w:sz w:val="20"/>
          <w:szCs w:val="20"/>
        </w:rPr>
        <w:t xml:space="preserve"> Waiting to </w:t>
      </w:r>
      <w:r w:rsidR="000C4225">
        <w:rPr>
          <w:rFonts w:ascii="Times New Roman" w:hAnsi="Times New Roman" w:cs="Times New Roman"/>
          <w:sz w:val="20"/>
          <w:szCs w:val="20"/>
        </w:rPr>
        <w:t>b</w:t>
      </w:r>
      <w:r w:rsidRPr="00D85EDA">
        <w:rPr>
          <w:rFonts w:ascii="Times New Roman" w:hAnsi="Times New Roman" w:cs="Times New Roman"/>
          <w:sz w:val="20"/>
          <w:szCs w:val="20"/>
        </w:rPr>
        <w:t xml:space="preserve">e </w:t>
      </w:r>
      <w:r w:rsidR="000C4225">
        <w:rPr>
          <w:rFonts w:ascii="Times New Roman" w:hAnsi="Times New Roman" w:cs="Times New Roman"/>
          <w:sz w:val="20"/>
          <w:szCs w:val="20"/>
        </w:rPr>
        <w:t>p</w:t>
      </w:r>
      <w:r w:rsidRPr="00D85EDA">
        <w:rPr>
          <w:rFonts w:ascii="Times New Roman" w:hAnsi="Times New Roman" w:cs="Times New Roman"/>
          <w:sz w:val="20"/>
          <w:szCs w:val="20"/>
        </w:rPr>
        <w:t xml:space="preserve">rotected </w:t>
      </w:r>
      <w:r w:rsidR="000C4225">
        <w:rPr>
          <w:rFonts w:ascii="Times New Roman" w:hAnsi="Times New Roman" w:cs="Times New Roman"/>
          <w:sz w:val="20"/>
          <w:szCs w:val="20"/>
        </w:rPr>
        <w:t>u</w:t>
      </w:r>
      <w:r w:rsidRPr="00D85EDA">
        <w:rPr>
          <w:rFonts w:ascii="Times New Roman" w:hAnsi="Times New Roman" w:cs="Times New Roman"/>
          <w:sz w:val="20"/>
          <w:szCs w:val="20"/>
        </w:rPr>
        <w:t xml:space="preserve">nder the Endangered Species Act: The </w:t>
      </w:r>
      <w:r w:rsidR="000C4225">
        <w:rPr>
          <w:rFonts w:ascii="Times New Roman" w:hAnsi="Times New Roman" w:cs="Times New Roman"/>
          <w:sz w:val="20"/>
          <w:szCs w:val="20"/>
        </w:rPr>
        <w:t>p</w:t>
      </w:r>
      <w:r w:rsidRPr="00D85EDA">
        <w:rPr>
          <w:rFonts w:ascii="Times New Roman" w:hAnsi="Times New Roman" w:cs="Times New Roman"/>
          <w:sz w:val="20"/>
          <w:szCs w:val="20"/>
        </w:rPr>
        <w:t xml:space="preserve">olitical </w:t>
      </w:r>
      <w:r w:rsidR="000C4225">
        <w:rPr>
          <w:rFonts w:ascii="Times New Roman" w:hAnsi="Times New Roman" w:cs="Times New Roman"/>
          <w:sz w:val="20"/>
          <w:szCs w:val="20"/>
        </w:rPr>
        <w:t>e</w:t>
      </w:r>
      <w:r w:rsidRPr="00D85EDA">
        <w:rPr>
          <w:rFonts w:ascii="Times New Roman" w:hAnsi="Times New Roman" w:cs="Times New Roman"/>
          <w:sz w:val="20"/>
          <w:szCs w:val="20"/>
        </w:rPr>
        <w:t xml:space="preserve">conomy of </w:t>
      </w:r>
      <w:r w:rsidR="000C4225">
        <w:rPr>
          <w:rFonts w:ascii="Times New Roman" w:hAnsi="Times New Roman" w:cs="Times New Roman"/>
          <w:sz w:val="20"/>
          <w:szCs w:val="20"/>
        </w:rPr>
        <w:t>r</w:t>
      </w:r>
      <w:r w:rsidRPr="00D85EDA">
        <w:rPr>
          <w:rFonts w:ascii="Times New Roman" w:hAnsi="Times New Roman" w:cs="Times New Roman"/>
          <w:sz w:val="20"/>
          <w:szCs w:val="20"/>
        </w:rPr>
        <w:t xml:space="preserve">egulatory </w:t>
      </w:r>
      <w:r w:rsidR="000C4225">
        <w:rPr>
          <w:rFonts w:ascii="Times New Roman" w:hAnsi="Times New Roman" w:cs="Times New Roman"/>
          <w:sz w:val="20"/>
          <w:szCs w:val="20"/>
        </w:rPr>
        <w:t>d</w:t>
      </w:r>
      <w:r w:rsidRPr="00D85EDA">
        <w:rPr>
          <w:rFonts w:ascii="Times New Roman" w:hAnsi="Times New Roman" w:cs="Times New Roman"/>
          <w:sz w:val="20"/>
          <w:szCs w:val="20"/>
        </w:rPr>
        <w:t>elay.</w:t>
      </w:r>
      <w:r>
        <w:rPr>
          <w:rFonts w:ascii="Times New Roman" w:hAnsi="Times New Roman" w:cs="Times New Roman"/>
          <w:sz w:val="20"/>
          <w:szCs w:val="20"/>
        </w:rPr>
        <w:t xml:space="preserve"> </w:t>
      </w:r>
      <w:r w:rsidRPr="00D271B1">
        <w:rPr>
          <w:rFonts w:ascii="Times New Roman" w:hAnsi="Times New Roman" w:cs="Times New Roman"/>
          <w:i/>
          <w:iCs/>
          <w:sz w:val="20"/>
          <w:szCs w:val="20"/>
        </w:rPr>
        <w:t>The Journal of Law and Economics</w:t>
      </w:r>
      <w:r w:rsidRPr="00991E1D">
        <w:rPr>
          <w:rFonts w:ascii="Times New Roman" w:hAnsi="Times New Roman" w:cs="Times New Roman"/>
          <w:sz w:val="20"/>
          <w:szCs w:val="20"/>
        </w:rPr>
        <w:t xml:space="preserve"> 42</w:t>
      </w:r>
      <w:r>
        <w:rPr>
          <w:rFonts w:ascii="Times New Roman" w:hAnsi="Times New Roman" w:cs="Times New Roman"/>
          <w:sz w:val="20"/>
          <w:szCs w:val="20"/>
        </w:rPr>
        <w:t xml:space="preserve"> (1):</w:t>
      </w:r>
      <w:r w:rsidRPr="00991E1D">
        <w:rPr>
          <w:rFonts w:ascii="Times New Roman" w:hAnsi="Times New Roman" w:cs="Times New Roman"/>
          <w:sz w:val="20"/>
          <w:szCs w:val="20"/>
        </w:rPr>
        <w:t xml:space="preserve"> 29-60</w:t>
      </w:r>
      <w:r>
        <w:rPr>
          <w:rFonts w:ascii="Times New Roman" w:hAnsi="Times New Roman" w:cs="Times New Roman"/>
          <w:sz w:val="20"/>
          <w:szCs w:val="20"/>
        </w:rPr>
        <w:t>;</w:t>
      </w:r>
      <w:r w:rsidRPr="00B7021B">
        <w:rPr>
          <w:rFonts w:ascii="Times New Roman" w:hAnsi="Times New Roman" w:cs="Times New Roman"/>
          <w:sz w:val="20"/>
          <w:szCs w:val="20"/>
        </w:rPr>
        <w:t xml:space="preserve"> </w:t>
      </w:r>
      <w:r w:rsidRPr="00991E1D">
        <w:rPr>
          <w:rFonts w:ascii="Times New Roman" w:hAnsi="Times New Roman" w:cs="Times New Roman"/>
          <w:sz w:val="20"/>
          <w:szCs w:val="20"/>
        </w:rPr>
        <w:t xml:space="preserve">(2001). Economies of scope in endangered-species protection: Evidence from interest-group behavior. </w:t>
      </w:r>
      <w:r w:rsidRPr="00D271B1">
        <w:rPr>
          <w:rFonts w:ascii="Times New Roman" w:hAnsi="Times New Roman" w:cs="Times New Roman"/>
          <w:i/>
          <w:iCs/>
          <w:sz w:val="20"/>
          <w:szCs w:val="20"/>
        </w:rPr>
        <w:t xml:space="preserve">Journal of Environmental Economics and Management </w:t>
      </w:r>
      <w:r w:rsidRPr="00991E1D">
        <w:rPr>
          <w:rFonts w:ascii="Times New Roman" w:hAnsi="Times New Roman" w:cs="Times New Roman"/>
          <w:sz w:val="20"/>
          <w:szCs w:val="20"/>
        </w:rPr>
        <w:t>41: 312– 332</w:t>
      </w:r>
      <w:r>
        <w:rPr>
          <w:rFonts w:ascii="Times New Roman" w:hAnsi="Times New Roman" w:cs="Times New Roman"/>
          <w:sz w:val="20"/>
          <w:szCs w:val="20"/>
        </w:rPr>
        <w:t xml:space="preserve">; and (2003) </w:t>
      </w:r>
      <w:r w:rsidRPr="00991E1D">
        <w:rPr>
          <w:rFonts w:ascii="Times New Roman" w:hAnsi="Times New Roman" w:cs="Times New Roman"/>
          <w:sz w:val="20"/>
          <w:szCs w:val="20"/>
        </w:rPr>
        <w:t>Do interest groups compete? An application to endangered spec</w:t>
      </w:r>
      <w:r>
        <w:rPr>
          <w:rFonts w:ascii="Times New Roman" w:hAnsi="Times New Roman" w:cs="Times New Roman"/>
          <w:sz w:val="20"/>
          <w:szCs w:val="20"/>
        </w:rPr>
        <w:t xml:space="preserve">ies. </w:t>
      </w:r>
      <w:r w:rsidRPr="00D271B1">
        <w:rPr>
          <w:rFonts w:ascii="Times New Roman" w:hAnsi="Times New Roman" w:cs="Times New Roman"/>
          <w:i/>
          <w:iCs/>
          <w:sz w:val="20"/>
          <w:szCs w:val="20"/>
        </w:rPr>
        <w:t>Public Choice</w:t>
      </w:r>
      <w:r w:rsidRPr="00991E1D">
        <w:rPr>
          <w:rFonts w:ascii="Times New Roman" w:hAnsi="Times New Roman" w:cs="Times New Roman"/>
          <w:sz w:val="20"/>
          <w:szCs w:val="20"/>
        </w:rPr>
        <w:t xml:space="preserve"> 114: 137–159</w:t>
      </w:r>
      <w:r>
        <w:rPr>
          <w:rFonts w:ascii="Times New Roman" w:hAnsi="Times New Roman" w:cs="Times New Roman"/>
          <w:sz w:val="20"/>
          <w:szCs w:val="20"/>
        </w:rPr>
        <w:t xml:space="preserve">. </w:t>
      </w:r>
    </w:p>
  </w:footnote>
  <w:footnote w:id="83">
    <w:p w14:paraId="48A1FE86" w14:textId="71423054" w:rsidR="00DF793D" w:rsidRPr="00E21811" w:rsidRDefault="00DF793D" w:rsidP="00DF793D">
      <w:pPr>
        <w:pStyle w:val="FootnoteText"/>
        <w:rPr>
          <w:rFonts w:ascii="Times New Roman" w:hAnsi="Times New Roman" w:cs="Times New Roman"/>
          <w:i/>
          <w:iCs/>
        </w:rPr>
      </w:pPr>
      <w:r w:rsidRPr="00C90D43">
        <w:rPr>
          <w:rStyle w:val="FootnoteReference"/>
          <w:rFonts w:ascii="Times New Roman" w:hAnsi="Times New Roman" w:cs="Times New Roman"/>
        </w:rPr>
        <w:footnoteRef/>
      </w:r>
      <w:r w:rsidRPr="00C90D43">
        <w:rPr>
          <w:rFonts w:ascii="Times New Roman" w:hAnsi="Times New Roman" w:cs="Times New Roman"/>
        </w:rPr>
        <w:t xml:space="preserve"> </w:t>
      </w:r>
      <w:r w:rsidRPr="007C24A6">
        <w:rPr>
          <w:rFonts w:ascii="Times New Roman" w:hAnsi="Times New Roman" w:cs="Times New Roman"/>
        </w:rPr>
        <w:t xml:space="preserve">There seemingly is little information </w:t>
      </w:r>
      <w:r w:rsidR="00220831" w:rsidRPr="007C24A6">
        <w:rPr>
          <w:rFonts w:ascii="Times New Roman" w:hAnsi="Times New Roman" w:cs="Times New Roman"/>
        </w:rPr>
        <w:t xml:space="preserve">in the literature </w:t>
      </w:r>
      <w:r w:rsidRPr="007C24A6">
        <w:rPr>
          <w:rFonts w:ascii="Times New Roman" w:hAnsi="Times New Roman" w:cs="Times New Roman"/>
        </w:rPr>
        <w:t>on membership characteristics and financial support of environmental organizations.</w:t>
      </w:r>
      <w:r w:rsidR="007C24A6">
        <w:rPr>
          <w:rFonts w:ascii="Times New Roman" w:hAnsi="Times New Roman" w:cs="Times New Roman"/>
        </w:rPr>
        <w:t xml:space="preserve"> For the Sierra Club, see</w:t>
      </w:r>
      <w:r w:rsidRPr="00E21811">
        <w:rPr>
          <w:rFonts w:ascii="Times New Roman" w:hAnsi="Times New Roman" w:cs="Times New Roman"/>
          <w:i/>
          <w:iCs/>
        </w:rPr>
        <w:t xml:space="preserve">  </w:t>
      </w:r>
      <w:hyperlink r:id="rId18" w:history="1">
        <w:r w:rsidRPr="00E21811">
          <w:rPr>
            <w:rStyle w:val="Hyperlink"/>
            <w:rFonts w:ascii="Times New Roman" w:hAnsi="Times New Roman" w:cs="Times New Roman"/>
            <w:i/>
            <w:iCs/>
            <w:color w:val="auto"/>
            <w:u w:val="none"/>
          </w:rPr>
          <w:t>https://www.sierraclub.org/california/about-us</w:t>
        </w:r>
      </w:hyperlink>
      <w:r w:rsidRPr="00E21811">
        <w:rPr>
          <w:rFonts w:ascii="Times New Roman" w:hAnsi="Times New Roman" w:cs="Times New Roman"/>
          <w:i/>
          <w:iCs/>
        </w:rPr>
        <w:t xml:space="preserve">. </w:t>
      </w:r>
    </w:p>
  </w:footnote>
  <w:footnote w:id="84">
    <w:p w14:paraId="50DF3FE2" w14:textId="4EC00637" w:rsidR="002F1C14" w:rsidRPr="002F1C14" w:rsidRDefault="002F1C14" w:rsidP="0073036B">
      <w:pPr>
        <w:spacing w:after="0" w:line="240" w:lineRule="auto"/>
        <w:rPr>
          <w:rFonts w:ascii="Times New Roman" w:hAnsi="Times New Roman" w:cs="Times New Roman"/>
        </w:rPr>
      </w:pPr>
      <w:r w:rsidRPr="002F1C14">
        <w:rPr>
          <w:rStyle w:val="FootnoteReference"/>
          <w:rFonts w:ascii="Times New Roman" w:hAnsi="Times New Roman" w:cs="Times New Roman"/>
          <w:sz w:val="20"/>
          <w:szCs w:val="20"/>
        </w:rPr>
        <w:footnoteRef/>
      </w:r>
      <w:r w:rsidRPr="002F1C14">
        <w:rPr>
          <w:rFonts w:ascii="Times New Roman" w:hAnsi="Times New Roman" w:cs="Times New Roman"/>
          <w:sz w:val="20"/>
          <w:szCs w:val="20"/>
        </w:rPr>
        <w:t xml:space="preserve"> </w:t>
      </w:r>
      <w:r w:rsidRPr="002F1C14">
        <w:rPr>
          <w:rFonts w:ascii="Times New Roman" w:eastAsia="Times New Roman" w:hAnsi="Times New Roman" w:cs="Times New Roman"/>
          <w:color w:val="000000"/>
          <w:sz w:val="20"/>
          <w:szCs w:val="20"/>
        </w:rPr>
        <w:t xml:space="preserve">Becker, G. (1983). A theory of competition among pressure groups for political influence. </w:t>
      </w:r>
      <w:r w:rsidRPr="002F1C14">
        <w:rPr>
          <w:rFonts w:ascii="Times New Roman" w:eastAsia="Times New Roman" w:hAnsi="Times New Roman" w:cs="Times New Roman"/>
          <w:i/>
          <w:color w:val="000000"/>
          <w:sz w:val="20"/>
          <w:szCs w:val="20"/>
        </w:rPr>
        <w:t xml:space="preserve">Quarterly Journal of Economics </w:t>
      </w:r>
      <w:r w:rsidRPr="002F1C14">
        <w:rPr>
          <w:rFonts w:ascii="Times New Roman" w:eastAsia="Times New Roman" w:hAnsi="Times New Roman" w:cs="Times New Roman"/>
          <w:color w:val="000000"/>
          <w:sz w:val="20"/>
          <w:szCs w:val="20"/>
        </w:rPr>
        <w:t>98: 371–400.</w:t>
      </w:r>
    </w:p>
  </w:footnote>
  <w:footnote w:id="85">
    <w:p w14:paraId="415EDE7A" w14:textId="6698A96E" w:rsidR="00543806" w:rsidRPr="00863675" w:rsidRDefault="00543806" w:rsidP="00B7021B">
      <w:pPr>
        <w:spacing w:after="0" w:line="240" w:lineRule="auto"/>
      </w:pPr>
      <w:r w:rsidRPr="00991E1D">
        <w:rPr>
          <w:rStyle w:val="FootnoteReference"/>
          <w:rFonts w:ascii="Times New Roman" w:hAnsi="Times New Roman" w:cs="Times New Roman"/>
          <w:sz w:val="20"/>
          <w:szCs w:val="20"/>
        </w:rPr>
        <w:footnoteRef/>
      </w:r>
      <w:r w:rsidRPr="00991E1D">
        <w:rPr>
          <w:rFonts w:ascii="Times New Roman" w:hAnsi="Times New Roman" w:cs="Times New Roman"/>
          <w:sz w:val="20"/>
          <w:szCs w:val="20"/>
        </w:rPr>
        <w:t xml:space="preserve"> Langpap, C. (2022)</w:t>
      </w:r>
      <w:r w:rsidR="00B53DF7">
        <w:rPr>
          <w:rFonts w:ascii="Times New Roman" w:hAnsi="Times New Roman" w:cs="Times New Roman"/>
          <w:sz w:val="20"/>
          <w:szCs w:val="20"/>
        </w:rPr>
        <w:t>.</w:t>
      </w:r>
      <w:r w:rsidRPr="00991E1D">
        <w:rPr>
          <w:rFonts w:ascii="Times New Roman" w:hAnsi="Times New Roman" w:cs="Times New Roman"/>
          <w:sz w:val="20"/>
          <w:szCs w:val="20"/>
        </w:rPr>
        <w:t xml:space="preserve"> Interest </w:t>
      </w:r>
      <w:r w:rsidR="00B53DF7">
        <w:rPr>
          <w:rFonts w:ascii="Times New Roman" w:hAnsi="Times New Roman" w:cs="Times New Roman"/>
          <w:sz w:val="20"/>
          <w:szCs w:val="20"/>
        </w:rPr>
        <w:t>g</w:t>
      </w:r>
      <w:r w:rsidRPr="00991E1D">
        <w:rPr>
          <w:rFonts w:ascii="Times New Roman" w:hAnsi="Times New Roman" w:cs="Times New Roman"/>
          <w:sz w:val="20"/>
          <w:szCs w:val="20"/>
        </w:rPr>
        <w:t xml:space="preserve">roups, </w:t>
      </w:r>
      <w:r w:rsidR="00B53DF7">
        <w:rPr>
          <w:rFonts w:ascii="Times New Roman" w:hAnsi="Times New Roman" w:cs="Times New Roman"/>
          <w:sz w:val="20"/>
          <w:szCs w:val="20"/>
        </w:rPr>
        <w:t>l</w:t>
      </w:r>
      <w:r w:rsidRPr="00991E1D">
        <w:rPr>
          <w:rFonts w:ascii="Times New Roman" w:hAnsi="Times New Roman" w:cs="Times New Roman"/>
          <w:sz w:val="20"/>
          <w:szCs w:val="20"/>
        </w:rPr>
        <w:t xml:space="preserve">itigation, and </w:t>
      </w:r>
      <w:r w:rsidR="00B53DF7">
        <w:rPr>
          <w:rFonts w:ascii="Times New Roman" w:hAnsi="Times New Roman" w:cs="Times New Roman"/>
          <w:sz w:val="20"/>
          <w:szCs w:val="20"/>
        </w:rPr>
        <w:t>a</w:t>
      </w:r>
      <w:r w:rsidRPr="00991E1D">
        <w:rPr>
          <w:rFonts w:ascii="Times New Roman" w:hAnsi="Times New Roman" w:cs="Times New Roman"/>
          <w:sz w:val="20"/>
          <w:szCs w:val="20"/>
        </w:rPr>
        <w:t xml:space="preserve">gency </w:t>
      </w:r>
      <w:r w:rsidR="00B53DF7">
        <w:rPr>
          <w:rFonts w:ascii="Times New Roman" w:hAnsi="Times New Roman" w:cs="Times New Roman"/>
          <w:sz w:val="20"/>
          <w:szCs w:val="20"/>
        </w:rPr>
        <w:t>d</w:t>
      </w:r>
      <w:r w:rsidRPr="00991E1D">
        <w:rPr>
          <w:rFonts w:ascii="Times New Roman" w:hAnsi="Times New Roman" w:cs="Times New Roman"/>
          <w:sz w:val="20"/>
          <w:szCs w:val="20"/>
        </w:rPr>
        <w:t>ecisions: Evidence from the Endangered</w:t>
      </w:r>
      <w:r w:rsidRPr="00005014">
        <w:rPr>
          <w:rFonts w:ascii="Times New Roman" w:hAnsi="Times New Roman" w:cs="Times New Roman"/>
          <w:sz w:val="20"/>
          <w:szCs w:val="20"/>
        </w:rPr>
        <w:t xml:space="preserve"> Species Act </w:t>
      </w:r>
      <w:r w:rsidRPr="00005014">
        <w:rPr>
          <w:rFonts w:ascii="Times New Roman" w:hAnsi="Times New Roman" w:cs="Times New Roman"/>
          <w:i/>
          <w:iCs/>
          <w:sz w:val="20"/>
          <w:szCs w:val="20"/>
        </w:rPr>
        <w:t>Journal of the Association of Environmental and Resource Economists</w:t>
      </w:r>
      <w:r w:rsidRPr="00005014">
        <w:rPr>
          <w:rFonts w:ascii="Times New Roman" w:hAnsi="Times New Roman" w:cs="Times New Roman"/>
          <w:sz w:val="20"/>
          <w:szCs w:val="20"/>
        </w:rPr>
        <w:t xml:space="preserve"> 9 (1). 1-26. Langpap points out that law suits have grown dramatically over 1990-2016, the period examined.  See also Langpap, C., Kerkvliet, J., and Shogren, J.F. (2018). The economics of the U.S. Endangered Species Act: A review of recent developments. </w:t>
      </w:r>
      <w:r w:rsidRPr="00005014">
        <w:rPr>
          <w:rFonts w:ascii="Times New Roman" w:hAnsi="Times New Roman" w:cs="Times New Roman"/>
          <w:i/>
          <w:iCs/>
          <w:sz w:val="20"/>
          <w:szCs w:val="20"/>
        </w:rPr>
        <w:t>Review of Environmental Economics and Policy</w:t>
      </w:r>
      <w:r w:rsidRPr="00005014">
        <w:rPr>
          <w:rFonts w:ascii="Times New Roman" w:hAnsi="Times New Roman" w:cs="Times New Roman"/>
          <w:sz w:val="20"/>
          <w:szCs w:val="20"/>
        </w:rPr>
        <w:t xml:space="preserve"> 12 (1): 69–91 and Langpap, C. and Shimshack. J.P. (2010). Private citizen suits and public enforcement: Substitutes or complements? </w:t>
      </w:r>
      <w:r w:rsidRPr="00005014">
        <w:rPr>
          <w:rFonts w:ascii="Times New Roman" w:hAnsi="Times New Roman" w:cs="Times New Roman"/>
          <w:i/>
          <w:iCs/>
          <w:sz w:val="20"/>
          <w:szCs w:val="20"/>
        </w:rPr>
        <w:t>Journal of Environmental Economics and Manag</w:t>
      </w:r>
      <w:r w:rsidRPr="00005014">
        <w:rPr>
          <w:rFonts w:ascii="Times New Roman" w:hAnsi="Times New Roman" w:cs="Times New Roman"/>
          <w:sz w:val="20"/>
          <w:szCs w:val="20"/>
        </w:rPr>
        <w:t>ement 59 (3): 235–49.</w:t>
      </w:r>
    </w:p>
  </w:footnote>
  <w:footnote w:id="86">
    <w:p w14:paraId="6F89C5E9" w14:textId="2FB001F0" w:rsidR="00543806" w:rsidRPr="000869AD" w:rsidRDefault="00543806" w:rsidP="00543806">
      <w:pPr>
        <w:pStyle w:val="FootnoteText"/>
        <w:rPr>
          <w:rFonts w:ascii="Times New Roman" w:hAnsi="Times New Roman" w:cs="Times New Roman"/>
        </w:rPr>
      </w:pPr>
      <w:r w:rsidRPr="000869AD">
        <w:rPr>
          <w:rStyle w:val="FootnoteReference"/>
          <w:rFonts w:ascii="Times New Roman" w:hAnsi="Times New Roman" w:cs="Times New Roman"/>
        </w:rPr>
        <w:footnoteRef/>
      </w:r>
      <w:r w:rsidRPr="000869AD">
        <w:rPr>
          <w:rFonts w:ascii="Times New Roman" w:hAnsi="Times New Roman" w:cs="Times New Roman"/>
        </w:rPr>
        <w:t xml:space="preserve"> Kerkvliet</w:t>
      </w:r>
      <w:r w:rsidR="00AD7DB8">
        <w:rPr>
          <w:rFonts w:ascii="Times New Roman" w:hAnsi="Times New Roman" w:cs="Times New Roman"/>
        </w:rPr>
        <w:t>, J.</w:t>
      </w:r>
      <w:r w:rsidRPr="000869AD">
        <w:rPr>
          <w:rFonts w:ascii="Times New Roman" w:hAnsi="Times New Roman" w:cs="Times New Roman"/>
        </w:rPr>
        <w:t xml:space="preserve"> and Langpap</w:t>
      </w:r>
      <w:r w:rsidR="00AD7DB8">
        <w:rPr>
          <w:rFonts w:ascii="Times New Roman" w:hAnsi="Times New Roman" w:cs="Times New Roman"/>
        </w:rPr>
        <w:t>, C.</w:t>
      </w:r>
      <w:r w:rsidRPr="000869AD">
        <w:rPr>
          <w:rFonts w:ascii="Times New Roman" w:hAnsi="Times New Roman" w:cs="Times New Roman"/>
        </w:rPr>
        <w:t xml:space="preserve"> (2007)</w:t>
      </w:r>
      <w:r w:rsidR="00B53DF7">
        <w:rPr>
          <w:rFonts w:ascii="Times New Roman" w:hAnsi="Times New Roman" w:cs="Times New Roman"/>
        </w:rPr>
        <w:t xml:space="preserve">. </w:t>
      </w:r>
      <w:r w:rsidRPr="000869AD">
        <w:rPr>
          <w:rFonts w:ascii="Times New Roman" w:hAnsi="Times New Roman" w:cs="Times New Roman"/>
        </w:rPr>
        <w:t xml:space="preserve">Learning from </w:t>
      </w:r>
      <w:r w:rsidR="00B53DF7">
        <w:rPr>
          <w:rFonts w:ascii="Times New Roman" w:hAnsi="Times New Roman" w:cs="Times New Roman"/>
        </w:rPr>
        <w:t>e</w:t>
      </w:r>
      <w:r w:rsidRPr="000869AD">
        <w:rPr>
          <w:rFonts w:ascii="Times New Roman" w:hAnsi="Times New Roman" w:cs="Times New Roman"/>
        </w:rPr>
        <w:t xml:space="preserve">ndangered and </w:t>
      </w:r>
      <w:r w:rsidR="00B53DF7">
        <w:rPr>
          <w:rFonts w:ascii="Times New Roman" w:hAnsi="Times New Roman" w:cs="Times New Roman"/>
        </w:rPr>
        <w:t>t</w:t>
      </w:r>
      <w:r w:rsidRPr="000869AD">
        <w:rPr>
          <w:rFonts w:ascii="Times New Roman" w:hAnsi="Times New Roman" w:cs="Times New Roman"/>
        </w:rPr>
        <w:t xml:space="preserve">hreatened </w:t>
      </w:r>
      <w:r w:rsidR="00B53DF7">
        <w:rPr>
          <w:rFonts w:ascii="Times New Roman" w:hAnsi="Times New Roman" w:cs="Times New Roman"/>
        </w:rPr>
        <w:t>s</w:t>
      </w:r>
      <w:r w:rsidRPr="000869AD">
        <w:rPr>
          <w:rFonts w:ascii="Times New Roman" w:hAnsi="Times New Roman" w:cs="Times New Roman"/>
        </w:rPr>
        <w:t xml:space="preserve">pecies </w:t>
      </w:r>
      <w:r w:rsidR="00B53DF7">
        <w:rPr>
          <w:rFonts w:ascii="Times New Roman" w:hAnsi="Times New Roman" w:cs="Times New Roman"/>
        </w:rPr>
        <w:t>r</w:t>
      </w:r>
      <w:r w:rsidRPr="000869AD">
        <w:rPr>
          <w:rFonts w:ascii="Times New Roman" w:hAnsi="Times New Roman" w:cs="Times New Roman"/>
        </w:rPr>
        <w:t xml:space="preserve">ecovery </w:t>
      </w:r>
      <w:r w:rsidR="00B53DF7">
        <w:rPr>
          <w:rFonts w:ascii="Times New Roman" w:hAnsi="Times New Roman" w:cs="Times New Roman"/>
        </w:rPr>
        <w:t>p</w:t>
      </w:r>
      <w:r w:rsidRPr="000869AD">
        <w:rPr>
          <w:rFonts w:ascii="Times New Roman" w:hAnsi="Times New Roman" w:cs="Times New Roman"/>
        </w:rPr>
        <w:t xml:space="preserve">rograms: A </w:t>
      </w:r>
      <w:r w:rsidR="00B53DF7">
        <w:rPr>
          <w:rFonts w:ascii="Times New Roman" w:hAnsi="Times New Roman" w:cs="Times New Roman"/>
        </w:rPr>
        <w:t>c</w:t>
      </w:r>
      <w:r w:rsidRPr="000869AD">
        <w:rPr>
          <w:rFonts w:ascii="Times New Roman" w:hAnsi="Times New Roman" w:cs="Times New Roman"/>
        </w:rPr>
        <w:t xml:space="preserve">ase </w:t>
      </w:r>
      <w:r w:rsidR="00B53DF7">
        <w:rPr>
          <w:rFonts w:ascii="Times New Roman" w:hAnsi="Times New Roman" w:cs="Times New Roman"/>
        </w:rPr>
        <w:t>s</w:t>
      </w:r>
      <w:r w:rsidRPr="000869AD">
        <w:rPr>
          <w:rFonts w:ascii="Times New Roman" w:hAnsi="Times New Roman" w:cs="Times New Roman"/>
        </w:rPr>
        <w:t xml:space="preserve">tudy </w:t>
      </w:r>
      <w:r w:rsidR="00B53DF7">
        <w:rPr>
          <w:rFonts w:ascii="Times New Roman" w:hAnsi="Times New Roman" w:cs="Times New Roman"/>
        </w:rPr>
        <w:t>u</w:t>
      </w:r>
      <w:r w:rsidRPr="000869AD">
        <w:rPr>
          <w:rFonts w:ascii="Times New Roman" w:hAnsi="Times New Roman" w:cs="Times New Roman"/>
        </w:rPr>
        <w:t xml:space="preserve">sing U.S. Endangered Species Act </w:t>
      </w:r>
      <w:r w:rsidR="00B53DF7">
        <w:rPr>
          <w:rFonts w:ascii="Times New Roman" w:hAnsi="Times New Roman" w:cs="Times New Roman"/>
        </w:rPr>
        <w:t>r</w:t>
      </w:r>
      <w:r w:rsidRPr="000869AD">
        <w:rPr>
          <w:rFonts w:ascii="Times New Roman" w:hAnsi="Times New Roman" w:cs="Times New Roman"/>
        </w:rPr>
        <w:t xml:space="preserve">ecovery </w:t>
      </w:r>
      <w:r w:rsidR="00B53DF7">
        <w:rPr>
          <w:rFonts w:ascii="Times New Roman" w:hAnsi="Times New Roman" w:cs="Times New Roman"/>
        </w:rPr>
        <w:t>s</w:t>
      </w:r>
      <w:r w:rsidRPr="000869AD">
        <w:rPr>
          <w:rFonts w:ascii="Times New Roman" w:hAnsi="Times New Roman" w:cs="Times New Roman"/>
        </w:rPr>
        <w:t xml:space="preserve">cores,” </w:t>
      </w:r>
      <w:r w:rsidRPr="000869AD">
        <w:rPr>
          <w:rFonts w:ascii="Times New Roman" w:hAnsi="Times New Roman" w:cs="Times New Roman"/>
          <w:i/>
          <w:iCs/>
        </w:rPr>
        <w:t xml:space="preserve">Ecological Economics </w:t>
      </w:r>
      <w:r w:rsidRPr="000869AD">
        <w:rPr>
          <w:rFonts w:ascii="Times New Roman" w:hAnsi="Times New Roman" w:cs="Times New Roman"/>
        </w:rPr>
        <w:t>63: 499.</w:t>
      </w:r>
    </w:p>
  </w:footnote>
  <w:footnote w:id="87">
    <w:p w14:paraId="137A6273" w14:textId="200E652D" w:rsidR="00543806" w:rsidRPr="00B86A30" w:rsidRDefault="00543806" w:rsidP="00543806">
      <w:pPr>
        <w:pStyle w:val="FootnoteText"/>
        <w:rPr>
          <w:rFonts w:ascii="Times New Roman" w:hAnsi="Times New Roman" w:cs="Times New Roman"/>
        </w:rPr>
      </w:pPr>
      <w:r w:rsidRPr="00B86A30">
        <w:rPr>
          <w:rStyle w:val="FootnoteReference"/>
          <w:rFonts w:ascii="Times New Roman" w:hAnsi="Times New Roman" w:cs="Times New Roman"/>
        </w:rPr>
        <w:footnoteRef/>
      </w:r>
      <w:r w:rsidRPr="00B86A30">
        <w:rPr>
          <w:rFonts w:ascii="Times New Roman" w:hAnsi="Times New Roman" w:cs="Times New Roman"/>
        </w:rPr>
        <w:t xml:space="preserve">  Ferraro,</w:t>
      </w:r>
      <w:r w:rsidR="00AD7DB8">
        <w:rPr>
          <w:rFonts w:ascii="Times New Roman" w:hAnsi="Times New Roman" w:cs="Times New Roman"/>
        </w:rPr>
        <w:t xml:space="preserve"> P.J., </w:t>
      </w:r>
      <w:r w:rsidRPr="00B86A30">
        <w:rPr>
          <w:rFonts w:ascii="Times New Roman" w:hAnsi="Times New Roman" w:cs="Times New Roman"/>
        </w:rPr>
        <w:t xml:space="preserve">McIntosh, </w:t>
      </w:r>
      <w:r w:rsidR="00AD7DB8">
        <w:rPr>
          <w:rFonts w:ascii="Times New Roman" w:hAnsi="Times New Roman" w:cs="Times New Roman"/>
        </w:rPr>
        <w:t xml:space="preserve">C., </w:t>
      </w:r>
      <w:r w:rsidRPr="00B86A30">
        <w:rPr>
          <w:rFonts w:ascii="Times New Roman" w:hAnsi="Times New Roman" w:cs="Times New Roman"/>
        </w:rPr>
        <w:t>and Ospina</w:t>
      </w:r>
      <w:r w:rsidR="00AD7DB8">
        <w:rPr>
          <w:rFonts w:ascii="Times New Roman" w:hAnsi="Times New Roman" w:cs="Times New Roman"/>
        </w:rPr>
        <w:t>, M.</w:t>
      </w:r>
      <w:r w:rsidRPr="00B86A30">
        <w:rPr>
          <w:rFonts w:ascii="Times New Roman" w:hAnsi="Times New Roman" w:cs="Times New Roman"/>
        </w:rPr>
        <w:t xml:space="preserve"> (2007)</w:t>
      </w:r>
      <w:r w:rsidR="00B53DF7">
        <w:rPr>
          <w:rFonts w:ascii="Times New Roman" w:hAnsi="Times New Roman" w:cs="Times New Roman"/>
        </w:rPr>
        <w:t>.</w:t>
      </w:r>
      <w:r w:rsidRPr="00B86A30">
        <w:rPr>
          <w:rFonts w:ascii="Times New Roman" w:hAnsi="Times New Roman" w:cs="Times New Roman"/>
        </w:rPr>
        <w:t xml:space="preserve"> The </w:t>
      </w:r>
      <w:r w:rsidR="00B53DF7">
        <w:rPr>
          <w:rFonts w:ascii="Times New Roman" w:hAnsi="Times New Roman" w:cs="Times New Roman"/>
        </w:rPr>
        <w:t>e</w:t>
      </w:r>
      <w:r w:rsidRPr="00B86A30">
        <w:rPr>
          <w:rFonts w:ascii="Times New Roman" w:hAnsi="Times New Roman" w:cs="Times New Roman"/>
        </w:rPr>
        <w:t xml:space="preserve">ffectiveness of the U.S.  Endangered Species Act: An </w:t>
      </w:r>
      <w:r w:rsidR="00B53DF7">
        <w:rPr>
          <w:rFonts w:ascii="Times New Roman" w:hAnsi="Times New Roman" w:cs="Times New Roman"/>
        </w:rPr>
        <w:t>e</w:t>
      </w:r>
      <w:r w:rsidRPr="00B86A30">
        <w:rPr>
          <w:rFonts w:ascii="Times New Roman" w:hAnsi="Times New Roman" w:cs="Times New Roman"/>
        </w:rPr>
        <w:t xml:space="preserve">conometric </w:t>
      </w:r>
      <w:r w:rsidR="00B53DF7">
        <w:rPr>
          <w:rFonts w:ascii="Times New Roman" w:hAnsi="Times New Roman" w:cs="Times New Roman"/>
        </w:rPr>
        <w:t>a</w:t>
      </w:r>
      <w:r w:rsidRPr="00B86A30">
        <w:rPr>
          <w:rFonts w:ascii="Times New Roman" w:hAnsi="Times New Roman" w:cs="Times New Roman"/>
        </w:rPr>
        <w:t xml:space="preserve">nalysis </w:t>
      </w:r>
      <w:r w:rsidR="00B53DF7">
        <w:rPr>
          <w:rFonts w:ascii="Times New Roman" w:hAnsi="Times New Roman" w:cs="Times New Roman"/>
        </w:rPr>
        <w:t>u</w:t>
      </w:r>
      <w:r w:rsidRPr="00B86A30">
        <w:rPr>
          <w:rFonts w:ascii="Times New Roman" w:hAnsi="Times New Roman" w:cs="Times New Roman"/>
        </w:rPr>
        <w:t xml:space="preserve">sing </w:t>
      </w:r>
      <w:r w:rsidR="00B53DF7">
        <w:rPr>
          <w:rFonts w:ascii="Times New Roman" w:hAnsi="Times New Roman" w:cs="Times New Roman"/>
        </w:rPr>
        <w:t>m</w:t>
      </w:r>
      <w:r w:rsidRPr="00B86A30">
        <w:rPr>
          <w:rFonts w:ascii="Times New Roman" w:hAnsi="Times New Roman" w:cs="Times New Roman"/>
        </w:rPr>
        <w:t xml:space="preserve">atching </w:t>
      </w:r>
      <w:r w:rsidR="00B53DF7">
        <w:rPr>
          <w:rFonts w:ascii="Times New Roman" w:hAnsi="Times New Roman" w:cs="Times New Roman"/>
        </w:rPr>
        <w:t>m</w:t>
      </w:r>
      <w:r w:rsidRPr="00B86A30">
        <w:rPr>
          <w:rFonts w:ascii="Times New Roman" w:hAnsi="Times New Roman" w:cs="Times New Roman"/>
        </w:rPr>
        <w:t xml:space="preserve">ethods” </w:t>
      </w:r>
      <w:r w:rsidRPr="00005014">
        <w:rPr>
          <w:rFonts w:ascii="Times New Roman" w:hAnsi="Times New Roman" w:cs="Times New Roman"/>
          <w:i/>
          <w:iCs/>
        </w:rPr>
        <w:t xml:space="preserve">Journal of Environmental Economics and Management </w:t>
      </w:r>
      <w:r w:rsidRPr="00B86A30">
        <w:rPr>
          <w:rFonts w:ascii="Times New Roman" w:hAnsi="Times New Roman" w:cs="Times New Roman"/>
        </w:rPr>
        <w:t>54: 245.</w:t>
      </w:r>
    </w:p>
  </w:footnote>
  <w:footnote w:id="88">
    <w:p w14:paraId="2B17C652" w14:textId="32939DB6" w:rsidR="00543806" w:rsidRPr="005443B9" w:rsidRDefault="00543806" w:rsidP="00543806">
      <w:pPr>
        <w:pStyle w:val="FootnoteText"/>
        <w:rPr>
          <w:rFonts w:ascii="Times New Roman" w:hAnsi="Times New Roman" w:cs="Times New Roman"/>
        </w:rPr>
      </w:pPr>
      <w:r w:rsidRPr="005443B9">
        <w:rPr>
          <w:rStyle w:val="FootnoteReference"/>
          <w:rFonts w:ascii="Times New Roman" w:hAnsi="Times New Roman" w:cs="Times New Roman"/>
        </w:rPr>
        <w:footnoteRef/>
      </w:r>
      <w:r w:rsidRPr="005443B9">
        <w:rPr>
          <w:rFonts w:ascii="Times New Roman" w:hAnsi="Times New Roman" w:cs="Times New Roman"/>
        </w:rPr>
        <w:t xml:space="preserve"> </w:t>
      </w:r>
      <w:r w:rsidRPr="009321C5">
        <w:rPr>
          <w:rFonts w:ascii="Times New Roman" w:hAnsi="Times New Roman" w:cs="Times New Roman"/>
        </w:rPr>
        <w:t>Adler, J.H. (202</w:t>
      </w:r>
      <w:r w:rsidR="00D925D5">
        <w:rPr>
          <w:rFonts w:ascii="Times New Roman" w:hAnsi="Times New Roman" w:cs="Times New Roman"/>
        </w:rPr>
        <w:t>4</w:t>
      </w:r>
      <w:r w:rsidR="00931D0A">
        <w:rPr>
          <w:rFonts w:ascii="Times New Roman" w:hAnsi="Times New Roman" w:cs="Times New Roman"/>
        </w:rPr>
        <w:t xml:space="preserve">, </w:t>
      </w:r>
      <w:r>
        <w:rPr>
          <w:rFonts w:ascii="Times New Roman" w:hAnsi="Times New Roman" w:cs="Times New Roman"/>
        </w:rPr>
        <w:t>29-38</w:t>
      </w:r>
      <w:r w:rsidR="00931D0A">
        <w:rPr>
          <w:rFonts w:ascii="Times New Roman" w:hAnsi="Times New Roman" w:cs="Times New Roman"/>
        </w:rPr>
        <w:t>)</w:t>
      </w:r>
      <w:r w:rsidRPr="009321C5">
        <w:rPr>
          <w:rFonts w:ascii="Times New Roman" w:hAnsi="Times New Roman" w:cs="Times New Roman"/>
        </w:rPr>
        <w:t>.</w:t>
      </w:r>
    </w:p>
  </w:footnote>
  <w:footnote w:id="89">
    <w:p w14:paraId="64347812" w14:textId="1A74134C" w:rsidR="00651449" w:rsidRPr="00966AEB" w:rsidRDefault="00651449" w:rsidP="00651449">
      <w:pPr>
        <w:pStyle w:val="FootnoteText"/>
        <w:rPr>
          <w:rFonts w:ascii="Times New Roman" w:hAnsi="Times New Roman" w:cs="Times New Roman"/>
        </w:rPr>
      </w:pPr>
      <w:r w:rsidRPr="005443B9">
        <w:rPr>
          <w:rStyle w:val="FootnoteReference"/>
          <w:rFonts w:ascii="Times New Roman" w:hAnsi="Times New Roman" w:cs="Times New Roman"/>
        </w:rPr>
        <w:footnoteRef/>
      </w:r>
      <w:r w:rsidRPr="005443B9">
        <w:rPr>
          <w:rFonts w:ascii="Times New Roman" w:hAnsi="Times New Roman" w:cs="Times New Roman"/>
        </w:rPr>
        <w:t xml:space="preserve">  Melstrom</w:t>
      </w:r>
      <w:r>
        <w:rPr>
          <w:rFonts w:ascii="Times New Roman" w:hAnsi="Times New Roman" w:cs="Times New Roman"/>
        </w:rPr>
        <w:t>, R.T.</w:t>
      </w:r>
      <w:r w:rsidRPr="005443B9">
        <w:rPr>
          <w:rFonts w:ascii="Times New Roman" w:hAnsi="Times New Roman" w:cs="Times New Roman"/>
        </w:rPr>
        <w:t xml:space="preserve"> </w:t>
      </w:r>
      <w:r>
        <w:rPr>
          <w:rFonts w:ascii="Times New Roman" w:hAnsi="Times New Roman" w:cs="Times New Roman"/>
        </w:rPr>
        <w:t>(</w:t>
      </w:r>
      <w:r w:rsidRPr="005443B9">
        <w:rPr>
          <w:rFonts w:ascii="Times New Roman" w:hAnsi="Times New Roman" w:cs="Times New Roman"/>
        </w:rPr>
        <w:t>2020</w:t>
      </w:r>
      <w:r>
        <w:rPr>
          <w:rFonts w:ascii="Times New Roman" w:hAnsi="Times New Roman" w:cs="Times New Roman"/>
        </w:rPr>
        <w:t>)</w:t>
      </w:r>
      <w:r w:rsidRPr="005443B9">
        <w:rPr>
          <w:rFonts w:ascii="Times New Roman" w:hAnsi="Times New Roman" w:cs="Times New Roman"/>
        </w:rPr>
        <w:t xml:space="preserve">. The </w:t>
      </w:r>
      <w:r w:rsidR="00B53DF7">
        <w:rPr>
          <w:rFonts w:ascii="Times New Roman" w:hAnsi="Times New Roman" w:cs="Times New Roman"/>
        </w:rPr>
        <w:t>e</w:t>
      </w:r>
      <w:r w:rsidRPr="005443B9">
        <w:rPr>
          <w:rFonts w:ascii="Times New Roman" w:hAnsi="Times New Roman" w:cs="Times New Roman"/>
        </w:rPr>
        <w:t xml:space="preserve">ffect of </w:t>
      </w:r>
      <w:r w:rsidR="00B53DF7">
        <w:rPr>
          <w:rFonts w:ascii="Times New Roman" w:hAnsi="Times New Roman" w:cs="Times New Roman"/>
        </w:rPr>
        <w:t>l</w:t>
      </w:r>
      <w:r w:rsidRPr="005443B9">
        <w:rPr>
          <w:rFonts w:ascii="Times New Roman" w:hAnsi="Times New Roman" w:cs="Times New Roman"/>
        </w:rPr>
        <w:t xml:space="preserve">and </w:t>
      </w:r>
      <w:r w:rsidR="00B53DF7">
        <w:rPr>
          <w:rFonts w:ascii="Times New Roman" w:hAnsi="Times New Roman" w:cs="Times New Roman"/>
        </w:rPr>
        <w:t>u</w:t>
      </w:r>
      <w:r w:rsidRPr="005443B9">
        <w:rPr>
          <w:rFonts w:ascii="Times New Roman" w:hAnsi="Times New Roman" w:cs="Times New Roman"/>
        </w:rPr>
        <w:t xml:space="preserve">se </w:t>
      </w:r>
      <w:r w:rsidR="00B53DF7">
        <w:rPr>
          <w:rFonts w:ascii="Times New Roman" w:hAnsi="Times New Roman" w:cs="Times New Roman"/>
        </w:rPr>
        <w:t>r</w:t>
      </w:r>
      <w:r w:rsidRPr="005443B9">
        <w:rPr>
          <w:rFonts w:ascii="Times New Roman" w:hAnsi="Times New Roman" w:cs="Times New Roman"/>
        </w:rPr>
        <w:t xml:space="preserve">estrictions </w:t>
      </w:r>
      <w:r w:rsidR="00B53DF7">
        <w:rPr>
          <w:rFonts w:ascii="Times New Roman" w:hAnsi="Times New Roman" w:cs="Times New Roman"/>
        </w:rPr>
        <w:t>p</w:t>
      </w:r>
      <w:r w:rsidRPr="005443B9">
        <w:rPr>
          <w:rFonts w:ascii="Times New Roman" w:hAnsi="Times New Roman" w:cs="Times New Roman"/>
        </w:rPr>
        <w:t xml:space="preserve">rotecting </w:t>
      </w:r>
      <w:r w:rsidR="00B53DF7">
        <w:rPr>
          <w:rFonts w:ascii="Times New Roman" w:hAnsi="Times New Roman" w:cs="Times New Roman"/>
        </w:rPr>
        <w:t>e</w:t>
      </w:r>
      <w:r w:rsidRPr="005443B9">
        <w:rPr>
          <w:rFonts w:ascii="Times New Roman" w:hAnsi="Times New Roman" w:cs="Times New Roman"/>
        </w:rPr>
        <w:t xml:space="preserve">ndangered </w:t>
      </w:r>
      <w:r w:rsidR="00B53DF7">
        <w:rPr>
          <w:rFonts w:ascii="Times New Roman" w:hAnsi="Times New Roman" w:cs="Times New Roman"/>
        </w:rPr>
        <w:t>s</w:t>
      </w:r>
      <w:r w:rsidRPr="005443B9">
        <w:rPr>
          <w:rFonts w:ascii="Times New Roman" w:hAnsi="Times New Roman" w:cs="Times New Roman"/>
        </w:rPr>
        <w:t xml:space="preserve">pecies on </w:t>
      </w:r>
      <w:r w:rsidR="00B53DF7">
        <w:rPr>
          <w:rFonts w:ascii="Times New Roman" w:hAnsi="Times New Roman" w:cs="Times New Roman"/>
        </w:rPr>
        <w:t>a</w:t>
      </w:r>
      <w:r w:rsidRPr="005443B9">
        <w:rPr>
          <w:rFonts w:ascii="Times New Roman" w:hAnsi="Times New Roman" w:cs="Times New Roman"/>
        </w:rPr>
        <w:t xml:space="preserve">gricultural </w:t>
      </w:r>
      <w:r w:rsidR="00B53DF7">
        <w:rPr>
          <w:rFonts w:ascii="Times New Roman" w:hAnsi="Times New Roman" w:cs="Times New Roman"/>
        </w:rPr>
        <w:t>l</w:t>
      </w:r>
      <w:r w:rsidRPr="005443B9">
        <w:rPr>
          <w:rFonts w:ascii="Times New Roman" w:hAnsi="Times New Roman" w:cs="Times New Roman"/>
        </w:rPr>
        <w:t xml:space="preserve">and </w:t>
      </w:r>
      <w:r w:rsidR="00B53DF7">
        <w:rPr>
          <w:rFonts w:ascii="Times New Roman" w:hAnsi="Times New Roman" w:cs="Times New Roman"/>
        </w:rPr>
        <w:t>v</w:t>
      </w:r>
      <w:r w:rsidRPr="005443B9">
        <w:rPr>
          <w:rFonts w:ascii="Times New Roman" w:hAnsi="Times New Roman" w:cs="Times New Roman"/>
        </w:rPr>
        <w:t xml:space="preserve">alues. </w:t>
      </w:r>
      <w:r w:rsidRPr="001B2F51">
        <w:rPr>
          <w:rFonts w:ascii="Times New Roman" w:hAnsi="Times New Roman" w:cs="Times New Roman"/>
          <w:i/>
          <w:iCs/>
        </w:rPr>
        <w:t>American journal of agricultural economics</w:t>
      </w:r>
      <w:r w:rsidRPr="005443B9">
        <w:rPr>
          <w:rFonts w:ascii="Times New Roman" w:hAnsi="Times New Roman" w:cs="Times New Roman"/>
        </w:rPr>
        <w:t xml:space="preserve"> 103 162 and Melstrom, </w:t>
      </w:r>
      <w:r>
        <w:rPr>
          <w:rFonts w:ascii="Times New Roman" w:hAnsi="Times New Roman" w:cs="Times New Roman"/>
        </w:rPr>
        <w:t xml:space="preserve">R.T., </w:t>
      </w:r>
      <w:r w:rsidRPr="005443B9">
        <w:rPr>
          <w:rFonts w:ascii="Times New Roman" w:hAnsi="Times New Roman" w:cs="Times New Roman"/>
        </w:rPr>
        <w:t>Lee</w:t>
      </w:r>
      <w:r>
        <w:rPr>
          <w:rFonts w:ascii="Times New Roman" w:hAnsi="Times New Roman" w:cs="Times New Roman"/>
        </w:rPr>
        <w:t>, K.,</w:t>
      </w:r>
      <w:r w:rsidRPr="005443B9">
        <w:rPr>
          <w:rFonts w:ascii="Times New Roman" w:hAnsi="Times New Roman" w:cs="Times New Roman"/>
        </w:rPr>
        <w:t xml:space="preserve"> and Byl,</w:t>
      </w:r>
      <w:r>
        <w:rPr>
          <w:rFonts w:ascii="Times New Roman" w:hAnsi="Times New Roman" w:cs="Times New Roman"/>
        </w:rPr>
        <w:t xml:space="preserve"> J.</w:t>
      </w:r>
      <w:r w:rsidRPr="005443B9">
        <w:rPr>
          <w:rFonts w:ascii="Times New Roman" w:hAnsi="Times New Roman" w:cs="Times New Roman"/>
        </w:rPr>
        <w:t xml:space="preserve"> </w:t>
      </w:r>
      <w:r>
        <w:rPr>
          <w:rFonts w:ascii="Times New Roman" w:hAnsi="Times New Roman" w:cs="Times New Roman"/>
        </w:rPr>
        <w:t>(2018). D</w:t>
      </w:r>
      <w:r w:rsidRPr="005443B9">
        <w:rPr>
          <w:rFonts w:ascii="Times New Roman" w:hAnsi="Times New Roman" w:cs="Times New Roman"/>
        </w:rPr>
        <w:t xml:space="preserve">o </w:t>
      </w:r>
      <w:r>
        <w:rPr>
          <w:rFonts w:ascii="Times New Roman" w:hAnsi="Times New Roman" w:cs="Times New Roman"/>
        </w:rPr>
        <w:t>r</w:t>
      </w:r>
      <w:r w:rsidRPr="005443B9">
        <w:rPr>
          <w:rFonts w:ascii="Times New Roman" w:hAnsi="Times New Roman" w:cs="Times New Roman"/>
        </w:rPr>
        <w:t xml:space="preserve">egulations to protect endangered species om private lands affect local employment? Evidence from the </w:t>
      </w:r>
      <w:r>
        <w:rPr>
          <w:rFonts w:ascii="Times New Roman" w:hAnsi="Times New Roman" w:cs="Times New Roman"/>
        </w:rPr>
        <w:t>l</w:t>
      </w:r>
      <w:r w:rsidRPr="005443B9">
        <w:rPr>
          <w:rFonts w:ascii="Times New Roman" w:hAnsi="Times New Roman" w:cs="Times New Roman"/>
        </w:rPr>
        <w:t>isting of</w:t>
      </w:r>
      <w:r>
        <w:rPr>
          <w:rFonts w:ascii="Times New Roman" w:hAnsi="Times New Roman" w:cs="Times New Roman"/>
        </w:rPr>
        <w:t xml:space="preserve"> </w:t>
      </w:r>
      <w:r w:rsidRPr="005443B9">
        <w:rPr>
          <w:rFonts w:ascii="Times New Roman" w:hAnsi="Times New Roman" w:cs="Times New Roman"/>
        </w:rPr>
        <w:t>th</w:t>
      </w:r>
      <w:r>
        <w:rPr>
          <w:rFonts w:ascii="Times New Roman" w:hAnsi="Times New Roman" w:cs="Times New Roman"/>
        </w:rPr>
        <w:t>e</w:t>
      </w:r>
      <w:r w:rsidRPr="005443B9">
        <w:rPr>
          <w:rFonts w:ascii="Times New Roman" w:hAnsi="Times New Roman" w:cs="Times New Roman"/>
        </w:rPr>
        <w:t xml:space="preserve"> </w:t>
      </w:r>
      <w:r>
        <w:rPr>
          <w:rFonts w:ascii="Times New Roman" w:hAnsi="Times New Roman" w:cs="Times New Roman"/>
        </w:rPr>
        <w:t>l</w:t>
      </w:r>
      <w:r w:rsidRPr="005443B9">
        <w:rPr>
          <w:rFonts w:ascii="Times New Roman" w:hAnsi="Times New Roman" w:cs="Times New Roman"/>
        </w:rPr>
        <w:t xml:space="preserve">esser </w:t>
      </w:r>
      <w:r>
        <w:rPr>
          <w:rFonts w:ascii="Times New Roman" w:hAnsi="Times New Roman" w:cs="Times New Roman"/>
        </w:rPr>
        <w:t>p</w:t>
      </w:r>
      <w:r w:rsidRPr="005443B9">
        <w:rPr>
          <w:rFonts w:ascii="Times New Roman" w:hAnsi="Times New Roman" w:cs="Times New Roman"/>
        </w:rPr>
        <w:t>rairie chicken,</w:t>
      </w:r>
      <w:r w:rsidRPr="00966AEB">
        <w:rPr>
          <w:rFonts w:ascii="Times New Roman" w:hAnsi="Times New Roman" w:cs="Times New Roman"/>
        </w:rPr>
        <w:t xml:space="preserve"> </w:t>
      </w:r>
      <w:r w:rsidRPr="001B2F51">
        <w:rPr>
          <w:rFonts w:ascii="Times New Roman" w:hAnsi="Times New Roman" w:cs="Times New Roman"/>
          <w:i/>
          <w:iCs/>
        </w:rPr>
        <w:t xml:space="preserve">Journal of agricultural and resource economics </w:t>
      </w:r>
      <w:r w:rsidRPr="00966AEB">
        <w:rPr>
          <w:rFonts w:ascii="Times New Roman" w:hAnsi="Times New Roman" w:cs="Times New Roman"/>
        </w:rPr>
        <w:t>43: 346.</w:t>
      </w:r>
    </w:p>
  </w:footnote>
  <w:footnote w:id="90">
    <w:p w14:paraId="3636A51F" w14:textId="556C50FA" w:rsidR="00651449" w:rsidRPr="005443B9" w:rsidRDefault="00651449" w:rsidP="00651449">
      <w:pPr>
        <w:pStyle w:val="FootnoteText"/>
        <w:rPr>
          <w:rFonts w:ascii="Times New Roman" w:hAnsi="Times New Roman" w:cs="Times New Roman"/>
        </w:rPr>
      </w:pPr>
      <w:r w:rsidRPr="005443B9">
        <w:rPr>
          <w:rStyle w:val="FootnoteReference"/>
          <w:rFonts w:ascii="Times New Roman" w:hAnsi="Times New Roman" w:cs="Times New Roman"/>
        </w:rPr>
        <w:footnoteRef/>
      </w:r>
      <w:r w:rsidRPr="005443B9">
        <w:rPr>
          <w:rFonts w:ascii="Times New Roman" w:hAnsi="Times New Roman" w:cs="Times New Roman"/>
        </w:rPr>
        <w:t xml:space="preserve"> Ando</w:t>
      </w:r>
      <w:r>
        <w:rPr>
          <w:rFonts w:ascii="Times New Roman" w:hAnsi="Times New Roman" w:cs="Times New Roman"/>
        </w:rPr>
        <w:t>, A.W.</w:t>
      </w:r>
      <w:r w:rsidRPr="005443B9">
        <w:rPr>
          <w:rFonts w:ascii="Times New Roman" w:hAnsi="Times New Roman" w:cs="Times New Roman"/>
        </w:rPr>
        <w:t xml:space="preserve"> and Langpap</w:t>
      </w:r>
      <w:r>
        <w:rPr>
          <w:rFonts w:ascii="Times New Roman" w:hAnsi="Times New Roman" w:cs="Times New Roman"/>
        </w:rPr>
        <w:t>, C. (</w:t>
      </w:r>
      <w:r w:rsidRPr="005443B9">
        <w:rPr>
          <w:rFonts w:ascii="Times New Roman" w:hAnsi="Times New Roman" w:cs="Times New Roman"/>
        </w:rPr>
        <w:t>2018</w:t>
      </w:r>
      <w:r>
        <w:rPr>
          <w:rFonts w:ascii="Times New Roman" w:hAnsi="Times New Roman" w:cs="Times New Roman"/>
        </w:rPr>
        <w:t>).</w:t>
      </w:r>
      <w:r w:rsidRPr="005443B9">
        <w:rPr>
          <w:rFonts w:ascii="Times New Roman" w:hAnsi="Times New Roman" w:cs="Times New Roman"/>
        </w:rPr>
        <w:t xml:space="preserve"> The </w:t>
      </w:r>
      <w:r w:rsidR="00B53DF7">
        <w:rPr>
          <w:rFonts w:ascii="Times New Roman" w:hAnsi="Times New Roman" w:cs="Times New Roman"/>
        </w:rPr>
        <w:t>e</w:t>
      </w:r>
      <w:r w:rsidRPr="005443B9">
        <w:rPr>
          <w:rFonts w:ascii="Times New Roman" w:hAnsi="Times New Roman" w:cs="Times New Roman"/>
        </w:rPr>
        <w:t xml:space="preserve">conomics of </w:t>
      </w:r>
      <w:r w:rsidR="00B53DF7">
        <w:rPr>
          <w:rFonts w:ascii="Times New Roman" w:hAnsi="Times New Roman" w:cs="Times New Roman"/>
        </w:rPr>
        <w:t>s</w:t>
      </w:r>
      <w:r w:rsidRPr="005443B9">
        <w:rPr>
          <w:rFonts w:ascii="Times New Roman" w:hAnsi="Times New Roman" w:cs="Times New Roman"/>
        </w:rPr>
        <w:t xml:space="preserve">pecies </w:t>
      </w:r>
      <w:r w:rsidR="00B53DF7">
        <w:rPr>
          <w:rFonts w:ascii="Times New Roman" w:hAnsi="Times New Roman" w:cs="Times New Roman"/>
        </w:rPr>
        <w:t>c</w:t>
      </w:r>
      <w:r w:rsidRPr="005443B9">
        <w:rPr>
          <w:rFonts w:ascii="Times New Roman" w:hAnsi="Times New Roman" w:cs="Times New Roman"/>
        </w:rPr>
        <w:t>onservation</w:t>
      </w:r>
      <w:r>
        <w:rPr>
          <w:rFonts w:ascii="Times New Roman" w:hAnsi="Times New Roman" w:cs="Times New Roman"/>
        </w:rPr>
        <w:t>.</w:t>
      </w:r>
      <w:r w:rsidRPr="005443B9">
        <w:rPr>
          <w:rFonts w:ascii="Times New Roman" w:hAnsi="Times New Roman" w:cs="Times New Roman"/>
        </w:rPr>
        <w:t xml:space="preserve"> </w:t>
      </w:r>
      <w:r w:rsidRPr="001B2F51">
        <w:rPr>
          <w:rFonts w:ascii="Times New Roman" w:hAnsi="Times New Roman" w:cs="Times New Roman"/>
          <w:i/>
          <w:iCs/>
        </w:rPr>
        <w:t>Annual Review of Resource Economics</w:t>
      </w:r>
      <w:r w:rsidRPr="005443B9">
        <w:rPr>
          <w:rFonts w:ascii="Times New Roman" w:hAnsi="Times New Roman" w:cs="Times New Roman"/>
        </w:rPr>
        <w:t xml:space="preserve"> 10: 445.</w:t>
      </w:r>
    </w:p>
  </w:footnote>
  <w:footnote w:id="91">
    <w:p w14:paraId="06F25047" w14:textId="78991011" w:rsidR="00543806" w:rsidRPr="004E0885" w:rsidRDefault="00543806" w:rsidP="00543806">
      <w:pPr>
        <w:pStyle w:val="NormalWeb"/>
        <w:shd w:val="clear" w:color="auto" w:fill="FFFFFF"/>
        <w:spacing w:before="0" w:beforeAutospacing="0" w:after="0" w:afterAutospacing="0"/>
        <w:rPr>
          <w:sz w:val="20"/>
          <w:szCs w:val="20"/>
        </w:rPr>
      </w:pPr>
      <w:r w:rsidRPr="00825002">
        <w:rPr>
          <w:rStyle w:val="FootnoteReference"/>
          <w:sz w:val="20"/>
          <w:szCs w:val="20"/>
        </w:rPr>
        <w:footnoteRef/>
      </w:r>
      <w:r w:rsidRPr="00825002">
        <w:rPr>
          <w:sz w:val="20"/>
          <w:szCs w:val="20"/>
          <w:shd w:val="clear" w:color="auto" w:fill="FFFFFF"/>
        </w:rPr>
        <w:t xml:space="preserve"> </w:t>
      </w:r>
      <w:r w:rsidRPr="00223354">
        <w:rPr>
          <w:sz w:val="20"/>
          <w:szCs w:val="20"/>
          <w:shd w:val="clear" w:color="auto" w:fill="FFFFFF"/>
        </w:rPr>
        <w:t>Lueck</w:t>
      </w:r>
      <w:r w:rsidR="00651449" w:rsidRPr="00223354">
        <w:rPr>
          <w:sz w:val="20"/>
          <w:szCs w:val="20"/>
          <w:shd w:val="clear" w:color="auto" w:fill="FFFFFF"/>
        </w:rPr>
        <w:t>, D.</w:t>
      </w:r>
      <w:r w:rsidRPr="00223354">
        <w:rPr>
          <w:sz w:val="20"/>
          <w:szCs w:val="20"/>
          <w:shd w:val="clear" w:color="auto" w:fill="FFFFFF"/>
        </w:rPr>
        <w:t xml:space="preserve"> and Michael, </w:t>
      </w:r>
      <w:r w:rsidR="00651449" w:rsidRPr="00223354">
        <w:rPr>
          <w:sz w:val="20"/>
          <w:szCs w:val="20"/>
          <w:shd w:val="clear" w:color="auto" w:fill="FFFFFF"/>
        </w:rPr>
        <w:t>J.</w:t>
      </w:r>
      <w:r w:rsidR="00223354">
        <w:rPr>
          <w:sz w:val="20"/>
          <w:szCs w:val="20"/>
          <w:shd w:val="clear" w:color="auto" w:fill="FFFFFF"/>
        </w:rPr>
        <w:t xml:space="preserve"> (2003). </w:t>
      </w:r>
      <w:hyperlink r:id="rId19" w:history="1">
        <w:r w:rsidRPr="00223354">
          <w:rPr>
            <w:rStyle w:val="Hyperlink"/>
            <w:color w:val="auto"/>
            <w:sz w:val="20"/>
            <w:szCs w:val="20"/>
            <w:u w:val="none"/>
          </w:rPr>
          <w:t xml:space="preserve">Preemptive </w:t>
        </w:r>
        <w:r w:rsidR="00B53DF7">
          <w:rPr>
            <w:rStyle w:val="Hyperlink"/>
            <w:color w:val="auto"/>
            <w:sz w:val="20"/>
            <w:szCs w:val="20"/>
            <w:u w:val="none"/>
          </w:rPr>
          <w:t>h</w:t>
        </w:r>
        <w:r w:rsidRPr="00223354">
          <w:rPr>
            <w:rStyle w:val="Hyperlink"/>
            <w:color w:val="auto"/>
            <w:sz w:val="20"/>
            <w:szCs w:val="20"/>
            <w:u w:val="none"/>
          </w:rPr>
          <w:t xml:space="preserve">abitat </w:t>
        </w:r>
        <w:r w:rsidR="00B53DF7">
          <w:rPr>
            <w:rStyle w:val="Hyperlink"/>
            <w:color w:val="auto"/>
            <w:sz w:val="20"/>
            <w:szCs w:val="20"/>
            <w:u w:val="none"/>
          </w:rPr>
          <w:t>d</w:t>
        </w:r>
        <w:r w:rsidRPr="00223354">
          <w:rPr>
            <w:rStyle w:val="Hyperlink"/>
            <w:color w:val="auto"/>
            <w:sz w:val="20"/>
            <w:szCs w:val="20"/>
            <w:u w:val="none"/>
          </w:rPr>
          <w:t xml:space="preserve">estruction </w:t>
        </w:r>
        <w:r w:rsidR="00B53DF7">
          <w:rPr>
            <w:rStyle w:val="Hyperlink"/>
            <w:color w:val="auto"/>
            <w:sz w:val="20"/>
            <w:szCs w:val="20"/>
            <w:u w:val="none"/>
          </w:rPr>
          <w:t>u</w:t>
        </w:r>
        <w:r w:rsidRPr="00223354">
          <w:rPr>
            <w:rStyle w:val="Hyperlink"/>
            <w:color w:val="auto"/>
            <w:sz w:val="20"/>
            <w:szCs w:val="20"/>
            <w:u w:val="none"/>
          </w:rPr>
          <w:t>nder the Endangered Species Act</w:t>
        </w:r>
      </w:hyperlink>
      <w:r w:rsidRPr="00223354">
        <w:rPr>
          <w:sz w:val="20"/>
          <w:szCs w:val="20"/>
          <w:shd w:val="clear" w:color="auto" w:fill="FFFFFF"/>
        </w:rPr>
        <w:t>,” </w:t>
      </w:r>
      <w:r w:rsidRPr="00223354">
        <w:rPr>
          <w:rStyle w:val="Emphasis"/>
          <w:sz w:val="20"/>
          <w:szCs w:val="20"/>
        </w:rPr>
        <w:t>Journal of Law &amp; Economics</w:t>
      </w:r>
      <w:r w:rsidRPr="00223354">
        <w:rPr>
          <w:sz w:val="20"/>
          <w:szCs w:val="20"/>
          <w:shd w:val="clear" w:color="auto" w:fill="FFFFFF"/>
        </w:rPr>
        <w:t> 46</w:t>
      </w:r>
      <w:r w:rsidR="00223354">
        <w:rPr>
          <w:sz w:val="20"/>
          <w:szCs w:val="20"/>
          <w:shd w:val="clear" w:color="auto" w:fill="FFFFFF"/>
        </w:rPr>
        <w:t xml:space="preserve"> (1): </w:t>
      </w:r>
      <w:r w:rsidRPr="00223354">
        <w:rPr>
          <w:sz w:val="20"/>
          <w:szCs w:val="20"/>
        </w:rPr>
        <w:t xml:space="preserve"> 27-60</w:t>
      </w:r>
      <w:r w:rsidR="00223354">
        <w:rPr>
          <w:sz w:val="20"/>
          <w:szCs w:val="20"/>
        </w:rPr>
        <w:t>;</w:t>
      </w:r>
      <w:r w:rsidRPr="00223354">
        <w:rPr>
          <w:sz w:val="20"/>
          <w:szCs w:val="20"/>
          <w:shd w:val="clear" w:color="auto" w:fill="FFFFFF"/>
        </w:rPr>
        <w:t xml:space="preserve">  Zhang,</w:t>
      </w:r>
      <w:r w:rsidR="00651449" w:rsidRPr="00223354">
        <w:rPr>
          <w:sz w:val="20"/>
          <w:szCs w:val="20"/>
          <w:shd w:val="clear" w:color="auto" w:fill="FFFFFF"/>
        </w:rPr>
        <w:t xml:space="preserve"> D. (2004)</w:t>
      </w:r>
      <w:r w:rsidR="00B53DF7">
        <w:rPr>
          <w:sz w:val="20"/>
          <w:szCs w:val="20"/>
          <w:shd w:val="clear" w:color="auto" w:fill="FFFFFF"/>
        </w:rPr>
        <w:t xml:space="preserve">. </w:t>
      </w:r>
      <w:hyperlink r:id="rId20" w:history="1">
        <w:r w:rsidRPr="00223354">
          <w:rPr>
            <w:rStyle w:val="Hyperlink"/>
            <w:color w:val="auto"/>
            <w:sz w:val="20"/>
            <w:szCs w:val="20"/>
            <w:u w:val="none"/>
          </w:rPr>
          <w:t xml:space="preserve">Endangered </w:t>
        </w:r>
        <w:r w:rsidR="00B53DF7">
          <w:rPr>
            <w:rStyle w:val="Hyperlink"/>
            <w:color w:val="auto"/>
            <w:sz w:val="20"/>
            <w:szCs w:val="20"/>
            <w:u w:val="none"/>
          </w:rPr>
          <w:t>s</w:t>
        </w:r>
        <w:r w:rsidRPr="00223354">
          <w:rPr>
            <w:rStyle w:val="Hyperlink"/>
            <w:color w:val="auto"/>
            <w:sz w:val="20"/>
            <w:szCs w:val="20"/>
            <w:u w:val="none"/>
          </w:rPr>
          <w:t xml:space="preserve">pecies and </w:t>
        </w:r>
        <w:r w:rsidR="00B53DF7">
          <w:rPr>
            <w:rStyle w:val="Hyperlink"/>
            <w:color w:val="auto"/>
            <w:sz w:val="20"/>
            <w:szCs w:val="20"/>
            <w:u w:val="none"/>
          </w:rPr>
          <w:t>t</w:t>
        </w:r>
        <w:r w:rsidRPr="00223354">
          <w:rPr>
            <w:rStyle w:val="Hyperlink"/>
            <w:color w:val="auto"/>
            <w:sz w:val="20"/>
            <w:szCs w:val="20"/>
            <w:u w:val="none"/>
          </w:rPr>
          <w:t xml:space="preserve">imber </w:t>
        </w:r>
        <w:r w:rsidR="00B53DF7">
          <w:rPr>
            <w:rStyle w:val="Hyperlink"/>
            <w:color w:val="auto"/>
            <w:sz w:val="20"/>
            <w:szCs w:val="20"/>
            <w:u w:val="none"/>
          </w:rPr>
          <w:t>h</w:t>
        </w:r>
        <w:r w:rsidRPr="00223354">
          <w:rPr>
            <w:rStyle w:val="Hyperlink"/>
            <w:color w:val="auto"/>
            <w:sz w:val="20"/>
            <w:szCs w:val="20"/>
            <w:u w:val="none"/>
          </w:rPr>
          <w:t xml:space="preserve">arvesting: The </w:t>
        </w:r>
        <w:r w:rsidR="00B53DF7">
          <w:rPr>
            <w:rStyle w:val="Hyperlink"/>
            <w:color w:val="auto"/>
            <w:sz w:val="20"/>
            <w:szCs w:val="20"/>
            <w:u w:val="none"/>
          </w:rPr>
          <w:t>c</w:t>
        </w:r>
        <w:r w:rsidRPr="00223354">
          <w:rPr>
            <w:rStyle w:val="Hyperlink"/>
            <w:color w:val="auto"/>
            <w:sz w:val="20"/>
            <w:szCs w:val="20"/>
            <w:u w:val="none"/>
          </w:rPr>
          <w:t>ase of Red-Cockaded Woodpeckers</w:t>
        </w:r>
      </w:hyperlink>
      <w:r w:rsidRPr="00223354">
        <w:rPr>
          <w:sz w:val="20"/>
          <w:szCs w:val="20"/>
          <w:shd w:val="clear" w:color="auto" w:fill="FFFFFF"/>
        </w:rPr>
        <w:t>,” </w:t>
      </w:r>
      <w:r w:rsidRPr="00223354">
        <w:rPr>
          <w:rStyle w:val="Emphasis"/>
          <w:sz w:val="20"/>
          <w:szCs w:val="20"/>
          <w:bdr w:val="single" w:sz="2" w:space="0" w:color="E5E7EB" w:frame="1"/>
        </w:rPr>
        <w:t>Economic Inquiry</w:t>
      </w:r>
      <w:r w:rsidRPr="00223354">
        <w:rPr>
          <w:sz w:val="20"/>
          <w:szCs w:val="20"/>
          <w:shd w:val="clear" w:color="auto" w:fill="FFFFFF"/>
        </w:rPr>
        <w:t> 32</w:t>
      </w:r>
      <w:r w:rsidR="004E0885" w:rsidRPr="00223354">
        <w:rPr>
          <w:sz w:val="20"/>
          <w:szCs w:val="20"/>
          <w:shd w:val="clear" w:color="auto" w:fill="FFFFFF"/>
        </w:rPr>
        <w:t>:</w:t>
      </w:r>
      <w:r w:rsidRPr="00223354">
        <w:rPr>
          <w:sz w:val="20"/>
          <w:szCs w:val="20"/>
          <w:shd w:val="clear" w:color="auto" w:fill="FFFFFF"/>
        </w:rPr>
        <w:t xml:space="preserve"> </w:t>
      </w:r>
      <w:r w:rsidRPr="004E0885">
        <w:rPr>
          <w:sz w:val="20"/>
          <w:szCs w:val="20"/>
          <w:shd w:val="clear" w:color="auto" w:fill="FFFFFF"/>
        </w:rPr>
        <w:t>150-165</w:t>
      </w:r>
      <w:r w:rsidR="00651449" w:rsidRPr="004E0885">
        <w:rPr>
          <w:sz w:val="20"/>
          <w:szCs w:val="20"/>
          <w:shd w:val="clear" w:color="auto" w:fill="FFFFFF"/>
        </w:rPr>
        <w:t>.</w:t>
      </w:r>
    </w:p>
  </w:footnote>
  <w:footnote w:id="92">
    <w:p w14:paraId="6A11F9A8" w14:textId="09E4CF7E" w:rsidR="003D2C03" w:rsidRPr="003D2C03" w:rsidRDefault="003D2C03">
      <w:pPr>
        <w:pStyle w:val="FootnoteText"/>
        <w:rPr>
          <w:rFonts w:ascii="Times New Roman" w:hAnsi="Times New Roman" w:cs="Times New Roman"/>
        </w:rPr>
      </w:pPr>
      <w:r>
        <w:rPr>
          <w:rStyle w:val="FootnoteReference"/>
        </w:rPr>
        <w:footnoteRef/>
      </w:r>
      <w:r>
        <w:t xml:space="preserve"> </w:t>
      </w:r>
      <w:r w:rsidRPr="003D2C03">
        <w:rPr>
          <w:rFonts w:ascii="Times New Roman" w:hAnsi="Times New Roman" w:cs="Times New Roman"/>
        </w:rPr>
        <w:t>See also Adler, J.H. (2008)</w:t>
      </w:r>
      <w:r>
        <w:rPr>
          <w:rFonts w:ascii="Times New Roman" w:hAnsi="Times New Roman" w:cs="Times New Roman"/>
        </w:rPr>
        <w:t>.</w:t>
      </w:r>
      <w:r w:rsidRPr="003D2C03">
        <w:rPr>
          <w:rFonts w:ascii="Times New Roman" w:hAnsi="Times New Roman" w:cs="Times New Roman"/>
        </w:rPr>
        <w:t xml:space="preserve"> Money or </w:t>
      </w:r>
      <w:r w:rsidR="00B53DF7">
        <w:rPr>
          <w:rFonts w:ascii="Times New Roman" w:hAnsi="Times New Roman" w:cs="Times New Roman"/>
        </w:rPr>
        <w:t>n</w:t>
      </w:r>
      <w:r w:rsidRPr="003D2C03">
        <w:rPr>
          <w:rFonts w:ascii="Times New Roman" w:hAnsi="Times New Roman" w:cs="Times New Roman"/>
        </w:rPr>
        <w:t xml:space="preserve">othing: The </w:t>
      </w:r>
      <w:r w:rsidR="00B53DF7">
        <w:rPr>
          <w:rFonts w:ascii="Times New Roman" w:hAnsi="Times New Roman" w:cs="Times New Roman"/>
        </w:rPr>
        <w:t>a</w:t>
      </w:r>
      <w:r w:rsidRPr="003D2C03">
        <w:rPr>
          <w:rFonts w:ascii="Times New Roman" w:hAnsi="Times New Roman" w:cs="Times New Roman"/>
        </w:rPr>
        <w:t xml:space="preserve">dverse </w:t>
      </w:r>
      <w:r w:rsidR="00B53DF7">
        <w:rPr>
          <w:rFonts w:ascii="Times New Roman" w:hAnsi="Times New Roman" w:cs="Times New Roman"/>
        </w:rPr>
        <w:t>e</w:t>
      </w:r>
      <w:r w:rsidRPr="003D2C03">
        <w:rPr>
          <w:rFonts w:ascii="Times New Roman" w:hAnsi="Times New Roman" w:cs="Times New Roman"/>
        </w:rPr>
        <w:t xml:space="preserve">nvironmental </w:t>
      </w:r>
      <w:r w:rsidR="00B53DF7">
        <w:rPr>
          <w:rFonts w:ascii="Times New Roman" w:hAnsi="Times New Roman" w:cs="Times New Roman"/>
        </w:rPr>
        <w:t>c</w:t>
      </w:r>
      <w:r w:rsidRPr="003D2C03">
        <w:rPr>
          <w:rFonts w:ascii="Times New Roman" w:hAnsi="Times New Roman" w:cs="Times New Roman"/>
        </w:rPr>
        <w:t xml:space="preserve">onsequences of </w:t>
      </w:r>
      <w:r w:rsidR="00B53DF7">
        <w:rPr>
          <w:rFonts w:ascii="Times New Roman" w:hAnsi="Times New Roman" w:cs="Times New Roman"/>
        </w:rPr>
        <w:t>u</w:t>
      </w:r>
      <w:r w:rsidRPr="003D2C03">
        <w:rPr>
          <w:rFonts w:ascii="Times New Roman" w:hAnsi="Times New Roman" w:cs="Times New Roman"/>
        </w:rPr>
        <w:t xml:space="preserve">ncompensated </w:t>
      </w:r>
      <w:r w:rsidR="00B53DF7">
        <w:rPr>
          <w:rFonts w:ascii="Times New Roman" w:hAnsi="Times New Roman" w:cs="Times New Roman"/>
        </w:rPr>
        <w:t>l</w:t>
      </w:r>
      <w:r w:rsidRPr="003D2C03">
        <w:rPr>
          <w:rFonts w:ascii="Times New Roman" w:hAnsi="Times New Roman" w:cs="Times New Roman"/>
        </w:rPr>
        <w:t>a</w:t>
      </w:r>
      <w:r w:rsidR="00B53DF7">
        <w:rPr>
          <w:rFonts w:ascii="Times New Roman" w:hAnsi="Times New Roman" w:cs="Times New Roman"/>
        </w:rPr>
        <w:t>nd u</w:t>
      </w:r>
      <w:r w:rsidRPr="003D2C03">
        <w:rPr>
          <w:rFonts w:ascii="Times New Roman" w:hAnsi="Times New Roman" w:cs="Times New Roman"/>
        </w:rPr>
        <w:t xml:space="preserve">se </w:t>
      </w:r>
      <w:r w:rsidR="00B53DF7">
        <w:rPr>
          <w:rFonts w:ascii="Times New Roman" w:hAnsi="Times New Roman" w:cs="Times New Roman"/>
        </w:rPr>
        <w:t>c</w:t>
      </w:r>
      <w:r w:rsidRPr="003D2C03">
        <w:rPr>
          <w:rFonts w:ascii="Times New Roman" w:hAnsi="Times New Roman" w:cs="Times New Roman"/>
        </w:rPr>
        <w:t>ontrols</w:t>
      </w:r>
      <w:r>
        <w:rPr>
          <w:rFonts w:ascii="Times New Roman" w:hAnsi="Times New Roman" w:cs="Times New Roman"/>
        </w:rPr>
        <w:t xml:space="preserve">. </w:t>
      </w:r>
      <w:r w:rsidRPr="00B53DF7">
        <w:rPr>
          <w:rFonts w:ascii="Times New Roman" w:hAnsi="Times New Roman" w:cs="Times New Roman"/>
          <w:i/>
          <w:iCs/>
        </w:rPr>
        <w:t>Faculty Publications. Case Western Reserve Law School Scholarly Commons</w:t>
      </w:r>
      <w:r>
        <w:rPr>
          <w:rFonts w:ascii="Times New Roman" w:hAnsi="Times New Roman" w:cs="Times New Roman"/>
        </w:rPr>
        <w:t>.</w:t>
      </w:r>
    </w:p>
  </w:footnote>
  <w:footnote w:id="93">
    <w:p w14:paraId="59F888FC" w14:textId="4CCDC025" w:rsidR="00114A72" w:rsidRPr="001C7D26" w:rsidRDefault="00114A72" w:rsidP="00114A72">
      <w:pPr>
        <w:spacing w:after="0" w:line="240" w:lineRule="auto"/>
        <w:rPr>
          <w:rFonts w:ascii="Times New Roman" w:hAnsi="Times New Roman" w:cs="Times New Roman"/>
          <w:sz w:val="20"/>
          <w:szCs w:val="20"/>
        </w:rPr>
      </w:pPr>
      <w:r w:rsidRPr="001C7D26">
        <w:rPr>
          <w:rStyle w:val="FootnoteReference"/>
          <w:rFonts w:ascii="Times New Roman" w:hAnsi="Times New Roman" w:cs="Times New Roman"/>
          <w:sz w:val="20"/>
          <w:szCs w:val="20"/>
        </w:rPr>
        <w:footnoteRef/>
      </w:r>
      <w:r w:rsidRPr="001C7D26">
        <w:rPr>
          <w:rFonts w:ascii="Times New Roman" w:hAnsi="Times New Roman" w:cs="Times New Roman"/>
          <w:sz w:val="20"/>
          <w:szCs w:val="20"/>
        </w:rPr>
        <w:t xml:space="preserve"> Wyman</w:t>
      </w:r>
      <w:r w:rsidR="00742198">
        <w:rPr>
          <w:rFonts w:ascii="Times New Roman" w:hAnsi="Times New Roman" w:cs="Times New Roman"/>
          <w:sz w:val="20"/>
          <w:szCs w:val="20"/>
        </w:rPr>
        <w:t>, K.M.</w:t>
      </w:r>
      <w:r w:rsidRPr="001C7D26">
        <w:rPr>
          <w:rFonts w:ascii="Times New Roman" w:hAnsi="Times New Roman" w:cs="Times New Roman"/>
          <w:sz w:val="20"/>
          <w:szCs w:val="20"/>
        </w:rPr>
        <w:t xml:space="preserve"> (2008, 510), Rethinking the ESA to </w:t>
      </w:r>
      <w:r w:rsidR="00B53DF7">
        <w:rPr>
          <w:rFonts w:ascii="Times New Roman" w:hAnsi="Times New Roman" w:cs="Times New Roman"/>
          <w:sz w:val="20"/>
          <w:szCs w:val="20"/>
        </w:rPr>
        <w:t>r</w:t>
      </w:r>
      <w:r w:rsidRPr="001C7D26">
        <w:rPr>
          <w:rFonts w:ascii="Times New Roman" w:hAnsi="Times New Roman" w:cs="Times New Roman"/>
          <w:sz w:val="20"/>
          <w:szCs w:val="20"/>
        </w:rPr>
        <w:t xml:space="preserve">eflect </w:t>
      </w:r>
      <w:r w:rsidR="00B53DF7">
        <w:rPr>
          <w:rFonts w:ascii="Times New Roman" w:hAnsi="Times New Roman" w:cs="Times New Roman"/>
          <w:sz w:val="20"/>
          <w:szCs w:val="20"/>
        </w:rPr>
        <w:t>h</w:t>
      </w:r>
      <w:r w:rsidRPr="001C7D26">
        <w:rPr>
          <w:rFonts w:ascii="Times New Roman" w:hAnsi="Times New Roman" w:cs="Times New Roman"/>
          <w:sz w:val="20"/>
          <w:szCs w:val="20"/>
        </w:rPr>
        <w:t xml:space="preserve">uman </w:t>
      </w:r>
      <w:r w:rsidR="00B53DF7">
        <w:rPr>
          <w:rFonts w:ascii="Times New Roman" w:hAnsi="Times New Roman" w:cs="Times New Roman"/>
          <w:sz w:val="20"/>
          <w:szCs w:val="20"/>
        </w:rPr>
        <w:t>d</w:t>
      </w:r>
      <w:r w:rsidRPr="001C7D26">
        <w:rPr>
          <w:rFonts w:ascii="Times New Roman" w:hAnsi="Times New Roman" w:cs="Times New Roman"/>
          <w:sz w:val="20"/>
          <w:szCs w:val="20"/>
        </w:rPr>
        <w:t xml:space="preserve">omination over </w:t>
      </w:r>
      <w:r w:rsidR="00B53DF7">
        <w:rPr>
          <w:rFonts w:ascii="Times New Roman" w:hAnsi="Times New Roman" w:cs="Times New Roman"/>
          <w:sz w:val="20"/>
          <w:szCs w:val="20"/>
        </w:rPr>
        <w:t>N</w:t>
      </w:r>
      <w:r w:rsidRPr="001C7D26">
        <w:rPr>
          <w:rFonts w:ascii="Times New Roman" w:hAnsi="Times New Roman" w:cs="Times New Roman"/>
          <w:sz w:val="20"/>
          <w:szCs w:val="20"/>
        </w:rPr>
        <w:t>ature</w:t>
      </w:r>
      <w:r w:rsidR="00B53DF7">
        <w:rPr>
          <w:rFonts w:ascii="Times New Roman" w:hAnsi="Times New Roman" w:cs="Times New Roman"/>
          <w:sz w:val="20"/>
          <w:szCs w:val="20"/>
        </w:rPr>
        <w:t xml:space="preserve">. </w:t>
      </w:r>
      <w:r w:rsidRPr="00664BB9">
        <w:rPr>
          <w:rFonts w:ascii="Times New Roman" w:hAnsi="Times New Roman" w:cs="Times New Roman"/>
          <w:i/>
          <w:iCs/>
          <w:sz w:val="20"/>
          <w:szCs w:val="20"/>
        </w:rPr>
        <w:t>N</w:t>
      </w:r>
      <w:r w:rsidR="00B53DF7">
        <w:rPr>
          <w:rFonts w:ascii="Times New Roman" w:hAnsi="Times New Roman" w:cs="Times New Roman"/>
          <w:i/>
          <w:iCs/>
          <w:sz w:val="20"/>
          <w:szCs w:val="20"/>
        </w:rPr>
        <w:t xml:space="preserve">ew York University </w:t>
      </w:r>
      <w:r w:rsidRPr="00664BB9">
        <w:rPr>
          <w:rFonts w:ascii="Times New Roman" w:hAnsi="Times New Roman" w:cs="Times New Roman"/>
          <w:i/>
          <w:iCs/>
          <w:sz w:val="20"/>
          <w:szCs w:val="20"/>
        </w:rPr>
        <w:t xml:space="preserve"> Environmental Law Journal</w:t>
      </w:r>
      <w:r w:rsidR="00B53DF7">
        <w:rPr>
          <w:rFonts w:ascii="Times New Roman" w:hAnsi="Times New Roman" w:cs="Times New Roman"/>
          <w:sz w:val="20"/>
          <w:szCs w:val="20"/>
        </w:rPr>
        <w:t>.</w:t>
      </w:r>
      <w:r w:rsidRPr="001C7D26">
        <w:rPr>
          <w:rFonts w:ascii="Times New Roman" w:hAnsi="Times New Roman" w:cs="Times New Roman"/>
          <w:sz w:val="20"/>
          <w:szCs w:val="20"/>
        </w:rPr>
        <w:t xml:space="preserve"> </w:t>
      </w:r>
      <w:r w:rsidR="00B53DF7">
        <w:rPr>
          <w:rFonts w:ascii="Times New Roman" w:hAnsi="Times New Roman" w:cs="Times New Roman"/>
          <w:sz w:val="20"/>
          <w:szCs w:val="20"/>
        </w:rPr>
        <w:t xml:space="preserve">17: </w:t>
      </w:r>
      <w:r w:rsidRPr="001C7D26">
        <w:rPr>
          <w:rFonts w:ascii="Times New Roman" w:hAnsi="Times New Roman" w:cs="Times New Roman"/>
          <w:sz w:val="20"/>
          <w:szCs w:val="20"/>
        </w:rPr>
        <w:t xml:space="preserve">490-528. </w:t>
      </w:r>
    </w:p>
  </w:footnote>
  <w:footnote w:id="94">
    <w:p w14:paraId="5348975F" w14:textId="0D2D8D81" w:rsidR="006B6AE8" w:rsidRPr="0025357A" w:rsidRDefault="006B6AE8" w:rsidP="006B6AE8">
      <w:pPr>
        <w:pStyle w:val="FootnoteText"/>
        <w:rPr>
          <w:rFonts w:ascii="Times New Roman" w:hAnsi="Times New Roman" w:cs="Times New Roman"/>
        </w:rPr>
      </w:pPr>
      <w:r w:rsidRPr="0025357A">
        <w:rPr>
          <w:rStyle w:val="FootnoteReference"/>
          <w:rFonts w:ascii="Times New Roman" w:hAnsi="Times New Roman" w:cs="Times New Roman"/>
        </w:rPr>
        <w:footnoteRef/>
      </w:r>
      <w:r w:rsidRPr="0025357A">
        <w:rPr>
          <w:rFonts w:ascii="Times New Roman" w:hAnsi="Times New Roman" w:cs="Times New Roman"/>
        </w:rPr>
        <w:t xml:space="preserve"> Farmer, J.R., Knapp, D., Meretsky, V.J., Chancellor, C., Fischer, B.C., (2011). Motivations influencing the adoption of conservation easements. </w:t>
      </w:r>
      <w:r w:rsidRPr="00B53DF7">
        <w:rPr>
          <w:rFonts w:ascii="Times New Roman" w:hAnsi="Times New Roman" w:cs="Times New Roman"/>
          <w:i/>
          <w:iCs/>
        </w:rPr>
        <w:t>Conservation Biology</w:t>
      </w:r>
      <w:r w:rsidRPr="0025357A">
        <w:rPr>
          <w:rFonts w:ascii="Times New Roman" w:hAnsi="Times New Roman" w:cs="Times New Roman"/>
        </w:rPr>
        <w:t xml:space="preserve"> 25(4): 827- 834. </w:t>
      </w:r>
    </w:p>
  </w:footnote>
  <w:footnote w:id="95">
    <w:p w14:paraId="6247ADF0" w14:textId="629B4D06" w:rsidR="002B7A8B" w:rsidRPr="007F29B4" w:rsidRDefault="002B7A8B" w:rsidP="002B7A8B">
      <w:pPr>
        <w:spacing w:after="0" w:line="240" w:lineRule="auto"/>
        <w:rPr>
          <w:rFonts w:ascii="Times New Roman" w:hAnsi="Times New Roman" w:cs="Times New Roman"/>
          <w:sz w:val="20"/>
          <w:szCs w:val="20"/>
        </w:rPr>
      </w:pPr>
      <w:r w:rsidRPr="007F29B4">
        <w:rPr>
          <w:rStyle w:val="FootnoteReference"/>
          <w:rFonts w:ascii="Times New Roman" w:hAnsi="Times New Roman" w:cs="Times New Roman"/>
          <w:sz w:val="20"/>
          <w:szCs w:val="20"/>
        </w:rPr>
        <w:footnoteRef/>
      </w:r>
      <w:r w:rsidRPr="007F29B4">
        <w:rPr>
          <w:rFonts w:ascii="Times New Roman" w:hAnsi="Times New Roman" w:cs="Times New Roman"/>
          <w:sz w:val="20"/>
          <w:szCs w:val="20"/>
        </w:rPr>
        <w:t xml:space="preserve">  Doremus, </w:t>
      </w:r>
      <w:r w:rsidR="00361F34">
        <w:rPr>
          <w:rFonts w:ascii="Times New Roman" w:hAnsi="Times New Roman" w:cs="Times New Roman"/>
          <w:sz w:val="20"/>
          <w:szCs w:val="20"/>
        </w:rPr>
        <w:t xml:space="preserve">H, (2010). </w:t>
      </w:r>
      <w:r w:rsidRPr="007F29B4">
        <w:rPr>
          <w:rFonts w:ascii="Times New Roman" w:hAnsi="Times New Roman" w:cs="Times New Roman"/>
          <w:sz w:val="20"/>
          <w:szCs w:val="20"/>
        </w:rPr>
        <w:t xml:space="preserve">The Endangered Species Act: Static </w:t>
      </w:r>
      <w:r w:rsidR="00B53DF7">
        <w:rPr>
          <w:rFonts w:ascii="Times New Roman" w:hAnsi="Times New Roman" w:cs="Times New Roman"/>
          <w:sz w:val="20"/>
          <w:szCs w:val="20"/>
        </w:rPr>
        <w:t>l</w:t>
      </w:r>
      <w:r w:rsidRPr="007F29B4">
        <w:rPr>
          <w:rFonts w:ascii="Times New Roman" w:hAnsi="Times New Roman" w:cs="Times New Roman"/>
          <w:sz w:val="20"/>
          <w:szCs w:val="20"/>
        </w:rPr>
        <w:t xml:space="preserve">aw </w:t>
      </w:r>
      <w:r w:rsidR="00B53DF7">
        <w:rPr>
          <w:rFonts w:ascii="Times New Roman" w:hAnsi="Times New Roman" w:cs="Times New Roman"/>
          <w:sz w:val="20"/>
          <w:szCs w:val="20"/>
        </w:rPr>
        <w:t>m</w:t>
      </w:r>
      <w:r w:rsidRPr="007F29B4">
        <w:rPr>
          <w:rFonts w:ascii="Times New Roman" w:hAnsi="Times New Roman" w:cs="Times New Roman"/>
          <w:sz w:val="20"/>
          <w:szCs w:val="20"/>
        </w:rPr>
        <w:t xml:space="preserve">eets </w:t>
      </w:r>
      <w:r w:rsidR="00B53DF7">
        <w:rPr>
          <w:rFonts w:ascii="Times New Roman" w:hAnsi="Times New Roman" w:cs="Times New Roman"/>
          <w:sz w:val="20"/>
          <w:szCs w:val="20"/>
        </w:rPr>
        <w:t>d</w:t>
      </w:r>
      <w:r w:rsidRPr="007F29B4">
        <w:rPr>
          <w:rFonts w:ascii="Times New Roman" w:hAnsi="Times New Roman" w:cs="Times New Roman"/>
          <w:sz w:val="20"/>
          <w:szCs w:val="20"/>
        </w:rPr>
        <w:t xml:space="preserve">ynamic </w:t>
      </w:r>
      <w:r w:rsidR="00B53DF7">
        <w:rPr>
          <w:rFonts w:ascii="Times New Roman" w:hAnsi="Times New Roman" w:cs="Times New Roman"/>
          <w:sz w:val="20"/>
          <w:szCs w:val="20"/>
        </w:rPr>
        <w:t>w</w:t>
      </w:r>
      <w:r w:rsidRPr="007F29B4">
        <w:rPr>
          <w:rFonts w:ascii="Times New Roman" w:hAnsi="Times New Roman" w:cs="Times New Roman"/>
          <w:sz w:val="20"/>
          <w:szCs w:val="20"/>
        </w:rPr>
        <w:t>orld, 32</w:t>
      </w:r>
      <w:r w:rsidR="00B53DF7">
        <w:rPr>
          <w:rFonts w:ascii="Times New Roman" w:hAnsi="Times New Roman" w:cs="Times New Roman"/>
          <w:i/>
          <w:iCs/>
          <w:sz w:val="20"/>
          <w:szCs w:val="20"/>
        </w:rPr>
        <w:t xml:space="preserve">Washington University Journal of Law and Policy </w:t>
      </w:r>
      <w:r w:rsidR="00B53DF7">
        <w:rPr>
          <w:rFonts w:ascii="Times New Roman" w:hAnsi="Times New Roman" w:cs="Times New Roman"/>
          <w:sz w:val="20"/>
          <w:szCs w:val="20"/>
        </w:rPr>
        <w:t>32:</w:t>
      </w:r>
      <w:r w:rsidRPr="007F29B4">
        <w:rPr>
          <w:rFonts w:ascii="Times New Roman" w:hAnsi="Times New Roman" w:cs="Times New Roman"/>
          <w:sz w:val="20"/>
          <w:szCs w:val="20"/>
        </w:rPr>
        <w:t xml:space="preserve"> 175, 177.</w:t>
      </w:r>
    </w:p>
  </w:footnote>
  <w:footnote w:id="96">
    <w:p w14:paraId="6DEBB9E1" w14:textId="02125272" w:rsidR="008D07D1" w:rsidRPr="008D07D1" w:rsidRDefault="008D07D1" w:rsidP="008D07D1">
      <w:pPr>
        <w:spacing w:line="150" w:lineRule="atLeast"/>
        <w:rPr>
          <w:rFonts w:ascii="Times New Roman" w:eastAsia="Times New Roman" w:hAnsi="Times New Roman" w:cs="Times New Roman"/>
          <w:color w:val="222222"/>
          <w:kern w:val="36"/>
          <w:sz w:val="20"/>
          <w:szCs w:val="20"/>
          <w14:ligatures w14:val="none"/>
        </w:rPr>
      </w:pPr>
      <w:r>
        <w:rPr>
          <w:rStyle w:val="FootnoteReference"/>
        </w:rPr>
        <w:footnoteRef/>
      </w:r>
      <w:r>
        <w:t xml:space="preserve"> </w:t>
      </w:r>
      <w:r w:rsidRPr="008D07D1">
        <w:rPr>
          <w:rFonts w:ascii="Times New Roman" w:hAnsi="Times New Roman" w:cs="Times New Roman"/>
          <w:sz w:val="20"/>
          <w:szCs w:val="20"/>
        </w:rPr>
        <w:t>Shelanski, H. (2018</w:t>
      </w:r>
      <w:r>
        <w:rPr>
          <w:rFonts w:ascii="Times New Roman" w:hAnsi="Times New Roman" w:cs="Times New Roman"/>
          <w:sz w:val="20"/>
          <w:szCs w:val="20"/>
        </w:rPr>
        <w:t>)</w:t>
      </w:r>
      <w:r w:rsidRPr="008D07D1">
        <w:rPr>
          <w:rFonts w:ascii="Times New Roman" w:hAnsi="Times New Roman" w:cs="Times New Roman"/>
          <w:sz w:val="20"/>
          <w:szCs w:val="20"/>
        </w:rPr>
        <w:t xml:space="preserve"> </w:t>
      </w:r>
      <w:r w:rsidRPr="008D07D1">
        <w:rPr>
          <w:rFonts w:ascii="Times New Roman" w:eastAsia="Times New Roman" w:hAnsi="Times New Roman" w:cs="Times New Roman"/>
          <w:color w:val="222222"/>
          <w:kern w:val="36"/>
          <w:sz w:val="20"/>
          <w:szCs w:val="20"/>
          <w14:ligatures w14:val="none"/>
        </w:rPr>
        <w:t xml:space="preserve">Antitrust and </w:t>
      </w:r>
      <w:r w:rsidR="00B53DF7">
        <w:rPr>
          <w:rFonts w:ascii="Times New Roman" w:eastAsia="Times New Roman" w:hAnsi="Times New Roman" w:cs="Times New Roman"/>
          <w:color w:val="222222"/>
          <w:kern w:val="36"/>
          <w:sz w:val="20"/>
          <w:szCs w:val="20"/>
          <w14:ligatures w14:val="none"/>
        </w:rPr>
        <w:t>d</w:t>
      </w:r>
      <w:r w:rsidRPr="008D07D1">
        <w:rPr>
          <w:rFonts w:ascii="Times New Roman" w:eastAsia="Times New Roman" w:hAnsi="Times New Roman" w:cs="Times New Roman"/>
          <w:color w:val="222222"/>
          <w:kern w:val="36"/>
          <w:sz w:val="20"/>
          <w:szCs w:val="20"/>
          <w14:ligatures w14:val="none"/>
        </w:rPr>
        <w:t>eregulation</w:t>
      </w:r>
      <w:r>
        <w:rPr>
          <w:rFonts w:ascii="Times New Roman" w:eastAsia="Times New Roman" w:hAnsi="Times New Roman" w:cs="Times New Roman"/>
          <w:color w:val="222222"/>
          <w:kern w:val="36"/>
          <w:sz w:val="20"/>
          <w:szCs w:val="20"/>
          <w14:ligatures w14:val="none"/>
        </w:rPr>
        <w:t xml:space="preserve">. </w:t>
      </w:r>
      <w:r w:rsidRPr="008D07D1">
        <w:rPr>
          <w:rFonts w:ascii="Times New Roman" w:eastAsia="Times New Roman" w:hAnsi="Times New Roman" w:cs="Times New Roman"/>
          <w:i/>
          <w:iCs/>
          <w:color w:val="222222"/>
          <w:kern w:val="36"/>
          <w:sz w:val="20"/>
          <w:szCs w:val="20"/>
          <w14:ligatures w14:val="none"/>
        </w:rPr>
        <w:t>The Yale Law Journal</w:t>
      </w:r>
      <w:r>
        <w:rPr>
          <w:rFonts w:ascii="Times New Roman" w:eastAsia="Times New Roman" w:hAnsi="Times New Roman" w:cs="Times New Roman"/>
          <w:color w:val="222222"/>
          <w:kern w:val="36"/>
          <w:sz w:val="20"/>
          <w:szCs w:val="20"/>
          <w14:ligatures w14:val="none"/>
        </w:rPr>
        <w:t xml:space="preserve"> </w:t>
      </w:r>
      <w:r w:rsidRPr="008D07D1">
        <w:rPr>
          <w:rFonts w:ascii="Times New Roman" w:eastAsia="Times New Roman" w:hAnsi="Times New Roman" w:cs="Times New Roman"/>
          <w:caps/>
          <w:color w:val="222222"/>
          <w:kern w:val="0"/>
          <w:sz w:val="20"/>
          <w:szCs w:val="20"/>
          <w14:ligatures w14:val="none"/>
        </w:rPr>
        <w:t>127 (7): 1742-2203.</w:t>
      </w:r>
    </w:p>
    <w:p w14:paraId="0746D38B" w14:textId="5923FF5C" w:rsidR="008D07D1" w:rsidRPr="008D07D1" w:rsidRDefault="008D07D1" w:rsidP="008D07D1">
      <w:pPr>
        <w:spacing w:after="0" w:line="540" w:lineRule="atLeast"/>
        <w:rPr>
          <w:rFonts w:ascii="Times New Roman" w:eastAsia="Times New Roman" w:hAnsi="Times New Roman" w:cs="Times New Roman"/>
          <w:color w:val="222222"/>
          <w:kern w:val="0"/>
          <w:sz w:val="20"/>
          <w:szCs w:val="20"/>
          <w14:ligatures w14:val="none"/>
        </w:rPr>
      </w:pPr>
    </w:p>
    <w:p w14:paraId="647C782E" w14:textId="432E3710" w:rsidR="008D07D1" w:rsidRPr="008D07D1" w:rsidRDefault="008D07D1">
      <w:pPr>
        <w:pStyle w:val="FootnoteText"/>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63AB5"/>
    <w:multiLevelType w:val="hybridMultilevel"/>
    <w:tmpl w:val="4E7EBEBA"/>
    <w:lvl w:ilvl="0" w:tplc="5C9E76EA">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BC48AD"/>
    <w:multiLevelType w:val="multilevel"/>
    <w:tmpl w:val="D4B6C1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2D5D4A"/>
    <w:multiLevelType w:val="hybridMultilevel"/>
    <w:tmpl w:val="B596C63E"/>
    <w:lvl w:ilvl="0" w:tplc="F0F4584E">
      <w:start w:val="5"/>
      <w:numFmt w:val="upperLetter"/>
      <w:lvlText w:val="%1."/>
      <w:lvlJc w:val="left"/>
      <w:pPr>
        <w:ind w:left="360" w:hanging="360"/>
      </w:pPr>
      <w:rPr>
        <w:rFonts w:hint="default"/>
        <w:b/>
        <w:bCs/>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79653B"/>
    <w:multiLevelType w:val="multilevel"/>
    <w:tmpl w:val="AD8E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E06D02"/>
    <w:multiLevelType w:val="hybridMultilevel"/>
    <w:tmpl w:val="BD2CE550"/>
    <w:lvl w:ilvl="0" w:tplc="3506710E">
      <w:start w:val="1"/>
      <w:numFmt w:val="upperRoman"/>
      <w:lvlText w:val="%1."/>
      <w:lvlJc w:val="left"/>
      <w:pPr>
        <w:ind w:left="81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5B5CFD"/>
    <w:multiLevelType w:val="multilevel"/>
    <w:tmpl w:val="47B8B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0E389D"/>
    <w:multiLevelType w:val="hybridMultilevel"/>
    <w:tmpl w:val="D39EFBB8"/>
    <w:lvl w:ilvl="0" w:tplc="6BEA7CCA">
      <w:start w:val="2"/>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F25C0D"/>
    <w:multiLevelType w:val="hybridMultilevel"/>
    <w:tmpl w:val="ECE6B7B6"/>
    <w:lvl w:ilvl="0" w:tplc="2CCE3CE8">
      <w:start w:val="11"/>
      <w:numFmt w:val="lowerRoman"/>
      <w:lvlText w:val="%1."/>
      <w:lvlJc w:val="left"/>
      <w:pPr>
        <w:ind w:left="81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73142540">
      <w:start w:val="1"/>
      <w:numFmt w:val="upperLetter"/>
      <w:lvlText w:val="%5."/>
      <w:lvlJc w:val="left"/>
      <w:pPr>
        <w:ind w:left="189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ED0E29"/>
    <w:multiLevelType w:val="hybridMultilevel"/>
    <w:tmpl w:val="D0A8485C"/>
    <w:lvl w:ilvl="0" w:tplc="1C621DF0">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9" w15:restartNumberingAfterBreak="0">
    <w:nsid w:val="2C8E052B"/>
    <w:multiLevelType w:val="hybridMultilevel"/>
    <w:tmpl w:val="D00E6764"/>
    <w:lvl w:ilvl="0" w:tplc="392C9E5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AD722B"/>
    <w:multiLevelType w:val="hybridMultilevel"/>
    <w:tmpl w:val="7BC47954"/>
    <w:lvl w:ilvl="0" w:tplc="061013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76374C"/>
    <w:multiLevelType w:val="multilevel"/>
    <w:tmpl w:val="27484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CE6223"/>
    <w:multiLevelType w:val="hybridMultilevel"/>
    <w:tmpl w:val="9C0C080E"/>
    <w:lvl w:ilvl="0" w:tplc="94B2EB3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4D75A6"/>
    <w:multiLevelType w:val="hybridMultilevel"/>
    <w:tmpl w:val="93F82B3E"/>
    <w:lvl w:ilvl="0" w:tplc="63F64616">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1F56DD"/>
    <w:multiLevelType w:val="hybridMultilevel"/>
    <w:tmpl w:val="5E708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2A43BB"/>
    <w:multiLevelType w:val="multilevel"/>
    <w:tmpl w:val="4670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0267A7"/>
    <w:multiLevelType w:val="multilevel"/>
    <w:tmpl w:val="8520B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B46B1"/>
    <w:multiLevelType w:val="hybridMultilevel"/>
    <w:tmpl w:val="036C956E"/>
    <w:lvl w:ilvl="0" w:tplc="FE98D2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6406BB2"/>
    <w:multiLevelType w:val="hybridMultilevel"/>
    <w:tmpl w:val="B7386B92"/>
    <w:lvl w:ilvl="0" w:tplc="D402CB46">
      <w:start w:val="1"/>
      <w:numFmt w:val="upperRoman"/>
      <w:lvlText w:val="%1."/>
      <w:lvlJc w:val="left"/>
      <w:pPr>
        <w:ind w:left="9000" w:hanging="720"/>
      </w:pPr>
      <w:rPr>
        <w:rFonts w:hint="default"/>
      </w:r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19" w15:restartNumberingAfterBreak="0">
    <w:nsid w:val="6D6630B6"/>
    <w:multiLevelType w:val="multilevel"/>
    <w:tmpl w:val="C7FA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3E1F23"/>
    <w:multiLevelType w:val="multilevel"/>
    <w:tmpl w:val="51045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5948E4"/>
    <w:multiLevelType w:val="multilevel"/>
    <w:tmpl w:val="1A96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5644964">
    <w:abstractNumId w:val="13"/>
  </w:num>
  <w:num w:numId="2" w16cid:durableId="1491093464">
    <w:abstractNumId w:val="17"/>
  </w:num>
  <w:num w:numId="3" w16cid:durableId="557857726">
    <w:abstractNumId w:val="7"/>
  </w:num>
  <w:num w:numId="4" w16cid:durableId="827289207">
    <w:abstractNumId w:val="8"/>
  </w:num>
  <w:num w:numId="5" w16cid:durableId="834614119">
    <w:abstractNumId w:val="0"/>
  </w:num>
  <w:num w:numId="6" w16cid:durableId="1812480817">
    <w:abstractNumId w:val="1"/>
  </w:num>
  <w:num w:numId="7" w16cid:durableId="943151937">
    <w:abstractNumId w:val="15"/>
  </w:num>
  <w:num w:numId="8" w16cid:durableId="2082748712">
    <w:abstractNumId w:val="21"/>
  </w:num>
  <w:num w:numId="9" w16cid:durableId="219051679">
    <w:abstractNumId w:val="10"/>
  </w:num>
  <w:num w:numId="10" w16cid:durableId="242840020">
    <w:abstractNumId w:val="14"/>
  </w:num>
  <w:num w:numId="11" w16cid:durableId="1312903398">
    <w:abstractNumId w:val="3"/>
  </w:num>
  <w:num w:numId="12" w16cid:durableId="852262908">
    <w:abstractNumId w:val="19"/>
  </w:num>
  <w:num w:numId="13" w16cid:durableId="860320912">
    <w:abstractNumId w:val="4"/>
  </w:num>
  <w:num w:numId="14" w16cid:durableId="741952896">
    <w:abstractNumId w:val="18"/>
  </w:num>
  <w:num w:numId="15" w16cid:durableId="458573902">
    <w:abstractNumId w:val="9"/>
  </w:num>
  <w:num w:numId="16" w16cid:durableId="1437561622">
    <w:abstractNumId w:val="5"/>
  </w:num>
  <w:num w:numId="17" w16cid:durableId="405884832">
    <w:abstractNumId w:val="11"/>
  </w:num>
  <w:num w:numId="18" w16cid:durableId="1576622772">
    <w:abstractNumId w:val="20"/>
  </w:num>
  <w:num w:numId="19" w16cid:durableId="143666802">
    <w:abstractNumId w:val="6"/>
  </w:num>
  <w:num w:numId="20" w16cid:durableId="934436861">
    <w:abstractNumId w:val="12"/>
  </w:num>
  <w:num w:numId="21" w16cid:durableId="2025474729">
    <w:abstractNumId w:val="16"/>
  </w:num>
  <w:num w:numId="22" w16cid:durableId="1880779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2CD"/>
    <w:rsid w:val="00000F41"/>
    <w:rsid w:val="00004841"/>
    <w:rsid w:val="00011554"/>
    <w:rsid w:val="00012C24"/>
    <w:rsid w:val="0001786C"/>
    <w:rsid w:val="00017BED"/>
    <w:rsid w:val="00020069"/>
    <w:rsid w:val="00020F78"/>
    <w:rsid w:val="00025E66"/>
    <w:rsid w:val="000262DE"/>
    <w:rsid w:val="00031546"/>
    <w:rsid w:val="00031F5F"/>
    <w:rsid w:val="00034A62"/>
    <w:rsid w:val="000355D8"/>
    <w:rsid w:val="000374AF"/>
    <w:rsid w:val="0004033C"/>
    <w:rsid w:val="00043132"/>
    <w:rsid w:val="00043A34"/>
    <w:rsid w:val="0004615C"/>
    <w:rsid w:val="000501CE"/>
    <w:rsid w:val="00053669"/>
    <w:rsid w:val="0005718A"/>
    <w:rsid w:val="00061051"/>
    <w:rsid w:val="00061C62"/>
    <w:rsid w:val="00063311"/>
    <w:rsid w:val="0006431D"/>
    <w:rsid w:val="00064E06"/>
    <w:rsid w:val="000663E6"/>
    <w:rsid w:val="00067CA1"/>
    <w:rsid w:val="00076579"/>
    <w:rsid w:val="000765F3"/>
    <w:rsid w:val="00076C9D"/>
    <w:rsid w:val="00080FF0"/>
    <w:rsid w:val="000835EC"/>
    <w:rsid w:val="000850E8"/>
    <w:rsid w:val="00085BBF"/>
    <w:rsid w:val="00087588"/>
    <w:rsid w:val="0009066D"/>
    <w:rsid w:val="0009660D"/>
    <w:rsid w:val="000A6E36"/>
    <w:rsid w:val="000A726F"/>
    <w:rsid w:val="000A762C"/>
    <w:rsid w:val="000B0E97"/>
    <w:rsid w:val="000B4BD6"/>
    <w:rsid w:val="000C1BE4"/>
    <w:rsid w:val="000C4225"/>
    <w:rsid w:val="000C4C0E"/>
    <w:rsid w:val="000D17B8"/>
    <w:rsid w:val="000D299C"/>
    <w:rsid w:val="000D2DCB"/>
    <w:rsid w:val="000D4C3D"/>
    <w:rsid w:val="000D5214"/>
    <w:rsid w:val="000D66F6"/>
    <w:rsid w:val="000D6D54"/>
    <w:rsid w:val="000D74B0"/>
    <w:rsid w:val="000E2570"/>
    <w:rsid w:val="000E3479"/>
    <w:rsid w:val="000E4264"/>
    <w:rsid w:val="000E504E"/>
    <w:rsid w:val="000E566F"/>
    <w:rsid w:val="000E62BF"/>
    <w:rsid w:val="000E7528"/>
    <w:rsid w:val="000F0B58"/>
    <w:rsid w:val="000F56F7"/>
    <w:rsid w:val="000F6712"/>
    <w:rsid w:val="00101831"/>
    <w:rsid w:val="00102595"/>
    <w:rsid w:val="0010395A"/>
    <w:rsid w:val="00103D51"/>
    <w:rsid w:val="001040BB"/>
    <w:rsid w:val="00106A20"/>
    <w:rsid w:val="00106E10"/>
    <w:rsid w:val="00110B67"/>
    <w:rsid w:val="00111A6B"/>
    <w:rsid w:val="00112CEC"/>
    <w:rsid w:val="001131C5"/>
    <w:rsid w:val="00113580"/>
    <w:rsid w:val="00113713"/>
    <w:rsid w:val="00114181"/>
    <w:rsid w:val="0011429B"/>
    <w:rsid w:val="0011469B"/>
    <w:rsid w:val="00114A72"/>
    <w:rsid w:val="00114CF9"/>
    <w:rsid w:val="00115358"/>
    <w:rsid w:val="00116121"/>
    <w:rsid w:val="001163C9"/>
    <w:rsid w:val="001166E8"/>
    <w:rsid w:val="001167F8"/>
    <w:rsid w:val="0011796B"/>
    <w:rsid w:val="00117D30"/>
    <w:rsid w:val="00117DB5"/>
    <w:rsid w:val="00126D11"/>
    <w:rsid w:val="00127099"/>
    <w:rsid w:val="00127950"/>
    <w:rsid w:val="0013101E"/>
    <w:rsid w:val="00131635"/>
    <w:rsid w:val="00131D91"/>
    <w:rsid w:val="00133398"/>
    <w:rsid w:val="00135031"/>
    <w:rsid w:val="00135D20"/>
    <w:rsid w:val="0013682A"/>
    <w:rsid w:val="00136C84"/>
    <w:rsid w:val="0013720E"/>
    <w:rsid w:val="001403D1"/>
    <w:rsid w:val="00144646"/>
    <w:rsid w:val="00145DE3"/>
    <w:rsid w:val="001474BC"/>
    <w:rsid w:val="001540EC"/>
    <w:rsid w:val="0015611F"/>
    <w:rsid w:val="001561CE"/>
    <w:rsid w:val="001564B3"/>
    <w:rsid w:val="00163026"/>
    <w:rsid w:val="0016420B"/>
    <w:rsid w:val="001647E6"/>
    <w:rsid w:val="00164D52"/>
    <w:rsid w:val="001677BE"/>
    <w:rsid w:val="0017200E"/>
    <w:rsid w:val="00172A55"/>
    <w:rsid w:val="001766DF"/>
    <w:rsid w:val="00182E25"/>
    <w:rsid w:val="00182EAC"/>
    <w:rsid w:val="0018561C"/>
    <w:rsid w:val="0018565A"/>
    <w:rsid w:val="0018661F"/>
    <w:rsid w:val="001869DE"/>
    <w:rsid w:val="00190157"/>
    <w:rsid w:val="00190CA4"/>
    <w:rsid w:val="00190CEB"/>
    <w:rsid w:val="001923D3"/>
    <w:rsid w:val="0019631D"/>
    <w:rsid w:val="001967A7"/>
    <w:rsid w:val="00196BC0"/>
    <w:rsid w:val="001A53FD"/>
    <w:rsid w:val="001A5737"/>
    <w:rsid w:val="001A5C1A"/>
    <w:rsid w:val="001B1100"/>
    <w:rsid w:val="001B13D4"/>
    <w:rsid w:val="001B1640"/>
    <w:rsid w:val="001B206B"/>
    <w:rsid w:val="001B22C8"/>
    <w:rsid w:val="001B3917"/>
    <w:rsid w:val="001B4A7D"/>
    <w:rsid w:val="001B5EEC"/>
    <w:rsid w:val="001B7131"/>
    <w:rsid w:val="001B74D8"/>
    <w:rsid w:val="001C08FD"/>
    <w:rsid w:val="001C29C8"/>
    <w:rsid w:val="001C3C29"/>
    <w:rsid w:val="001C529E"/>
    <w:rsid w:val="001D0B7B"/>
    <w:rsid w:val="001D0C34"/>
    <w:rsid w:val="001D30A6"/>
    <w:rsid w:val="001D57E3"/>
    <w:rsid w:val="001D6FCA"/>
    <w:rsid w:val="001D732E"/>
    <w:rsid w:val="001D784E"/>
    <w:rsid w:val="001E3B97"/>
    <w:rsid w:val="001E416B"/>
    <w:rsid w:val="001E7B3C"/>
    <w:rsid w:val="001F00BA"/>
    <w:rsid w:val="001F03B8"/>
    <w:rsid w:val="001F108D"/>
    <w:rsid w:val="001F30C5"/>
    <w:rsid w:val="001F30EC"/>
    <w:rsid w:val="001F6B54"/>
    <w:rsid w:val="00200222"/>
    <w:rsid w:val="00203422"/>
    <w:rsid w:val="00205BCE"/>
    <w:rsid w:val="00211447"/>
    <w:rsid w:val="002127C5"/>
    <w:rsid w:val="002138D4"/>
    <w:rsid w:val="00220831"/>
    <w:rsid w:val="00221BF4"/>
    <w:rsid w:val="00221D88"/>
    <w:rsid w:val="00222DBD"/>
    <w:rsid w:val="00223354"/>
    <w:rsid w:val="0022447B"/>
    <w:rsid w:val="002267EA"/>
    <w:rsid w:val="0023065E"/>
    <w:rsid w:val="00230FF4"/>
    <w:rsid w:val="00233859"/>
    <w:rsid w:val="002361B9"/>
    <w:rsid w:val="00237F2C"/>
    <w:rsid w:val="00245A97"/>
    <w:rsid w:val="00251D36"/>
    <w:rsid w:val="00254C0F"/>
    <w:rsid w:val="00255930"/>
    <w:rsid w:val="00256A73"/>
    <w:rsid w:val="00257337"/>
    <w:rsid w:val="00261BD0"/>
    <w:rsid w:val="00261C57"/>
    <w:rsid w:val="002635F9"/>
    <w:rsid w:val="00265B15"/>
    <w:rsid w:val="00270EB8"/>
    <w:rsid w:val="002732C4"/>
    <w:rsid w:val="002733F2"/>
    <w:rsid w:val="00273BD8"/>
    <w:rsid w:val="00281B48"/>
    <w:rsid w:val="00282934"/>
    <w:rsid w:val="00285AB1"/>
    <w:rsid w:val="00285D35"/>
    <w:rsid w:val="002867FA"/>
    <w:rsid w:val="002901E0"/>
    <w:rsid w:val="0029357E"/>
    <w:rsid w:val="00294F3D"/>
    <w:rsid w:val="002A1179"/>
    <w:rsid w:val="002A15C1"/>
    <w:rsid w:val="002A1996"/>
    <w:rsid w:val="002A214D"/>
    <w:rsid w:val="002A223D"/>
    <w:rsid w:val="002A31C1"/>
    <w:rsid w:val="002A390C"/>
    <w:rsid w:val="002B35E0"/>
    <w:rsid w:val="002B6342"/>
    <w:rsid w:val="002B6891"/>
    <w:rsid w:val="002B7A8B"/>
    <w:rsid w:val="002C0ACE"/>
    <w:rsid w:val="002C28CD"/>
    <w:rsid w:val="002C418F"/>
    <w:rsid w:val="002C4DB1"/>
    <w:rsid w:val="002C4E0D"/>
    <w:rsid w:val="002C5326"/>
    <w:rsid w:val="002C557D"/>
    <w:rsid w:val="002C6C7C"/>
    <w:rsid w:val="002C7F36"/>
    <w:rsid w:val="002D25D4"/>
    <w:rsid w:val="002D66BB"/>
    <w:rsid w:val="002D7CD3"/>
    <w:rsid w:val="002E0421"/>
    <w:rsid w:val="002E1CC4"/>
    <w:rsid w:val="002E2A65"/>
    <w:rsid w:val="002E398F"/>
    <w:rsid w:val="002E3B58"/>
    <w:rsid w:val="002E3E07"/>
    <w:rsid w:val="002E729D"/>
    <w:rsid w:val="002F1C14"/>
    <w:rsid w:val="002F7D47"/>
    <w:rsid w:val="00300120"/>
    <w:rsid w:val="0030114F"/>
    <w:rsid w:val="0030203C"/>
    <w:rsid w:val="00304EB8"/>
    <w:rsid w:val="003072F8"/>
    <w:rsid w:val="00307653"/>
    <w:rsid w:val="00310685"/>
    <w:rsid w:val="0031219B"/>
    <w:rsid w:val="003131C3"/>
    <w:rsid w:val="00315690"/>
    <w:rsid w:val="0032024B"/>
    <w:rsid w:val="0032302C"/>
    <w:rsid w:val="003235B0"/>
    <w:rsid w:val="00324567"/>
    <w:rsid w:val="00330002"/>
    <w:rsid w:val="003314B7"/>
    <w:rsid w:val="0033386F"/>
    <w:rsid w:val="00334191"/>
    <w:rsid w:val="00337880"/>
    <w:rsid w:val="00340EC3"/>
    <w:rsid w:val="0034114B"/>
    <w:rsid w:val="00343C18"/>
    <w:rsid w:val="00344C93"/>
    <w:rsid w:val="00347225"/>
    <w:rsid w:val="00350C7F"/>
    <w:rsid w:val="00353651"/>
    <w:rsid w:val="00353C79"/>
    <w:rsid w:val="00355F50"/>
    <w:rsid w:val="0036013A"/>
    <w:rsid w:val="00361743"/>
    <w:rsid w:val="00361F34"/>
    <w:rsid w:val="003623B0"/>
    <w:rsid w:val="00372CAB"/>
    <w:rsid w:val="00373078"/>
    <w:rsid w:val="0037705C"/>
    <w:rsid w:val="003842EE"/>
    <w:rsid w:val="003847E6"/>
    <w:rsid w:val="00397AB5"/>
    <w:rsid w:val="003A0775"/>
    <w:rsid w:val="003A2CE6"/>
    <w:rsid w:val="003A4234"/>
    <w:rsid w:val="003B0096"/>
    <w:rsid w:val="003B21E0"/>
    <w:rsid w:val="003B58E1"/>
    <w:rsid w:val="003B5D7F"/>
    <w:rsid w:val="003C1B42"/>
    <w:rsid w:val="003C3D39"/>
    <w:rsid w:val="003C3E66"/>
    <w:rsid w:val="003C4F8E"/>
    <w:rsid w:val="003C5C2E"/>
    <w:rsid w:val="003C6673"/>
    <w:rsid w:val="003C732E"/>
    <w:rsid w:val="003D0652"/>
    <w:rsid w:val="003D2C03"/>
    <w:rsid w:val="003D4C9D"/>
    <w:rsid w:val="003E2ECD"/>
    <w:rsid w:val="003E4295"/>
    <w:rsid w:val="003E5514"/>
    <w:rsid w:val="003E5F82"/>
    <w:rsid w:val="003E6889"/>
    <w:rsid w:val="003E7810"/>
    <w:rsid w:val="003F1CF2"/>
    <w:rsid w:val="003F25D5"/>
    <w:rsid w:val="003F3123"/>
    <w:rsid w:val="003F3680"/>
    <w:rsid w:val="003F58B0"/>
    <w:rsid w:val="003F6662"/>
    <w:rsid w:val="00400F4B"/>
    <w:rsid w:val="0040388C"/>
    <w:rsid w:val="004039ED"/>
    <w:rsid w:val="004144EB"/>
    <w:rsid w:val="00414F04"/>
    <w:rsid w:val="00415CBD"/>
    <w:rsid w:val="0041720C"/>
    <w:rsid w:val="0042233A"/>
    <w:rsid w:val="004228F3"/>
    <w:rsid w:val="00424915"/>
    <w:rsid w:val="00424C3A"/>
    <w:rsid w:val="00425BE0"/>
    <w:rsid w:val="0042636B"/>
    <w:rsid w:val="004332F7"/>
    <w:rsid w:val="00434481"/>
    <w:rsid w:val="00435F33"/>
    <w:rsid w:val="00436AAD"/>
    <w:rsid w:val="0043797B"/>
    <w:rsid w:val="00440598"/>
    <w:rsid w:val="004473EA"/>
    <w:rsid w:val="00447BBB"/>
    <w:rsid w:val="00450448"/>
    <w:rsid w:val="0045155E"/>
    <w:rsid w:val="00453A2B"/>
    <w:rsid w:val="00454AAD"/>
    <w:rsid w:val="004559C4"/>
    <w:rsid w:val="00456E4A"/>
    <w:rsid w:val="00456E80"/>
    <w:rsid w:val="00457330"/>
    <w:rsid w:val="004606B5"/>
    <w:rsid w:val="00461806"/>
    <w:rsid w:val="00462FB0"/>
    <w:rsid w:val="00463683"/>
    <w:rsid w:val="004643BD"/>
    <w:rsid w:val="00473E83"/>
    <w:rsid w:val="0047598F"/>
    <w:rsid w:val="0048239D"/>
    <w:rsid w:val="004838C3"/>
    <w:rsid w:val="004877FA"/>
    <w:rsid w:val="004905B6"/>
    <w:rsid w:val="004908D0"/>
    <w:rsid w:val="004912ED"/>
    <w:rsid w:val="00492B39"/>
    <w:rsid w:val="00492FD3"/>
    <w:rsid w:val="00493CB0"/>
    <w:rsid w:val="004946FB"/>
    <w:rsid w:val="00496394"/>
    <w:rsid w:val="004A036B"/>
    <w:rsid w:val="004A075B"/>
    <w:rsid w:val="004A2C47"/>
    <w:rsid w:val="004A48A9"/>
    <w:rsid w:val="004B20B6"/>
    <w:rsid w:val="004B237D"/>
    <w:rsid w:val="004B27D8"/>
    <w:rsid w:val="004B363A"/>
    <w:rsid w:val="004B74D5"/>
    <w:rsid w:val="004C02CE"/>
    <w:rsid w:val="004C0DE3"/>
    <w:rsid w:val="004C1EDE"/>
    <w:rsid w:val="004C3AC0"/>
    <w:rsid w:val="004C42A0"/>
    <w:rsid w:val="004C4396"/>
    <w:rsid w:val="004C57BC"/>
    <w:rsid w:val="004C63AB"/>
    <w:rsid w:val="004D19BE"/>
    <w:rsid w:val="004D372C"/>
    <w:rsid w:val="004D3B29"/>
    <w:rsid w:val="004D4B3C"/>
    <w:rsid w:val="004D59A0"/>
    <w:rsid w:val="004D5D5A"/>
    <w:rsid w:val="004E0522"/>
    <w:rsid w:val="004E0885"/>
    <w:rsid w:val="004E2469"/>
    <w:rsid w:val="004F143E"/>
    <w:rsid w:val="004F1952"/>
    <w:rsid w:val="004F6805"/>
    <w:rsid w:val="00501515"/>
    <w:rsid w:val="005018A0"/>
    <w:rsid w:val="0050257D"/>
    <w:rsid w:val="0050329C"/>
    <w:rsid w:val="00503AC1"/>
    <w:rsid w:val="00506674"/>
    <w:rsid w:val="00507CC6"/>
    <w:rsid w:val="00507DF5"/>
    <w:rsid w:val="00511355"/>
    <w:rsid w:val="00511683"/>
    <w:rsid w:val="00513714"/>
    <w:rsid w:val="00517A67"/>
    <w:rsid w:val="00520299"/>
    <w:rsid w:val="00521917"/>
    <w:rsid w:val="00521981"/>
    <w:rsid w:val="00522F5E"/>
    <w:rsid w:val="00533369"/>
    <w:rsid w:val="005351C4"/>
    <w:rsid w:val="005363BF"/>
    <w:rsid w:val="005364BE"/>
    <w:rsid w:val="005423AD"/>
    <w:rsid w:val="005423EC"/>
    <w:rsid w:val="00543510"/>
    <w:rsid w:val="00543776"/>
    <w:rsid w:val="00543806"/>
    <w:rsid w:val="0054545C"/>
    <w:rsid w:val="005456D9"/>
    <w:rsid w:val="00545B02"/>
    <w:rsid w:val="00547FED"/>
    <w:rsid w:val="00552844"/>
    <w:rsid w:val="005550AA"/>
    <w:rsid w:val="00557EF7"/>
    <w:rsid w:val="00561868"/>
    <w:rsid w:val="00562007"/>
    <w:rsid w:val="0056486A"/>
    <w:rsid w:val="0057113D"/>
    <w:rsid w:val="005747CD"/>
    <w:rsid w:val="00574BCB"/>
    <w:rsid w:val="0057653E"/>
    <w:rsid w:val="0057689B"/>
    <w:rsid w:val="00577587"/>
    <w:rsid w:val="00577D40"/>
    <w:rsid w:val="005813DF"/>
    <w:rsid w:val="00581721"/>
    <w:rsid w:val="00582D85"/>
    <w:rsid w:val="0058356D"/>
    <w:rsid w:val="005902A1"/>
    <w:rsid w:val="00591AE8"/>
    <w:rsid w:val="00593725"/>
    <w:rsid w:val="005953AD"/>
    <w:rsid w:val="0059659F"/>
    <w:rsid w:val="005A0D01"/>
    <w:rsid w:val="005A5216"/>
    <w:rsid w:val="005A5ABC"/>
    <w:rsid w:val="005B09D4"/>
    <w:rsid w:val="005B379F"/>
    <w:rsid w:val="005B7A38"/>
    <w:rsid w:val="005C060B"/>
    <w:rsid w:val="005C06F1"/>
    <w:rsid w:val="005C08B6"/>
    <w:rsid w:val="005C2078"/>
    <w:rsid w:val="005C2311"/>
    <w:rsid w:val="005C4319"/>
    <w:rsid w:val="005C5FDA"/>
    <w:rsid w:val="005D0060"/>
    <w:rsid w:val="005D011C"/>
    <w:rsid w:val="005D0181"/>
    <w:rsid w:val="005D0244"/>
    <w:rsid w:val="005D18BC"/>
    <w:rsid w:val="005D3A9B"/>
    <w:rsid w:val="005D6876"/>
    <w:rsid w:val="005D6910"/>
    <w:rsid w:val="005E0671"/>
    <w:rsid w:val="005E08FA"/>
    <w:rsid w:val="005E1A26"/>
    <w:rsid w:val="005E2097"/>
    <w:rsid w:val="005E23B9"/>
    <w:rsid w:val="005E2857"/>
    <w:rsid w:val="005E4A89"/>
    <w:rsid w:val="005E5101"/>
    <w:rsid w:val="005F051A"/>
    <w:rsid w:val="005F06DA"/>
    <w:rsid w:val="005F2299"/>
    <w:rsid w:val="005F5B8D"/>
    <w:rsid w:val="005F5D64"/>
    <w:rsid w:val="005F5F7A"/>
    <w:rsid w:val="00600DD1"/>
    <w:rsid w:val="00603C70"/>
    <w:rsid w:val="006052D2"/>
    <w:rsid w:val="00605B08"/>
    <w:rsid w:val="00610BFA"/>
    <w:rsid w:val="00613866"/>
    <w:rsid w:val="0061694B"/>
    <w:rsid w:val="006203F5"/>
    <w:rsid w:val="00620F94"/>
    <w:rsid w:val="006213C9"/>
    <w:rsid w:val="006225F3"/>
    <w:rsid w:val="00623A01"/>
    <w:rsid w:val="00624092"/>
    <w:rsid w:val="0062416B"/>
    <w:rsid w:val="00625FA2"/>
    <w:rsid w:val="006267C7"/>
    <w:rsid w:val="00631ABD"/>
    <w:rsid w:val="00631F6F"/>
    <w:rsid w:val="00635685"/>
    <w:rsid w:val="0063673F"/>
    <w:rsid w:val="00636A1B"/>
    <w:rsid w:val="006403E7"/>
    <w:rsid w:val="0064321A"/>
    <w:rsid w:val="0064500F"/>
    <w:rsid w:val="00651449"/>
    <w:rsid w:val="0065353E"/>
    <w:rsid w:val="0065437F"/>
    <w:rsid w:val="006565E6"/>
    <w:rsid w:val="006631A8"/>
    <w:rsid w:val="006633B9"/>
    <w:rsid w:val="00664BB9"/>
    <w:rsid w:val="00670333"/>
    <w:rsid w:val="006712D8"/>
    <w:rsid w:val="0067131D"/>
    <w:rsid w:val="00671997"/>
    <w:rsid w:val="00673C10"/>
    <w:rsid w:val="00673E51"/>
    <w:rsid w:val="00674AF6"/>
    <w:rsid w:val="00682D63"/>
    <w:rsid w:val="00684D93"/>
    <w:rsid w:val="006853E6"/>
    <w:rsid w:val="00685B6A"/>
    <w:rsid w:val="00686442"/>
    <w:rsid w:val="00686AAF"/>
    <w:rsid w:val="00686CF9"/>
    <w:rsid w:val="00687716"/>
    <w:rsid w:val="00692DD8"/>
    <w:rsid w:val="00694186"/>
    <w:rsid w:val="00694AEA"/>
    <w:rsid w:val="00697599"/>
    <w:rsid w:val="006A0B01"/>
    <w:rsid w:val="006A1F63"/>
    <w:rsid w:val="006A258E"/>
    <w:rsid w:val="006A54D1"/>
    <w:rsid w:val="006A74D4"/>
    <w:rsid w:val="006B407B"/>
    <w:rsid w:val="006B4542"/>
    <w:rsid w:val="006B46FE"/>
    <w:rsid w:val="006B55E4"/>
    <w:rsid w:val="006B6824"/>
    <w:rsid w:val="006B6AE8"/>
    <w:rsid w:val="006B6BFE"/>
    <w:rsid w:val="006C359B"/>
    <w:rsid w:val="006C394A"/>
    <w:rsid w:val="006C5131"/>
    <w:rsid w:val="006C6371"/>
    <w:rsid w:val="006C6E0C"/>
    <w:rsid w:val="006D0CEB"/>
    <w:rsid w:val="006D18E5"/>
    <w:rsid w:val="006D6820"/>
    <w:rsid w:val="006D6879"/>
    <w:rsid w:val="006D72FD"/>
    <w:rsid w:val="006E1714"/>
    <w:rsid w:val="006E3FAE"/>
    <w:rsid w:val="006E5DC3"/>
    <w:rsid w:val="006E7C53"/>
    <w:rsid w:val="006F1861"/>
    <w:rsid w:val="006F21DE"/>
    <w:rsid w:val="006F450E"/>
    <w:rsid w:val="006F6ACA"/>
    <w:rsid w:val="006F6BCF"/>
    <w:rsid w:val="007028AB"/>
    <w:rsid w:val="00702953"/>
    <w:rsid w:val="00702CC6"/>
    <w:rsid w:val="007049FA"/>
    <w:rsid w:val="00705A56"/>
    <w:rsid w:val="00715B1B"/>
    <w:rsid w:val="0072467E"/>
    <w:rsid w:val="00725579"/>
    <w:rsid w:val="007257BC"/>
    <w:rsid w:val="00725E4F"/>
    <w:rsid w:val="007301B4"/>
    <w:rsid w:val="0073036B"/>
    <w:rsid w:val="007312F0"/>
    <w:rsid w:val="00731906"/>
    <w:rsid w:val="00734EBC"/>
    <w:rsid w:val="00735CF8"/>
    <w:rsid w:val="00742198"/>
    <w:rsid w:val="00742EDB"/>
    <w:rsid w:val="00743FEE"/>
    <w:rsid w:val="0074453F"/>
    <w:rsid w:val="00744B8B"/>
    <w:rsid w:val="007455A3"/>
    <w:rsid w:val="007516D2"/>
    <w:rsid w:val="00751AC1"/>
    <w:rsid w:val="00753B56"/>
    <w:rsid w:val="007552D4"/>
    <w:rsid w:val="00755786"/>
    <w:rsid w:val="00755796"/>
    <w:rsid w:val="00755E6A"/>
    <w:rsid w:val="0075611C"/>
    <w:rsid w:val="00757404"/>
    <w:rsid w:val="00764F21"/>
    <w:rsid w:val="007651A2"/>
    <w:rsid w:val="00765E85"/>
    <w:rsid w:val="007710EA"/>
    <w:rsid w:val="00772CD3"/>
    <w:rsid w:val="00773DFB"/>
    <w:rsid w:val="00773EB0"/>
    <w:rsid w:val="007743AC"/>
    <w:rsid w:val="00774DDF"/>
    <w:rsid w:val="00775221"/>
    <w:rsid w:val="00780036"/>
    <w:rsid w:val="00781930"/>
    <w:rsid w:val="007829C7"/>
    <w:rsid w:val="0078329F"/>
    <w:rsid w:val="007902B4"/>
    <w:rsid w:val="007A1087"/>
    <w:rsid w:val="007A2764"/>
    <w:rsid w:val="007A2E18"/>
    <w:rsid w:val="007A4FE7"/>
    <w:rsid w:val="007A54C8"/>
    <w:rsid w:val="007A661A"/>
    <w:rsid w:val="007A7236"/>
    <w:rsid w:val="007B02CD"/>
    <w:rsid w:val="007B5C69"/>
    <w:rsid w:val="007B7F56"/>
    <w:rsid w:val="007C1042"/>
    <w:rsid w:val="007C13AE"/>
    <w:rsid w:val="007C24A6"/>
    <w:rsid w:val="007C4BE8"/>
    <w:rsid w:val="007C629F"/>
    <w:rsid w:val="007D4EC8"/>
    <w:rsid w:val="007D78BE"/>
    <w:rsid w:val="007E2A97"/>
    <w:rsid w:val="007E41A9"/>
    <w:rsid w:val="007E5208"/>
    <w:rsid w:val="007E5DE2"/>
    <w:rsid w:val="007E65A9"/>
    <w:rsid w:val="007E6891"/>
    <w:rsid w:val="007F1C4D"/>
    <w:rsid w:val="007F5EF6"/>
    <w:rsid w:val="00800B07"/>
    <w:rsid w:val="00801B4D"/>
    <w:rsid w:val="00802845"/>
    <w:rsid w:val="00802C30"/>
    <w:rsid w:val="00802CCD"/>
    <w:rsid w:val="00805A92"/>
    <w:rsid w:val="00810418"/>
    <w:rsid w:val="00810F3B"/>
    <w:rsid w:val="00813B26"/>
    <w:rsid w:val="00814182"/>
    <w:rsid w:val="00814A5C"/>
    <w:rsid w:val="00814E7A"/>
    <w:rsid w:val="00820F93"/>
    <w:rsid w:val="008242A3"/>
    <w:rsid w:val="00825E11"/>
    <w:rsid w:val="0083009D"/>
    <w:rsid w:val="008327A1"/>
    <w:rsid w:val="00832843"/>
    <w:rsid w:val="00836320"/>
    <w:rsid w:val="0083773D"/>
    <w:rsid w:val="008453BE"/>
    <w:rsid w:val="0084668A"/>
    <w:rsid w:val="00850AD4"/>
    <w:rsid w:val="00851782"/>
    <w:rsid w:val="008525F2"/>
    <w:rsid w:val="00853273"/>
    <w:rsid w:val="00853DA6"/>
    <w:rsid w:val="0086057F"/>
    <w:rsid w:val="00861AA7"/>
    <w:rsid w:val="00861B06"/>
    <w:rsid w:val="0086319E"/>
    <w:rsid w:val="00863F6F"/>
    <w:rsid w:val="00864971"/>
    <w:rsid w:val="0087332C"/>
    <w:rsid w:val="0087350B"/>
    <w:rsid w:val="00874075"/>
    <w:rsid w:val="008768C9"/>
    <w:rsid w:val="00877075"/>
    <w:rsid w:val="0088180B"/>
    <w:rsid w:val="0088522F"/>
    <w:rsid w:val="00887192"/>
    <w:rsid w:val="00890EDC"/>
    <w:rsid w:val="00891F01"/>
    <w:rsid w:val="008923DD"/>
    <w:rsid w:val="008926DD"/>
    <w:rsid w:val="00892FC7"/>
    <w:rsid w:val="008938EF"/>
    <w:rsid w:val="00893FF9"/>
    <w:rsid w:val="00895614"/>
    <w:rsid w:val="008957F2"/>
    <w:rsid w:val="00896524"/>
    <w:rsid w:val="00896D6A"/>
    <w:rsid w:val="008A0C50"/>
    <w:rsid w:val="008A2E89"/>
    <w:rsid w:val="008A3516"/>
    <w:rsid w:val="008A387F"/>
    <w:rsid w:val="008A3DC3"/>
    <w:rsid w:val="008A5749"/>
    <w:rsid w:val="008A59A4"/>
    <w:rsid w:val="008A5B06"/>
    <w:rsid w:val="008A6782"/>
    <w:rsid w:val="008B0A45"/>
    <w:rsid w:val="008B18C0"/>
    <w:rsid w:val="008B1F2B"/>
    <w:rsid w:val="008B215E"/>
    <w:rsid w:val="008B6551"/>
    <w:rsid w:val="008B7068"/>
    <w:rsid w:val="008B710C"/>
    <w:rsid w:val="008B770D"/>
    <w:rsid w:val="008B7A6C"/>
    <w:rsid w:val="008C0BF1"/>
    <w:rsid w:val="008C0EAE"/>
    <w:rsid w:val="008C0FFF"/>
    <w:rsid w:val="008C1452"/>
    <w:rsid w:val="008C2141"/>
    <w:rsid w:val="008C3D3B"/>
    <w:rsid w:val="008C5103"/>
    <w:rsid w:val="008D07D1"/>
    <w:rsid w:val="008D08F4"/>
    <w:rsid w:val="008D18A2"/>
    <w:rsid w:val="008E115D"/>
    <w:rsid w:val="008E2AAA"/>
    <w:rsid w:val="008E2EBD"/>
    <w:rsid w:val="008E64F0"/>
    <w:rsid w:val="008F0DCE"/>
    <w:rsid w:val="008F311D"/>
    <w:rsid w:val="008F6140"/>
    <w:rsid w:val="00900A79"/>
    <w:rsid w:val="00905603"/>
    <w:rsid w:val="00905964"/>
    <w:rsid w:val="009064B9"/>
    <w:rsid w:val="009078F5"/>
    <w:rsid w:val="009118B6"/>
    <w:rsid w:val="009126A2"/>
    <w:rsid w:val="00912D26"/>
    <w:rsid w:val="00914F18"/>
    <w:rsid w:val="00915E01"/>
    <w:rsid w:val="00920741"/>
    <w:rsid w:val="00922A41"/>
    <w:rsid w:val="00924F08"/>
    <w:rsid w:val="00926142"/>
    <w:rsid w:val="00931988"/>
    <w:rsid w:val="00931D0A"/>
    <w:rsid w:val="009329E6"/>
    <w:rsid w:val="00934721"/>
    <w:rsid w:val="0093551F"/>
    <w:rsid w:val="00942922"/>
    <w:rsid w:val="00943D10"/>
    <w:rsid w:val="009447A4"/>
    <w:rsid w:val="00946F27"/>
    <w:rsid w:val="00947A57"/>
    <w:rsid w:val="0095207D"/>
    <w:rsid w:val="009529A8"/>
    <w:rsid w:val="00954C14"/>
    <w:rsid w:val="00957363"/>
    <w:rsid w:val="00957F25"/>
    <w:rsid w:val="0096236B"/>
    <w:rsid w:val="009625BE"/>
    <w:rsid w:val="009644A2"/>
    <w:rsid w:val="00967098"/>
    <w:rsid w:val="00970424"/>
    <w:rsid w:val="00970A12"/>
    <w:rsid w:val="00970B0F"/>
    <w:rsid w:val="0097181F"/>
    <w:rsid w:val="0097426B"/>
    <w:rsid w:val="00974462"/>
    <w:rsid w:val="00980CDE"/>
    <w:rsid w:val="0098155F"/>
    <w:rsid w:val="009820DB"/>
    <w:rsid w:val="00983DCF"/>
    <w:rsid w:val="00984E67"/>
    <w:rsid w:val="00986B4C"/>
    <w:rsid w:val="00987CDA"/>
    <w:rsid w:val="0099631D"/>
    <w:rsid w:val="00996D4A"/>
    <w:rsid w:val="00996F74"/>
    <w:rsid w:val="00997980"/>
    <w:rsid w:val="009A6BFC"/>
    <w:rsid w:val="009B228A"/>
    <w:rsid w:val="009B3C95"/>
    <w:rsid w:val="009B427A"/>
    <w:rsid w:val="009B7F61"/>
    <w:rsid w:val="009C0D8A"/>
    <w:rsid w:val="009C3FED"/>
    <w:rsid w:val="009C5D59"/>
    <w:rsid w:val="009C6564"/>
    <w:rsid w:val="009C6BEC"/>
    <w:rsid w:val="009C7480"/>
    <w:rsid w:val="009E2F93"/>
    <w:rsid w:val="009E47E2"/>
    <w:rsid w:val="009E4F50"/>
    <w:rsid w:val="009F2624"/>
    <w:rsid w:val="009F3A41"/>
    <w:rsid w:val="00A012CB"/>
    <w:rsid w:val="00A01480"/>
    <w:rsid w:val="00A064AF"/>
    <w:rsid w:val="00A0736D"/>
    <w:rsid w:val="00A075DF"/>
    <w:rsid w:val="00A07673"/>
    <w:rsid w:val="00A0779D"/>
    <w:rsid w:val="00A1073A"/>
    <w:rsid w:val="00A116F3"/>
    <w:rsid w:val="00A11796"/>
    <w:rsid w:val="00A15F7F"/>
    <w:rsid w:val="00A16D24"/>
    <w:rsid w:val="00A16F1D"/>
    <w:rsid w:val="00A17AA5"/>
    <w:rsid w:val="00A205D0"/>
    <w:rsid w:val="00A23910"/>
    <w:rsid w:val="00A24664"/>
    <w:rsid w:val="00A25C73"/>
    <w:rsid w:val="00A30771"/>
    <w:rsid w:val="00A33C87"/>
    <w:rsid w:val="00A34317"/>
    <w:rsid w:val="00A357CA"/>
    <w:rsid w:val="00A37CF5"/>
    <w:rsid w:val="00A422C2"/>
    <w:rsid w:val="00A42789"/>
    <w:rsid w:val="00A47E4E"/>
    <w:rsid w:val="00A54A21"/>
    <w:rsid w:val="00A5623F"/>
    <w:rsid w:val="00A564A5"/>
    <w:rsid w:val="00A568E6"/>
    <w:rsid w:val="00A60C4D"/>
    <w:rsid w:val="00A6445C"/>
    <w:rsid w:val="00A64819"/>
    <w:rsid w:val="00A65933"/>
    <w:rsid w:val="00A65A2A"/>
    <w:rsid w:val="00A66B8C"/>
    <w:rsid w:val="00A70CC2"/>
    <w:rsid w:val="00A717FC"/>
    <w:rsid w:val="00A74D37"/>
    <w:rsid w:val="00A75118"/>
    <w:rsid w:val="00A75AED"/>
    <w:rsid w:val="00A77B9B"/>
    <w:rsid w:val="00A81456"/>
    <w:rsid w:val="00A81722"/>
    <w:rsid w:val="00A82C43"/>
    <w:rsid w:val="00A85844"/>
    <w:rsid w:val="00A87117"/>
    <w:rsid w:val="00A90DB8"/>
    <w:rsid w:val="00A9177E"/>
    <w:rsid w:val="00A9189F"/>
    <w:rsid w:val="00A9531A"/>
    <w:rsid w:val="00AA0FEB"/>
    <w:rsid w:val="00AA1710"/>
    <w:rsid w:val="00AA2A57"/>
    <w:rsid w:val="00AA3416"/>
    <w:rsid w:val="00AA54E9"/>
    <w:rsid w:val="00AA5F67"/>
    <w:rsid w:val="00AA67CE"/>
    <w:rsid w:val="00AA7590"/>
    <w:rsid w:val="00AB3277"/>
    <w:rsid w:val="00AB5118"/>
    <w:rsid w:val="00AB6742"/>
    <w:rsid w:val="00AB6B2D"/>
    <w:rsid w:val="00AC2C58"/>
    <w:rsid w:val="00AC3962"/>
    <w:rsid w:val="00AC6933"/>
    <w:rsid w:val="00AC7750"/>
    <w:rsid w:val="00AD0A89"/>
    <w:rsid w:val="00AD1567"/>
    <w:rsid w:val="00AD67BB"/>
    <w:rsid w:val="00AD7DB8"/>
    <w:rsid w:val="00AE59F1"/>
    <w:rsid w:val="00AF151F"/>
    <w:rsid w:val="00AF274B"/>
    <w:rsid w:val="00AF3A9B"/>
    <w:rsid w:val="00AF4359"/>
    <w:rsid w:val="00AF6D62"/>
    <w:rsid w:val="00AF6D7A"/>
    <w:rsid w:val="00AF7A05"/>
    <w:rsid w:val="00B00B69"/>
    <w:rsid w:val="00B00F98"/>
    <w:rsid w:val="00B06C4F"/>
    <w:rsid w:val="00B06FDE"/>
    <w:rsid w:val="00B10473"/>
    <w:rsid w:val="00B1079D"/>
    <w:rsid w:val="00B12E97"/>
    <w:rsid w:val="00B12ED4"/>
    <w:rsid w:val="00B15A19"/>
    <w:rsid w:val="00B17474"/>
    <w:rsid w:val="00B2035B"/>
    <w:rsid w:val="00B20C88"/>
    <w:rsid w:val="00B22365"/>
    <w:rsid w:val="00B23CBC"/>
    <w:rsid w:val="00B25D15"/>
    <w:rsid w:val="00B311DA"/>
    <w:rsid w:val="00B3239C"/>
    <w:rsid w:val="00B36653"/>
    <w:rsid w:val="00B36AED"/>
    <w:rsid w:val="00B37A35"/>
    <w:rsid w:val="00B43299"/>
    <w:rsid w:val="00B464C0"/>
    <w:rsid w:val="00B477F5"/>
    <w:rsid w:val="00B5000A"/>
    <w:rsid w:val="00B51291"/>
    <w:rsid w:val="00B515D1"/>
    <w:rsid w:val="00B52EC9"/>
    <w:rsid w:val="00B53DF7"/>
    <w:rsid w:val="00B57D30"/>
    <w:rsid w:val="00B622ED"/>
    <w:rsid w:val="00B62D89"/>
    <w:rsid w:val="00B6302E"/>
    <w:rsid w:val="00B64142"/>
    <w:rsid w:val="00B643F7"/>
    <w:rsid w:val="00B648F5"/>
    <w:rsid w:val="00B7021B"/>
    <w:rsid w:val="00B71FDE"/>
    <w:rsid w:val="00B721AF"/>
    <w:rsid w:val="00B7608B"/>
    <w:rsid w:val="00B806F9"/>
    <w:rsid w:val="00B82720"/>
    <w:rsid w:val="00B841EB"/>
    <w:rsid w:val="00B87C9B"/>
    <w:rsid w:val="00B904D4"/>
    <w:rsid w:val="00B97542"/>
    <w:rsid w:val="00BA3DB6"/>
    <w:rsid w:val="00BA4EEA"/>
    <w:rsid w:val="00BA6F38"/>
    <w:rsid w:val="00BB046C"/>
    <w:rsid w:val="00BB0A96"/>
    <w:rsid w:val="00BB146A"/>
    <w:rsid w:val="00BB1872"/>
    <w:rsid w:val="00BB52DD"/>
    <w:rsid w:val="00BB5E86"/>
    <w:rsid w:val="00BB7558"/>
    <w:rsid w:val="00BB7663"/>
    <w:rsid w:val="00BC0C17"/>
    <w:rsid w:val="00BC0D2E"/>
    <w:rsid w:val="00BC2548"/>
    <w:rsid w:val="00BC5CDA"/>
    <w:rsid w:val="00BC6650"/>
    <w:rsid w:val="00BC7CAF"/>
    <w:rsid w:val="00BD0F98"/>
    <w:rsid w:val="00BD65E3"/>
    <w:rsid w:val="00BE020F"/>
    <w:rsid w:val="00BE14A9"/>
    <w:rsid w:val="00BE23D7"/>
    <w:rsid w:val="00BE29D9"/>
    <w:rsid w:val="00BE307A"/>
    <w:rsid w:val="00BE30A8"/>
    <w:rsid w:val="00BE4AC7"/>
    <w:rsid w:val="00BE4FEB"/>
    <w:rsid w:val="00BF2482"/>
    <w:rsid w:val="00BF2528"/>
    <w:rsid w:val="00BF2ADA"/>
    <w:rsid w:val="00BF6B21"/>
    <w:rsid w:val="00C008CB"/>
    <w:rsid w:val="00C0215D"/>
    <w:rsid w:val="00C03B2E"/>
    <w:rsid w:val="00C103AA"/>
    <w:rsid w:val="00C10BFF"/>
    <w:rsid w:val="00C114CF"/>
    <w:rsid w:val="00C11E85"/>
    <w:rsid w:val="00C1367A"/>
    <w:rsid w:val="00C13B8A"/>
    <w:rsid w:val="00C14058"/>
    <w:rsid w:val="00C1551D"/>
    <w:rsid w:val="00C15CEF"/>
    <w:rsid w:val="00C22B85"/>
    <w:rsid w:val="00C2313B"/>
    <w:rsid w:val="00C2454B"/>
    <w:rsid w:val="00C32FBA"/>
    <w:rsid w:val="00C35204"/>
    <w:rsid w:val="00C353AA"/>
    <w:rsid w:val="00C41F02"/>
    <w:rsid w:val="00C426D8"/>
    <w:rsid w:val="00C45311"/>
    <w:rsid w:val="00C45A77"/>
    <w:rsid w:val="00C46CB4"/>
    <w:rsid w:val="00C50CB7"/>
    <w:rsid w:val="00C518C3"/>
    <w:rsid w:val="00C5349D"/>
    <w:rsid w:val="00C5353E"/>
    <w:rsid w:val="00C5393C"/>
    <w:rsid w:val="00C54B74"/>
    <w:rsid w:val="00C56764"/>
    <w:rsid w:val="00C61773"/>
    <w:rsid w:val="00C62253"/>
    <w:rsid w:val="00C62C81"/>
    <w:rsid w:val="00C62D0F"/>
    <w:rsid w:val="00C64AEF"/>
    <w:rsid w:val="00C66FE1"/>
    <w:rsid w:val="00C67032"/>
    <w:rsid w:val="00C6720E"/>
    <w:rsid w:val="00C714C3"/>
    <w:rsid w:val="00C74738"/>
    <w:rsid w:val="00C7502B"/>
    <w:rsid w:val="00C75993"/>
    <w:rsid w:val="00C82502"/>
    <w:rsid w:val="00C83B9C"/>
    <w:rsid w:val="00C85076"/>
    <w:rsid w:val="00C920F2"/>
    <w:rsid w:val="00C92D1B"/>
    <w:rsid w:val="00C93768"/>
    <w:rsid w:val="00C97729"/>
    <w:rsid w:val="00CA42BC"/>
    <w:rsid w:val="00CA6359"/>
    <w:rsid w:val="00CA771E"/>
    <w:rsid w:val="00CB097D"/>
    <w:rsid w:val="00CB22DA"/>
    <w:rsid w:val="00CB3D81"/>
    <w:rsid w:val="00CB67CD"/>
    <w:rsid w:val="00CC0218"/>
    <w:rsid w:val="00CC2A36"/>
    <w:rsid w:val="00CC384F"/>
    <w:rsid w:val="00CC3913"/>
    <w:rsid w:val="00CC4751"/>
    <w:rsid w:val="00CD54ED"/>
    <w:rsid w:val="00CD67F1"/>
    <w:rsid w:val="00CD6E4E"/>
    <w:rsid w:val="00CE2282"/>
    <w:rsid w:val="00CE2EB0"/>
    <w:rsid w:val="00CE2F4D"/>
    <w:rsid w:val="00CE6F11"/>
    <w:rsid w:val="00CE70D2"/>
    <w:rsid w:val="00CE777B"/>
    <w:rsid w:val="00CE7E53"/>
    <w:rsid w:val="00CF00C8"/>
    <w:rsid w:val="00CF29FB"/>
    <w:rsid w:val="00CF52CE"/>
    <w:rsid w:val="00D02F71"/>
    <w:rsid w:val="00D042CD"/>
    <w:rsid w:val="00D04DCB"/>
    <w:rsid w:val="00D05615"/>
    <w:rsid w:val="00D05FE4"/>
    <w:rsid w:val="00D069C5"/>
    <w:rsid w:val="00D06F72"/>
    <w:rsid w:val="00D10DDC"/>
    <w:rsid w:val="00D234F9"/>
    <w:rsid w:val="00D24E7C"/>
    <w:rsid w:val="00D27915"/>
    <w:rsid w:val="00D305FA"/>
    <w:rsid w:val="00D35DF6"/>
    <w:rsid w:val="00D37012"/>
    <w:rsid w:val="00D40852"/>
    <w:rsid w:val="00D42347"/>
    <w:rsid w:val="00D45824"/>
    <w:rsid w:val="00D46015"/>
    <w:rsid w:val="00D53453"/>
    <w:rsid w:val="00D605E5"/>
    <w:rsid w:val="00D62CDE"/>
    <w:rsid w:val="00D65CEB"/>
    <w:rsid w:val="00D7305D"/>
    <w:rsid w:val="00D756C7"/>
    <w:rsid w:val="00D757D1"/>
    <w:rsid w:val="00D766C2"/>
    <w:rsid w:val="00D83519"/>
    <w:rsid w:val="00D83F31"/>
    <w:rsid w:val="00D84FE3"/>
    <w:rsid w:val="00D85B0F"/>
    <w:rsid w:val="00D85EDA"/>
    <w:rsid w:val="00D87BA8"/>
    <w:rsid w:val="00D914BF"/>
    <w:rsid w:val="00D919E2"/>
    <w:rsid w:val="00D925D5"/>
    <w:rsid w:val="00D92EFB"/>
    <w:rsid w:val="00D93882"/>
    <w:rsid w:val="00D943A4"/>
    <w:rsid w:val="00D95CBB"/>
    <w:rsid w:val="00D9640F"/>
    <w:rsid w:val="00D96791"/>
    <w:rsid w:val="00DA2BE3"/>
    <w:rsid w:val="00DA6195"/>
    <w:rsid w:val="00DA6CDD"/>
    <w:rsid w:val="00DA76F2"/>
    <w:rsid w:val="00DB62C4"/>
    <w:rsid w:val="00DB6CFA"/>
    <w:rsid w:val="00DB6FE1"/>
    <w:rsid w:val="00DC51F3"/>
    <w:rsid w:val="00DC5AB4"/>
    <w:rsid w:val="00DC6E06"/>
    <w:rsid w:val="00DC738C"/>
    <w:rsid w:val="00DC7E1D"/>
    <w:rsid w:val="00DD2987"/>
    <w:rsid w:val="00DE2F17"/>
    <w:rsid w:val="00DE4FE1"/>
    <w:rsid w:val="00DE59AF"/>
    <w:rsid w:val="00DE5BB4"/>
    <w:rsid w:val="00DE6363"/>
    <w:rsid w:val="00DF025D"/>
    <w:rsid w:val="00DF1002"/>
    <w:rsid w:val="00DF5CD3"/>
    <w:rsid w:val="00DF793D"/>
    <w:rsid w:val="00E02BEC"/>
    <w:rsid w:val="00E02C4B"/>
    <w:rsid w:val="00E035F5"/>
    <w:rsid w:val="00E03985"/>
    <w:rsid w:val="00E05A23"/>
    <w:rsid w:val="00E06A4C"/>
    <w:rsid w:val="00E10B32"/>
    <w:rsid w:val="00E10F91"/>
    <w:rsid w:val="00E12FA3"/>
    <w:rsid w:val="00E137F2"/>
    <w:rsid w:val="00E15859"/>
    <w:rsid w:val="00E1672B"/>
    <w:rsid w:val="00E20853"/>
    <w:rsid w:val="00E21811"/>
    <w:rsid w:val="00E21A62"/>
    <w:rsid w:val="00E236C7"/>
    <w:rsid w:val="00E23C21"/>
    <w:rsid w:val="00E254F8"/>
    <w:rsid w:val="00E322B5"/>
    <w:rsid w:val="00E33BD2"/>
    <w:rsid w:val="00E3524A"/>
    <w:rsid w:val="00E360B3"/>
    <w:rsid w:val="00E37D2E"/>
    <w:rsid w:val="00E4039B"/>
    <w:rsid w:val="00E40ECE"/>
    <w:rsid w:val="00E413B1"/>
    <w:rsid w:val="00E41E9B"/>
    <w:rsid w:val="00E51D00"/>
    <w:rsid w:val="00E521EA"/>
    <w:rsid w:val="00E62FA9"/>
    <w:rsid w:val="00E6658B"/>
    <w:rsid w:val="00E668B3"/>
    <w:rsid w:val="00E720EF"/>
    <w:rsid w:val="00E72807"/>
    <w:rsid w:val="00E74512"/>
    <w:rsid w:val="00E75BE7"/>
    <w:rsid w:val="00E76C8B"/>
    <w:rsid w:val="00E80438"/>
    <w:rsid w:val="00E83031"/>
    <w:rsid w:val="00E86EE1"/>
    <w:rsid w:val="00E90E77"/>
    <w:rsid w:val="00E91651"/>
    <w:rsid w:val="00E92FA1"/>
    <w:rsid w:val="00E948F7"/>
    <w:rsid w:val="00EA0E07"/>
    <w:rsid w:val="00EA1F76"/>
    <w:rsid w:val="00EA74FC"/>
    <w:rsid w:val="00EB0664"/>
    <w:rsid w:val="00EB07F7"/>
    <w:rsid w:val="00EB08A8"/>
    <w:rsid w:val="00EB1A7D"/>
    <w:rsid w:val="00EB6E02"/>
    <w:rsid w:val="00EC005F"/>
    <w:rsid w:val="00EC3CEB"/>
    <w:rsid w:val="00EC454F"/>
    <w:rsid w:val="00EC56EE"/>
    <w:rsid w:val="00ED6FE3"/>
    <w:rsid w:val="00EE05EA"/>
    <w:rsid w:val="00EE1A8F"/>
    <w:rsid w:val="00EE2571"/>
    <w:rsid w:val="00EE3C11"/>
    <w:rsid w:val="00EE7484"/>
    <w:rsid w:val="00EE7E7A"/>
    <w:rsid w:val="00EF0204"/>
    <w:rsid w:val="00EF4A73"/>
    <w:rsid w:val="00EF521B"/>
    <w:rsid w:val="00EF5A3B"/>
    <w:rsid w:val="00EF65AF"/>
    <w:rsid w:val="00F04837"/>
    <w:rsid w:val="00F05420"/>
    <w:rsid w:val="00F07934"/>
    <w:rsid w:val="00F10A37"/>
    <w:rsid w:val="00F1476C"/>
    <w:rsid w:val="00F31A65"/>
    <w:rsid w:val="00F320EA"/>
    <w:rsid w:val="00F32D13"/>
    <w:rsid w:val="00F3451C"/>
    <w:rsid w:val="00F356AD"/>
    <w:rsid w:val="00F358B7"/>
    <w:rsid w:val="00F35E36"/>
    <w:rsid w:val="00F36817"/>
    <w:rsid w:val="00F428F2"/>
    <w:rsid w:val="00F42ADA"/>
    <w:rsid w:val="00F45F35"/>
    <w:rsid w:val="00F46226"/>
    <w:rsid w:val="00F50574"/>
    <w:rsid w:val="00F52019"/>
    <w:rsid w:val="00F52A43"/>
    <w:rsid w:val="00F54330"/>
    <w:rsid w:val="00F549D5"/>
    <w:rsid w:val="00F54B9D"/>
    <w:rsid w:val="00F579AD"/>
    <w:rsid w:val="00F66065"/>
    <w:rsid w:val="00F66CEB"/>
    <w:rsid w:val="00F716F3"/>
    <w:rsid w:val="00F7567D"/>
    <w:rsid w:val="00F75E4D"/>
    <w:rsid w:val="00F77622"/>
    <w:rsid w:val="00F806DA"/>
    <w:rsid w:val="00F81949"/>
    <w:rsid w:val="00F82382"/>
    <w:rsid w:val="00F846A7"/>
    <w:rsid w:val="00F84B8F"/>
    <w:rsid w:val="00F854F9"/>
    <w:rsid w:val="00F86B52"/>
    <w:rsid w:val="00F87559"/>
    <w:rsid w:val="00F87E2A"/>
    <w:rsid w:val="00F90016"/>
    <w:rsid w:val="00F9091B"/>
    <w:rsid w:val="00F909AA"/>
    <w:rsid w:val="00F922AB"/>
    <w:rsid w:val="00F93D0D"/>
    <w:rsid w:val="00FA1116"/>
    <w:rsid w:val="00FA3E95"/>
    <w:rsid w:val="00FA4A41"/>
    <w:rsid w:val="00FA52B1"/>
    <w:rsid w:val="00FA63D3"/>
    <w:rsid w:val="00FA6B8B"/>
    <w:rsid w:val="00FB00E1"/>
    <w:rsid w:val="00FB1F92"/>
    <w:rsid w:val="00FB2EB1"/>
    <w:rsid w:val="00FB4923"/>
    <w:rsid w:val="00FB4CE7"/>
    <w:rsid w:val="00FB60F3"/>
    <w:rsid w:val="00FB7817"/>
    <w:rsid w:val="00FC0570"/>
    <w:rsid w:val="00FC0857"/>
    <w:rsid w:val="00FC0EE1"/>
    <w:rsid w:val="00FC1484"/>
    <w:rsid w:val="00FC3D7C"/>
    <w:rsid w:val="00FC6652"/>
    <w:rsid w:val="00FC6686"/>
    <w:rsid w:val="00FD43DF"/>
    <w:rsid w:val="00FE04EA"/>
    <w:rsid w:val="00FE1744"/>
    <w:rsid w:val="00FE2975"/>
    <w:rsid w:val="00FE31CC"/>
    <w:rsid w:val="00FE5B48"/>
    <w:rsid w:val="00FE5F3A"/>
    <w:rsid w:val="00FE6F38"/>
    <w:rsid w:val="00FE7103"/>
    <w:rsid w:val="00FE7649"/>
    <w:rsid w:val="00FF0FA6"/>
    <w:rsid w:val="00FF18CC"/>
    <w:rsid w:val="00FF1BD1"/>
    <w:rsid w:val="00FF2338"/>
    <w:rsid w:val="00FF30B3"/>
    <w:rsid w:val="00FF45FA"/>
    <w:rsid w:val="00FF4E4E"/>
    <w:rsid w:val="00FF5709"/>
    <w:rsid w:val="00FF5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27EBD"/>
  <w15:chartTrackingRefBased/>
  <w15:docId w15:val="{DEEBFAAC-3F11-4869-8DAD-B43AFD275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7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23C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8043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447A4"/>
    <w:pPr>
      <w:spacing w:after="0" w:line="240" w:lineRule="auto"/>
    </w:pPr>
    <w:rPr>
      <w:sz w:val="20"/>
      <w:szCs w:val="20"/>
    </w:rPr>
  </w:style>
  <w:style w:type="character" w:customStyle="1" w:styleId="FootnoteTextChar">
    <w:name w:val="Footnote Text Char"/>
    <w:basedOn w:val="DefaultParagraphFont"/>
    <w:link w:val="FootnoteText"/>
    <w:uiPriority w:val="99"/>
    <w:rsid w:val="009447A4"/>
    <w:rPr>
      <w:sz w:val="20"/>
      <w:szCs w:val="20"/>
    </w:rPr>
  </w:style>
  <w:style w:type="character" w:styleId="FootnoteReference">
    <w:name w:val="footnote reference"/>
    <w:basedOn w:val="DefaultParagraphFont"/>
    <w:uiPriority w:val="99"/>
    <w:semiHidden/>
    <w:unhideWhenUsed/>
    <w:rsid w:val="009447A4"/>
    <w:rPr>
      <w:vertAlign w:val="superscript"/>
    </w:rPr>
  </w:style>
  <w:style w:type="character" w:customStyle="1" w:styleId="Heading1Char">
    <w:name w:val="Heading 1 Char"/>
    <w:basedOn w:val="DefaultParagraphFont"/>
    <w:link w:val="Heading1"/>
    <w:uiPriority w:val="9"/>
    <w:rsid w:val="00A81722"/>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81722"/>
    <w:rPr>
      <w:color w:val="0000FF"/>
      <w:u w:val="single"/>
    </w:rPr>
  </w:style>
  <w:style w:type="paragraph" w:styleId="Header">
    <w:name w:val="header"/>
    <w:basedOn w:val="Normal"/>
    <w:link w:val="HeaderChar"/>
    <w:uiPriority w:val="99"/>
    <w:unhideWhenUsed/>
    <w:rsid w:val="005032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29C"/>
  </w:style>
  <w:style w:type="paragraph" w:styleId="Footer">
    <w:name w:val="footer"/>
    <w:basedOn w:val="Normal"/>
    <w:link w:val="FooterChar"/>
    <w:uiPriority w:val="99"/>
    <w:unhideWhenUsed/>
    <w:rsid w:val="00503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29C"/>
  </w:style>
  <w:style w:type="paragraph" w:styleId="NormalWeb">
    <w:name w:val="Normal (Web)"/>
    <w:basedOn w:val="Normal"/>
    <w:uiPriority w:val="99"/>
    <w:unhideWhenUsed/>
    <w:rsid w:val="006A258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oypena">
    <w:name w:val="oypena"/>
    <w:basedOn w:val="DefaultParagraphFont"/>
    <w:rsid w:val="006A258E"/>
  </w:style>
  <w:style w:type="character" w:customStyle="1" w:styleId="oxzekf">
    <w:name w:val="oxzekf"/>
    <w:basedOn w:val="DefaultParagraphFont"/>
    <w:rsid w:val="00511683"/>
  </w:style>
  <w:style w:type="character" w:customStyle="1" w:styleId="Heading3Char">
    <w:name w:val="Heading 3 Char"/>
    <w:basedOn w:val="DefaultParagraphFont"/>
    <w:link w:val="Heading3"/>
    <w:uiPriority w:val="9"/>
    <w:semiHidden/>
    <w:rsid w:val="00E80438"/>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E80438"/>
    <w:pPr>
      <w:ind w:left="720"/>
      <w:contextualSpacing/>
    </w:pPr>
  </w:style>
  <w:style w:type="character" w:styleId="CommentReference">
    <w:name w:val="annotation reference"/>
    <w:basedOn w:val="DefaultParagraphFont"/>
    <w:uiPriority w:val="99"/>
    <w:semiHidden/>
    <w:unhideWhenUsed/>
    <w:rsid w:val="00E80438"/>
    <w:rPr>
      <w:sz w:val="16"/>
      <w:szCs w:val="16"/>
    </w:rPr>
  </w:style>
  <w:style w:type="table" w:customStyle="1" w:styleId="TableGrid1">
    <w:name w:val="Table Grid1"/>
    <w:basedOn w:val="TableNormal"/>
    <w:next w:val="TableGrid"/>
    <w:uiPriority w:val="39"/>
    <w:rsid w:val="00E80438"/>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8043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0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E80438"/>
    <w:pPr>
      <w:spacing w:after="0"/>
      <w:ind w:left="432"/>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E80438"/>
    <w:rPr>
      <w:rFonts w:ascii="Times New Roman" w:eastAsia="Times New Roman" w:hAnsi="Times New Roman" w:cs="Times New Roman"/>
      <w:color w:val="000000"/>
      <w:sz w:val="20"/>
    </w:rPr>
  </w:style>
  <w:style w:type="character" w:customStyle="1" w:styleId="footnotemark">
    <w:name w:val="footnote mark"/>
    <w:hidden/>
    <w:rsid w:val="00E80438"/>
    <w:rPr>
      <w:rFonts w:ascii="Times New Roman" w:eastAsia="Times New Roman" w:hAnsi="Times New Roman" w:cs="Times New Roman"/>
      <w:color w:val="000000"/>
      <w:sz w:val="20"/>
      <w:vertAlign w:val="superscript"/>
    </w:rPr>
  </w:style>
  <w:style w:type="character" w:styleId="Emphasis">
    <w:name w:val="Emphasis"/>
    <w:basedOn w:val="DefaultParagraphFont"/>
    <w:uiPriority w:val="20"/>
    <w:qFormat/>
    <w:rsid w:val="00E80438"/>
    <w:rPr>
      <w:i/>
      <w:iCs/>
    </w:rPr>
  </w:style>
  <w:style w:type="character" w:styleId="Strong">
    <w:name w:val="Strong"/>
    <w:basedOn w:val="DefaultParagraphFont"/>
    <w:uiPriority w:val="22"/>
    <w:qFormat/>
    <w:rsid w:val="00E80438"/>
    <w:rPr>
      <w:b/>
      <w:bCs/>
    </w:rPr>
  </w:style>
  <w:style w:type="character" w:styleId="UnresolvedMention">
    <w:name w:val="Unresolved Mention"/>
    <w:basedOn w:val="DefaultParagraphFont"/>
    <w:uiPriority w:val="99"/>
    <w:semiHidden/>
    <w:unhideWhenUsed/>
    <w:rsid w:val="00E80438"/>
    <w:rPr>
      <w:color w:val="605E5C"/>
      <w:shd w:val="clear" w:color="auto" w:fill="E1DFDD"/>
    </w:rPr>
  </w:style>
  <w:style w:type="paragraph" w:customStyle="1" w:styleId="trt0xe">
    <w:name w:val="trt0xe"/>
    <w:basedOn w:val="Normal"/>
    <w:rsid w:val="00E804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CommentText">
    <w:name w:val="annotation text"/>
    <w:basedOn w:val="Normal"/>
    <w:link w:val="CommentTextChar"/>
    <w:uiPriority w:val="99"/>
    <w:unhideWhenUsed/>
    <w:rsid w:val="00E80438"/>
    <w:pPr>
      <w:spacing w:line="240" w:lineRule="auto"/>
    </w:pPr>
    <w:rPr>
      <w:sz w:val="20"/>
      <w:szCs w:val="20"/>
    </w:rPr>
  </w:style>
  <w:style w:type="character" w:customStyle="1" w:styleId="CommentTextChar">
    <w:name w:val="Comment Text Char"/>
    <w:basedOn w:val="DefaultParagraphFont"/>
    <w:link w:val="CommentText"/>
    <w:uiPriority w:val="99"/>
    <w:rsid w:val="00E80438"/>
    <w:rPr>
      <w:sz w:val="20"/>
      <w:szCs w:val="20"/>
    </w:rPr>
  </w:style>
  <w:style w:type="paragraph" w:styleId="CommentSubject">
    <w:name w:val="annotation subject"/>
    <w:basedOn w:val="CommentText"/>
    <w:next w:val="CommentText"/>
    <w:link w:val="CommentSubjectChar"/>
    <w:uiPriority w:val="99"/>
    <w:semiHidden/>
    <w:unhideWhenUsed/>
    <w:rsid w:val="00E80438"/>
    <w:rPr>
      <w:b/>
      <w:bCs/>
    </w:rPr>
  </w:style>
  <w:style w:type="character" w:customStyle="1" w:styleId="CommentSubjectChar">
    <w:name w:val="Comment Subject Char"/>
    <w:basedOn w:val="CommentTextChar"/>
    <w:link w:val="CommentSubject"/>
    <w:uiPriority w:val="99"/>
    <w:semiHidden/>
    <w:rsid w:val="00E80438"/>
    <w:rPr>
      <w:b/>
      <w:bCs/>
      <w:sz w:val="20"/>
      <w:szCs w:val="20"/>
    </w:rPr>
  </w:style>
  <w:style w:type="character" w:styleId="FollowedHyperlink">
    <w:name w:val="FollowedHyperlink"/>
    <w:basedOn w:val="DefaultParagraphFont"/>
    <w:uiPriority w:val="99"/>
    <w:semiHidden/>
    <w:unhideWhenUsed/>
    <w:rsid w:val="00E80438"/>
    <w:rPr>
      <w:color w:val="954F72" w:themeColor="followedHyperlink"/>
      <w:u w:val="single"/>
    </w:rPr>
  </w:style>
  <w:style w:type="character" w:customStyle="1" w:styleId="string-name">
    <w:name w:val="string-name"/>
    <w:basedOn w:val="DefaultParagraphFont"/>
    <w:rsid w:val="005E4A89"/>
  </w:style>
  <w:style w:type="character" w:customStyle="1" w:styleId="surname">
    <w:name w:val="surname"/>
    <w:basedOn w:val="DefaultParagraphFont"/>
    <w:rsid w:val="005E4A89"/>
  </w:style>
  <w:style w:type="character" w:customStyle="1" w:styleId="given-names">
    <w:name w:val="given-names"/>
    <w:basedOn w:val="DefaultParagraphFont"/>
    <w:rsid w:val="005E4A89"/>
  </w:style>
  <w:style w:type="character" w:customStyle="1" w:styleId="year">
    <w:name w:val="year"/>
    <w:basedOn w:val="DefaultParagraphFont"/>
    <w:rsid w:val="005E4A89"/>
  </w:style>
  <w:style w:type="character" w:customStyle="1" w:styleId="article-title">
    <w:name w:val="article-title"/>
    <w:basedOn w:val="DefaultParagraphFont"/>
    <w:rsid w:val="005E4A89"/>
  </w:style>
  <w:style w:type="character" w:customStyle="1" w:styleId="source">
    <w:name w:val="source"/>
    <w:basedOn w:val="DefaultParagraphFont"/>
    <w:rsid w:val="005E4A89"/>
  </w:style>
  <w:style w:type="character" w:customStyle="1" w:styleId="volume">
    <w:name w:val="volume"/>
    <w:basedOn w:val="DefaultParagraphFont"/>
    <w:rsid w:val="005E4A89"/>
  </w:style>
  <w:style w:type="character" w:customStyle="1" w:styleId="issue">
    <w:name w:val="issue"/>
    <w:basedOn w:val="DefaultParagraphFont"/>
    <w:rsid w:val="005E4A89"/>
  </w:style>
  <w:style w:type="character" w:customStyle="1" w:styleId="fpage">
    <w:name w:val="fpage"/>
    <w:basedOn w:val="DefaultParagraphFont"/>
    <w:rsid w:val="005E4A89"/>
  </w:style>
  <w:style w:type="character" w:customStyle="1" w:styleId="lpage">
    <w:name w:val="lpage"/>
    <w:basedOn w:val="DefaultParagraphFont"/>
    <w:rsid w:val="005E4A89"/>
  </w:style>
  <w:style w:type="character" w:customStyle="1" w:styleId="Heading2Char">
    <w:name w:val="Heading 2 Char"/>
    <w:basedOn w:val="DefaultParagraphFont"/>
    <w:link w:val="Heading2"/>
    <w:uiPriority w:val="9"/>
    <w:rsid w:val="00E23C2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B643F7"/>
    <w:pPr>
      <w:spacing w:after="0" w:line="240" w:lineRule="auto"/>
    </w:pPr>
  </w:style>
  <w:style w:type="table" w:customStyle="1" w:styleId="TableGrid0">
    <w:name w:val="TableGrid"/>
    <w:rsid w:val="00114CF9"/>
    <w:pPr>
      <w:spacing w:after="0" w:line="240" w:lineRule="auto"/>
    </w:pPr>
    <w:rPr>
      <w:rFonts w:eastAsiaTheme="minorEastAsia"/>
    </w:rPr>
    <w:tblPr>
      <w:tblCellMar>
        <w:top w:w="0" w:type="dxa"/>
        <w:left w:w="0" w:type="dxa"/>
        <w:bottom w:w="0" w:type="dxa"/>
        <w:right w:w="0" w:type="dxa"/>
      </w:tblCellMar>
    </w:tblPr>
  </w:style>
  <w:style w:type="paragraph" w:customStyle="1" w:styleId="pzpzlf">
    <w:name w:val="pzpzlf"/>
    <w:basedOn w:val="Normal"/>
    <w:rsid w:val="004C63A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uv3um">
    <w:name w:val="uv3um"/>
    <w:basedOn w:val="DefaultParagraphFont"/>
    <w:rsid w:val="004C63AB"/>
  </w:style>
  <w:style w:type="character" w:customStyle="1" w:styleId="lewnzc">
    <w:name w:val="lewnzc"/>
    <w:basedOn w:val="DefaultParagraphFont"/>
    <w:rsid w:val="003C732E"/>
  </w:style>
  <w:style w:type="character" w:customStyle="1" w:styleId="smallcaps">
    <w:name w:val="smallcaps"/>
    <w:basedOn w:val="DefaultParagraphFont"/>
    <w:rsid w:val="00076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11640">
      <w:bodyDiv w:val="1"/>
      <w:marLeft w:val="0"/>
      <w:marRight w:val="0"/>
      <w:marTop w:val="0"/>
      <w:marBottom w:val="0"/>
      <w:divBdr>
        <w:top w:val="none" w:sz="0" w:space="0" w:color="auto"/>
        <w:left w:val="none" w:sz="0" w:space="0" w:color="auto"/>
        <w:bottom w:val="none" w:sz="0" w:space="0" w:color="auto"/>
        <w:right w:val="none" w:sz="0" w:space="0" w:color="auto"/>
      </w:divBdr>
      <w:divsChild>
        <w:div w:id="280185462">
          <w:marLeft w:val="0"/>
          <w:marRight w:val="0"/>
          <w:marTop w:val="375"/>
          <w:marBottom w:val="0"/>
          <w:divBdr>
            <w:top w:val="none" w:sz="0" w:space="0" w:color="auto"/>
            <w:left w:val="none" w:sz="0" w:space="0" w:color="auto"/>
            <w:bottom w:val="none" w:sz="0" w:space="0" w:color="auto"/>
            <w:right w:val="none" w:sz="0" w:space="0" w:color="auto"/>
          </w:divBdr>
          <w:divsChild>
            <w:div w:id="1760908115">
              <w:marLeft w:val="0"/>
              <w:marRight w:val="0"/>
              <w:marTop w:val="0"/>
              <w:marBottom w:val="0"/>
              <w:divBdr>
                <w:top w:val="none" w:sz="0" w:space="0" w:color="auto"/>
                <w:left w:val="none" w:sz="0" w:space="0" w:color="auto"/>
                <w:bottom w:val="none" w:sz="0" w:space="0" w:color="auto"/>
                <w:right w:val="none" w:sz="0" w:space="0" w:color="auto"/>
              </w:divBdr>
            </w:div>
            <w:div w:id="1153444680">
              <w:marLeft w:val="0"/>
              <w:marRight w:val="0"/>
              <w:marTop w:val="0"/>
              <w:marBottom w:val="0"/>
              <w:divBdr>
                <w:top w:val="none" w:sz="0" w:space="0" w:color="auto"/>
                <w:left w:val="none" w:sz="0" w:space="0" w:color="auto"/>
                <w:bottom w:val="none" w:sz="0" w:space="0" w:color="auto"/>
                <w:right w:val="none" w:sz="0" w:space="0" w:color="auto"/>
              </w:divBdr>
            </w:div>
          </w:divsChild>
        </w:div>
        <w:div w:id="622732147">
          <w:marLeft w:val="0"/>
          <w:marRight w:val="0"/>
          <w:marTop w:val="0"/>
          <w:marBottom w:val="450"/>
          <w:divBdr>
            <w:top w:val="none" w:sz="0" w:space="0" w:color="auto"/>
            <w:left w:val="none" w:sz="0" w:space="0" w:color="auto"/>
            <w:bottom w:val="none" w:sz="0" w:space="0" w:color="auto"/>
            <w:right w:val="none" w:sz="0" w:space="0" w:color="auto"/>
          </w:divBdr>
        </w:div>
      </w:divsChild>
    </w:div>
    <w:div w:id="220288561">
      <w:bodyDiv w:val="1"/>
      <w:marLeft w:val="0"/>
      <w:marRight w:val="0"/>
      <w:marTop w:val="0"/>
      <w:marBottom w:val="0"/>
      <w:divBdr>
        <w:top w:val="none" w:sz="0" w:space="0" w:color="auto"/>
        <w:left w:val="none" w:sz="0" w:space="0" w:color="auto"/>
        <w:bottom w:val="none" w:sz="0" w:space="0" w:color="auto"/>
        <w:right w:val="none" w:sz="0" w:space="0" w:color="auto"/>
      </w:divBdr>
    </w:div>
    <w:div w:id="326523859">
      <w:bodyDiv w:val="1"/>
      <w:marLeft w:val="0"/>
      <w:marRight w:val="0"/>
      <w:marTop w:val="0"/>
      <w:marBottom w:val="0"/>
      <w:divBdr>
        <w:top w:val="none" w:sz="0" w:space="0" w:color="auto"/>
        <w:left w:val="none" w:sz="0" w:space="0" w:color="auto"/>
        <w:bottom w:val="none" w:sz="0" w:space="0" w:color="auto"/>
        <w:right w:val="none" w:sz="0" w:space="0" w:color="auto"/>
      </w:divBdr>
    </w:div>
    <w:div w:id="328599045">
      <w:bodyDiv w:val="1"/>
      <w:marLeft w:val="0"/>
      <w:marRight w:val="0"/>
      <w:marTop w:val="0"/>
      <w:marBottom w:val="0"/>
      <w:divBdr>
        <w:top w:val="none" w:sz="0" w:space="0" w:color="auto"/>
        <w:left w:val="none" w:sz="0" w:space="0" w:color="auto"/>
        <w:bottom w:val="none" w:sz="0" w:space="0" w:color="auto"/>
        <w:right w:val="none" w:sz="0" w:space="0" w:color="auto"/>
      </w:divBdr>
      <w:divsChild>
        <w:div w:id="1400982030">
          <w:marLeft w:val="0"/>
          <w:marRight w:val="0"/>
          <w:marTop w:val="0"/>
          <w:marBottom w:val="0"/>
          <w:divBdr>
            <w:top w:val="none" w:sz="0" w:space="0" w:color="auto"/>
            <w:left w:val="none" w:sz="0" w:space="0" w:color="auto"/>
            <w:bottom w:val="none" w:sz="0" w:space="0" w:color="auto"/>
            <w:right w:val="none" w:sz="0" w:space="0" w:color="auto"/>
          </w:divBdr>
          <w:divsChild>
            <w:div w:id="1479610414">
              <w:marLeft w:val="0"/>
              <w:marRight w:val="0"/>
              <w:marTop w:val="0"/>
              <w:marBottom w:val="0"/>
              <w:divBdr>
                <w:top w:val="none" w:sz="0" w:space="0" w:color="auto"/>
                <w:left w:val="none" w:sz="0" w:space="0" w:color="auto"/>
                <w:bottom w:val="none" w:sz="0" w:space="0" w:color="auto"/>
                <w:right w:val="none" w:sz="0" w:space="0" w:color="auto"/>
              </w:divBdr>
              <w:divsChild>
                <w:div w:id="935556683">
                  <w:marLeft w:val="0"/>
                  <w:marRight w:val="0"/>
                  <w:marTop w:val="0"/>
                  <w:marBottom w:val="0"/>
                  <w:divBdr>
                    <w:top w:val="none" w:sz="0" w:space="0" w:color="auto"/>
                    <w:left w:val="none" w:sz="0" w:space="0" w:color="auto"/>
                    <w:bottom w:val="none" w:sz="0" w:space="0" w:color="auto"/>
                    <w:right w:val="none" w:sz="0" w:space="0" w:color="auto"/>
                  </w:divBdr>
                  <w:divsChild>
                    <w:div w:id="61951183">
                      <w:marLeft w:val="0"/>
                      <w:marRight w:val="0"/>
                      <w:marTop w:val="0"/>
                      <w:marBottom w:val="0"/>
                      <w:divBdr>
                        <w:top w:val="none" w:sz="0" w:space="0" w:color="auto"/>
                        <w:left w:val="none" w:sz="0" w:space="0" w:color="auto"/>
                        <w:bottom w:val="none" w:sz="0" w:space="0" w:color="auto"/>
                        <w:right w:val="none" w:sz="0" w:space="0" w:color="auto"/>
                      </w:divBdr>
                      <w:divsChild>
                        <w:div w:id="910236027">
                          <w:marLeft w:val="0"/>
                          <w:marRight w:val="0"/>
                          <w:marTop w:val="0"/>
                          <w:marBottom w:val="0"/>
                          <w:divBdr>
                            <w:top w:val="none" w:sz="0" w:space="0" w:color="auto"/>
                            <w:left w:val="none" w:sz="0" w:space="0" w:color="auto"/>
                            <w:bottom w:val="none" w:sz="0" w:space="0" w:color="auto"/>
                            <w:right w:val="none" w:sz="0" w:space="0" w:color="auto"/>
                          </w:divBdr>
                          <w:divsChild>
                            <w:div w:id="123142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162460">
      <w:bodyDiv w:val="1"/>
      <w:marLeft w:val="0"/>
      <w:marRight w:val="0"/>
      <w:marTop w:val="0"/>
      <w:marBottom w:val="0"/>
      <w:divBdr>
        <w:top w:val="none" w:sz="0" w:space="0" w:color="auto"/>
        <w:left w:val="none" w:sz="0" w:space="0" w:color="auto"/>
        <w:bottom w:val="none" w:sz="0" w:space="0" w:color="auto"/>
        <w:right w:val="none" w:sz="0" w:space="0" w:color="auto"/>
      </w:divBdr>
    </w:div>
    <w:div w:id="612590137">
      <w:bodyDiv w:val="1"/>
      <w:marLeft w:val="0"/>
      <w:marRight w:val="0"/>
      <w:marTop w:val="0"/>
      <w:marBottom w:val="0"/>
      <w:divBdr>
        <w:top w:val="none" w:sz="0" w:space="0" w:color="auto"/>
        <w:left w:val="none" w:sz="0" w:space="0" w:color="auto"/>
        <w:bottom w:val="none" w:sz="0" w:space="0" w:color="auto"/>
        <w:right w:val="none" w:sz="0" w:space="0" w:color="auto"/>
      </w:divBdr>
    </w:div>
    <w:div w:id="625740945">
      <w:bodyDiv w:val="1"/>
      <w:marLeft w:val="0"/>
      <w:marRight w:val="0"/>
      <w:marTop w:val="0"/>
      <w:marBottom w:val="0"/>
      <w:divBdr>
        <w:top w:val="none" w:sz="0" w:space="0" w:color="auto"/>
        <w:left w:val="none" w:sz="0" w:space="0" w:color="auto"/>
        <w:bottom w:val="none" w:sz="0" w:space="0" w:color="auto"/>
        <w:right w:val="none" w:sz="0" w:space="0" w:color="auto"/>
      </w:divBdr>
      <w:divsChild>
        <w:div w:id="1941597806">
          <w:marLeft w:val="0"/>
          <w:marRight w:val="0"/>
          <w:marTop w:val="30"/>
          <w:marBottom w:val="30"/>
          <w:divBdr>
            <w:top w:val="none" w:sz="0" w:space="0" w:color="auto"/>
            <w:left w:val="none" w:sz="0" w:space="0" w:color="auto"/>
            <w:bottom w:val="none" w:sz="0" w:space="0" w:color="auto"/>
            <w:right w:val="none" w:sz="0" w:space="0" w:color="auto"/>
          </w:divBdr>
        </w:div>
      </w:divsChild>
    </w:div>
    <w:div w:id="644554228">
      <w:bodyDiv w:val="1"/>
      <w:marLeft w:val="0"/>
      <w:marRight w:val="0"/>
      <w:marTop w:val="0"/>
      <w:marBottom w:val="0"/>
      <w:divBdr>
        <w:top w:val="none" w:sz="0" w:space="0" w:color="auto"/>
        <w:left w:val="none" w:sz="0" w:space="0" w:color="auto"/>
        <w:bottom w:val="none" w:sz="0" w:space="0" w:color="auto"/>
        <w:right w:val="none" w:sz="0" w:space="0" w:color="auto"/>
      </w:divBdr>
      <w:divsChild>
        <w:div w:id="550848981">
          <w:marLeft w:val="0"/>
          <w:marRight w:val="0"/>
          <w:marTop w:val="450"/>
          <w:marBottom w:val="0"/>
          <w:divBdr>
            <w:top w:val="single" w:sz="6" w:space="0" w:color="519AFC"/>
            <w:left w:val="none" w:sz="0" w:space="0" w:color="auto"/>
            <w:bottom w:val="single" w:sz="6" w:space="0" w:color="519AFC"/>
            <w:right w:val="none" w:sz="0" w:space="0" w:color="auto"/>
          </w:divBdr>
          <w:divsChild>
            <w:div w:id="1509641499">
              <w:marLeft w:val="0"/>
              <w:marRight w:val="0"/>
              <w:marTop w:val="0"/>
              <w:marBottom w:val="0"/>
              <w:divBdr>
                <w:top w:val="none" w:sz="0" w:space="0" w:color="auto"/>
                <w:left w:val="none" w:sz="0" w:space="0" w:color="auto"/>
                <w:bottom w:val="none" w:sz="0" w:space="0" w:color="auto"/>
                <w:right w:val="none" w:sz="0" w:space="0" w:color="auto"/>
              </w:divBdr>
            </w:div>
            <w:div w:id="813303747">
              <w:marLeft w:val="0"/>
              <w:marRight w:val="0"/>
              <w:marTop w:val="0"/>
              <w:marBottom w:val="0"/>
              <w:divBdr>
                <w:top w:val="none" w:sz="0" w:space="0" w:color="auto"/>
                <w:left w:val="none" w:sz="0" w:space="0" w:color="auto"/>
                <w:bottom w:val="none" w:sz="0" w:space="0" w:color="auto"/>
                <w:right w:val="none" w:sz="0" w:space="0" w:color="auto"/>
              </w:divBdr>
            </w:div>
            <w:div w:id="1428961902">
              <w:marLeft w:val="0"/>
              <w:marRight w:val="0"/>
              <w:marTop w:val="0"/>
              <w:marBottom w:val="0"/>
              <w:divBdr>
                <w:top w:val="none" w:sz="0" w:space="0" w:color="auto"/>
                <w:left w:val="none" w:sz="0" w:space="0" w:color="auto"/>
                <w:bottom w:val="none" w:sz="0" w:space="0" w:color="auto"/>
                <w:right w:val="none" w:sz="0" w:space="0" w:color="auto"/>
              </w:divBdr>
            </w:div>
          </w:divsChild>
        </w:div>
        <w:div w:id="24409577">
          <w:marLeft w:val="0"/>
          <w:marRight w:val="0"/>
          <w:marTop w:val="0"/>
          <w:marBottom w:val="0"/>
          <w:divBdr>
            <w:top w:val="none" w:sz="0" w:space="0" w:color="auto"/>
            <w:left w:val="none" w:sz="0" w:space="0" w:color="auto"/>
            <w:bottom w:val="single" w:sz="6" w:space="0" w:color="CCCCCC"/>
            <w:right w:val="none" w:sz="0" w:space="0" w:color="auto"/>
          </w:divBdr>
          <w:divsChild>
            <w:div w:id="2100633052">
              <w:marLeft w:val="0"/>
              <w:marRight w:val="0"/>
              <w:marTop w:val="0"/>
              <w:marBottom w:val="0"/>
              <w:divBdr>
                <w:top w:val="none" w:sz="0" w:space="0" w:color="auto"/>
                <w:left w:val="none" w:sz="0" w:space="0" w:color="auto"/>
                <w:bottom w:val="none" w:sz="0" w:space="0" w:color="auto"/>
                <w:right w:val="none" w:sz="0" w:space="0" w:color="auto"/>
              </w:divBdr>
            </w:div>
            <w:div w:id="2141922626">
              <w:marLeft w:val="0"/>
              <w:marRight w:val="0"/>
              <w:marTop w:val="0"/>
              <w:marBottom w:val="0"/>
              <w:divBdr>
                <w:top w:val="none" w:sz="0" w:space="0" w:color="auto"/>
                <w:left w:val="none" w:sz="0" w:space="0" w:color="auto"/>
                <w:bottom w:val="none" w:sz="0" w:space="0" w:color="auto"/>
                <w:right w:val="none" w:sz="0" w:space="0" w:color="auto"/>
              </w:divBdr>
            </w:div>
            <w:div w:id="1703624476">
              <w:marLeft w:val="0"/>
              <w:marRight w:val="0"/>
              <w:marTop w:val="0"/>
              <w:marBottom w:val="0"/>
              <w:divBdr>
                <w:top w:val="none" w:sz="0" w:space="0" w:color="auto"/>
                <w:left w:val="none" w:sz="0" w:space="0" w:color="auto"/>
                <w:bottom w:val="none" w:sz="0" w:space="0" w:color="auto"/>
                <w:right w:val="none" w:sz="0" w:space="0" w:color="auto"/>
              </w:divBdr>
            </w:div>
            <w:div w:id="100802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938749">
      <w:bodyDiv w:val="1"/>
      <w:marLeft w:val="0"/>
      <w:marRight w:val="0"/>
      <w:marTop w:val="0"/>
      <w:marBottom w:val="0"/>
      <w:divBdr>
        <w:top w:val="none" w:sz="0" w:space="0" w:color="auto"/>
        <w:left w:val="none" w:sz="0" w:space="0" w:color="auto"/>
        <w:bottom w:val="none" w:sz="0" w:space="0" w:color="auto"/>
        <w:right w:val="none" w:sz="0" w:space="0" w:color="auto"/>
      </w:divBdr>
    </w:div>
    <w:div w:id="1079064393">
      <w:bodyDiv w:val="1"/>
      <w:marLeft w:val="0"/>
      <w:marRight w:val="0"/>
      <w:marTop w:val="0"/>
      <w:marBottom w:val="0"/>
      <w:divBdr>
        <w:top w:val="none" w:sz="0" w:space="0" w:color="auto"/>
        <w:left w:val="none" w:sz="0" w:space="0" w:color="auto"/>
        <w:bottom w:val="none" w:sz="0" w:space="0" w:color="auto"/>
        <w:right w:val="none" w:sz="0" w:space="0" w:color="auto"/>
      </w:divBdr>
      <w:divsChild>
        <w:div w:id="1455440601">
          <w:marLeft w:val="0"/>
          <w:marRight w:val="0"/>
          <w:marTop w:val="375"/>
          <w:marBottom w:val="0"/>
          <w:divBdr>
            <w:top w:val="none" w:sz="0" w:space="0" w:color="auto"/>
            <w:left w:val="none" w:sz="0" w:space="0" w:color="auto"/>
            <w:bottom w:val="none" w:sz="0" w:space="0" w:color="auto"/>
            <w:right w:val="none" w:sz="0" w:space="0" w:color="auto"/>
          </w:divBdr>
          <w:divsChild>
            <w:div w:id="1860049216">
              <w:marLeft w:val="0"/>
              <w:marRight w:val="0"/>
              <w:marTop w:val="0"/>
              <w:marBottom w:val="0"/>
              <w:divBdr>
                <w:top w:val="none" w:sz="0" w:space="0" w:color="auto"/>
                <w:left w:val="none" w:sz="0" w:space="0" w:color="auto"/>
                <w:bottom w:val="none" w:sz="0" w:space="0" w:color="auto"/>
                <w:right w:val="none" w:sz="0" w:space="0" w:color="auto"/>
              </w:divBdr>
            </w:div>
            <w:div w:id="991372223">
              <w:marLeft w:val="0"/>
              <w:marRight w:val="0"/>
              <w:marTop w:val="0"/>
              <w:marBottom w:val="0"/>
              <w:divBdr>
                <w:top w:val="none" w:sz="0" w:space="0" w:color="auto"/>
                <w:left w:val="none" w:sz="0" w:space="0" w:color="auto"/>
                <w:bottom w:val="none" w:sz="0" w:space="0" w:color="auto"/>
                <w:right w:val="none" w:sz="0" w:space="0" w:color="auto"/>
              </w:divBdr>
            </w:div>
          </w:divsChild>
        </w:div>
        <w:div w:id="267590853">
          <w:marLeft w:val="0"/>
          <w:marRight w:val="0"/>
          <w:marTop w:val="0"/>
          <w:marBottom w:val="450"/>
          <w:divBdr>
            <w:top w:val="none" w:sz="0" w:space="0" w:color="auto"/>
            <w:left w:val="none" w:sz="0" w:space="0" w:color="auto"/>
            <w:bottom w:val="none" w:sz="0" w:space="0" w:color="auto"/>
            <w:right w:val="none" w:sz="0" w:space="0" w:color="auto"/>
          </w:divBdr>
        </w:div>
      </w:divsChild>
    </w:div>
    <w:div w:id="1082527716">
      <w:bodyDiv w:val="1"/>
      <w:marLeft w:val="0"/>
      <w:marRight w:val="0"/>
      <w:marTop w:val="0"/>
      <w:marBottom w:val="0"/>
      <w:divBdr>
        <w:top w:val="none" w:sz="0" w:space="0" w:color="auto"/>
        <w:left w:val="none" w:sz="0" w:space="0" w:color="auto"/>
        <w:bottom w:val="none" w:sz="0" w:space="0" w:color="auto"/>
        <w:right w:val="none" w:sz="0" w:space="0" w:color="auto"/>
      </w:divBdr>
      <w:divsChild>
        <w:div w:id="152184888">
          <w:marLeft w:val="0"/>
          <w:marRight w:val="0"/>
          <w:marTop w:val="0"/>
          <w:marBottom w:val="30"/>
          <w:divBdr>
            <w:top w:val="none" w:sz="0" w:space="0" w:color="auto"/>
            <w:left w:val="none" w:sz="0" w:space="0" w:color="auto"/>
            <w:bottom w:val="none" w:sz="0" w:space="0" w:color="auto"/>
            <w:right w:val="none" w:sz="0" w:space="0" w:color="auto"/>
          </w:divBdr>
        </w:div>
      </w:divsChild>
    </w:div>
    <w:div w:id="1205480219">
      <w:bodyDiv w:val="1"/>
      <w:marLeft w:val="0"/>
      <w:marRight w:val="0"/>
      <w:marTop w:val="0"/>
      <w:marBottom w:val="0"/>
      <w:divBdr>
        <w:top w:val="none" w:sz="0" w:space="0" w:color="auto"/>
        <w:left w:val="none" w:sz="0" w:space="0" w:color="auto"/>
        <w:bottom w:val="none" w:sz="0" w:space="0" w:color="auto"/>
        <w:right w:val="none" w:sz="0" w:space="0" w:color="auto"/>
      </w:divBdr>
      <w:divsChild>
        <w:div w:id="2004121358">
          <w:marLeft w:val="0"/>
          <w:marRight w:val="0"/>
          <w:marTop w:val="0"/>
          <w:marBottom w:val="0"/>
          <w:divBdr>
            <w:top w:val="none" w:sz="0" w:space="0" w:color="auto"/>
            <w:left w:val="none" w:sz="0" w:space="0" w:color="auto"/>
            <w:bottom w:val="none" w:sz="0" w:space="0" w:color="auto"/>
            <w:right w:val="none" w:sz="0" w:space="0" w:color="auto"/>
          </w:divBdr>
          <w:divsChild>
            <w:div w:id="1240210564">
              <w:marLeft w:val="0"/>
              <w:marRight w:val="0"/>
              <w:marTop w:val="0"/>
              <w:marBottom w:val="0"/>
              <w:divBdr>
                <w:top w:val="none" w:sz="0" w:space="0" w:color="auto"/>
                <w:left w:val="none" w:sz="0" w:space="0" w:color="auto"/>
                <w:bottom w:val="none" w:sz="0" w:space="0" w:color="auto"/>
                <w:right w:val="none" w:sz="0" w:space="0" w:color="auto"/>
              </w:divBdr>
            </w:div>
            <w:div w:id="388771396">
              <w:marLeft w:val="0"/>
              <w:marRight w:val="0"/>
              <w:marTop w:val="0"/>
              <w:marBottom w:val="0"/>
              <w:divBdr>
                <w:top w:val="none" w:sz="0" w:space="0" w:color="auto"/>
                <w:left w:val="none" w:sz="0" w:space="0" w:color="auto"/>
                <w:bottom w:val="none" w:sz="0" w:space="0" w:color="auto"/>
                <w:right w:val="none" w:sz="0" w:space="0" w:color="auto"/>
              </w:divBdr>
            </w:div>
          </w:divsChild>
        </w:div>
        <w:div w:id="1851866869">
          <w:marLeft w:val="0"/>
          <w:marRight w:val="0"/>
          <w:marTop w:val="0"/>
          <w:marBottom w:val="0"/>
          <w:divBdr>
            <w:top w:val="none" w:sz="0" w:space="0" w:color="auto"/>
            <w:left w:val="none" w:sz="0" w:space="0" w:color="auto"/>
            <w:bottom w:val="none" w:sz="0" w:space="0" w:color="auto"/>
            <w:right w:val="none" w:sz="0" w:space="0" w:color="auto"/>
          </w:divBdr>
          <w:divsChild>
            <w:div w:id="10913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126686">
      <w:bodyDiv w:val="1"/>
      <w:marLeft w:val="0"/>
      <w:marRight w:val="0"/>
      <w:marTop w:val="0"/>
      <w:marBottom w:val="0"/>
      <w:divBdr>
        <w:top w:val="none" w:sz="0" w:space="0" w:color="auto"/>
        <w:left w:val="none" w:sz="0" w:space="0" w:color="auto"/>
        <w:bottom w:val="none" w:sz="0" w:space="0" w:color="auto"/>
        <w:right w:val="none" w:sz="0" w:space="0" w:color="auto"/>
      </w:divBdr>
      <w:divsChild>
        <w:div w:id="1210922928">
          <w:marLeft w:val="0"/>
          <w:marRight w:val="0"/>
          <w:marTop w:val="0"/>
          <w:marBottom w:val="120"/>
          <w:divBdr>
            <w:top w:val="none" w:sz="0" w:space="0" w:color="auto"/>
            <w:left w:val="none" w:sz="0" w:space="0" w:color="auto"/>
            <w:bottom w:val="single" w:sz="12" w:space="9" w:color="F0F0F0"/>
            <w:right w:val="none" w:sz="0" w:space="0" w:color="auto"/>
          </w:divBdr>
          <w:divsChild>
            <w:div w:id="1170290503">
              <w:marLeft w:val="0"/>
              <w:marRight w:val="0"/>
              <w:marTop w:val="100"/>
              <w:marBottom w:val="100"/>
              <w:divBdr>
                <w:top w:val="none" w:sz="0" w:space="0" w:color="auto"/>
                <w:left w:val="none" w:sz="0" w:space="0" w:color="auto"/>
                <w:bottom w:val="none" w:sz="0" w:space="0" w:color="auto"/>
                <w:right w:val="none" w:sz="0" w:space="0" w:color="auto"/>
              </w:divBdr>
              <w:divsChild>
                <w:div w:id="22795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687906">
          <w:marLeft w:val="0"/>
          <w:marRight w:val="0"/>
          <w:marTop w:val="0"/>
          <w:marBottom w:val="120"/>
          <w:divBdr>
            <w:top w:val="none" w:sz="0" w:space="0" w:color="auto"/>
            <w:left w:val="none" w:sz="0" w:space="0" w:color="auto"/>
            <w:bottom w:val="none" w:sz="0" w:space="0" w:color="auto"/>
            <w:right w:val="none" w:sz="0" w:space="0" w:color="auto"/>
          </w:divBdr>
          <w:divsChild>
            <w:div w:id="1865552818">
              <w:marLeft w:val="0"/>
              <w:marRight w:val="0"/>
              <w:marTop w:val="0"/>
              <w:marBottom w:val="0"/>
              <w:divBdr>
                <w:top w:val="none" w:sz="0" w:space="0" w:color="auto"/>
                <w:left w:val="none" w:sz="0" w:space="0" w:color="auto"/>
                <w:bottom w:val="none" w:sz="0" w:space="0" w:color="auto"/>
                <w:right w:val="none" w:sz="0" w:space="0" w:color="auto"/>
              </w:divBdr>
              <w:divsChild>
                <w:div w:id="2131851706">
                  <w:marLeft w:val="0"/>
                  <w:marRight w:val="0"/>
                  <w:marTop w:val="0"/>
                  <w:marBottom w:val="0"/>
                  <w:divBdr>
                    <w:top w:val="none" w:sz="0" w:space="0" w:color="auto"/>
                    <w:left w:val="none" w:sz="0" w:space="0" w:color="auto"/>
                    <w:bottom w:val="none" w:sz="0" w:space="0" w:color="auto"/>
                    <w:right w:val="none" w:sz="0" w:space="0" w:color="auto"/>
                  </w:divBdr>
                  <w:divsChild>
                    <w:div w:id="205576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750999">
      <w:bodyDiv w:val="1"/>
      <w:marLeft w:val="0"/>
      <w:marRight w:val="0"/>
      <w:marTop w:val="0"/>
      <w:marBottom w:val="0"/>
      <w:divBdr>
        <w:top w:val="none" w:sz="0" w:space="0" w:color="auto"/>
        <w:left w:val="none" w:sz="0" w:space="0" w:color="auto"/>
        <w:bottom w:val="none" w:sz="0" w:space="0" w:color="auto"/>
        <w:right w:val="none" w:sz="0" w:space="0" w:color="auto"/>
      </w:divBdr>
    </w:div>
    <w:div w:id="1477800379">
      <w:bodyDiv w:val="1"/>
      <w:marLeft w:val="0"/>
      <w:marRight w:val="0"/>
      <w:marTop w:val="0"/>
      <w:marBottom w:val="0"/>
      <w:divBdr>
        <w:top w:val="none" w:sz="0" w:space="0" w:color="auto"/>
        <w:left w:val="none" w:sz="0" w:space="0" w:color="auto"/>
        <w:bottom w:val="none" w:sz="0" w:space="0" w:color="auto"/>
        <w:right w:val="none" w:sz="0" w:space="0" w:color="auto"/>
      </w:divBdr>
    </w:div>
    <w:div w:id="1847788813">
      <w:bodyDiv w:val="1"/>
      <w:marLeft w:val="0"/>
      <w:marRight w:val="0"/>
      <w:marTop w:val="0"/>
      <w:marBottom w:val="0"/>
      <w:divBdr>
        <w:top w:val="none" w:sz="0" w:space="0" w:color="auto"/>
        <w:left w:val="none" w:sz="0" w:space="0" w:color="auto"/>
        <w:bottom w:val="none" w:sz="0" w:space="0" w:color="auto"/>
        <w:right w:val="none" w:sz="0" w:space="0" w:color="auto"/>
      </w:divBdr>
      <w:divsChild>
        <w:div w:id="819347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image" Target="media/image2.jpeg"/></Relationships>
</file>

<file path=word/_rels/footnotes.xml.rels><?xml version="1.0" encoding="UTF-8" standalone="yes"?>
<Relationships xmlns="http://schemas.openxmlformats.org/package/2006/relationships"><Relationship Id="rId8" Type="http://schemas.openxmlformats.org/officeDocument/2006/relationships/hyperlink" Target="https://archive.org/details/dli.bengal.10689.4260" TargetMode="External"/><Relationship Id="rId13" Type="http://schemas.openxmlformats.org/officeDocument/2006/relationships/hyperlink" Target="https://www.sciencedirect.com/journal/journal-of-environmental-economics-and-management" TargetMode="External"/><Relationship Id="rId18" Type="http://schemas.openxmlformats.org/officeDocument/2006/relationships/hyperlink" Target="https://www.sierraclub.org/california/about-us" TargetMode="External"/><Relationship Id="rId3" Type="http://schemas.openxmlformats.org/officeDocument/2006/relationships/hyperlink" Target="https://www.sciencedirect.com/journal/european-journal-of-political-economy" TargetMode="External"/><Relationship Id="rId7" Type="http://schemas.openxmlformats.org/officeDocument/2006/relationships/hyperlink" Target="https://www.sciencedirect.com/journal/environmental-science-and-policy" TargetMode="External"/><Relationship Id="rId12" Type="http://schemas.openxmlformats.org/officeDocument/2006/relationships/hyperlink" Target="https://www.jstor.org/journal/amereconrevi" TargetMode="External"/><Relationship Id="rId17" Type="http://schemas.openxmlformats.org/officeDocument/2006/relationships/hyperlink" Target="https://www.sciencedirect.com/science/article/abs/pii/S0095069621000589" TargetMode="External"/><Relationship Id="rId2" Type="http://schemas.openxmlformats.org/officeDocument/2006/relationships/hyperlink" Target="https://en.wikipedia.org/wiki/Quarterly_Journal_of_Economics" TargetMode="External"/><Relationship Id="rId16" Type="http://schemas.openxmlformats.org/officeDocument/2006/relationships/hyperlink" Target="https://papers.ssrn.com/sol3/papers.cfm?abstract_id=3812658" TargetMode="External"/><Relationship Id="rId20" Type="http://schemas.openxmlformats.org/officeDocument/2006/relationships/hyperlink" Target="https://doi.org/10.1093/ei/cbh051" TargetMode="External"/><Relationship Id="rId1" Type="http://schemas.openxmlformats.org/officeDocument/2006/relationships/hyperlink" Target="https://www.jstor.org/journal/jlaweconomics" TargetMode="External"/><Relationship Id="rId6" Type="http://schemas.openxmlformats.org/officeDocument/2006/relationships/hyperlink" Target="https://www.journals.uchicago.edu/toc/jle/1970/13/1" TargetMode="External"/><Relationship Id="rId11" Type="http://schemas.openxmlformats.org/officeDocument/2006/relationships/hyperlink" Target="https://www.congress.gov/bill/109th-congress/house-bill/5946/text" TargetMode="External"/><Relationship Id="rId5" Type="http://schemas.openxmlformats.org/officeDocument/2006/relationships/hyperlink" Target="https://www.journals.uchicago.edu/journal/jle" TargetMode="External"/><Relationship Id="rId15" Type="http://schemas.openxmlformats.org/officeDocument/2006/relationships/hyperlink" Target="https://www.nytimes.com/2025/01/03/science/snail-darter-fish-tellico-dam.html" TargetMode="External"/><Relationship Id="rId10" Type="http://schemas.openxmlformats.org/officeDocument/2006/relationships/hyperlink" Target="https://archive.org/details/dli.bengal.10689.4260" TargetMode="External"/><Relationship Id="rId19" Type="http://schemas.openxmlformats.org/officeDocument/2006/relationships/hyperlink" Target="https://www.journals.uchicago.edu/doi/abs/10.1086/344670?journalCode=jle" TargetMode="External"/><Relationship Id="rId4" Type="http://schemas.openxmlformats.org/officeDocument/2006/relationships/hyperlink" Target="https://www.sciencedirect.com/journal/european-journal-of-political-economy/vol/12/issue/4" TargetMode="External"/><Relationship Id="rId9" Type="http://schemas.openxmlformats.org/officeDocument/2006/relationships/hyperlink" Target="https://archive.org/details/dli.bengal.10689.4260" TargetMode="External"/><Relationship Id="rId14" Type="http://schemas.openxmlformats.org/officeDocument/2006/relationships/hyperlink" Target="https://www.sciencedirect.com/journal/journal-of-environmental-economics-and-management/vol/67/issue/2"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23T00:30:45.275"/>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8EB31-065C-4CC3-A926-154BB5D44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9751</TotalTime>
  <Pages>37</Pages>
  <Words>11422</Words>
  <Characters>65111</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Libeap</dc:creator>
  <cp:keywords/>
  <dc:description/>
  <cp:lastModifiedBy>Gary Libeap</cp:lastModifiedBy>
  <cp:revision>82</cp:revision>
  <cp:lastPrinted>2024-11-05T22:46:00Z</cp:lastPrinted>
  <dcterms:created xsi:type="dcterms:W3CDTF">2024-11-10T22:10:00Z</dcterms:created>
  <dcterms:modified xsi:type="dcterms:W3CDTF">2025-01-11T19:25:00Z</dcterms:modified>
</cp:coreProperties>
</file>