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E7F9" w14:textId="77777777" w:rsidR="00967C12" w:rsidRPr="00DF0990" w:rsidRDefault="00967C12" w:rsidP="00967C12">
      <w:pPr>
        <w:spacing w:after="0" w:line="240" w:lineRule="auto"/>
        <w:jc w:val="center"/>
        <w:rPr>
          <w:rFonts w:ascii="Times New Roman" w:eastAsia="Times New Roman" w:hAnsi="Times New Roman" w:cs="Times New Roman"/>
          <w:sz w:val="24"/>
          <w:szCs w:val="24"/>
          <w:lang w:val="en-GB" w:eastAsia="nl-NL"/>
        </w:rPr>
      </w:pPr>
      <w:r>
        <w:rPr>
          <w:rFonts w:ascii="Times New Roman" w:eastAsia="Times New Roman" w:hAnsi="Times New Roman" w:cs="Times New Roman"/>
          <w:b/>
          <w:szCs w:val="24"/>
          <w:lang w:val="en-US" w:eastAsia="nl-NL"/>
        </w:rPr>
        <w:t xml:space="preserve">Compliance with International Law in a Dynamic Equilibrium </w:t>
      </w:r>
    </w:p>
    <w:p w14:paraId="2F8E23D5" w14:textId="77777777" w:rsidR="00967C12" w:rsidRPr="0064489A" w:rsidRDefault="00967C12" w:rsidP="00967C12">
      <w:pPr>
        <w:spacing w:after="0" w:line="240" w:lineRule="auto"/>
        <w:jc w:val="center"/>
        <w:rPr>
          <w:rFonts w:ascii="Times New Roman" w:eastAsia="Times New Roman" w:hAnsi="Times New Roman" w:cs="Times New Roman"/>
          <w:i/>
          <w:sz w:val="24"/>
          <w:szCs w:val="24"/>
          <w:lang w:val="en-GB" w:eastAsia="nl-NL"/>
        </w:rPr>
      </w:pPr>
    </w:p>
    <w:p w14:paraId="7B017D30" w14:textId="77777777" w:rsidR="00967C12" w:rsidRPr="00DF0990" w:rsidRDefault="00967C12" w:rsidP="00967C12">
      <w:pPr>
        <w:spacing w:after="0" w:line="240" w:lineRule="auto"/>
        <w:jc w:val="center"/>
        <w:rPr>
          <w:rFonts w:ascii="Times New Roman" w:eastAsia="Times New Roman" w:hAnsi="Times New Roman" w:cs="Times New Roman"/>
          <w:i/>
          <w:sz w:val="24"/>
          <w:szCs w:val="24"/>
          <w:lang w:val="en-US" w:eastAsia="nl-NL"/>
        </w:rPr>
      </w:pPr>
    </w:p>
    <w:p w14:paraId="032CA057" w14:textId="77777777" w:rsidR="00967C12" w:rsidRPr="00DF0990" w:rsidRDefault="00967C12" w:rsidP="00967C12">
      <w:pPr>
        <w:spacing w:after="0" w:line="240" w:lineRule="auto"/>
        <w:jc w:val="center"/>
        <w:rPr>
          <w:rFonts w:ascii="Times New Roman" w:eastAsia="Times New Roman" w:hAnsi="Times New Roman" w:cs="Times New Roman"/>
          <w:i/>
          <w:sz w:val="24"/>
          <w:szCs w:val="24"/>
          <w:lang w:val="en-US" w:eastAsia="nl-NL"/>
        </w:rPr>
      </w:pPr>
    </w:p>
    <w:p w14:paraId="620FCD7F" w14:textId="77777777" w:rsidR="00967C12" w:rsidRPr="00DF0990" w:rsidRDefault="00967C12" w:rsidP="00967C12">
      <w:pPr>
        <w:spacing w:after="0" w:line="240" w:lineRule="auto"/>
        <w:jc w:val="center"/>
        <w:rPr>
          <w:rFonts w:ascii="Times New Roman" w:eastAsia="Times New Roman" w:hAnsi="Times New Roman" w:cs="Times New Roman"/>
          <w:b/>
          <w:sz w:val="24"/>
          <w:szCs w:val="24"/>
          <w:vertAlign w:val="superscript"/>
          <w:lang w:val="pl-PL" w:eastAsia="nl-NL"/>
        </w:rPr>
      </w:pPr>
      <w:r w:rsidRPr="00DF0990">
        <w:rPr>
          <w:rFonts w:ascii="Times New Roman" w:eastAsia="Times New Roman" w:hAnsi="Times New Roman" w:cs="Times New Roman"/>
          <w:b/>
          <w:sz w:val="24"/>
          <w:szCs w:val="24"/>
          <w:lang w:val="pl-PL" w:eastAsia="nl-NL"/>
        </w:rPr>
        <w:t>Shai Dothan,</w:t>
      </w:r>
      <w:r w:rsidRPr="00DF0990">
        <w:rPr>
          <w:rFonts w:ascii="Times New Roman" w:eastAsia="Times New Roman" w:hAnsi="Times New Roman" w:cs="Times New Roman"/>
          <w:b/>
          <w:sz w:val="24"/>
          <w:szCs w:val="24"/>
          <w:vertAlign w:val="superscript"/>
          <w:lang w:val="pl-PL" w:eastAsia="nl-NL"/>
        </w:rPr>
        <w:t>1</w:t>
      </w:r>
      <w:r w:rsidRPr="00DF0990">
        <w:rPr>
          <w:rFonts w:ascii="Times New Roman" w:eastAsia="Times New Roman" w:hAnsi="Times New Roman" w:cs="Times New Roman"/>
          <w:b/>
          <w:sz w:val="24"/>
          <w:szCs w:val="24"/>
          <w:lang w:val="pl-PL" w:eastAsia="nl-NL"/>
        </w:rPr>
        <w:t xml:space="preserve"> Mitja Kovac</w:t>
      </w:r>
      <w:r w:rsidRPr="00DF0990">
        <w:rPr>
          <w:rFonts w:ascii="Times New Roman" w:eastAsia="Times New Roman" w:hAnsi="Times New Roman" w:cs="Times New Roman"/>
          <w:b/>
          <w:sz w:val="24"/>
          <w:szCs w:val="24"/>
          <w:vertAlign w:val="superscript"/>
          <w:lang w:val="pl-PL" w:eastAsia="nl-NL"/>
        </w:rPr>
        <w:t xml:space="preserve">2 </w:t>
      </w:r>
      <w:r w:rsidRPr="00DF0990">
        <w:rPr>
          <w:rFonts w:ascii="Times New Roman" w:eastAsia="Times New Roman" w:hAnsi="Times New Roman" w:cs="Times New Roman"/>
          <w:b/>
          <w:sz w:val="24"/>
          <w:szCs w:val="24"/>
          <w:lang w:val="pl-PL" w:eastAsia="nl-NL"/>
        </w:rPr>
        <w:t>and Rok Spruk</w:t>
      </w:r>
      <w:r w:rsidRPr="00DF0990">
        <w:rPr>
          <w:rFonts w:ascii="Times New Roman" w:eastAsia="Times New Roman" w:hAnsi="Times New Roman" w:cs="Times New Roman"/>
          <w:b/>
          <w:sz w:val="24"/>
          <w:szCs w:val="24"/>
          <w:vertAlign w:val="superscript"/>
          <w:lang w:val="pl-PL" w:eastAsia="nl-NL"/>
        </w:rPr>
        <w:t>2</w:t>
      </w:r>
    </w:p>
    <w:p w14:paraId="134B5B35" w14:textId="77777777" w:rsidR="00967C12" w:rsidRPr="00DF0990" w:rsidRDefault="00967C12" w:rsidP="00967C12">
      <w:pPr>
        <w:spacing w:after="0" w:line="240" w:lineRule="auto"/>
        <w:jc w:val="center"/>
        <w:rPr>
          <w:rFonts w:ascii="Times New Roman" w:eastAsia="Times New Roman" w:hAnsi="Times New Roman" w:cs="Times New Roman"/>
          <w:bCs/>
          <w:sz w:val="24"/>
          <w:szCs w:val="24"/>
          <w:lang w:val="pl-PL" w:eastAsia="nl-NL"/>
        </w:rPr>
      </w:pPr>
    </w:p>
    <w:p w14:paraId="4CF6B11B" w14:textId="77777777" w:rsidR="00967C12" w:rsidRPr="00DF0990" w:rsidRDefault="00967C12" w:rsidP="00967C12">
      <w:pPr>
        <w:spacing w:after="0" w:line="240" w:lineRule="auto"/>
        <w:jc w:val="center"/>
        <w:rPr>
          <w:rFonts w:ascii="Times New Roman" w:eastAsia="Times New Roman" w:hAnsi="Times New Roman" w:cs="Times New Roman"/>
          <w:i/>
          <w:iCs/>
          <w:sz w:val="20"/>
          <w:szCs w:val="24"/>
          <w:lang w:val="en-GB" w:eastAsia="nl-NL"/>
        </w:rPr>
      </w:pPr>
      <w:r w:rsidRPr="00DF0990">
        <w:rPr>
          <w:rFonts w:ascii="Times New Roman" w:eastAsia="Times New Roman" w:hAnsi="Times New Roman" w:cs="Times New Roman"/>
          <w:i/>
          <w:iCs/>
          <w:sz w:val="20"/>
          <w:szCs w:val="24"/>
          <w:vertAlign w:val="superscript"/>
          <w:lang w:val="en-GB" w:eastAsia="nl-NL"/>
        </w:rPr>
        <w:t>1</w:t>
      </w:r>
      <w:r w:rsidRPr="00DF0990">
        <w:rPr>
          <w:rFonts w:ascii="Times New Roman" w:eastAsia="Times New Roman" w:hAnsi="Times New Roman" w:cs="Times New Roman"/>
          <w:i/>
          <w:iCs/>
          <w:sz w:val="20"/>
          <w:szCs w:val="24"/>
          <w:lang w:val="en-GB" w:eastAsia="nl-NL"/>
        </w:rPr>
        <w:t>University of Copenhagen Faculty of Law</w:t>
      </w:r>
    </w:p>
    <w:p w14:paraId="2EF54322" w14:textId="77777777" w:rsidR="00967C12" w:rsidRPr="00DF0990" w:rsidRDefault="00967C12" w:rsidP="00967C12">
      <w:pPr>
        <w:spacing w:after="0" w:line="240" w:lineRule="auto"/>
        <w:jc w:val="center"/>
        <w:rPr>
          <w:rFonts w:ascii="Times New Roman" w:eastAsia="Times New Roman" w:hAnsi="Times New Roman" w:cs="Times New Roman"/>
          <w:i/>
          <w:iCs/>
          <w:sz w:val="20"/>
          <w:szCs w:val="24"/>
          <w:lang w:val="en-GB" w:eastAsia="nl-NL"/>
        </w:rPr>
      </w:pPr>
      <w:r w:rsidRPr="00DF0990">
        <w:rPr>
          <w:rFonts w:ascii="Times New Roman" w:eastAsia="Times New Roman" w:hAnsi="Times New Roman" w:cs="Times New Roman"/>
          <w:i/>
          <w:iCs/>
          <w:sz w:val="20"/>
          <w:szCs w:val="24"/>
          <w:vertAlign w:val="superscript"/>
          <w:lang w:val="pl-PL" w:eastAsia="nl-NL"/>
        </w:rPr>
        <w:t>2</w:t>
      </w:r>
      <w:r w:rsidRPr="00DF0990">
        <w:rPr>
          <w:rFonts w:ascii="Times New Roman" w:eastAsia="Times New Roman" w:hAnsi="Times New Roman" w:cs="Times New Roman"/>
          <w:i/>
          <w:iCs/>
          <w:sz w:val="20"/>
          <w:szCs w:val="24"/>
          <w:lang w:val="en-GB" w:eastAsia="nl-NL"/>
        </w:rPr>
        <w:t xml:space="preserve">University of Ljubljana, School of Economics and Business </w:t>
      </w:r>
    </w:p>
    <w:p w14:paraId="121D3F87" w14:textId="77777777" w:rsidR="00967C12" w:rsidRPr="00DF0990" w:rsidRDefault="00967C12" w:rsidP="00967C12">
      <w:pPr>
        <w:spacing w:after="0" w:line="240" w:lineRule="auto"/>
        <w:jc w:val="center"/>
        <w:rPr>
          <w:rFonts w:ascii="Times New Roman" w:eastAsia="Times New Roman" w:hAnsi="Times New Roman" w:cs="Times New Roman"/>
          <w:i/>
          <w:iCs/>
          <w:sz w:val="20"/>
          <w:szCs w:val="24"/>
          <w:lang w:val="de-AT" w:eastAsia="nl-NL"/>
        </w:rPr>
      </w:pPr>
      <w:r w:rsidRPr="00DF0990">
        <w:rPr>
          <w:rFonts w:ascii="Times New Roman" w:eastAsia="Times New Roman" w:hAnsi="Times New Roman" w:cs="Times New Roman"/>
          <w:i/>
          <w:iCs/>
          <w:sz w:val="20"/>
          <w:szCs w:val="24"/>
          <w:lang w:val="de-DE" w:eastAsia="nl-NL"/>
        </w:rPr>
        <w:t xml:space="preserve">e-mail: </w:t>
      </w:r>
      <w:hyperlink r:id="rId8" w:history="1">
        <w:r w:rsidRPr="00DF0990">
          <w:rPr>
            <w:rFonts w:ascii="Times New Roman" w:eastAsia="Times New Roman" w:hAnsi="Times New Roman" w:cs="Times New Roman"/>
            <w:i/>
            <w:iCs/>
            <w:color w:val="0563C1"/>
            <w:sz w:val="20"/>
            <w:szCs w:val="24"/>
            <w:u w:val="single"/>
            <w:lang w:val="de-DE" w:eastAsia="nl-NL"/>
          </w:rPr>
          <w:t>shai.dothan@jur.ku.dk</w:t>
        </w:r>
      </w:hyperlink>
      <w:r w:rsidRPr="00DF0990">
        <w:rPr>
          <w:rFonts w:ascii="Times New Roman" w:eastAsia="Times New Roman" w:hAnsi="Times New Roman" w:cs="Times New Roman"/>
          <w:i/>
          <w:iCs/>
          <w:sz w:val="20"/>
          <w:szCs w:val="24"/>
          <w:lang w:val="de-DE" w:eastAsia="nl-NL"/>
        </w:rPr>
        <w:t xml:space="preserve"> ; </w:t>
      </w:r>
      <w:hyperlink r:id="rId9" w:history="1">
        <w:r w:rsidRPr="00DF0990">
          <w:rPr>
            <w:rFonts w:ascii="Times New Roman" w:eastAsia="Times New Roman" w:hAnsi="Times New Roman" w:cs="Times New Roman"/>
            <w:i/>
            <w:iCs/>
            <w:color w:val="0563C1"/>
            <w:sz w:val="20"/>
            <w:szCs w:val="24"/>
            <w:u w:val="single"/>
            <w:lang w:val="de-DE" w:eastAsia="nl-NL"/>
          </w:rPr>
          <w:t>mitja.kovac@ef.uni-lj.si</w:t>
        </w:r>
      </w:hyperlink>
      <w:r w:rsidRPr="00DF0990">
        <w:rPr>
          <w:rFonts w:ascii="Times New Roman" w:eastAsia="Times New Roman" w:hAnsi="Times New Roman" w:cs="Times New Roman"/>
          <w:i/>
          <w:iCs/>
          <w:sz w:val="20"/>
          <w:szCs w:val="24"/>
          <w:lang w:val="de-AT" w:eastAsia="nl-NL"/>
        </w:rPr>
        <w:t xml:space="preserve"> ; </w:t>
      </w:r>
      <w:hyperlink r:id="rId10" w:history="1">
        <w:r w:rsidRPr="00DF0990">
          <w:rPr>
            <w:rFonts w:ascii="Times New Roman" w:eastAsia="Times New Roman" w:hAnsi="Times New Roman" w:cs="Times New Roman"/>
            <w:i/>
            <w:iCs/>
            <w:color w:val="0563C1"/>
            <w:sz w:val="20"/>
            <w:szCs w:val="24"/>
            <w:u w:val="single"/>
            <w:lang w:val="de-AT" w:eastAsia="nl-NL"/>
          </w:rPr>
          <w:t>rok.spruk@ef.uni-lj.si</w:t>
        </w:r>
      </w:hyperlink>
      <w:r w:rsidRPr="00DF0990">
        <w:rPr>
          <w:rFonts w:ascii="Times New Roman" w:eastAsia="Times New Roman" w:hAnsi="Times New Roman" w:cs="Times New Roman"/>
          <w:i/>
          <w:iCs/>
          <w:sz w:val="20"/>
          <w:szCs w:val="24"/>
          <w:lang w:val="de-AT" w:eastAsia="nl-NL"/>
        </w:rPr>
        <w:t xml:space="preserve"> </w:t>
      </w:r>
    </w:p>
    <w:p w14:paraId="071ADF29" w14:textId="77777777" w:rsidR="00967C12" w:rsidRPr="00DF0990" w:rsidRDefault="00967C12" w:rsidP="00967C12">
      <w:pPr>
        <w:spacing w:after="0" w:line="240" w:lineRule="auto"/>
        <w:jc w:val="center"/>
        <w:rPr>
          <w:rFonts w:ascii="Times New Roman" w:eastAsia="Times New Roman" w:hAnsi="Times New Roman" w:cs="Times New Roman"/>
          <w:i/>
          <w:iCs/>
          <w:sz w:val="20"/>
          <w:szCs w:val="24"/>
          <w:lang w:val="de-AT" w:eastAsia="nl-NL"/>
        </w:rPr>
      </w:pPr>
    </w:p>
    <w:p w14:paraId="2CEFD574" w14:textId="77777777" w:rsidR="00967C12" w:rsidRPr="00DF0990" w:rsidRDefault="00967C12" w:rsidP="00967C12">
      <w:pPr>
        <w:spacing w:after="0" w:line="240" w:lineRule="auto"/>
        <w:jc w:val="center"/>
        <w:rPr>
          <w:rFonts w:ascii="Times New Roman" w:eastAsia="Times New Roman" w:hAnsi="Times New Roman" w:cs="Times New Roman"/>
          <w:i/>
          <w:iCs/>
          <w:sz w:val="20"/>
          <w:szCs w:val="24"/>
          <w:lang w:val="de-AT" w:eastAsia="nl-NL"/>
        </w:rPr>
      </w:pPr>
    </w:p>
    <w:p w14:paraId="07DC8767" w14:textId="77777777" w:rsidR="00967C12" w:rsidRPr="00DF0990" w:rsidRDefault="00967C12" w:rsidP="00967C12">
      <w:pPr>
        <w:pBdr>
          <w:bottom w:val="single" w:sz="6" w:space="1" w:color="auto"/>
        </w:pBdr>
        <w:spacing w:after="0" w:line="240" w:lineRule="auto"/>
        <w:jc w:val="center"/>
        <w:rPr>
          <w:rFonts w:ascii="Times New Roman" w:eastAsia="Times New Roman" w:hAnsi="Times New Roman" w:cs="Times New Roman"/>
          <w:i/>
          <w:iCs/>
          <w:sz w:val="20"/>
          <w:szCs w:val="24"/>
          <w:lang w:val="de-AT" w:eastAsia="nl-NL"/>
        </w:rPr>
      </w:pPr>
    </w:p>
    <w:p w14:paraId="3243401A" w14:textId="77777777" w:rsidR="00967C12" w:rsidRPr="00DF0990" w:rsidRDefault="00967C12" w:rsidP="00967C12">
      <w:pPr>
        <w:spacing w:after="0" w:line="240" w:lineRule="auto"/>
        <w:jc w:val="both"/>
        <w:rPr>
          <w:rFonts w:ascii="Times New Roman" w:eastAsia="Times New Roman" w:hAnsi="Times New Roman" w:cs="Times New Roman"/>
          <w:iCs/>
          <w:sz w:val="20"/>
          <w:szCs w:val="24"/>
          <w:lang w:val="de-AT" w:eastAsia="nl-NL"/>
        </w:rPr>
      </w:pPr>
    </w:p>
    <w:p w14:paraId="58FEFC70" w14:textId="77777777" w:rsidR="00967C12" w:rsidRPr="00DF0990" w:rsidRDefault="00967C12" w:rsidP="00967C12">
      <w:pPr>
        <w:spacing w:after="0" w:line="240" w:lineRule="auto"/>
        <w:jc w:val="center"/>
        <w:rPr>
          <w:rFonts w:ascii="Times New Roman" w:eastAsia="Times New Roman" w:hAnsi="Times New Roman" w:cs="Times New Roman"/>
          <w:szCs w:val="24"/>
          <w:lang w:val="de-AT" w:eastAsia="nl-NL"/>
        </w:rPr>
      </w:pPr>
    </w:p>
    <w:p w14:paraId="49272A1B" w14:textId="77777777" w:rsidR="00967C12" w:rsidRPr="00DF0990" w:rsidRDefault="00967C12" w:rsidP="00967C12">
      <w:pPr>
        <w:spacing w:after="0" w:line="240" w:lineRule="auto"/>
        <w:jc w:val="center"/>
        <w:rPr>
          <w:rFonts w:ascii="Times New Roman" w:eastAsia="Times New Roman" w:hAnsi="Times New Roman" w:cs="Times New Roman"/>
          <w:iCs/>
          <w:sz w:val="24"/>
          <w:szCs w:val="24"/>
          <w:lang w:val="en-US" w:eastAsia="nl-NL"/>
        </w:rPr>
      </w:pPr>
      <w:r>
        <w:rPr>
          <w:rFonts w:ascii="Times New Roman" w:eastAsia="Times New Roman" w:hAnsi="Times New Roman" w:cs="Times New Roman"/>
          <w:b/>
          <w:iCs/>
          <w:sz w:val="24"/>
          <w:szCs w:val="24"/>
          <w:lang w:val="en-US" w:eastAsia="nl-NL"/>
        </w:rPr>
        <w:t>A</w:t>
      </w:r>
      <w:r w:rsidRPr="00DF0990">
        <w:rPr>
          <w:rFonts w:ascii="Times New Roman" w:eastAsia="Times New Roman" w:hAnsi="Times New Roman" w:cs="Times New Roman"/>
          <w:b/>
          <w:iCs/>
          <w:sz w:val="24"/>
          <w:szCs w:val="24"/>
          <w:lang w:val="en-US" w:eastAsia="nl-NL"/>
        </w:rPr>
        <w:t>bstract</w:t>
      </w:r>
    </w:p>
    <w:p w14:paraId="7E872A57" w14:textId="77777777" w:rsidR="00967C12" w:rsidRPr="00DF0990" w:rsidRDefault="00967C12" w:rsidP="00967C12">
      <w:pPr>
        <w:spacing w:after="0" w:line="240" w:lineRule="auto"/>
        <w:jc w:val="both"/>
        <w:rPr>
          <w:rFonts w:ascii="Times New Roman" w:eastAsia="Times New Roman" w:hAnsi="Times New Roman" w:cs="Times New Roman"/>
          <w:i/>
          <w:sz w:val="24"/>
          <w:szCs w:val="24"/>
          <w:lang w:val="en-GB" w:eastAsia="nl-NL"/>
        </w:rPr>
      </w:pPr>
    </w:p>
    <w:p w14:paraId="22705853" w14:textId="58C1D530" w:rsidR="00967C12" w:rsidRPr="00DF0990" w:rsidRDefault="00967C12" w:rsidP="00967C12">
      <w:pPr>
        <w:spacing w:after="0" w:line="240" w:lineRule="auto"/>
        <w:jc w:val="both"/>
        <w:rPr>
          <w:rFonts w:ascii="Times New Roman" w:eastAsia="Times New Roman" w:hAnsi="Times New Roman" w:cs="Times New Roman"/>
          <w:i/>
          <w:sz w:val="24"/>
          <w:szCs w:val="24"/>
          <w:lang w:val="en-GB" w:eastAsia="nl-NL"/>
        </w:rPr>
      </w:pPr>
      <w:bookmarkStart w:id="0" w:name="_Hlk173319390"/>
      <w:r>
        <w:rPr>
          <w:rFonts w:ascii="Times New Roman" w:eastAsia="Times New Roman" w:hAnsi="Times New Roman" w:cs="Times New Roman"/>
          <w:i/>
          <w:sz w:val="24"/>
          <w:szCs w:val="24"/>
          <w:lang w:val="en-GB" w:eastAsia="nl-NL"/>
        </w:rPr>
        <w:t xml:space="preserve">Democracies tend to comply with international law in their interactions with other democracies. When autocracies interact with democracies or with other autocracies, compliance with international law is much less likely. This is why autocratic regimes tend not only to increase noncompliance with international law by their own actions but also to spread noncompliance in other states in their vicinity. In contrast, shifting towards democracy carries with it the advantage of better interactions with other democracies. This is why a shift to democracy usually happens in waves, with multiple autocracies that realize democracy will be better for all of them. The result is a dynamic equilibrium between the continual spreading of autocracy and noncompliance and waves of democratization leading to more compliance. This paper will </w:t>
      </w:r>
      <w:r w:rsidR="00B476EA">
        <w:rPr>
          <w:rFonts w:ascii="Times New Roman" w:eastAsia="Times New Roman" w:hAnsi="Times New Roman" w:cs="Times New Roman"/>
          <w:i/>
          <w:sz w:val="24"/>
          <w:szCs w:val="24"/>
          <w:lang w:val="en-GB" w:eastAsia="nl-NL"/>
        </w:rPr>
        <w:t xml:space="preserve">begin to </w:t>
      </w:r>
      <w:r>
        <w:rPr>
          <w:rFonts w:ascii="Times New Roman" w:eastAsia="Times New Roman" w:hAnsi="Times New Roman" w:cs="Times New Roman"/>
          <w:i/>
          <w:sz w:val="24"/>
          <w:szCs w:val="24"/>
          <w:lang w:val="en-GB" w:eastAsia="nl-NL"/>
        </w:rPr>
        <w:t xml:space="preserve">investigate </w:t>
      </w:r>
      <w:r w:rsidRPr="00DF0990">
        <w:rPr>
          <w:rFonts w:ascii="Times New Roman" w:eastAsia="Times New Roman" w:hAnsi="Times New Roman" w:cs="Times New Roman"/>
          <w:i/>
          <w:sz w:val="24"/>
          <w:szCs w:val="24"/>
          <w:lang w:val="en-GB" w:eastAsia="nl-NL"/>
        </w:rPr>
        <w:t>how the dynamic equilibrium evolves over time</w:t>
      </w:r>
      <w:r w:rsidR="00B476EA">
        <w:rPr>
          <w:rFonts w:ascii="Times New Roman" w:eastAsia="Times New Roman" w:hAnsi="Times New Roman" w:cs="Times New Roman"/>
          <w:i/>
          <w:sz w:val="24"/>
          <w:szCs w:val="24"/>
          <w:lang w:val="en-GB" w:eastAsia="nl-NL"/>
        </w:rPr>
        <w:t>, with a focus on the spread of non-compliance</w:t>
      </w:r>
      <w:r>
        <w:rPr>
          <w:rFonts w:ascii="Times New Roman" w:eastAsia="Times New Roman" w:hAnsi="Times New Roman" w:cs="Times New Roman"/>
          <w:i/>
          <w:sz w:val="24"/>
          <w:szCs w:val="24"/>
          <w:lang w:val="en-GB" w:eastAsia="nl-NL"/>
        </w:rPr>
        <w:t>. The paper employs data about</w:t>
      </w:r>
      <w:r w:rsidRPr="00DF0990">
        <w:rPr>
          <w:rFonts w:ascii="Times New Roman" w:eastAsia="Times New Roman" w:hAnsi="Times New Roman" w:cs="Times New Roman"/>
          <w:i/>
          <w:sz w:val="24"/>
          <w:szCs w:val="24"/>
          <w:lang w:val="en-GB" w:eastAsia="nl-NL"/>
        </w:rPr>
        <w:t xml:space="preserve"> UN General Assembl</w:t>
      </w:r>
      <w:r>
        <w:rPr>
          <w:rFonts w:ascii="Times New Roman" w:eastAsia="Times New Roman" w:hAnsi="Times New Roman" w:cs="Times New Roman"/>
          <w:i/>
          <w:sz w:val="24"/>
          <w:szCs w:val="24"/>
          <w:lang w:val="en-GB" w:eastAsia="nl-NL"/>
        </w:rPr>
        <w:t>y votes</w:t>
      </w:r>
      <w:r w:rsidRPr="00DF0990">
        <w:rPr>
          <w:rFonts w:ascii="Times New Roman" w:eastAsia="Times New Roman" w:hAnsi="Times New Roman" w:cs="Times New Roman"/>
          <w:i/>
          <w:sz w:val="24"/>
          <w:szCs w:val="24"/>
          <w:lang w:val="en-GB" w:eastAsia="nl-NL"/>
        </w:rPr>
        <w:t xml:space="preserve"> </w:t>
      </w:r>
      <w:r>
        <w:rPr>
          <w:rFonts w:ascii="Times New Roman" w:eastAsia="Times New Roman" w:hAnsi="Times New Roman" w:cs="Times New Roman"/>
          <w:i/>
          <w:sz w:val="24"/>
          <w:szCs w:val="24"/>
          <w:lang w:val="en-GB" w:eastAsia="nl-NL"/>
        </w:rPr>
        <w:t xml:space="preserve">to determine how practices of compliance and noncompliance tend to spread between states. </w:t>
      </w:r>
    </w:p>
    <w:bookmarkEnd w:id="0"/>
    <w:p w14:paraId="4AF9206C" w14:textId="77777777" w:rsidR="00967C12" w:rsidRPr="00DF0990" w:rsidRDefault="00967C12" w:rsidP="00967C12">
      <w:pPr>
        <w:spacing w:after="0" w:line="240" w:lineRule="auto"/>
        <w:jc w:val="both"/>
        <w:rPr>
          <w:rFonts w:ascii="Times New Roman" w:eastAsia="Times New Roman" w:hAnsi="Times New Roman" w:cs="Times New Roman"/>
          <w:i/>
          <w:sz w:val="24"/>
          <w:szCs w:val="24"/>
          <w:lang w:val="en-GB" w:eastAsia="nl-NL"/>
        </w:rPr>
      </w:pPr>
    </w:p>
    <w:p w14:paraId="525DB8E2" w14:textId="77777777" w:rsidR="00967C12" w:rsidRPr="00DF0990" w:rsidRDefault="00967C12" w:rsidP="00967C12">
      <w:pPr>
        <w:widowControl w:val="0"/>
        <w:spacing w:after="0" w:line="240" w:lineRule="auto"/>
        <w:jc w:val="both"/>
        <w:rPr>
          <w:rFonts w:ascii="Times New Roman" w:eastAsia="Times New Roman" w:hAnsi="Times New Roman" w:cs="Times New Roman"/>
          <w:i/>
          <w:sz w:val="20"/>
          <w:szCs w:val="20"/>
          <w:lang w:val="en-US" w:eastAsia="nl-NL"/>
        </w:rPr>
      </w:pPr>
    </w:p>
    <w:p w14:paraId="708A9449" w14:textId="77777777" w:rsidR="00967C12" w:rsidRPr="00DF0990" w:rsidRDefault="00967C12" w:rsidP="00967C12">
      <w:pPr>
        <w:widowControl w:val="0"/>
        <w:spacing w:after="0" w:line="240" w:lineRule="auto"/>
        <w:jc w:val="both"/>
        <w:rPr>
          <w:rFonts w:ascii="Times New Roman" w:eastAsia="Times New Roman" w:hAnsi="Times New Roman" w:cs="Times New Roman"/>
          <w:sz w:val="20"/>
          <w:szCs w:val="20"/>
          <w:lang w:val="en-US" w:eastAsia="nl-NL"/>
        </w:rPr>
      </w:pPr>
      <w:r w:rsidRPr="00DF0990">
        <w:rPr>
          <w:rFonts w:ascii="Times New Roman" w:eastAsia="Times New Roman" w:hAnsi="Times New Roman" w:cs="Times New Roman"/>
          <w:b/>
          <w:i/>
          <w:sz w:val="20"/>
          <w:szCs w:val="20"/>
          <w:lang w:val="en-US" w:eastAsia="nl-NL"/>
        </w:rPr>
        <w:t>JEL classification</w:t>
      </w:r>
      <w:r w:rsidRPr="00DF0990">
        <w:rPr>
          <w:rFonts w:ascii="Times New Roman" w:eastAsia="Times New Roman" w:hAnsi="Times New Roman" w:cs="Times New Roman"/>
          <w:sz w:val="20"/>
          <w:szCs w:val="20"/>
          <w:lang w:val="en-US" w:eastAsia="nl-NL"/>
        </w:rPr>
        <w:t>: C23, C26, C51, K42, O43</w:t>
      </w:r>
    </w:p>
    <w:p w14:paraId="0F679ABA" w14:textId="284C22ED" w:rsidR="00967C12" w:rsidRPr="00DF0990" w:rsidRDefault="00967C12" w:rsidP="00967C12">
      <w:pPr>
        <w:widowControl w:val="0"/>
        <w:spacing w:after="0" w:line="240" w:lineRule="auto"/>
        <w:jc w:val="both"/>
        <w:rPr>
          <w:rFonts w:ascii="Calibri" w:eastAsia="Calibri" w:hAnsi="Calibri" w:cs="Times New Roman"/>
          <w:kern w:val="2"/>
          <w:lang w:val="en-US"/>
          <w14:ligatures w14:val="standardContextual"/>
        </w:rPr>
      </w:pPr>
      <w:r w:rsidRPr="00DF0990">
        <w:rPr>
          <w:rFonts w:ascii="Times New Roman" w:eastAsia="Times New Roman" w:hAnsi="Times New Roman" w:cs="Times New Roman"/>
          <w:b/>
          <w:i/>
          <w:iCs/>
          <w:sz w:val="20"/>
          <w:szCs w:val="20"/>
          <w:lang w:val="en-US" w:eastAsia="nl-NL"/>
        </w:rPr>
        <w:t>Keywords</w:t>
      </w:r>
      <w:r w:rsidRPr="00DF0990">
        <w:rPr>
          <w:rFonts w:ascii="Times New Roman" w:eastAsia="Times New Roman" w:hAnsi="Times New Roman" w:cs="Times New Roman"/>
          <w:b/>
          <w:sz w:val="20"/>
          <w:szCs w:val="20"/>
          <w:lang w:val="en-US" w:eastAsia="nl-NL"/>
        </w:rPr>
        <w:t>:</w:t>
      </w:r>
      <w:r w:rsidRPr="00DF0990">
        <w:rPr>
          <w:rFonts w:ascii="Times New Roman" w:eastAsia="Times New Roman" w:hAnsi="Times New Roman" w:cs="Times New Roman"/>
          <w:sz w:val="20"/>
          <w:szCs w:val="20"/>
          <w:lang w:val="en-US" w:eastAsia="nl-NL"/>
        </w:rPr>
        <w:t xml:space="preserve"> </w:t>
      </w:r>
      <w:r w:rsidR="00FB7E8A">
        <w:rPr>
          <w:rFonts w:ascii="Times New Roman" w:eastAsia="Times New Roman" w:hAnsi="Times New Roman" w:cs="Times New Roman"/>
          <w:sz w:val="20"/>
          <w:szCs w:val="20"/>
          <w:lang w:val="en-US" w:eastAsia="nl-NL"/>
        </w:rPr>
        <w:t>P</w:t>
      </w:r>
      <w:r w:rsidRPr="00DF0990">
        <w:rPr>
          <w:rFonts w:ascii="Times New Roman" w:eastAsia="Times New Roman" w:hAnsi="Times New Roman" w:cs="Times New Roman"/>
          <w:sz w:val="20"/>
          <w:szCs w:val="20"/>
          <w:lang w:val="en-US" w:eastAsia="nl-NL"/>
        </w:rPr>
        <w:t xml:space="preserve">reservation of international law, compliance and non-compliance, dynamic equilibrium, UN resolutions   </w:t>
      </w:r>
    </w:p>
    <w:p w14:paraId="14A77BC2" w14:textId="77777777" w:rsidR="00967C12" w:rsidRDefault="00967C12" w:rsidP="00967C12">
      <w:pPr>
        <w:spacing w:after="0" w:line="240" w:lineRule="auto"/>
        <w:jc w:val="both"/>
        <w:rPr>
          <w:rFonts w:ascii="Times New Roman" w:eastAsia="Times New Roman" w:hAnsi="Times New Roman" w:cs="Times New Roman"/>
          <w:i/>
          <w:sz w:val="24"/>
          <w:szCs w:val="24"/>
          <w:lang w:val="en-GB" w:eastAsia="nl-NL"/>
        </w:rPr>
      </w:pPr>
    </w:p>
    <w:sdt>
      <w:sdtPr>
        <w:rPr>
          <w:rFonts w:ascii="CMU Sans Serif" w:eastAsiaTheme="minorHAnsi" w:hAnsi="CMU Sans Serif" w:cs="CMU Sans Serif"/>
          <w:color w:val="auto"/>
          <w:sz w:val="20"/>
          <w:szCs w:val="20"/>
          <w:lang w:val="sl-SI"/>
        </w:rPr>
        <w:id w:val="-945924169"/>
        <w:docPartObj>
          <w:docPartGallery w:val="Table of Contents"/>
          <w:docPartUnique/>
        </w:docPartObj>
      </w:sdtPr>
      <w:sdtEndPr>
        <w:rPr>
          <w:b/>
          <w:bCs/>
          <w:noProof/>
          <w:sz w:val="28"/>
          <w:szCs w:val="22"/>
        </w:rPr>
      </w:sdtEndPr>
      <w:sdtContent>
        <w:p w14:paraId="761312A5" w14:textId="3DBDF5BB" w:rsidR="00563C09" w:rsidRPr="00674672" w:rsidRDefault="00563C09" w:rsidP="00674672">
          <w:pPr>
            <w:pStyle w:val="NaslovTOC"/>
            <w:spacing w:before="0" w:line="240" w:lineRule="auto"/>
            <w:jc w:val="center"/>
            <w:rPr>
              <w:sz w:val="20"/>
              <w:szCs w:val="20"/>
            </w:rPr>
          </w:pPr>
          <w:r w:rsidRPr="00674672">
            <w:rPr>
              <w:sz w:val="20"/>
              <w:szCs w:val="20"/>
            </w:rPr>
            <w:t>Table of Contents</w:t>
          </w:r>
        </w:p>
        <w:p w14:paraId="06F30D3D" w14:textId="61CCEE6E" w:rsidR="00674672" w:rsidRPr="00674672" w:rsidRDefault="00563C09" w:rsidP="00674672">
          <w:pPr>
            <w:pStyle w:val="Kazalovsebine1"/>
            <w:tabs>
              <w:tab w:val="left" w:pos="480"/>
              <w:tab w:val="right" w:leader="dot" w:pos="9016"/>
            </w:tabs>
            <w:spacing w:line="240" w:lineRule="auto"/>
            <w:rPr>
              <w:rFonts w:asciiTheme="minorHAnsi" w:eastAsiaTheme="minorEastAsia" w:hAnsiTheme="minorHAnsi" w:cstheme="minorBidi"/>
              <w:noProof/>
              <w:kern w:val="2"/>
              <w:sz w:val="20"/>
              <w:szCs w:val="20"/>
              <w:lang w:val="da-DK" w:eastAsia="da-DK" w:bidi="he-IL"/>
              <w14:ligatures w14:val="standardContextual"/>
            </w:rPr>
          </w:pPr>
          <w:r w:rsidRPr="00674672">
            <w:rPr>
              <w:sz w:val="20"/>
              <w:szCs w:val="20"/>
            </w:rPr>
            <w:fldChar w:fldCharType="begin"/>
          </w:r>
          <w:r w:rsidRPr="00674672">
            <w:rPr>
              <w:sz w:val="20"/>
              <w:szCs w:val="20"/>
            </w:rPr>
            <w:instrText xml:space="preserve"> TOC \o "1-3" \h \z \u </w:instrText>
          </w:r>
          <w:r w:rsidRPr="00674672">
            <w:rPr>
              <w:sz w:val="20"/>
              <w:szCs w:val="20"/>
            </w:rPr>
            <w:fldChar w:fldCharType="separate"/>
          </w:r>
          <w:hyperlink w:anchor="_Toc212314885" w:history="1">
            <w:r w:rsidR="00674672" w:rsidRPr="00674672">
              <w:rPr>
                <w:rStyle w:val="Hiperpovezava"/>
                <w:rFonts w:asciiTheme="majorBidi" w:hAnsiTheme="majorBidi"/>
                <w:noProof/>
                <w:sz w:val="20"/>
                <w:szCs w:val="20"/>
              </w:rPr>
              <w:t>1.</w:t>
            </w:r>
            <w:r w:rsidR="00674672" w:rsidRPr="00674672">
              <w:rPr>
                <w:rFonts w:asciiTheme="minorHAnsi" w:eastAsiaTheme="minorEastAsia" w:hAnsiTheme="minorHAnsi" w:cstheme="minorBidi"/>
                <w:noProof/>
                <w:kern w:val="2"/>
                <w:sz w:val="20"/>
                <w:szCs w:val="20"/>
                <w:lang w:val="da-DK" w:eastAsia="da-DK" w:bidi="he-IL"/>
                <w14:ligatures w14:val="standardContextual"/>
              </w:rPr>
              <w:tab/>
            </w:r>
            <w:r w:rsidR="00674672" w:rsidRPr="00674672">
              <w:rPr>
                <w:rStyle w:val="Hiperpovezava"/>
                <w:rFonts w:asciiTheme="majorBidi" w:hAnsiTheme="majorBidi"/>
                <w:noProof/>
                <w:sz w:val="20"/>
                <w:szCs w:val="20"/>
              </w:rPr>
              <w:t>Introduction</w:t>
            </w:r>
            <w:r w:rsidR="00674672" w:rsidRPr="00674672">
              <w:rPr>
                <w:noProof/>
                <w:webHidden/>
                <w:sz w:val="20"/>
                <w:szCs w:val="20"/>
              </w:rPr>
              <w:tab/>
            </w:r>
            <w:r w:rsidR="00674672" w:rsidRPr="00674672">
              <w:rPr>
                <w:noProof/>
                <w:webHidden/>
                <w:sz w:val="20"/>
                <w:szCs w:val="20"/>
              </w:rPr>
              <w:fldChar w:fldCharType="begin"/>
            </w:r>
            <w:r w:rsidR="00674672" w:rsidRPr="00674672">
              <w:rPr>
                <w:noProof/>
                <w:webHidden/>
                <w:sz w:val="20"/>
                <w:szCs w:val="20"/>
              </w:rPr>
              <w:instrText xml:space="preserve"> PAGEREF _Toc212314885 \h </w:instrText>
            </w:r>
            <w:r w:rsidR="00674672" w:rsidRPr="00674672">
              <w:rPr>
                <w:noProof/>
                <w:webHidden/>
                <w:sz w:val="20"/>
                <w:szCs w:val="20"/>
              </w:rPr>
            </w:r>
            <w:r w:rsidR="00674672" w:rsidRPr="00674672">
              <w:rPr>
                <w:noProof/>
                <w:webHidden/>
                <w:sz w:val="20"/>
                <w:szCs w:val="20"/>
              </w:rPr>
              <w:fldChar w:fldCharType="separate"/>
            </w:r>
            <w:r w:rsidR="00674672">
              <w:rPr>
                <w:noProof/>
                <w:webHidden/>
                <w:sz w:val="20"/>
                <w:szCs w:val="20"/>
              </w:rPr>
              <w:t>2</w:t>
            </w:r>
            <w:r w:rsidR="00674672" w:rsidRPr="00674672">
              <w:rPr>
                <w:noProof/>
                <w:webHidden/>
                <w:sz w:val="20"/>
                <w:szCs w:val="20"/>
              </w:rPr>
              <w:fldChar w:fldCharType="end"/>
            </w:r>
          </w:hyperlink>
        </w:p>
        <w:p w14:paraId="354F9AE7" w14:textId="78479B0B" w:rsidR="00674672" w:rsidRPr="00674672" w:rsidRDefault="00674672" w:rsidP="00674672">
          <w:pPr>
            <w:pStyle w:val="Kazalovsebine1"/>
            <w:tabs>
              <w:tab w:val="left" w:pos="480"/>
              <w:tab w:val="right" w:leader="dot" w:pos="9016"/>
            </w:tabs>
            <w:spacing w:line="240" w:lineRule="auto"/>
            <w:rPr>
              <w:rFonts w:asciiTheme="minorHAnsi" w:eastAsiaTheme="minorEastAsia" w:hAnsiTheme="minorHAnsi" w:cstheme="minorBidi"/>
              <w:noProof/>
              <w:kern w:val="2"/>
              <w:sz w:val="20"/>
              <w:szCs w:val="20"/>
              <w:lang w:val="da-DK" w:eastAsia="da-DK" w:bidi="he-IL"/>
              <w14:ligatures w14:val="standardContextual"/>
            </w:rPr>
          </w:pPr>
          <w:hyperlink w:anchor="_Toc212314886" w:history="1">
            <w:r w:rsidRPr="00674672">
              <w:rPr>
                <w:rStyle w:val="Hiperpovezava"/>
                <w:rFonts w:asciiTheme="majorBidi" w:hAnsiTheme="majorBidi"/>
                <w:noProof/>
                <w:sz w:val="20"/>
                <w:szCs w:val="20"/>
                <w:lang w:val="en-US"/>
              </w:rPr>
              <w:t>2.</w:t>
            </w:r>
            <w:r w:rsidRPr="00674672">
              <w:rPr>
                <w:rFonts w:asciiTheme="minorHAnsi" w:eastAsiaTheme="minorEastAsia" w:hAnsiTheme="minorHAnsi" w:cstheme="minorBidi"/>
                <w:noProof/>
                <w:kern w:val="2"/>
                <w:sz w:val="20"/>
                <w:szCs w:val="20"/>
                <w:lang w:val="da-DK" w:eastAsia="da-DK" w:bidi="he-IL"/>
                <w14:ligatures w14:val="standardContextual"/>
              </w:rPr>
              <w:tab/>
            </w:r>
            <w:r w:rsidRPr="00674672">
              <w:rPr>
                <w:rStyle w:val="Hiperpovezava"/>
                <w:rFonts w:asciiTheme="majorBidi" w:hAnsiTheme="majorBidi"/>
                <w:noProof/>
                <w:sz w:val="20"/>
                <w:szCs w:val="20"/>
                <w:lang w:val="en-US"/>
              </w:rPr>
              <w:t>Literature review and theoretical mechanisms at work</w:t>
            </w:r>
            <w:r w:rsidRPr="00674672">
              <w:rPr>
                <w:noProof/>
                <w:webHidden/>
                <w:sz w:val="20"/>
                <w:szCs w:val="20"/>
              </w:rPr>
              <w:tab/>
            </w:r>
            <w:r w:rsidRPr="00674672">
              <w:rPr>
                <w:noProof/>
                <w:webHidden/>
                <w:sz w:val="20"/>
                <w:szCs w:val="20"/>
              </w:rPr>
              <w:fldChar w:fldCharType="begin"/>
            </w:r>
            <w:r w:rsidRPr="00674672">
              <w:rPr>
                <w:noProof/>
                <w:webHidden/>
                <w:sz w:val="20"/>
                <w:szCs w:val="20"/>
              </w:rPr>
              <w:instrText xml:space="preserve"> PAGEREF _Toc212314886 \h </w:instrText>
            </w:r>
            <w:r w:rsidRPr="00674672">
              <w:rPr>
                <w:noProof/>
                <w:webHidden/>
                <w:sz w:val="20"/>
                <w:szCs w:val="20"/>
              </w:rPr>
            </w:r>
            <w:r w:rsidRPr="00674672">
              <w:rPr>
                <w:noProof/>
                <w:webHidden/>
                <w:sz w:val="20"/>
                <w:szCs w:val="20"/>
              </w:rPr>
              <w:fldChar w:fldCharType="separate"/>
            </w:r>
            <w:r>
              <w:rPr>
                <w:noProof/>
                <w:webHidden/>
                <w:sz w:val="20"/>
                <w:szCs w:val="20"/>
              </w:rPr>
              <w:t>3</w:t>
            </w:r>
            <w:r w:rsidRPr="00674672">
              <w:rPr>
                <w:noProof/>
                <w:webHidden/>
                <w:sz w:val="20"/>
                <w:szCs w:val="20"/>
              </w:rPr>
              <w:fldChar w:fldCharType="end"/>
            </w:r>
          </w:hyperlink>
        </w:p>
        <w:p w14:paraId="49F65D2B" w14:textId="104D84DC" w:rsidR="00674672" w:rsidRPr="00674672" w:rsidRDefault="00674672" w:rsidP="00674672">
          <w:pPr>
            <w:pStyle w:val="Kazalovsebine1"/>
            <w:tabs>
              <w:tab w:val="left" w:pos="480"/>
              <w:tab w:val="right" w:leader="dot" w:pos="9016"/>
            </w:tabs>
            <w:spacing w:line="240" w:lineRule="auto"/>
            <w:rPr>
              <w:rFonts w:asciiTheme="minorHAnsi" w:eastAsiaTheme="minorEastAsia" w:hAnsiTheme="minorHAnsi" w:cstheme="minorBidi"/>
              <w:noProof/>
              <w:kern w:val="2"/>
              <w:sz w:val="20"/>
              <w:szCs w:val="20"/>
              <w:lang w:val="da-DK" w:eastAsia="da-DK" w:bidi="he-IL"/>
              <w14:ligatures w14:val="standardContextual"/>
            </w:rPr>
          </w:pPr>
          <w:hyperlink w:anchor="_Toc212314887" w:history="1">
            <w:r w:rsidRPr="00674672">
              <w:rPr>
                <w:rStyle w:val="Hiperpovezava"/>
                <w:rFonts w:asciiTheme="majorBidi" w:hAnsiTheme="majorBidi"/>
                <w:noProof/>
                <w:sz w:val="20"/>
                <w:szCs w:val="20"/>
                <w:lang w:val="en-US"/>
              </w:rPr>
              <w:t>3.</w:t>
            </w:r>
            <w:r w:rsidRPr="00674672">
              <w:rPr>
                <w:rFonts w:asciiTheme="minorHAnsi" w:eastAsiaTheme="minorEastAsia" w:hAnsiTheme="minorHAnsi" w:cstheme="minorBidi"/>
                <w:noProof/>
                <w:kern w:val="2"/>
                <w:sz w:val="20"/>
                <w:szCs w:val="20"/>
                <w:lang w:val="da-DK" w:eastAsia="da-DK" w:bidi="he-IL"/>
                <w14:ligatures w14:val="standardContextual"/>
              </w:rPr>
              <w:tab/>
            </w:r>
            <w:r w:rsidRPr="00674672">
              <w:rPr>
                <w:rStyle w:val="Hiperpovezava"/>
                <w:rFonts w:asciiTheme="majorBidi" w:hAnsiTheme="majorBidi"/>
                <w:noProof/>
                <w:sz w:val="20"/>
                <w:szCs w:val="20"/>
                <w:lang w:val="en-US"/>
              </w:rPr>
              <w:t>Data and Methodology</w:t>
            </w:r>
            <w:r w:rsidRPr="00674672">
              <w:rPr>
                <w:noProof/>
                <w:webHidden/>
                <w:sz w:val="20"/>
                <w:szCs w:val="20"/>
              </w:rPr>
              <w:tab/>
            </w:r>
            <w:r w:rsidRPr="00674672">
              <w:rPr>
                <w:noProof/>
                <w:webHidden/>
                <w:sz w:val="20"/>
                <w:szCs w:val="20"/>
              </w:rPr>
              <w:fldChar w:fldCharType="begin"/>
            </w:r>
            <w:r w:rsidRPr="00674672">
              <w:rPr>
                <w:noProof/>
                <w:webHidden/>
                <w:sz w:val="20"/>
                <w:szCs w:val="20"/>
              </w:rPr>
              <w:instrText xml:space="preserve"> PAGEREF _Toc212314887 \h </w:instrText>
            </w:r>
            <w:r w:rsidRPr="00674672">
              <w:rPr>
                <w:noProof/>
                <w:webHidden/>
                <w:sz w:val="20"/>
                <w:szCs w:val="20"/>
              </w:rPr>
            </w:r>
            <w:r w:rsidRPr="00674672">
              <w:rPr>
                <w:noProof/>
                <w:webHidden/>
                <w:sz w:val="20"/>
                <w:szCs w:val="20"/>
              </w:rPr>
              <w:fldChar w:fldCharType="separate"/>
            </w:r>
            <w:r>
              <w:rPr>
                <w:noProof/>
                <w:webHidden/>
                <w:sz w:val="20"/>
                <w:szCs w:val="20"/>
              </w:rPr>
              <w:t>5</w:t>
            </w:r>
            <w:r w:rsidRPr="00674672">
              <w:rPr>
                <w:noProof/>
                <w:webHidden/>
                <w:sz w:val="20"/>
                <w:szCs w:val="20"/>
              </w:rPr>
              <w:fldChar w:fldCharType="end"/>
            </w:r>
          </w:hyperlink>
        </w:p>
        <w:p w14:paraId="0B611EE1" w14:textId="455A5E3E" w:rsidR="00674672" w:rsidRPr="00674672" w:rsidRDefault="00674672" w:rsidP="00674672">
          <w:pPr>
            <w:pStyle w:val="Kazalovsebine2"/>
            <w:tabs>
              <w:tab w:val="left" w:pos="960"/>
              <w:tab w:val="right" w:leader="dot" w:pos="9016"/>
            </w:tabs>
            <w:spacing w:line="240" w:lineRule="auto"/>
            <w:rPr>
              <w:noProof/>
              <w:sz w:val="20"/>
              <w:szCs w:val="20"/>
            </w:rPr>
          </w:pPr>
          <w:hyperlink w:anchor="_Toc212314888" w:history="1">
            <w:r w:rsidRPr="00674672">
              <w:rPr>
                <w:rStyle w:val="Hiperpovezava"/>
                <w:noProof/>
                <w:sz w:val="20"/>
                <w:szCs w:val="20"/>
                <w:lang w:val="en-GB"/>
              </w:rPr>
              <w:t xml:space="preserve">3.1 </w:t>
            </w:r>
            <w:r w:rsidRPr="00674672">
              <w:rPr>
                <w:noProof/>
                <w:sz w:val="20"/>
                <w:szCs w:val="20"/>
              </w:rPr>
              <w:tab/>
            </w:r>
            <w:r w:rsidRPr="00674672">
              <w:rPr>
                <w:rStyle w:val="Hiperpovezava"/>
                <w:noProof/>
                <w:sz w:val="20"/>
                <w:szCs w:val="20"/>
                <w:lang w:val="en-GB"/>
              </w:rPr>
              <w:t>Identification Strategy</w:t>
            </w:r>
            <w:r w:rsidRPr="00674672">
              <w:rPr>
                <w:noProof/>
                <w:webHidden/>
                <w:sz w:val="20"/>
                <w:szCs w:val="20"/>
              </w:rPr>
              <w:tab/>
            </w:r>
            <w:r w:rsidRPr="00674672">
              <w:rPr>
                <w:noProof/>
                <w:webHidden/>
                <w:sz w:val="20"/>
                <w:szCs w:val="20"/>
              </w:rPr>
              <w:fldChar w:fldCharType="begin"/>
            </w:r>
            <w:r w:rsidRPr="00674672">
              <w:rPr>
                <w:noProof/>
                <w:webHidden/>
                <w:sz w:val="20"/>
                <w:szCs w:val="20"/>
              </w:rPr>
              <w:instrText xml:space="preserve"> PAGEREF _Toc212314888 \h </w:instrText>
            </w:r>
            <w:r w:rsidRPr="00674672">
              <w:rPr>
                <w:noProof/>
                <w:webHidden/>
                <w:sz w:val="20"/>
                <w:szCs w:val="20"/>
              </w:rPr>
            </w:r>
            <w:r w:rsidRPr="00674672">
              <w:rPr>
                <w:noProof/>
                <w:webHidden/>
                <w:sz w:val="20"/>
                <w:szCs w:val="20"/>
              </w:rPr>
              <w:fldChar w:fldCharType="separate"/>
            </w:r>
            <w:r>
              <w:rPr>
                <w:noProof/>
                <w:webHidden/>
                <w:sz w:val="20"/>
                <w:szCs w:val="20"/>
              </w:rPr>
              <w:t>5</w:t>
            </w:r>
            <w:r w:rsidRPr="00674672">
              <w:rPr>
                <w:noProof/>
                <w:webHidden/>
                <w:sz w:val="20"/>
                <w:szCs w:val="20"/>
              </w:rPr>
              <w:fldChar w:fldCharType="end"/>
            </w:r>
          </w:hyperlink>
        </w:p>
        <w:p w14:paraId="27EA5291" w14:textId="0B3EC7C9" w:rsidR="00674672" w:rsidRPr="00674672" w:rsidRDefault="00674672" w:rsidP="00674672">
          <w:pPr>
            <w:pStyle w:val="Kazalovsebine2"/>
            <w:tabs>
              <w:tab w:val="left" w:pos="960"/>
              <w:tab w:val="right" w:leader="dot" w:pos="9016"/>
            </w:tabs>
            <w:spacing w:line="240" w:lineRule="auto"/>
            <w:rPr>
              <w:noProof/>
              <w:sz w:val="20"/>
              <w:szCs w:val="20"/>
            </w:rPr>
          </w:pPr>
          <w:hyperlink w:anchor="_Toc212314889" w:history="1">
            <w:r w:rsidRPr="00674672">
              <w:rPr>
                <w:rStyle w:val="Hiperpovezava"/>
                <w:noProof/>
                <w:sz w:val="20"/>
                <w:szCs w:val="20"/>
                <w:lang w:val="en-GB"/>
              </w:rPr>
              <w:t>3.2</w:t>
            </w:r>
            <w:r w:rsidRPr="00674672">
              <w:rPr>
                <w:noProof/>
                <w:sz w:val="20"/>
                <w:szCs w:val="20"/>
              </w:rPr>
              <w:tab/>
            </w:r>
            <w:r w:rsidRPr="00674672">
              <w:rPr>
                <w:rStyle w:val="Hiperpovezava"/>
                <w:noProof/>
                <w:sz w:val="20"/>
                <w:szCs w:val="20"/>
                <w:lang w:val="en-GB"/>
              </w:rPr>
              <w:t xml:space="preserve"> Samples and descriptive statistics</w:t>
            </w:r>
            <w:r w:rsidRPr="00674672">
              <w:rPr>
                <w:noProof/>
                <w:webHidden/>
                <w:sz w:val="20"/>
                <w:szCs w:val="20"/>
              </w:rPr>
              <w:tab/>
            </w:r>
            <w:r w:rsidRPr="00674672">
              <w:rPr>
                <w:noProof/>
                <w:webHidden/>
                <w:sz w:val="20"/>
                <w:szCs w:val="20"/>
              </w:rPr>
              <w:fldChar w:fldCharType="begin"/>
            </w:r>
            <w:r w:rsidRPr="00674672">
              <w:rPr>
                <w:noProof/>
                <w:webHidden/>
                <w:sz w:val="20"/>
                <w:szCs w:val="20"/>
              </w:rPr>
              <w:instrText xml:space="preserve"> PAGEREF _Toc212314889 \h </w:instrText>
            </w:r>
            <w:r w:rsidRPr="00674672">
              <w:rPr>
                <w:noProof/>
                <w:webHidden/>
                <w:sz w:val="20"/>
                <w:szCs w:val="20"/>
              </w:rPr>
            </w:r>
            <w:r w:rsidRPr="00674672">
              <w:rPr>
                <w:noProof/>
                <w:webHidden/>
                <w:sz w:val="20"/>
                <w:szCs w:val="20"/>
              </w:rPr>
              <w:fldChar w:fldCharType="separate"/>
            </w:r>
            <w:r>
              <w:rPr>
                <w:noProof/>
                <w:webHidden/>
                <w:sz w:val="20"/>
                <w:szCs w:val="20"/>
              </w:rPr>
              <w:t>7</w:t>
            </w:r>
            <w:r w:rsidRPr="00674672">
              <w:rPr>
                <w:noProof/>
                <w:webHidden/>
                <w:sz w:val="20"/>
                <w:szCs w:val="20"/>
              </w:rPr>
              <w:fldChar w:fldCharType="end"/>
            </w:r>
          </w:hyperlink>
        </w:p>
        <w:p w14:paraId="636E3A53" w14:textId="7B0F62CE" w:rsidR="00674672" w:rsidRPr="00674672" w:rsidRDefault="00674672" w:rsidP="00674672">
          <w:pPr>
            <w:pStyle w:val="Kazalovsebine1"/>
            <w:tabs>
              <w:tab w:val="left" w:pos="480"/>
              <w:tab w:val="right" w:leader="dot" w:pos="9016"/>
            </w:tabs>
            <w:spacing w:line="240" w:lineRule="auto"/>
            <w:rPr>
              <w:rFonts w:asciiTheme="minorHAnsi" w:eastAsiaTheme="minorEastAsia" w:hAnsiTheme="minorHAnsi" w:cstheme="minorBidi"/>
              <w:noProof/>
              <w:kern w:val="2"/>
              <w:sz w:val="20"/>
              <w:szCs w:val="20"/>
              <w:lang w:val="da-DK" w:eastAsia="da-DK" w:bidi="he-IL"/>
              <w14:ligatures w14:val="standardContextual"/>
            </w:rPr>
          </w:pPr>
          <w:hyperlink w:anchor="_Toc212314890" w:history="1">
            <w:r w:rsidRPr="00674672">
              <w:rPr>
                <w:rStyle w:val="Hiperpovezava"/>
                <w:rFonts w:asciiTheme="majorBidi" w:hAnsiTheme="majorBidi"/>
                <w:noProof/>
                <w:sz w:val="20"/>
                <w:szCs w:val="20"/>
                <w:lang w:val="en-US"/>
              </w:rPr>
              <w:t>4.</w:t>
            </w:r>
            <w:r w:rsidRPr="00674672">
              <w:rPr>
                <w:rFonts w:asciiTheme="minorHAnsi" w:eastAsiaTheme="minorEastAsia" w:hAnsiTheme="minorHAnsi" w:cstheme="minorBidi"/>
                <w:noProof/>
                <w:kern w:val="2"/>
                <w:sz w:val="20"/>
                <w:szCs w:val="20"/>
                <w:lang w:val="da-DK" w:eastAsia="da-DK" w:bidi="he-IL"/>
                <w14:ligatures w14:val="standardContextual"/>
              </w:rPr>
              <w:tab/>
            </w:r>
            <w:r w:rsidRPr="00674672">
              <w:rPr>
                <w:rStyle w:val="Hiperpovezava"/>
                <w:rFonts w:asciiTheme="majorBidi" w:hAnsiTheme="majorBidi"/>
                <w:noProof/>
                <w:sz w:val="20"/>
                <w:szCs w:val="20"/>
                <w:lang w:val="en-US"/>
              </w:rPr>
              <w:t>Results</w:t>
            </w:r>
            <w:r w:rsidRPr="00674672">
              <w:rPr>
                <w:noProof/>
                <w:webHidden/>
                <w:sz w:val="20"/>
                <w:szCs w:val="20"/>
              </w:rPr>
              <w:tab/>
            </w:r>
            <w:r w:rsidRPr="00674672">
              <w:rPr>
                <w:noProof/>
                <w:webHidden/>
                <w:sz w:val="20"/>
                <w:szCs w:val="20"/>
              </w:rPr>
              <w:fldChar w:fldCharType="begin"/>
            </w:r>
            <w:r w:rsidRPr="00674672">
              <w:rPr>
                <w:noProof/>
                <w:webHidden/>
                <w:sz w:val="20"/>
                <w:szCs w:val="20"/>
              </w:rPr>
              <w:instrText xml:space="preserve"> PAGEREF _Toc212314890 \h </w:instrText>
            </w:r>
            <w:r w:rsidRPr="00674672">
              <w:rPr>
                <w:noProof/>
                <w:webHidden/>
                <w:sz w:val="20"/>
                <w:szCs w:val="20"/>
              </w:rPr>
            </w:r>
            <w:r w:rsidRPr="00674672">
              <w:rPr>
                <w:noProof/>
                <w:webHidden/>
                <w:sz w:val="20"/>
                <w:szCs w:val="20"/>
              </w:rPr>
              <w:fldChar w:fldCharType="separate"/>
            </w:r>
            <w:r>
              <w:rPr>
                <w:noProof/>
                <w:webHidden/>
                <w:sz w:val="20"/>
                <w:szCs w:val="20"/>
              </w:rPr>
              <w:t>13</w:t>
            </w:r>
            <w:r w:rsidRPr="00674672">
              <w:rPr>
                <w:noProof/>
                <w:webHidden/>
                <w:sz w:val="20"/>
                <w:szCs w:val="20"/>
              </w:rPr>
              <w:fldChar w:fldCharType="end"/>
            </w:r>
          </w:hyperlink>
        </w:p>
        <w:p w14:paraId="16C05E18" w14:textId="15751E16" w:rsidR="00674672" w:rsidRPr="00674672" w:rsidRDefault="00674672" w:rsidP="00674672">
          <w:pPr>
            <w:pStyle w:val="Kazalovsebine2"/>
            <w:tabs>
              <w:tab w:val="left" w:pos="960"/>
              <w:tab w:val="right" w:leader="dot" w:pos="9016"/>
            </w:tabs>
            <w:spacing w:line="240" w:lineRule="auto"/>
            <w:rPr>
              <w:noProof/>
              <w:sz w:val="20"/>
              <w:szCs w:val="20"/>
            </w:rPr>
          </w:pPr>
          <w:hyperlink w:anchor="_Toc212314891" w:history="1">
            <w:r w:rsidRPr="00674672">
              <w:rPr>
                <w:rStyle w:val="Hiperpovezava"/>
                <w:noProof/>
                <w:sz w:val="20"/>
                <w:szCs w:val="20"/>
                <w:lang w:val="en-GB"/>
              </w:rPr>
              <w:t>4.1</w:t>
            </w:r>
            <w:r w:rsidRPr="00674672">
              <w:rPr>
                <w:noProof/>
                <w:sz w:val="20"/>
                <w:szCs w:val="20"/>
              </w:rPr>
              <w:tab/>
            </w:r>
            <w:r w:rsidRPr="00674672">
              <w:rPr>
                <w:rStyle w:val="Hiperpovezava"/>
                <w:noProof/>
                <w:sz w:val="20"/>
                <w:szCs w:val="20"/>
                <w:lang w:val="en-GB"/>
              </w:rPr>
              <w:t>Baseline model estimates</w:t>
            </w:r>
            <w:r w:rsidRPr="00674672">
              <w:rPr>
                <w:noProof/>
                <w:webHidden/>
                <w:sz w:val="20"/>
                <w:szCs w:val="20"/>
              </w:rPr>
              <w:tab/>
            </w:r>
            <w:r w:rsidRPr="00674672">
              <w:rPr>
                <w:noProof/>
                <w:webHidden/>
                <w:sz w:val="20"/>
                <w:szCs w:val="20"/>
              </w:rPr>
              <w:fldChar w:fldCharType="begin"/>
            </w:r>
            <w:r w:rsidRPr="00674672">
              <w:rPr>
                <w:noProof/>
                <w:webHidden/>
                <w:sz w:val="20"/>
                <w:szCs w:val="20"/>
              </w:rPr>
              <w:instrText xml:space="preserve"> PAGEREF _Toc212314891 \h </w:instrText>
            </w:r>
            <w:r w:rsidRPr="00674672">
              <w:rPr>
                <w:noProof/>
                <w:webHidden/>
                <w:sz w:val="20"/>
                <w:szCs w:val="20"/>
              </w:rPr>
            </w:r>
            <w:r w:rsidRPr="00674672">
              <w:rPr>
                <w:noProof/>
                <w:webHidden/>
                <w:sz w:val="20"/>
                <w:szCs w:val="20"/>
              </w:rPr>
              <w:fldChar w:fldCharType="separate"/>
            </w:r>
            <w:r>
              <w:rPr>
                <w:noProof/>
                <w:webHidden/>
                <w:sz w:val="20"/>
                <w:szCs w:val="20"/>
              </w:rPr>
              <w:t>13</w:t>
            </w:r>
            <w:r w:rsidRPr="00674672">
              <w:rPr>
                <w:noProof/>
                <w:webHidden/>
                <w:sz w:val="20"/>
                <w:szCs w:val="20"/>
              </w:rPr>
              <w:fldChar w:fldCharType="end"/>
            </w:r>
          </w:hyperlink>
        </w:p>
        <w:p w14:paraId="6CE66D52" w14:textId="042A8404" w:rsidR="00674672" w:rsidRPr="00674672" w:rsidRDefault="00674672" w:rsidP="00674672">
          <w:pPr>
            <w:pStyle w:val="Kazalovsebine2"/>
            <w:tabs>
              <w:tab w:val="left" w:pos="960"/>
              <w:tab w:val="right" w:leader="dot" w:pos="9016"/>
            </w:tabs>
            <w:spacing w:line="240" w:lineRule="auto"/>
            <w:rPr>
              <w:noProof/>
              <w:sz w:val="20"/>
              <w:szCs w:val="20"/>
            </w:rPr>
          </w:pPr>
          <w:hyperlink w:anchor="_Toc212314892" w:history="1">
            <w:r w:rsidRPr="00674672">
              <w:rPr>
                <w:rStyle w:val="Hiperpovezava"/>
                <w:noProof/>
                <w:sz w:val="20"/>
                <w:szCs w:val="20"/>
                <w:lang w:val="en-GB"/>
              </w:rPr>
              <w:t>4.2</w:t>
            </w:r>
            <w:r w:rsidRPr="00674672">
              <w:rPr>
                <w:noProof/>
                <w:sz w:val="20"/>
                <w:szCs w:val="20"/>
              </w:rPr>
              <w:tab/>
            </w:r>
            <w:r w:rsidRPr="00674672">
              <w:rPr>
                <w:rStyle w:val="Hiperpovezava"/>
                <w:noProof/>
                <w:sz w:val="20"/>
                <w:szCs w:val="20"/>
                <w:lang w:val="en-GB"/>
              </w:rPr>
              <w:t>Probit and logit estimates</w:t>
            </w:r>
            <w:r w:rsidRPr="00674672">
              <w:rPr>
                <w:noProof/>
                <w:webHidden/>
                <w:sz w:val="20"/>
                <w:szCs w:val="20"/>
              </w:rPr>
              <w:tab/>
            </w:r>
            <w:r w:rsidRPr="00674672">
              <w:rPr>
                <w:noProof/>
                <w:webHidden/>
                <w:sz w:val="20"/>
                <w:szCs w:val="20"/>
              </w:rPr>
              <w:fldChar w:fldCharType="begin"/>
            </w:r>
            <w:r w:rsidRPr="00674672">
              <w:rPr>
                <w:noProof/>
                <w:webHidden/>
                <w:sz w:val="20"/>
                <w:szCs w:val="20"/>
              </w:rPr>
              <w:instrText xml:space="preserve"> PAGEREF _Toc212314892 \h </w:instrText>
            </w:r>
            <w:r w:rsidRPr="00674672">
              <w:rPr>
                <w:noProof/>
                <w:webHidden/>
                <w:sz w:val="20"/>
                <w:szCs w:val="20"/>
              </w:rPr>
            </w:r>
            <w:r w:rsidRPr="00674672">
              <w:rPr>
                <w:noProof/>
                <w:webHidden/>
                <w:sz w:val="20"/>
                <w:szCs w:val="20"/>
              </w:rPr>
              <w:fldChar w:fldCharType="separate"/>
            </w:r>
            <w:r>
              <w:rPr>
                <w:noProof/>
                <w:webHidden/>
                <w:sz w:val="20"/>
                <w:szCs w:val="20"/>
              </w:rPr>
              <w:t>14</w:t>
            </w:r>
            <w:r w:rsidRPr="00674672">
              <w:rPr>
                <w:noProof/>
                <w:webHidden/>
                <w:sz w:val="20"/>
                <w:szCs w:val="20"/>
              </w:rPr>
              <w:fldChar w:fldCharType="end"/>
            </w:r>
          </w:hyperlink>
        </w:p>
        <w:p w14:paraId="5EFCE23E" w14:textId="0E2E101C" w:rsidR="00674672" w:rsidRPr="00674672" w:rsidRDefault="00674672" w:rsidP="00674672">
          <w:pPr>
            <w:pStyle w:val="Kazalovsebine2"/>
            <w:tabs>
              <w:tab w:val="left" w:pos="960"/>
              <w:tab w:val="right" w:leader="dot" w:pos="9016"/>
            </w:tabs>
            <w:spacing w:line="240" w:lineRule="auto"/>
            <w:rPr>
              <w:noProof/>
              <w:sz w:val="20"/>
              <w:szCs w:val="20"/>
            </w:rPr>
          </w:pPr>
          <w:hyperlink w:anchor="_Toc212314893" w:history="1">
            <w:r w:rsidRPr="00674672">
              <w:rPr>
                <w:rStyle w:val="Hiperpovezava"/>
                <w:noProof/>
                <w:sz w:val="20"/>
                <w:szCs w:val="20"/>
                <w:lang w:val="en-GB"/>
              </w:rPr>
              <w:t>4.3</w:t>
            </w:r>
            <w:r w:rsidRPr="00674672">
              <w:rPr>
                <w:noProof/>
                <w:sz w:val="20"/>
                <w:szCs w:val="20"/>
              </w:rPr>
              <w:tab/>
            </w:r>
            <w:r w:rsidRPr="00674672">
              <w:rPr>
                <w:rStyle w:val="Hiperpovezava"/>
                <w:noProof/>
                <w:sz w:val="20"/>
                <w:szCs w:val="20"/>
                <w:lang w:val="en-GB"/>
              </w:rPr>
              <w:t>Effects by political regime: democracies vs. non-democracies</w:t>
            </w:r>
            <w:r w:rsidRPr="00674672">
              <w:rPr>
                <w:noProof/>
                <w:webHidden/>
                <w:sz w:val="20"/>
                <w:szCs w:val="20"/>
              </w:rPr>
              <w:tab/>
            </w:r>
            <w:r w:rsidRPr="00674672">
              <w:rPr>
                <w:noProof/>
                <w:webHidden/>
                <w:sz w:val="20"/>
                <w:szCs w:val="20"/>
              </w:rPr>
              <w:fldChar w:fldCharType="begin"/>
            </w:r>
            <w:r w:rsidRPr="00674672">
              <w:rPr>
                <w:noProof/>
                <w:webHidden/>
                <w:sz w:val="20"/>
                <w:szCs w:val="20"/>
              </w:rPr>
              <w:instrText xml:space="preserve"> PAGEREF _Toc212314893 \h </w:instrText>
            </w:r>
            <w:r w:rsidRPr="00674672">
              <w:rPr>
                <w:noProof/>
                <w:webHidden/>
                <w:sz w:val="20"/>
                <w:szCs w:val="20"/>
              </w:rPr>
            </w:r>
            <w:r w:rsidRPr="00674672">
              <w:rPr>
                <w:noProof/>
                <w:webHidden/>
                <w:sz w:val="20"/>
                <w:szCs w:val="20"/>
              </w:rPr>
              <w:fldChar w:fldCharType="separate"/>
            </w:r>
            <w:r>
              <w:rPr>
                <w:noProof/>
                <w:webHidden/>
                <w:sz w:val="20"/>
                <w:szCs w:val="20"/>
              </w:rPr>
              <w:t>15</w:t>
            </w:r>
            <w:r w:rsidRPr="00674672">
              <w:rPr>
                <w:noProof/>
                <w:webHidden/>
                <w:sz w:val="20"/>
                <w:szCs w:val="20"/>
              </w:rPr>
              <w:fldChar w:fldCharType="end"/>
            </w:r>
          </w:hyperlink>
        </w:p>
        <w:p w14:paraId="26803D51" w14:textId="064172FB" w:rsidR="00674672" w:rsidRPr="00674672" w:rsidRDefault="00674672" w:rsidP="00674672">
          <w:pPr>
            <w:pStyle w:val="Kazalovsebine2"/>
            <w:tabs>
              <w:tab w:val="left" w:pos="960"/>
              <w:tab w:val="right" w:leader="dot" w:pos="9016"/>
            </w:tabs>
            <w:spacing w:line="240" w:lineRule="auto"/>
            <w:rPr>
              <w:noProof/>
              <w:sz w:val="20"/>
              <w:szCs w:val="20"/>
            </w:rPr>
          </w:pPr>
          <w:hyperlink w:anchor="_Toc212314894" w:history="1">
            <w:r w:rsidRPr="00674672">
              <w:rPr>
                <w:rStyle w:val="Hiperpovezava"/>
                <w:i/>
                <w:iCs/>
                <w:noProof/>
                <w:sz w:val="20"/>
                <w:szCs w:val="20"/>
                <w:lang w:val="en-GB"/>
              </w:rPr>
              <w:t>4.4</w:t>
            </w:r>
            <w:r w:rsidRPr="00674672">
              <w:rPr>
                <w:noProof/>
                <w:sz w:val="20"/>
                <w:szCs w:val="20"/>
              </w:rPr>
              <w:tab/>
            </w:r>
            <w:r w:rsidRPr="00674672">
              <w:rPr>
                <w:rStyle w:val="Hiperpovezava"/>
                <w:i/>
                <w:iCs/>
                <w:noProof/>
                <w:sz w:val="20"/>
                <w:szCs w:val="20"/>
                <w:lang w:val="en-GB"/>
              </w:rPr>
              <w:t>Dynamic Ideal Points and Temporal Evolution of Compliance</w:t>
            </w:r>
            <w:r w:rsidRPr="00674672">
              <w:rPr>
                <w:noProof/>
                <w:webHidden/>
                <w:sz w:val="20"/>
                <w:szCs w:val="20"/>
              </w:rPr>
              <w:tab/>
            </w:r>
            <w:r w:rsidRPr="00674672">
              <w:rPr>
                <w:noProof/>
                <w:webHidden/>
                <w:sz w:val="20"/>
                <w:szCs w:val="20"/>
              </w:rPr>
              <w:fldChar w:fldCharType="begin"/>
            </w:r>
            <w:r w:rsidRPr="00674672">
              <w:rPr>
                <w:noProof/>
                <w:webHidden/>
                <w:sz w:val="20"/>
                <w:szCs w:val="20"/>
              </w:rPr>
              <w:instrText xml:space="preserve"> PAGEREF _Toc212314894 \h </w:instrText>
            </w:r>
            <w:r w:rsidRPr="00674672">
              <w:rPr>
                <w:noProof/>
                <w:webHidden/>
                <w:sz w:val="20"/>
                <w:szCs w:val="20"/>
              </w:rPr>
            </w:r>
            <w:r w:rsidRPr="00674672">
              <w:rPr>
                <w:noProof/>
                <w:webHidden/>
                <w:sz w:val="20"/>
                <w:szCs w:val="20"/>
              </w:rPr>
              <w:fldChar w:fldCharType="separate"/>
            </w:r>
            <w:r>
              <w:rPr>
                <w:noProof/>
                <w:webHidden/>
                <w:sz w:val="20"/>
                <w:szCs w:val="20"/>
              </w:rPr>
              <w:t>17</w:t>
            </w:r>
            <w:r w:rsidRPr="00674672">
              <w:rPr>
                <w:noProof/>
                <w:webHidden/>
                <w:sz w:val="20"/>
                <w:szCs w:val="20"/>
              </w:rPr>
              <w:fldChar w:fldCharType="end"/>
            </w:r>
          </w:hyperlink>
        </w:p>
        <w:p w14:paraId="20BD0945" w14:textId="3CC877D8" w:rsidR="00674672" w:rsidRPr="00674672" w:rsidRDefault="00674672" w:rsidP="00674672">
          <w:pPr>
            <w:pStyle w:val="Kazalovsebine2"/>
            <w:tabs>
              <w:tab w:val="left" w:pos="960"/>
              <w:tab w:val="right" w:leader="dot" w:pos="9016"/>
            </w:tabs>
            <w:spacing w:line="240" w:lineRule="auto"/>
            <w:rPr>
              <w:noProof/>
              <w:sz w:val="20"/>
              <w:szCs w:val="20"/>
            </w:rPr>
          </w:pPr>
          <w:hyperlink w:anchor="_Toc212314895" w:history="1">
            <w:r w:rsidRPr="00674672">
              <w:rPr>
                <w:rStyle w:val="Hiperpovezava"/>
                <w:i/>
                <w:iCs/>
                <w:noProof/>
                <w:sz w:val="20"/>
                <w:szCs w:val="20"/>
                <w:lang w:val="en-GB"/>
              </w:rPr>
              <w:t>4.5</w:t>
            </w:r>
            <w:r w:rsidRPr="00674672">
              <w:rPr>
                <w:noProof/>
                <w:sz w:val="20"/>
                <w:szCs w:val="20"/>
              </w:rPr>
              <w:tab/>
            </w:r>
            <w:r w:rsidRPr="00674672">
              <w:rPr>
                <w:rStyle w:val="Hiperpovezava"/>
                <w:i/>
                <w:iCs/>
                <w:noProof/>
                <w:sz w:val="20"/>
                <w:szCs w:val="20"/>
                <w:lang w:val="en-GB"/>
              </w:rPr>
              <w:t xml:space="preserve"> Discussion</w:t>
            </w:r>
            <w:r w:rsidRPr="00674672">
              <w:rPr>
                <w:noProof/>
                <w:webHidden/>
                <w:sz w:val="20"/>
                <w:szCs w:val="20"/>
              </w:rPr>
              <w:tab/>
            </w:r>
            <w:r w:rsidRPr="00674672">
              <w:rPr>
                <w:noProof/>
                <w:webHidden/>
                <w:sz w:val="20"/>
                <w:szCs w:val="20"/>
              </w:rPr>
              <w:fldChar w:fldCharType="begin"/>
            </w:r>
            <w:r w:rsidRPr="00674672">
              <w:rPr>
                <w:noProof/>
                <w:webHidden/>
                <w:sz w:val="20"/>
                <w:szCs w:val="20"/>
              </w:rPr>
              <w:instrText xml:space="preserve"> PAGEREF _Toc212314895 \h </w:instrText>
            </w:r>
            <w:r w:rsidRPr="00674672">
              <w:rPr>
                <w:noProof/>
                <w:webHidden/>
                <w:sz w:val="20"/>
                <w:szCs w:val="20"/>
              </w:rPr>
            </w:r>
            <w:r w:rsidRPr="00674672">
              <w:rPr>
                <w:noProof/>
                <w:webHidden/>
                <w:sz w:val="20"/>
                <w:szCs w:val="20"/>
              </w:rPr>
              <w:fldChar w:fldCharType="separate"/>
            </w:r>
            <w:r>
              <w:rPr>
                <w:noProof/>
                <w:webHidden/>
                <w:sz w:val="20"/>
                <w:szCs w:val="20"/>
              </w:rPr>
              <w:t>19</w:t>
            </w:r>
            <w:r w:rsidRPr="00674672">
              <w:rPr>
                <w:noProof/>
                <w:webHidden/>
                <w:sz w:val="20"/>
                <w:szCs w:val="20"/>
              </w:rPr>
              <w:fldChar w:fldCharType="end"/>
            </w:r>
          </w:hyperlink>
        </w:p>
        <w:p w14:paraId="0F19626D" w14:textId="30FA07B0" w:rsidR="00674672" w:rsidRPr="00674672" w:rsidRDefault="00674672" w:rsidP="00674672">
          <w:pPr>
            <w:pStyle w:val="Kazalovsebine1"/>
            <w:tabs>
              <w:tab w:val="left" w:pos="480"/>
              <w:tab w:val="right" w:leader="dot" w:pos="9016"/>
            </w:tabs>
            <w:spacing w:line="240" w:lineRule="auto"/>
            <w:rPr>
              <w:rFonts w:asciiTheme="minorHAnsi" w:eastAsiaTheme="minorEastAsia" w:hAnsiTheme="minorHAnsi" w:cstheme="minorBidi"/>
              <w:noProof/>
              <w:kern w:val="2"/>
              <w:sz w:val="20"/>
              <w:szCs w:val="20"/>
              <w:lang w:val="da-DK" w:eastAsia="da-DK" w:bidi="he-IL"/>
              <w14:ligatures w14:val="standardContextual"/>
            </w:rPr>
          </w:pPr>
          <w:hyperlink w:anchor="_Toc212314896" w:history="1">
            <w:r w:rsidRPr="00674672">
              <w:rPr>
                <w:rStyle w:val="Hiperpovezava"/>
                <w:rFonts w:asciiTheme="majorBidi" w:hAnsiTheme="majorBidi"/>
                <w:noProof/>
                <w:sz w:val="20"/>
                <w:szCs w:val="20"/>
                <w:lang w:val="en-US"/>
              </w:rPr>
              <w:t>5.</w:t>
            </w:r>
            <w:r w:rsidRPr="00674672">
              <w:rPr>
                <w:rFonts w:asciiTheme="minorHAnsi" w:eastAsiaTheme="minorEastAsia" w:hAnsiTheme="minorHAnsi" w:cstheme="minorBidi"/>
                <w:noProof/>
                <w:kern w:val="2"/>
                <w:sz w:val="20"/>
                <w:szCs w:val="20"/>
                <w:lang w:val="da-DK" w:eastAsia="da-DK" w:bidi="he-IL"/>
                <w14:ligatures w14:val="standardContextual"/>
              </w:rPr>
              <w:tab/>
            </w:r>
            <w:r w:rsidRPr="00674672">
              <w:rPr>
                <w:rStyle w:val="Hiperpovezava"/>
                <w:rFonts w:asciiTheme="majorBidi" w:hAnsiTheme="majorBidi"/>
                <w:noProof/>
                <w:sz w:val="20"/>
                <w:szCs w:val="20"/>
                <w:lang w:val="en-US"/>
              </w:rPr>
              <w:t>Conclusion</w:t>
            </w:r>
            <w:r w:rsidRPr="00674672">
              <w:rPr>
                <w:noProof/>
                <w:webHidden/>
                <w:sz w:val="20"/>
                <w:szCs w:val="20"/>
              </w:rPr>
              <w:tab/>
            </w:r>
            <w:r w:rsidRPr="00674672">
              <w:rPr>
                <w:noProof/>
                <w:webHidden/>
                <w:sz w:val="20"/>
                <w:szCs w:val="20"/>
              </w:rPr>
              <w:fldChar w:fldCharType="begin"/>
            </w:r>
            <w:r w:rsidRPr="00674672">
              <w:rPr>
                <w:noProof/>
                <w:webHidden/>
                <w:sz w:val="20"/>
                <w:szCs w:val="20"/>
              </w:rPr>
              <w:instrText xml:space="preserve"> PAGEREF _Toc212314896 \h </w:instrText>
            </w:r>
            <w:r w:rsidRPr="00674672">
              <w:rPr>
                <w:noProof/>
                <w:webHidden/>
                <w:sz w:val="20"/>
                <w:szCs w:val="20"/>
              </w:rPr>
            </w:r>
            <w:r w:rsidRPr="00674672">
              <w:rPr>
                <w:noProof/>
                <w:webHidden/>
                <w:sz w:val="20"/>
                <w:szCs w:val="20"/>
              </w:rPr>
              <w:fldChar w:fldCharType="separate"/>
            </w:r>
            <w:r>
              <w:rPr>
                <w:noProof/>
                <w:webHidden/>
                <w:sz w:val="20"/>
                <w:szCs w:val="20"/>
              </w:rPr>
              <w:t>21</w:t>
            </w:r>
            <w:r w:rsidRPr="00674672">
              <w:rPr>
                <w:noProof/>
                <w:webHidden/>
                <w:sz w:val="20"/>
                <w:szCs w:val="20"/>
              </w:rPr>
              <w:fldChar w:fldCharType="end"/>
            </w:r>
          </w:hyperlink>
        </w:p>
        <w:p w14:paraId="5BE1B894" w14:textId="0AAF0DC5" w:rsidR="00674672" w:rsidRPr="00674672" w:rsidRDefault="00674672" w:rsidP="00674672">
          <w:pPr>
            <w:pStyle w:val="Kazalovsebine1"/>
            <w:tabs>
              <w:tab w:val="right" w:leader="dot" w:pos="9016"/>
            </w:tabs>
            <w:spacing w:line="240" w:lineRule="auto"/>
            <w:rPr>
              <w:rFonts w:asciiTheme="minorHAnsi" w:eastAsiaTheme="minorEastAsia" w:hAnsiTheme="minorHAnsi" w:cstheme="minorBidi"/>
              <w:noProof/>
              <w:kern w:val="2"/>
              <w:sz w:val="20"/>
              <w:szCs w:val="20"/>
              <w:lang w:val="da-DK" w:eastAsia="da-DK" w:bidi="he-IL"/>
              <w14:ligatures w14:val="standardContextual"/>
            </w:rPr>
          </w:pPr>
          <w:hyperlink w:anchor="_Toc212314897" w:history="1">
            <w:r w:rsidRPr="00674672">
              <w:rPr>
                <w:rStyle w:val="Hiperpovezava"/>
                <w:rFonts w:asciiTheme="majorBidi" w:hAnsiTheme="majorBidi"/>
                <w:noProof/>
                <w:sz w:val="20"/>
                <w:szCs w:val="20"/>
                <w:lang w:val="en-US"/>
              </w:rPr>
              <w:t>Bibliography</w:t>
            </w:r>
            <w:r w:rsidRPr="00674672">
              <w:rPr>
                <w:noProof/>
                <w:webHidden/>
                <w:sz w:val="20"/>
                <w:szCs w:val="20"/>
              </w:rPr>
              <w:tab/>
            </w:r>
            <w:r w:rsidRPr="00674672">
              <w:rPr>
                <w:noProof/>
                <w:webHidden/>
                <w:sz w:val="20"/>
                <w:szCs w:val="20"/>
              </w:rPr>
              <w:fldChar w:fldCharType="begin"/>
            </w:r>
            <w:r w:rsidRPr="00674672">
              <w:rPr>
                <w:noProof/>
                <w:webHidden/>
                <w:sz w:val="20"/>
                <w:szCs w:val="20"/>
              </w:rPr>
              <w:instrText xml:space="preserve"> PAGEREF _Toc212314897 \h </w:instrText>
            </w:r>
            <w:r w:rsidRPr="00674672">
              <w:rPr>
                <w:noProof/>
                <w:webHidden/>
                <w:sz w:val="20"/>
                <w:szCs w:val="20"/>
              </w:rPr>
            </w:r>
            <w:r w:rsidRPr="00674672">
              <w:rPr>
                <w:noProof/>
                <w:webHidden/>
                <w:sz w:val="20"/>
                <w:szCs w:val="20"/>
              </w:rPr>
              <w:fldChar w:fldCharType="separate"/>
            </w:r>
            <w:r>
              <w:rPr>
                <w:noProof/>
                <w:webHidden/>
                <w:sz w:val="20"/>
                <w:szCs w:val="20"/>
              </w:rPr>
              <w:t>22</w:t>
            </w:r>
            <w:r w:rsidRPr="00674672">
              <w:rPr>
                <w:noProof/>
                <w:webHidden/>
                <w:sz w:val="20"/>
                <w:szCs w:val="20"/>
              </w:rPr>
              <w:fldChar w:fldCharType="end"/>
            </w:r>
          </w:hyperlink>
        </w:p>
        <w:p w14:paraId="506E94DA" w14:textId="7D72DC74" w:rsidR="00967C12" w:rsidRPr="00563C09" w:rsidRDefault="00563C09" w:rsidP="00674672">
          <w:pPr>
            <w:spacing w:line="240" w:lineRule="auto"/>
          </w:pPr>
          <w:r w:rsidRPr="00674672">
            <w:rPr>
              <w:b/>
              <w:bCs/>
              <w:noProof/>
              <w:sz w:val="20"/>
              <w:szCs w:val="20"/>
            </w:rPr>
            <w:lastRenderedPageBreak/>
            <w:fldChar w:fldCharType="end"/>
          </w:r>
        </w:p>
      </w:sdtContent>
    </w:sdt>
    <w:p w14:paraId="60C4038A" w14:textId="77777777" w:rsidR="00967C12" w:rsidRPr="00852C46" w:rsidRDefault="00967C12" w:rsidP="00967C12">
      <w:pPr>
        <w:pStyle w:val="Naslov1"/>
        <w:numPr>
          <w:ilvl w:val="0"/>
          <w:numId w:val="2"/>
        </w:numPr>
        <w:tabs>
          <w:tab w:val="num" w:pos="720"/>
        </w:tabs>
        <w:rPr>
          <w:rFonts w:asciiTheme="majorBidi" w:hAnsiTheme="majorBidi"/>
          <w:color w:val="auto"/>
        </w:rPr>
      </w:pPr>
      <w:bookmarkStart w:id="1" w:name="_Toc212314885"/>
      <w:r w:rsidRPr="00852C46">
        <w:rPr>
          <w:rFonts w:asciiTheme="majorBidi" w:hAnsiTheme="majorBidi"/>
          <w:color w:val="auto"/>
        </w:rPr>
        <w:t>Introduction</w:t>
      </w:r>
      <w:bookmarkEnd w:id="1"/>
    </w:p>
    <w:p w14:paraId="5AC8C02A" w14:textId="77777777" w:rsidR="00967C12" w:rsidRDefault="00967C12" w:rsidP="00967C12">
      <w:pPr>
        <w:spacing w:after="0" w:line="276" w:lineRule="auto"/>
        <w:jc w:val="both"/>
        <w:rPr>
          <w:rFonts w:ascii="Times New Roman" w:eastAsia="Times New Roman" w:hAnsi="Times New Roman" w:cs="Times New Roman"/>
          <w:iCs/>
          <w:sz w:val="24"/>
          <w:szCs w:val="24"/>
          <w:lang w:val="en-GB" w:eastAsia="nl-NL" w:bidi="he-IL"/>
        </w:rPr>
      </w:pPr>
    </w:p>
    <w:p w14:paraId="6280EED6" w14:textId="77777777" w:rsidR="00967C12" w:rsidRPr="00563C09" w:rsidRDefault="00967C12" w:rsidP="00563C09">
      <w:pPr>
        <w:spacing w:after="0" w:line="240" w:lineRule="auto"/>
        <w:jc w:val="both"/>
        <w:rPr>
          <w:sz w:val="24"/>
          <w:szCs w:val="24"/>
          <w:lang w:val="en-GB"/>
        </w:rPr>
      </w:pPr>
      <w:r w:rsidRPr="00563C09">
        <w:rPr>
          <w:sz w:val="24"/>
          <w:szCs w:val="24"/>
          <w:lang w:val="en-GB"/>
        </w:rPr>
        <w:t xml:space="preserve">It is a well-known fact that democracies tend not to go to war with other democracies. In fact, when democracies interact with other democracies, they usually comply with international law. In contrast, autocracies are notorious for breaking international law more than democracies. When a democracy interacts with an autocracy, it may be forced to shift its behavior toward noncompliance with international law. This implies that noncompliance with international law can easily spread from autocracies to democracies and quickly engulf growing parts of the international community. </w:t>
      </w:r>
    </w:p>
    <w:p w14:paraId="075770F2" w14:textId="77777777" w:rsidR="00967C12" w:rsidRPr="00563C09" w:rsidRDefault="00967C12" w:rsidP="00563C09">
      <w:pPr>
        <w:spacing w:after="0" w:line="240" w:lineRule="auto"/>
        <w:jc w:val="both"/>
        <w:rPr>
          <w:sz w:val="24"/>
          <w:szCs w:val="24"/>
          <w:lang w:val="en-GB"/>
        </w:rPr>
      </w:pPr>
    </w:p>
    <w:p w14:paraId="4094A84A" w14:textId="77777777" w:rsidR="00967C12" w:rsidRPr="00563C09" w:rsidRDefault="00967C12" w:rsidP="00563C09">
      <w:pPr>
        <w:spacing w:after="0" w:line="240" w:lineRule="auto"/>
        <w:jc w:val="both"/>
        <w:rPr>
          <w:sz w:val="24"/>
          <w:szCs w:val="24"/>
          <w:lang w:val="en-GB"/>
        </w:rPr>
      </w:pPr>
      <w:r w:rsidRPr="00563C09">
        <w:rPr>
          <w:sz w:val="24"/>
          <w:szCs w:val="24"/>
          <w:lang w:val="en-GB"/>
        </w:rPr>
        <w:t>Fortunately, there is also a counterforce to the spreading of noncompliance. When states shift to democracy, it is beneficial for them to do that together with states in their area. The benefits of being a democracy are significantly increased when a democracy interacts with other democracies because then all</w:t>
      </w:r>
      <w:r w:rsidRPr="00563C09">
        <w:rPr>
          <w:rFonts w:hint="cs"/>
          <w:sz w:val="24"/>
          <w:szCs w:val="24"/>
          <w:rtl/>
          <w:lang w:val="en-GB" w:bidi="he-IL"/>
        </w:rPr>
        <w:t xml:space="preserve"> </w:t>
      </w:r>
      <w:r w:rsidRPr="00563C09">
        <w:rPr>
          <w:sz w:val="24"/>
          <w:szCs w:val="24"/>
          <w:lang w:val="en-GB"/>
        </w:rPr>
        <w:t xml:space="preserve">interacting states comply with international law and peacefully act in ways that are advantageous to all parties. Changes to democracy, therefore, usually happen in “waves” involving many states at the same time. </w:t>
      </w:r>
    </w:p>
    <w:p w14:paraId="2208F773" w14:textId="77777777" w:rsidR="00967C12" w:rsidRPr="00563C09" w:rsidRDefault="00967C12" w:rsidP="00563C09">
      <w:pPr>
        <w:spacing w:after="0" w:line="240" w:lineRule="auto"/>
        <w:jc w:val="both"/>
        <w:rPr>
          <w:sz w:val="24"/>
          <w:szCs w:val="24"/>
          <w:lang w:val="en-GB"/>
        </w:rPr>
      </w:pPr>
    </w:p>
    <w:p w14:paraId="4D09C514" w14:textId="77777777" w:rsidR="00967C12" w:rsidRPr="00563C09" w:rsidRDefault="00967C12" w:rsidP="00563C09">
      <w:pPr>
        <w:spacing w:after="0" w:line="240" w:lineRule="auto"/>
        <w:jc w:val="both"/>
        <w:rPr>
          <w:sz w:val="24"/>
          <w:szCs w:val="24"/>
          <w:lang w:val="en-GB"/>
        </w:rPr>
      </w:pPr>
      <w:r w:rsidRPr="00563C09">
        <w:rPr>
          <w:sz w:val="24"/>
          <w:szCs w:val="24"/>
          <w:lang w:val="en-GB"/>
        </w:rPr>
        <w:t xml:space="preserve">What emerges are two vectors that form a dynamic equilibrium. On the one hand, noncompliance spreads from autocracies to democracies; on the other hand, autocracies shift towards becoming democracies in concentrated waves. The fate of compliance with international law depends on the interaction of these two vectors. What remains to be examined is what are the channels that spread behaviors between the states. In other words, which states are likely to follow the behavior of which states? Only by examining these channels, one can make educated guesses on how the global arena is likely to evolve over the years. </w:t>
      </w:r>
    </w:p>
    <w:p w14:paraId="0ADA62FD" w14:textId="77777777" w:rsidR="00967C12" w:rsidRPr="00563C09" w:rsidRDefault="00967C12" w:rsidP="00563C09">
      <w:pPr>
        <w:spacing w:after="0" w:line="240" w:lineRule="auto"/>
        <w:jc w:val="both"/>
        <w:rPr>
          <w:sz w:val="24"/>
          <w:szCs w:val="24"/>
          <w:rtl/>
          <w:lang w:val="en-GB" w:bidi="he-IL"/>
        </w:rPr>
      </w:pPr>
    </w:p>
    <w:p w14:paraId="77144BC3" w14:textId="77777777" w:rsidR="00967C12" w:rsidRPr="00563C09" w:rsidRDefault="00967C12" w:rsidP="00563C09">
      <w:pPr>
        <w:spacing w:after="0" w:line="240" w:lineRule="auto"/>
        <w:jc w:val="both"/>
        <w:rPr>
          <w:sz w:val="24"/>
          <w:szCs w:val="24"/>
          <w:lang w:val="en-GB"/>
        </w:rPr>
      </w:pPr>
      <w:r w:rsidRPr="00563C09">
        <w:rPr>
          <w:sz w:val="24"/>
          <w:szCs w:val="24"/>
          <w:lang w:val="en-GB"/>
        </w:rPr>
        <w:t xml:space="preserve">To analyze these channels of influence, the paper investigates UN General Assembly votes on violations of international law. The paper employs principal component analysis of each UN resolution, capturing the similarity of institutional framework (i.e., rule of law, political stability, degree of democracy, etc.) between the voting party in the UN and the violator of international law. The paper offers a novel measure of non-compliance and checks whether sharing the same side on a UN vote correlates with similar tendencies towards more or less compliance with international law. </w:t>
      </w:r>
    </w:p>
    <w:p w14:paraId="60AB7F75" w14:textId="77777777" w:rsidR="00967C12" w:rsidRPr="00563C09" w:rsidRDefault="00967C12" w:rsidP="00563C09">
      <w:pPr>
        <w:spacing w:after="0" w:line="240" w:lineRule="auto"/>
        <w:jc w:val="both"/>
        <w:rPr>
          <w:sz w:val="24"/>
          <w:szCs w:val="24"/>
          <w:lang w:val="en-GB"/>
        </w:rPr>
      </w:pPr>
    </w:p>
    <w:p w14:paraId="408B9F6E" w14:textId="0F0E53F4" w:rsidR="00967C12" w:rsidRDefault="00B476EA" w:rsidP="00563C09">
      <w:pPr>
        <w:spacing w:after="0" w:line="240" w:lineRule="auto"/>
        <w:jc w:val="both"/>
        <w:rPr>
          <w:sz w:val="24"/>
          <w:szCs w:val="24"/>
          <w:lang w:val="en-GB"/>
        </w:rPr>
      </w:pPr>
      <w:r>
        <w:rPr>
          <w:sz w:val="24"/>
          <w:szCs w:val="24"/>
          <w:lang w:val="en-GB"/>
        </w:rPr>
        <w:t>The new technique to investigate</w:t>
      </w:r>
      <w:r w:rsidR="00967C12" w:rsidRPr="00563C09">
        <w:rPr>
          <w:sz w:val="24"/>
          <w:szCs w:val="24"/>
          <w:lang w:val="en-GB"/>
        </w:rPr>
        <w:t xml:space="preserve"> how likely it is that states will influence one another’s behavior, combined with novel ways to measure accurately the compliance practices of states make it possible to make viable predictions about how international practices of compliance or noncompliance with international law will develop. </w:t>
      </w:r>
    </w:p>
    <w:p w14:paraId="7DF7CD9D" w14:textId="77777777" w:rsidR="00563C09" w:rsidRPr="00563C09" w:rsidRDefault="00563C09" w:rsidP="00563C09">
      <w:pPr>
        <w:spacing w:after="0" w:line="240" w:lineRule="auto"/>
        <w:jc w:val="both"/>
        <w:rPr>
          <w:sz w:val="24"/>
          <w:szCs w:val="24"/>
          <w:lang w:val="en-GB"/>
        </w:rPr>
      </w:pPr>
    </w:p>
    <w:p w14:paraId="477003AC" w14:textId="33B780C6" w:rsidR="00967C12" w:rsidRPr="00563C09" w:rsidRDefault="00967C12" w:rsidP="00563C09">
      <w:pPr>
        <w:spacing w:after="0" w:line="240" w:lineRule="auto"/>
        <w:jc w:val="both"/>
        <w:rPr>
          <w:sz w:val="24"/>
          <w:szCs w:val="24"/>
          <w:rtl/>
          <w:lang w:val="en-GB" w:bidi="he-IL"/>
        </w:rPr>
      </w:pPr>
      <w:r w:rsidRPr="00563C09">
        <w:rPr>
          <w:sz w:val="24"/>
          <w:szCs w:val="24"/>
          <w:lang w:val="en-GB"/>
        </w:rPr>
        <w:t xml:space="preserve">Part 2 </w:t>
      </w:r>
      <w:r w:rsidR="00563C09" w:rsidRPr="00563C09">
        <w:rPr>
          <w:sz w:val="24"/>
          <w:szCs w:val="24"/>
          <w:lang w:val="en-GB"/>
        </w:rPr>
        <w:t>provides a literature review and an explanation of the theory</w:t>
      </w:r>
      <w:r w:rsidRPr="00563C09">
        <w:rPr>
          <w:sz w:val="24"/>
          <w:szCs w:val="24"/>
          <w:lang w:val="en-GB"/>
        </w:rPr>
        <w:t xml:space="preserve">. Part </w:t>
      </w:r>
      <w:r w:rsidR="00563C09" w:rsidRPr="00563C09">
        <w:rPr>
          <w:sz w:val="24"/>
          <w:szCs w:val="24"/>
          <w:lang w:val="en-GB"/>
        </w:rPr>
        <w:t>3</w:t>
      </w:r>
      <w:r w:rsidRPr="00563C09">
        <w:rPr>
          <w:sz w:val="24"/>
          <w:szCs w:val="24"/>
          <w:lang w:val="en-GB"/>
        </w:rPr>
        <w:t xml:space="preserve"> describes the model </w:t>
      </w:r>
      <w:r w:rsidR="00563C09">
        <w:rPr>
          <w:sz w:val="24"/>
          <w:szCs w:val="24"/>
          <w:lang w:val="en-GB"/>
        </w:rPr>
        <w:t>and the methodology used</w:t>
      </w:r>
      <w:r w:rsidRPr="00563C09">
        <w:rPr>
          <w:sz w:val="24"/>
          <w:szCs w:val="24"/>
          <w:lang w:val="en-GB"/>
        </w:rPr>
        <w:t xml:space="preserve">. Part </w:t>
      </w:r>
      <w:r w:rsidR="00563C09" w:rsidRPr="00563C09">
        <w:rPr>
          <w:sz w:val="24"/>
          <w:szCs w:val="24"/>
          <w:lang w:val="en-GB"/>
        </w:rPr>
        <w:t>4</w:t>
      </w:r>
      <w:r w:rsidRPr="00563C09">
        <w:rPr>
          <w:sz w:val="24"/>
          <w:szCs w:val="24"/>
          <w:lang w:val="en-GB"/>
        </w:rPr>
        <w:t xml:space="preserve"> relates the results of the empirical investigation. Part </w:t>
      </w:r>
      <w:r w:rsidR="00563C09" w:rsidRPr="00563C09">
        <w:rPr>
          <w:sz w:val="24"/>
          <w:szCs w:val="24"/>
          <w:lang w:val="en-GB"/>
        </w:rPr>
        <w:t>5</w:t>
      </w:r>
      <w:r w:rsidRPr="00563C09">
        <w:rPr>
          <w:sz w:val="24"/>
          <w:szCs w:val="24"/>
          <w:lang w:val="en-GB"/>
        </w:rPr>
        <w:t xml:space="preserve"> concludes. </w:t>
      </w:r>
    </w:p>
    <w:p w14:paraId="32E43791" w14:textId="77777777" w:rsidR="00967C12" w:rsidRDefault="00967C12" w:rsidP="00967C12">
      <w:pPr>
        <w:rPr>
          <w:lang w:val="en-GB"/>
        </w:rPr>
      </w:pPr>
    </w:p>
    <w:p w14:paraId="7834932F" w14:textId="77777777" w:rsidR="00967C12" w:rsidRPr="00DC638E" w:rsidRDefault="00967C12" w:rsidP="00967C12">
      <w:pPr>
        <w:pStyle w:val="Naslov1"/>
        <w:numPr>
          <w:ilvl w:val="0"/>
          <w:numId w:val="2"/>
        </w:numPr>
        <w:tabs>
          <w:tab w:val="num" w:pos="720"/>
        </w:tabs>
        <w:rPr>
          <w:rFonts w:asciiTheme="majorBidi" w:hAnsiTheme="majorBidi"/>
          <w:color w:val="auto"/>
          <w:lang w:val="en-US"/>
        </w:rPr>
      </w:pPr>
      <w:bookmarkStart w:id="2" w:name="_Toc212314886"/>
      <w:r w:rsidRPr="00DC638E">
        <w:rPr>
          <w:rFonts w:asciiTheme="majorBidi" w:hAnsiTheme="majorBidi"/>
          <w:color w:val="auto"/>
          <w:lang w:val="en-US"/>
        </w:rPr>
        <w:lastRenderedPageBreak/>
        <w:t>Literature review and theoretical mechanisms at work</w:t>
      </w:r>
      <w:bookmarkEnd w:id="2"/>
    </w:p>
    <w:p w14:paraId="13FF664B" w14:textId="77777777" w:rsidR="00967C12" w:rsidRPr="008E2B7B" w:rsidRDefault="00967C12" w:rsidP="00967C12">
      <w:pPr>
        <w:jc w:val="both"/>
        <w:rPr>
          <w:rFonts w:ascii="Times New Roman" w:hAnsi="Times New Roman" w:cs="Times New Roman"/>
          <w:sz w:val="24"/>
          <w:szCs w:val="24"/>
          <w:lang w:val="en-US"/>
        </w:rPr>
      </w:pPr>
    </w:p>
    <w:p w14:paraId="4803F43B" w14:textId="77777777" w:rsidR="00967C12" w:rsidRDefault="00967C12" w:rsidP="00563C09">
      <w:pPr>
        <w:spacing w:after="0" w:line="240" w:lineRule="auto"/>
        <w:jc w:val="both"/>
        <w:rPr>
          <w:sz w:val="24"/>
          <w:szCs w:val="24"/>
          <w:lang w:val="en-GB"/>
        </w:rPr>
      </w:pPr>
      <w:r w:rsidRPr="00563C09">
        <w:rPr>
          <w:sz w:val="24"/>
          <w:szCs w:val="24"/>
          <w:lang w:val="en-GB"/>
        </w:rPr>
        <w:t xml:space="preserve">Most international law scholars are familiar with the famous quote of Louis Henkin “Almost all nations observe almost all principles of international law and almost all of their obligations almost all of the time” (Henkin, 1979 at 47). But is this quote really true? Or rather, more precisely, is it saying something concrete about the practice of states? Without an accurate metric specifying how to count every act of noncompliance, it is easy to come up with such a general statement about the compliance of states without really saying that much. </w:t>
      </w:r>
    </w:p>
    <w:p w14:paraId="549E4FF4" w14:textId="77777777" w:rsidR="00563C09" w:rsidRPr="00563C09" w:rsidRDefault="00563C09" w:rsidP="00563C09">
      <w:pPr>
        <w:spacing w:after="0" w:line="240" w:lineRule="auto"/>
        <w:jc w:val="both"/>
        <w:rPr>
          <w:sz w:val="24"/>
          <w:szCs w:val="24"/>
          <w:lang w:val="en-GB"/>
        </w:rPr>
      </w:pPr>
    </w:p>
    <w:p w14:paraId="1E6DFF06" w14:textId="2EABC3BE" w:rsidR="000D0F59" w:rsidRDefault="00967C12" w:rsidP="00302EA9">
      <w:pPr>
        <w:spacing w:after="0" w:line="240" w:lineRule="auto"/>
        <w:jc w:val="both"/>
        <w:rPr>
          <w:sz w:val="24"/>
          <w:szCs w:val="24"/>
          <w:lang w:val="en-GB"/>
        </w:rPr>
      </w:pPr>
      <w:r w:rsidRPr="00563C09">
        <w:rPr>
          <w:sz w:val="24"/>
          <w:szCs w:val="24"/>
          <w:lang w:val="en-GB"/>
        </w:rPr>
        <w:t>Noncompliance of states with international obligations is a real and prevalent problem</w:t>
      </w:r>
      <w:r w:rsidR="007C7FCB">
        <w:rPr>
          <w:sz w:val="24"/>
          <w:szCs w:val="24"/>
          <w:lang w:val="en-GB"/>
        </w:rPr>
        <w:t xml:space="preserve"> (Cogan, 2006)</w:t>
      </w:r>
      <w:r w:rsidRPr="00563C09">
        <w:rPr>
          <w:sz w:val="24"/>
          <w:szCs w:val="24"/>
          <w:lang w:val="en-GB"/>
        </w:rPr>
        <w:t>. Many scholars have tried to understand and to address this issue</w:t>
      </w:r>
      <w:r w:rsidR="007C7FCB">
        <w:rPr>
          <w:sz w:val="24"/>
          <w:szCs w:val="24"/>
          <w:lang w:val="en-GB"/>
        </w:rPr>
        <w:t xml:space="preserve"> (</w:t>
      </w:r>
      <w:r w:rsidR="000D0F59">
        <w:rPr>
          <w:sz w:val="24"/>
          <w:szCs w:val="24"/>
          <w:lang w:val="en-GB"/>
        </w:rPr>
        <w:t xml:space="preserve">Pineschi, 2024; </w:t>
      </w:r>
      <w:r w:rsidR="003D3EBE">
        <w:rPr>
          <w:sz w:val="24"/>
          <w:szCs w:val="24"/>
          <w:lang w:val="en-GB"/>
        </w:rPr>
        <w:t xml:space="preserve">Tagle, 2015; </w:t>
      </w:r>
      <w:r w:rsidR="007C7FCB">
        <w:rPr>
          <w:sz w:val="24"/>
          <w:szCs w:val="24"/>
          <w:lang w:val="en-GB"/>
        </w:rPr>
        <w:t xml:space="preserve">Gross, 2004; Farer, 2003; </w:t>
      </w:r>
      <w:r w:rsidR="00302EA9">
        <w:rPr>
          <w:sz w:val="24"/>
          <w:szCs w:val="24"/>
          <w:lang w:val="en-GB"/>
        </w:rPr>
        <w:t xml:space="preserve">Finnemore and Sikkink, 1998; </w:t>
      </w:r>
      <w:r w:rsidR="007C7FCB">
        <w:rPr>
          <w:sz w:val="24"/>
          <w:szCs w:val="24"/>
          <w:lang w:val="en-GB"/>
        </w:rPr>
        <w:t>Koh, 1997; Frowein, 1994; Zoller, 1984; Henkin, 1979; Kadish, 1973)</w:t>
      </w:r>
      <w:r w:rsidRPr="00563C09">
        <w:rPr>
          <w:sz w:val="24"/>
          <w:szCs w:val="24"/>
          <w:lang w:val="en-GB"/>
        </w:rPr>
        <w:t xml:space="preserve">. For example, Oona Hathaway associates some of the phenomenon of noncompliance with the tendency of states to undertake obligations they do not intend to </w:t>
      </w:r>
      <w:r w:rsidR="002613EC" w:rsidRPr="00563C09">
        <w:rPr>
          <w:sz w:val="24"/>
          <w:szCs w:val="24"/>
          <w:lang w:val="en-GB"/>
        </w:rPr>
        <w:t>fulfil</w:t>
      </w:r>
      <w:r w:rsidRPr="00563C09">
        <w:rPr>
          <w:sz w:val="24"/>
          <w:szCs w:val="24"/>
          <w:lang w:val="en-GB"/>
        </w:rPr>
        <w:t xml:space="preserve"> just because doing so could boost their reputation (Hathaway, 2002). </w:t>
      </w:r>
      <w:r w:rsidR="00CC79AD">
        <w:rPr>
          <w:sz w:val="24"/>
          <w:szCs w:val="24"/>
          <w:lang w:val="en-GB"/>
        </w:rPr>
        <w:t xml:space="preserve">Luckner and Fikfak (2023) </w:t>
      </w:r>
      <w:r w:rsidR="002613EC">
        <w:rPr>
          <w:sz w:val="24"/>
          <w:szCs w:val="24"/>
          <w:lang w:val="en-GB"/>
        </w:rPr>
        <w:t xml:space="preserve">investigate </w:t>
      </w:r>
      <w:r w:rsidR="002613EC" w:rsidRPr="002613EC">
        <w:rPr>
          <w:sz w:val="24"/>
          <w:szCs w:val="24"/>
          <w:lang w:val="en-GB"/>
        </w:rPr>
        <w:t>a dynamic network of unitary actors</w:t>
      </w:r>
      <w:r w:rsidR="002613EC">
        <w:rPr>
          <w:sz w:val="24"/>
          <w:szCs w:val="24"/>
          <w:lang w:val="en-GB"/>
        </w:rPr>
        <w:t xml:space="preserve"> </w:t>
      </w:r>
      <w:r w:rsidR="002613EC" w:rsidRPr="002613EC">
        <w:rPr>
          <w:sz w:val="24"/>
          <w:szCs w:val="24"/>
          <w:lang w:val="en-GB"/>
        </w:rPr>
        <w:t>and explore with a threshold model how the norm of compliance-with-ECtHR-judgements moves within</w:t>
      </w:r>
      <w:r w:rsidR="002613EC">
        <w:rPr>
          <w:sz w:val="24"/>
          <w:szCs w:val="24"/>
          <w:lang w:val="en-GB"/>
        </w:rPr>
        <w:t xml:space="preserve"> </w:t>
      </w:r>
      <w:r w:rsidR="002613EC" w:rsidRPr="002613EC">
        <w:rPr>
          <w:sz w:val="24"/>
          <w:szCs w:val="24"/>
          <w:lang w:val="en-GB"/>
        </w:rPr>
        <w:t>the network, and how states associate and disassociate from one another in the course of establishing</w:t>
      </w:r>
      <w:r w:rsidR="002613EC">
        <w:rPr>
          <w:sz w:val="24"/>
          <w:szCs w:val="24"/>
          <w:lang w:val="en-GB"/>
        </w:rPr>
        <w:t xml:space="preserve"> </w:t>
      </w:r>
      <w:r w:rsidR="002613EC" w:rsidRPr="002613EC">
        <w:rPr>
          <w:sz w:val="24"/>
          <w:szCs w:val="24"/>
          <w:lang w:val="en-GB"/>
        </w:rPr>
        <w:t xml:space="preserve">and spreading a norm. </w:t>
      </w:r>
      <w:r w:rsidR="002613EC">
        <w:rPr>
          <w:sz w:val="24"/>
          <w:szCs w:val="24"/>
          <w:lang w:val="en-GB"/>
        </w:rPr>
        <w:t xml:space="preserve">They show that </w:t>
      </w:r>
      <w:r w:rsidR="002613EC" w:rsidRPr="002613EC">
        <w:rPr>
          <w:sz w:val="24"/>
          <w:szCs w:val="24"/>
          <w:lang w:val="en-GB"/>
        </w:rPr>
        <w:t>(a) rather than strictly favouring compliance under</w:t>
      </w:r>
      <w:r w:rsidR="002613EC">
        <w:rPr>
          <w:sz w:val="24"/>
          <w:szCs w:val="24"/>
          <w:lang w:val="en-GB"/>
        </w:rPr>
        <w:t xml:space="preserve"> </w:t>
      </w:r>
      <w:r w:rsidR="002613EC" w:rsidRPr="002613EC">
        <w:rPr>
          <w:sz w:val="24"/>
          <w:szCs w:val="24"/>
          <w:lang w:val="en-GB"/>
        </w:rPr>
        <w:t>all conditions, the network of states tends towards non-compliance often, (b) the behaviour of compliance is not and cannot be seen as a series of isolated actions by individual states, and that (c) compliance</w:t>
      </w:r>
      <w:r w:rsidR="002613EC">
        <w:rPr>
          <w:sz w:val="24"/>
          <w:szCs w:val="24"/>
          <w:lang w:val="en-GB"/>
        </w:rPr>
        <w:t xml:space="preserve"> </w:t>
      </w:r>
      <w:r w:rsidR="002613EC" w:rsidRPr="002613EC">
        <w:rPr>
          <w:sz w:val="24"/>
          <w:szCs w:val="24"/>
          <w:lang w:val="en-GB"/>
        </w:rPr>
        <w:t>rates are locked in relatively quickly and subsequently do not change much over time</w:t>
      </w:r>
      <w:r w:rsidR="002613EC">
        <w:rPr>
          <w:sz w:val="24"/>
          <w:szCs w:val="24"/>
          <w:lang w:val="en-GB"/>
        </w:rPr>
        <w:t xml:space="preserve"> (Luckner and Fikfak, 2023)</w:t>
      </w:r>
      <w:r w:rsidR="002613EC" w:rsidRPr="002613EC">
        <w:rPr>
          <w:sz w:val="24"/>
          <w:szCs w:val="24"/>
          <w:lang w:val="en-GB"/>
        </w:rPr>
        <w:t>.</w:t>
      </w:r>
      <w:r w:rsidR="000D0F59">
        <w:rPr>
          <w:sz w:val="24"/>
          <w:szCs w:val="24"/>
          <w:lang w:val="en-GB"/>
        </w:rPr>
        <w:t xml:space="preserve"> </w:t>
      </w:r>
      <w:r w:rsidR="002613EC">
        <w:rPr>
          <w:sz w:val="24"/>
          <w:szCs w:val="24"/>
          <w:lang w:val="en-GB"/>
        </w:rPr>
        <w:t xml:space="preserve">Whereas Findley at al. (2025) argue that </w:t>
      </w:r>
      <w:r w:rsidR="002613EC" w:rsidRPr="002613EC">
        <w:rPr>
          <w:sz w:val="24"/>
          <w:szCs w:val="24"/>
          <w:lang w:val="en-GB"/>
        </w:rPr>
        <w:t>the</w:t>
      </w:r>
      <w:r w:rsidR="002613EC">
        <w:rPr>
          <w:sz w:val="24"/>
          <w:szCs w:val="24"/>
          <w:lang w:val="en-GB"/>
        </w:rPr>
        <w:t xml:space="preserve"> </w:t>
      </w:r>
      <w:r w:rsidR="002613EC" w:rsidRPr="002613EC">
        <w:rPr>
          <w:sz w:val="24"/>
          <w:szCs w:val="24"/>
          <w:lang w:val="en-GB"/>
        </w:rPr>
        <w:t>material self-interest remains an all-too-powerful</w:t>
      </w:r>
      <w:r w:rsidR="002613EC">
        <w:rPr>
          <w:sz w:val="24"/>
          <w:szCs w:val="24"/>
          <w:lang w:val="en-GB"/>
        </w:rPr>
        <w:t xml:space="preserve"> </w:t>
      </w:r>
      <w:r w:rsidR="002613EC" w:rsidRPr="002613EC">
        <w:rPr>
          <w:sz w:val="24"/>
          <w:szCs w:val="24"/>
          <w:lang w:val="en-GB"/>
        </w:rPr>
        <w:t>temptation to violate international standards</w:t>
      </w:r>
      <w:r w:rsidR="002613EC">
        <w:rPr>
          <w:sz w:val="24"/>
          <w:szCs w:val="24"/>
          <w:lang w:val="en-GB"/>
        </w:rPr>
        <w:t xml:space="preserve"> and rules</w:t>
      </w:r>
      <w:r w:rsidR="002613EC" w:rsidRPr="002613EC">
        <w:rPr>
          <w:sz w:val="24"/>
          <w:szCs w:val="24"/>
          <w:lang w:val="en-GB"/>
        </w:rPr>
        <w:t>.</w:t>
      </w:r>
      <w:r w:rsidR="002613EC" w:rsidRPr="002613EC">
        <w:rPr>
          <w:sz w:val="24"/>
          <w:szCs w:val="24"/>
          <w:lang w:val="en-GB"/>
        </w:rPr>
        <w:cr/>
      </w:r>
    </w:p>
    <w:p w14:paraId="5ABD62FC" w14:textId="0C16EBDF" w:rsidR="00967C12" w:rsidRDefault="002613EC" w:rsidP="000D0F59">
      <w:pPr>
        <w:spacing w:after="0" w:line="240" w:lineRule="auto"/>
        <w:jc w:val="both"/>
        <w:rPr>
          <w:sz w:val="24"/>
          <w:szCs w:val="24"/>
          <w:lang w:val="en-GB"/>
        </w:rPr>
      </w:pPr>
      <w:r>
        <w:rPr>
          <w:sz w:val="24"/>
          <w:szCs w:val="24"/>
          <w:lang w:val="en-GB"/>
        </w:rPr>
        <w:t xml:space="preserve">Moreover, Chayes and Chayes (1993) </w:t>
      </w:r>
      <w:r w:rsidR="00302EA9">
        <w:rPr>
          <w:sz w:val="24"/>
          <w:szCs w:val="24"/>
          <w:lang w:val="en-GB"/>
        </w:rPr>
        <w:t xml:space="preserve">suggest that </w:t>
      </w:r>
      <w:r w:rsidR="00302EA9" w:rsidRPr="00302EA9">
        <w:rPr>
          <w:sz w:val="24"/>
          <w:szCs w:val="24"/>
          <w:lang w:val="en-GB"/>
        </w:rPr>
        <w:t>n</w:t>
      </w:r>
      <w:r w:rsidR="00302EA9">
        <w:rPr>
          <w:sz w:val="24"/>
          <w:szCs w:val="24"/>
          <w:lang w:val="en-GB"/>
        </w:rPr>
        <w:t>on</w:t>
      </w:r>
      <w:r w:rsidR="00302EA9" w:rsidRPr="00302EA9">
        <w:rPr>
          <w:sz w:val="24"/>
          <w:szCs w:val="24"/>
          <w:lang w:val="en-GB"/>
        </w:rPr>
        <w:t>compliance</w:t>
      </w:r>
      <w:r w:rsidR="00302EA9">
        <w:rPr>
          <w:sz w:val="24"/>
          <w:szCs w:val="24"/>
          <w:lang w:val="en-GB"/>
        </w:rPr>
        <w:t xml:space="preserve"> with international law</w:t>
      </w:r>
      <w:r w:rsidR="00302EA9" w:rsidRPr="00302EA9">
        <w:rPr>
          <w:sz w:val="24"/>
          <w:szCs w:val="24"/>
          <w:lang w:val="en-GB"/>
        </w:rPr>
        <w:t xml:space="preserve"> </w:t>
      </w:r>
      <w:r w:rsidR="00302EA9">
        <w:rPr>
          <w:sz w:val="24"/>
          <w:szCs w:val="24"/>
          <w:lang w:val="en-GB"/>
        </w:rPr>
        <w:t>is</w:t>
      </w:r>
      <w:r w:rsidR="00302EA9" w:rsidRPr="00302EA9">
        <w:rPr>
          <w:sz w:val="24"/>
          <w:szCs w:val="24"/>
          <w:lang w:val="en-GB"/>
        </w:rPr>
        <w:t xml:space="preserve"> a deviant rather</w:t>
      </w:r>
      <w:r w:rsidR="00302EA9">
        <w:rPr>
          <w:sz w:val="24"/>
          <w:szCs w:val="24"/>
          <w:lang w:val="en-GB"/>
        </w:rPr>
        <w:t xml:space="preserve"> </w:t>
      </w:r>
      <w:r w:rsidR="00302EA9" w:rsidRPr="00302EA9">
        <w:rPr>
          <w:sz w:val="24"/>
          <w:szCs w:val="24"/>
          <w:lang w:val="en-GB"/>
        </w:rPr>
        <w:t xml:space="preserve">than an expected behaviour, and as endemic rather than deliberate. </w:t>
      </w:r>
      <w:r w:rsidR="00302EA9">
        <w:rPr>
          <w:sz w:val="24"/>
          <w:szCs w:val="24"/>
          <w:lang w:val="en-GB"/>
        </w:rPr>
        <w:t xml:space="preserve">Furthermore, Parente (2023) </w:t>
      </w:r>
      <w:r w:rsidR="000D0F59">
        <w:rPr>
          <w:sz w:val="24"/>
          <w:szCs w:val="24"/>
          <w:lang w:val="en-GB"/>
        </w:rPr>
        <w:t xml:space="preserve">suggests that </w:t>
      </w:r>
      <w:r w:rsidR="000D0F59" w:rsidRPr="000D0F59">
        <w:rPr>
          <w:sz w:val="24"/>
          <w:szCs w:val="24"/>
          <w:lang w:val="en-GB"/>
        </w:rPr>
        <w:t xml:space="preserve">compliance may sometimes result from democratic leaders adjusting compliance behavior according to public opinion, especially when the implicated actor is popular. In particular, </w:t>
      </w:r>
      <w:r w:rsidR="000D0F59">
        <w:rPr>
          <w:sz w:val="24"/>
          <w:szCs w:val="24"/>
          <w:lang w:val="en-GB"/>
        </w:rPr>
        <w:t xml:space="preserve">Parente (2023) advocates the view that </w:t>
      </w:r>
      <w:r w:rsidR="000D0F59" w:rsidRPr="000D0F59">
        <w:rPr>
          <w:sz w:val="24"/>
          <w:szCs w:val="24"/>
          <w:lang w:val="en-GB"/>
        </w:rPr>
        <w:t xml:space="preserve">compliance is a function of proximity to the next presidential election, therefore necessitating greater responsiveness to the public’s opinions, and the public’s attitudes toward the actor implicated by the ruling. </w:t>
      </w:r>
      <w:r w:rsidR="000D0F59">
        <w:rPr>
          <w:sz w:val="24"/>
          <w:szCs w:val="24"/>
          <w:lang w:val="en-GB"/>
        </w:rPr>
        <w:t xml:space="preserve">Parente (2023) </w:t>
      </w:r>
      <w:r w:rsidR="000D0F59" w:rsidRPr="000D0F59">
        <w:rPr>
          <w:sz w:val="24"/>
          <w:szCs w:val="24"/>
          <w:lang w:val="en-GB"/>
        </w:rPr>
        <w:t>test</w:t>
      </w:r>
      <w:r w:rsidR="000D0F59">
        <w:rPr>
          <w:sz w:val="24"/>
          <w:szCs w:val="24"/>
          <w:lang w:val="en-GB"/>
        </w:rPr>
        <w:t xml:space="preserve">s her </w:t>
      </w:r>
      <w:r w:rsidR="000D0F59" w:rsidRPr="000D0F59">
        <w:rPr>
          <w:sz w:val="24"/>
          <w:szCs w:val="24"/>
          <w:lang w:val="en-GB"/>
        </w:rPr>
        <w:t>argument on an original dataset of all Inter-American Court rulings implicating the military</w:t>
      </w:r>
      <w:r w:rsidR="000D0F59">
        <w:rPr>
          <w:sz w:val="24"/>
          <w:szCs w:val="24"/>
          <w:lang w:val="en-GB"/>
        </w:rPr>
        <w:t xml:space="preserve"> where she shows </w:t>
      </w:r>
      <w:r w:rsidR="000D0F59" w:rsidRPr="000D0F59">
        <w:rPr>
          <w:sz w:val="24"/>
          <w:szCs w:val="24"/>
          <w:lang w:val="en-GB"/>
        </w:rPr>
        <w:t>that if the public does not support the military, the probability of compliance increases closer to an election; however, if the public does support the military, the probability of compliance decreases.</w:t>
      </w:r>
      <w:r w:rsidR="000D0F59">
        <w:rPr>
          <w:sz w:val="24"/>
          <w:szCs w:val="24"/>
          <w:lang w:val="en-GB"/>
        </w:rPr>
        <w:t xml:space="preserve"> Finally, van Aaken and Simsek (2021) argue </w:t>
      </w:r>
      <w:r w:rsidR="000D0F59" w:rsidRPr="000D0F59">
        <w:rPr>
          <w:sz w:val="24"/>
          <w:szCs w:val="24"/>
          <w:lang w:val="en-GB"/>
        </w:rPr>
        <w:t>that compliance theory needs reframing in order to realize the array of positive inducements</w:t>
      </w:r>
      <w:r w:rsidR="000D0F59">
        <w:rPr>
          <w:sz w:val="24"/>
          <w:szCs w:val="24"/>
          <w:lang w:val="en-GB"/>
        </w:rPr>
        <w:t xml:space="preserve"> </w:t>
      </w:r>
      <w:r w:rsidR="000D0F59" w:rsidRPr="000D0F59">
        <w:rPr>
          <w:sz w:val="24"/>
          <w:szCs w:val="24"/>
          <w:lang w:val="en-GB"/>
        </w:rPr>
        <w:t>already existing and their potential in international law.</w:t>
      </w:r>
    </w:p>
    <w:p w14:paraId="14849CD0" w14:textId="77777777" w:rsidR="00563C09" w:rsidRPr="00563C09" w:rsidRDefault="00563C09" w:rsidP="00563C09">
      <w:pPr>
        <w:spacing w:after="0" w:line="240" w:lineRule="auto"/>
        <w:jc w:val="both"/>
        <w:rPr>
          <w:sz w:val="24"/>
          <w:szCs w:val="24"/>
          <w:lang w:val="en-GB"/>
        </w:rPr>
      </w:pPr>
    </w:p>
    <w:p w14:paraId="2E8B3870" w14:textId="77777777" w:rsidR="00967C12" w:rsidRDefault="00967C12" w:rsidP="00563C09">
      <w:pPr>
        <w:spacing w:after="0" w:line="240" w:lineRule="auto"/>
        <w:jc w:val="both"/>
        <w:rPr>
          <w:sz w:val="24"/>
          <w:szCs w:val="24"/>
          <w:lang w:val="en-GB"/>
        </w:rPr>
      </w:pPr>
      <w:r w:rsidRPr="00563C09">
        <w:rPr>
          <w:sz w:val="24"/>
          <w:szCs w:val="24"/>
          <w:lang w:val="en-GB"/>
        </w:rPr>
        <w:t xml:space="preserve">To understand why states fail to comply, it is therefore crucial to understand how the reputation of states works, both because states tend to undertake obligations in order to boost their reputation, and because when states are caught failing to comply, they suffer a reputational sanction. </w:t>
      </w:r>
    </w:p>
    <w:p w14:paraId="67A74AAB" w14:textId="77777777" w:rsidR="00563C09" w:rsidRPr="00563C09" w:rsidRDefault="00563C09" w:rsidP="00563C09">
      <w:pPr>
        <w:spacing w:after="0" w:line="240" w:lineRule="auto"/>
        <w:jc w:val="both"/>
        <w:rPr>
          <w:sz w:val="24"/>
          <w:szCs w:val="24"/>
          <w:lang w:val="en-GB"/>
        </w:rPr>
      </w:pPr>
    </w:p>
    <w:p w14:paraId="2E00E0D4" w14:textId="5421292B" w:rsidR="00967C12" w:rsidRDefault="00967C12" w:rsidP="00563C09">
      <w:pPr>
        <w:spacing w:after="0" w:line="240" w:lineRule="auto"/>
        <w:jc w:val="both"/>
        <w:rPr>
          <w:sz w:val="24"/>
          <w:szCs w:val="24"/>
          <w:lang w:val="en-GB"/>
        </w:rPr>
      </w:pPr>
      <w:r w:rsidRPr="00563C09">
        <w:rPr>
          <w:sz w:val="24"/>
          <w:szCs w:val="24"/>
          <w:lang w:val="en-GB"/>
        </w:rPr>
        <w:lastRenderedPageBreak/>
        <w:t>The most intuitive theory of state reputation was developed by Andrew Guzman. According to this theory, reputation is a tool used by states to signal their low-discount rate. A low-discount rate is an indication of how much a state values the future. Doing something that creates an immediate cost in the hope of a future gain signals a low discount rate because it shows the state cares enough about future gains to justify undertaking an immediate cost. States gain from signaling their low-discount rate because this means their treaty partners will believe them, knowing that they will not go back on their obligations in pursuit of quick gains (Guzman 2008)</w:t>
      </w:r>
      <w:r w:rsidR="00563C09">
        <w:rPr>
          <w:sz w:val="24"/>
          <w:szCs w:val="24"/>
          <w:lang w:val="en-GB"/>
        </w:rPr>
        <w:t xml:space="preserve">. </w:t>
      </w:r>
    </w:p>
    <w:p w14:paraId="7045DCE1" w14:textId="77777777" w:rsidR="00563C09" w:rsidRPr="00563C09" w:rsidRDefault="00563C09" w:rsidP="00563C09">
      <w:pPr>
        <w:spacing w:after="0" w:line="240" w:lineRule="auto"/>
        <w:jc w:val="both"/>
        <w:rPr>
          <w:sz w:val="24"/>
          <w:szCs w:val="24"/>
          <w:lang w:val="en-GB"/>
        </w:rPr>
      </w:pPr>
    </w:p>
    <w:p w14:paraId="72BDEB12" w14:textId="77777777" w:rsidR="00967C12" w:rsidRDefault="00967C12" w:rsidP="00563C09">
      <w:pPr>
        <w:spacing w:after="0" w:line="240" w:lineRule="auto"/>
        <w:jc w:val="both"/>
        <w:rPr>
          <w:sz w:val="24"/>
          <w:szCs w:val="24"/>
          <w:lang w:val="en-GB"/>
        </w:rPr>
      </w:pPr>
      <w:r w:rsidRPr="00563C09">
        <w:rPr>
          <w:sz w:val="24"/>
          <w:szCs w:val="24"/>
          <w:lang w:val="en-GB"/>
        </w:rPr>
        <w:t xml:space="preserve">When states undertake a treaty obligation, this accordingly creates a reputational benefit because the state limits its freedom of action (Moore 2003). When a state violates a treaty obligation, its reputation will be damaged because it is not willing to face the immediate costs of compliance in exchange for maintaining its standing in the international community (Guzman 2008). Finally, if a state is caught violating international law by an international court, but then complies with the orders of that court, this compliance with the judgment can help rebuild some of the damage to the state’s reputation (Dothan 2015). </w:t>
      </w:r>
    </w:p>
    <w:p w14:paraId="46A4FCCD" w14:textId="77777777" w:rsidR="00563C09" w:rsidRPr="00563C09" w:rsidRDefault="00563C09" w:rsidP="00563C09">
      <w:pPr>
        <w:spacing w:after="0" w:line="240" w:lineRule="auto"/>
        <w:jc w:val="both"/>
        <w:rPr>
          <w:sz w:val="24"/>
          <w:szCs w:val="24"/>
          <w:lang w:val="en-GB"/>
        </w:rPr>
      </w:pPr>
    </w:p>
    <w:p w14:paraId="7AF00B5F" w14:textId="53CE813B" w:rsidR="00967C12" w:rsidRDefault="00967C12" w:rsidP="00563C09">
      <w:pPr>
        <w:spacing w:after="0" w:line="240" w:lineRule="auto"/>
        <w:jc w:val="both"/>
        <w:rPr>
          <w:sz w:val="24"/>
          <w:szCs w:val="24"/>
          <w:lang w:val="en-GB"/>
        </w:rPr>
      </w:pPr>
      <w:r w:rsidRPr="00563C09">
        <w:rPr>
          <w:sz w:val="24"/>
          <w:szCs w:val="24"/>
          <w:lang w:val="en-GB"/>
        </w:rPr>
        <w:t xml:space="preserve">Democracies are usually states with a lower discount rate than non-democracies. The reason is that just like international obligations limit the ability of the state to act and constitute an immediate cost so do the guarantees that democracies are committed to like human rights, constitutional limitations and checks and balances in government. A state that respects democratic principles even when it is difficult to do so, shows that it is willing to sustain immediate costs for the potential of future benefits (Farber 2002). The same low discount rate that guides states into preserving their domestic constitution </w:t>
      </w:r>
      <w:r w:rsidR="008E2B7B">
        <w:rPr>
          <w:sz w:val="24"/>
          <w:szCs w:val="24"/>
          <w:lang w:val="en-GB"/>
        </w:rPr>
        <w:t>guides</w:t>
      </w:r>
      <w:r w:rsidRPr="00563C09">
        <w:rPr>
          <w:sz w:val="24"/>
          <w:szCs w:val="24"/>
          <w:lang w:val="en-GB"/>
        </w:rPr>
        <w:t xml:space="preserve"> them towards compliance with the international obligations undertaken by the state. </w:t>
      </w:r>
    </w:p>
    <w:p w14:paraId="3A629DEB" w14:textId="77777777" w:rsidR="00563C09" w:rsidRPr="00563C09" w:rsidRDefault="00563C09" w:rsidP="00563C09">
      <w:pPr>
        <w:spacing w:after="0" w:line="240" w:lineRule="auto"/>
        <w:jc w:val="both"/>
        <w:rPr>
          <w:sz w:val="24"/>
          <w:szCs w:val="24"/>
          <w:lang w:val="en-GB"/>
        </w:rPr>
      </w:pPr>
    </w:p>
    <w:p w14:paraId="65F122D6" w14:textId="77777777" w:rsidR="00967C12" w:rsidRDefault="00967C12" w:rsidP="00563C09">
      <w:pPr>
        <w:spacing w:after="0" w:line="240" w:lineRule="auto"/>
        <w:jc w:val="both"/>
        <w:rPr>
          <w:sz w:val="24"/>
          <w:szCs w:val="24"/>
          <w:lang w:val="en-GB"/>
        </w:rPr>
      </w:pPr>
      <w:r w:rsidRPr="00563C09">
        <w:rPr>
          <w:sz w:val="24"/>
          <w:szCs w:val="24"/>
          <w:lang w:val="en-GB"/>
        </w:rPr>
        <w:t xml:space="preserve">Another way to think about discount rate of democracies is to consider that usually democratic leaders care about the survival and success of the state in the long run. Autocratic leaders care only about the continuation of their own government and this is why they care less about what will happen in the distant future (Ginsburg 2021). Compliance with international law implies costs now and benefits only later in the future, a time frame that non-democratic leaders do not think about. </w:t>
      </w:r>
    </w:p>
    <w:p w14:paraId="643114C4" w14:textId="77777777" w:rsidR="00563C09" w:rsidRPr="00563C09" w:rsidRDefault="00563C09" w:rsidP="00563C09">
      <w:pPr>
        <w:spacing w:after="0" w:line="240" w:lineRule="auto"/>
        <w:jc w:val="both"/>
        <w:rPr>
          <w:sz w:val="24"/>
          <w:szCs w:val="24"/>
          <w:lang w:val="en-GB"/>
        </w:rPr>
      </w:pPr>
    </w:p>
    <w:p w14:paraId="6ED25829" w14:textId="5D6B2D1B" w:rsidR="00967C12" w:rsidRDefault="00967C12" w:rsidP="00563C09">
      <w:pPr>
        <w:spacing w:after="0" w:line="240" w:lineRule="auto"/>
        <w:jc w:val="both"/>
        <w:rPr>
          <w:sz w:val="24"/>
          <w:szCs w:val="24"/>
          <w:lang w:val="en-GB"/>
        </w:rPr>
      </w:pPr>
      <w:r w:rsidRPr="00563C09">
        <w:rPr>
          <w:sz w:val="24"/>
          <w:szCs w:val="24"/>
          <w:lang w:val="en-GB"/>
        </w:rPr>
        <w:t>In accordance with these observations about the low discount rate of democracies</w:t>
      </w:r>
      <w:r w:rsidR="008E2B7B">
        <w:rPr>
          <w:sz w:val="24"/>
          <w:szCs w:val="24"/>
          <w:lang w:val="en-GB"/>
        </w:rPr>
        <w:t>,</w:t>
      </w:r>
      <w:r w:rsidRPr="00563C09">
        <w:rPr>
          <w:sz w:val="24"/>
          <w:szCs w:val="24"/>
          <w:lang w:val="en-GB"/>
        </w:rPr>
        <w:t xml:space="preserve"> there are many indicators of their greater respect and greater use of international law. Democracies sign more treaties than non-democracies, they have a larger propensity to use a variety of international tribunals and they tend to join international organizations with more precise obligations in their charters (Ginsburg 2021). </w:t>
      </w:r>
    </w:p>
    <w:p w14:paraId="11081695" w14:textId="77777777" w:rsidR="00563C09" w:rsidRPr="00563C09" w:rsidRDefault="00563C09" w:rsidP="00563C09">
      <w:pPr>
        <w:spacing w:after="0" w:line="240" w:lineRule="auto"/>
        <w:jc w:val="both"/>
        <w:rPr>
          <w:sz w:val="24"/>
          <w:szCs w:val="24"/>
          <w:lang w:val="en-GB"/>
        </w:rPr>
      </w:pPr>
    </w:p>
    <w:p w14:paraId="168D16BB" w14:textId="77777777" w:rsidR="00967C12" w:rsidRDefault="00967C12" w:rsidP="00563C09">
      <w:pPr>
        <w:spacing w:after="0" w:line="240" w:lineRule="auto"/>
        <w:jc w:val="both"/>
        <w:rPr>
          <w:sz w:val="24"/>
          <w:szCs w:val="24"/>
          <w:lang w:val="en-GB"/>
        </w:rPr>
      </w:pPr>
      <w:r w:rsidRPr="00563C09">
        <w:rPr>
          <w:sz w:val="24"/>
          <w:szCs w:val="24"/>
          <w:lang w:val="en-GB"/>
        </w:rPr>
        <w:t xml:space="preserve">The neat picture of democracies that comply with international law more than nondemocracies is blurred when the two types of countries interact with each other. When states interact with other states, their actions have an effect on states they interact with. This means that states do not operate in isolation. Democracies do not go to war with other democracies, but they often fight against non-democracies (Ginsburg 2021, 31-32). When a country that is committed to compliance is met with a non-compliant country that endangers it, it may resort to war and to violations of international law. </w:t>
      </w:r>
    </w:p>
    <w:p w14:paraId="6EFFB4A1" w14:textId="77777777" w:rsidR="00563C09" w:rsidRPr="00563C09" w:rsidRDefault="00563C09" w:rsidP="00563C09">
      <w:pPr>
        <w:spacing w:after="0" w:line="240" w:lineRule="auto"/>
        <w:jc w:val="both"/>
        <w:rPr>
          <w:sz w:val="24"/>
          <w:szCs w:val="24"/>
          <w:lang w:val="en-GB"/>
        </w:rPr>
      </w:pPr>
    </w:p>
    <w:p w14:paraId="3DADC4E6" w14:textId="77777777" w:rsidR="00967C12" w:rsidRDefault="00967C12" w:rsidP="00563C09">
      <w:pPr>
        <w:spacing w:after="0" w:line="240" w:lineRule="auto"/>
        <w:jc w:val="both"/>
        <w:rPr>
          <w:sz w:val="24"/>
          <w:szCs w:val="24"/>
          <w:lang w:val="en-GB"/>
        </w:rPr>
      </w:pPr>
      <w:r w:rsidRPr="00563C09">
        <w:rPr>
          <w:sz w:val="24"/>
          <w:szCs w:val="24"/>
          <w:lang w:val="en-GB"/>
        </w:rPr>
        <w:lastRenderedPageBreak/>
        <w:t xml:space="preserve">This dynamic suggests that non-compliance with international law is contagious. A community of compliant states can be infiltrated by a noncompliant state and gradually the other compliant states would shift to noncompliance. Just like a community of actors that play cooperate in a stag-hunt game would gradually shift to playing defect if infiltrated by actors that play defect, so would the community of states shift from compliance to noncompliance if invaded by nondemocracies (Dothan 2022). </w:t>
      </w:r>
    </w:p>
    <w:p w14:paraId="3209EEB5" w14:textId="77777777" w:rsidR="00563C09" w:rsidRPr="00563C09" w:rsidRDefault="00563C09" w:rsidP="00563C09">
      <w:pPr>
        <w:spacing w:after="0" w:line="240" w:lineRule="auto"/>
        <w:jc w:val="both"/>
        <w:rPr>
          <w:sz w:val="24"/>
          <w:szCs w:val="24"/>
          <w:lang w:val="en-GB"/>
        </w:rPr>
      </w:pPr>
    </w:p>
    <w:p w14:paraId="4E67718A" w14:textId="42176E05" w:rsidR="00967C12" w:rsidRDefault="00967C12" w:rsidP="00563C09">
      <w:pPr>
        <w:spacing w:after="0" w:line="240" w:lineRule="auto"/>
        <w:jc w:val="both"/>
        <w:rPr>
          <w:sz w:val="24"/>
          <w:szCs w:val="24"/>
          <w:lang w:val="en-GB"/>
        </w:rPr>
      </w:pPr>
      <w:r w:rsidRPr="00563C09">
        <w:rPr>
          <w:sz w:val="24"/>
          <w:szCs w:val="24"/>
          <w:lang w:val="en-GB"/>
        </w:rPr>
        <w:t>This doesn’t mean that democracies are doomed to extinction in any evolutionary model. Mutual compliance with international law brings with it significant benefits in the interactions between states. It means both states get better deals, do not waste resources on conflicts, and their mutually beneficial agreements are respected. Additionally, when democracies go to war against nondemocracies, the democracies usually win (Ginsburg 2021, 31-32)</w:t>
      </w:r>
      <w:r w:rsidR="00563C09">
        <w:rPr>
          <w:sz w:val="24"/>
          <w:szCs w:val="24"/>
          <w:lang w:val="en-GB"/>
        </w:rPr>
        <w:t>.</w:t>
      </w:r>
    </w:p>
    <w:p w14:paraId="363FB384" w14:textId="77777777" w:rsidR="00563C09" w:rsidRPr="00563C09" w:rsidRDefault="00563C09" w:rsidP="00563C09">
      <w:pPr>
        <w:spacing w:after="0" w:line="240" w:lineRule="auto"/>
        <w:jc w:val="both"/>
        <w:rPr>
          <w:sz w:val="24"/>
          <w:szCs w:val="24"/>
          <w:lang w:val="en-GB"/>
        </w:rPr>
      </w:pPr>
    </w:p>
    <w:p w14:paraId="717B87A2" w14:textId="77777777" w:rsidR="00967C12" w:rsidRDefault="00967C12" w:rsidP="00563C09">
      <w:pPr>
        <w:spacing w:after="0" w:line="240" w:lineRule="auto"/>
        <w:jc w:val="both"/>
        <w:rPr>
          <w:sz w:val="24"/>
          <w:szCs w:val="24"/>
          <w:lang w:val="en-GB"/>
        </w:rPr>
      </w:pPr>
      <w:r w:rsidRPr="00563C09">
        <w:rPr>
          <w:sz w:val="24"/>
          <w:szCs w:val="24"/>
          <w:lang w:val="en-GB"/>
        </w:rPr>
        <w:t xml:space="preserve">This means that there are plenty of reasons to transition into democracy. Moreover, when many states that interact much with one another transition to democracy at the same time, the benefits to the groups of states are particularly large. This explains the phenomenon of “democratic waves” when many states shift to democracy around the same time (Gunitsky 2018). </w:t>
      </w:r>
    </w:p>
    <w:p w14:paraId="772AE70A" w14:textId="77777777" w:rsidR="00563C09" w:rsidRPr="00563C09" w:rsidRDefault="00563C09" w:rsidP="00563C09">
      <w:pPr>
        <w:spacing w:after="0" w:line="240" w:lineRule="auto"/>
        <w:jc w:val="both"/>
        <w:rPr>
          <w:sz w:val="24"/>
          <w:szCs w:val="24"/>
          <w:lang w:val="en-GB"/>
        </w:rPr>
      </w:pPr>
    </w:p>
    <w:p w14:paraId="284388E9" w14:textId="636FCA9B" w:rsidR="00B97570" w:rsidRDefault="00B97570" w:rsidP="00563C09">
      <w:pPr>
        <w:spacing w:after="0" w:line="240" w:lineRule="auto"/>
        <w:jc w:val="both"/>
        <w:rPr>
          <w:sz w:val="24"/>
          <w:szCs w:val="24"/>
          <w:lang w:val="en-GB"/>
        </w:rPr>
      </w:pPr>
      <w:r>
        <w:rPr>
          <w:sz w:val="24"/>
          <w:szCs w:val="24"/>
          <w:lang w:val="en-GB"/>
        </w:rPr>
        <w:t xml:space="preserve">On the other hand, the clear advantages of shifting to a low-abiding democracy are always counter-balanced by the contagious effects of non-compliance. States that interact with noncompliant states would have an incentive not to comply themselves, carrying through the practice of noncompliance to yet other states. The ultimate condition of states would be determined by a dynamic equilibrium motivated by two contradictory vectors: (1) the contagious element of noncompliance stemming from the incentive to reciprocate and repeat international law violations (2) the contagious element of democracy stemming from the higher returns democracies can collectively secure by fruitful collaboration (Dothan </w:t>
      </w:r>
      <w:r w:rsidR="00B476EA">
        <w:rPr>
          <w:sz w:val="24"/>
          <w:szCs w:val="24"/>
          <w:lang w:val="en-GB"/>
        </w:rPr>
        <w:t xml:space="preserve">2022). </w:t>
      </w:r>
    </w:p>
    <w:p w14:paraId="0110F8F8" w14:textId="77777777" w:rsidR="00B97570" w:rsidRDefault="00B97570" w:rsidP="00563C09">
      <w:pPr>
        <w:spacing w:after="0" w:line="240" w:lineRule="auto"/>
        <w:jc w:val="both"/>
        <w:rPr>
          <w:sz w:val="24"/>
          <w:szCs w:val="24"/>
          <w:lang w:val="en-GB"/>
        </w:rPr>
      </w:pPr>
    </w:p>
    <w:p w14:paraId="3FB93BE6" w14:textId="7E07E5E3" w:rsidR="00967C12" w:rsidRDefault="00967C12" w:rsidP="00563C09">
      <w:pPr>
        <w:spacing w:after="0" w:line="240" w:lineRule="auto"/>
        <w:jc w:val="both"/>
        <w:rPr>
          <w:sz w:val="24"/>
          <w:szCs w:val="24"/>
          <w:lang w:val="en-GB"/>
        </w:rPr>
      </w:pPr>
      <w:r w:rsidRPr="00563C09">
        <w:rPr>
          <w:sz w:val="24"/>
          <w:szCs w:val="24"/>
          <w:lang w:val="en-GB"/>
        </w:rPr>
        <w:t>The focus of this paper is on the spread of noncompliance among states. It will attempt</w:t>
      </w:r>
      <w:r w:rsidR="00B97570">
        <w:rPr>
          <w:sz w:val="24"/>
          <w:szCs w:val="24"/>
          <w:lang w:val="en-GB"/>
        </w:rPr>
        <w:t xml:space="preserve"> to</w:t>
      </w:r>
      <w:r w:rsidRPr="00563C09">
        <w:rPr>
          <w:sz w:val="24"/>
          <w:szCs w:val="24"/>
          <w:lang w:val="en-GB"/>
        </w:rPr>
        <w:t xml:space="preserve"> isolate the factors that determine how practices of noncompliance travel between states. </w:t>
      </w:r>
      <w:r w:rsidR="00B97570">
        <w:rPr>
          <w:sz w:val="24"/>
          <w:szCs w:val="24"/>
          <w:lang w:val="en-GB"/>
        </w:rPr>
        <w:t xml:space="preserve">By examining how noncompliance spreads among states, this paper brings research one step closer to determining the outcome of the dynamic equilibrium regulating state compliance with international law. </w:t>
      </w:r>
    </w:p>
    <w:p w14:paraId="7D05ED5B" w14:textId="77777777" w:rsidR="00563C09" w:rsidRPr="00563C09" w:rsidRDefault="00563C09" w:rsidP="00563C09">
      <w:pPr>
        <w:spacing w:after="0" w:line="240" w:lineRule="auto"/>
        <w:jc w:val="both"/>
        <w:rPr>
          <w:sz w:val="24"/>
          <w:szCs w:val="24"/>
          <w:lang w:val="en-GB"/>
        </w:rPr>
      </w:pPr>
    </w:p>
    <w:p w14:paraId="18262389" w14:textId="49B88762" w:rsidR="00DC0B77" w:rsidRPr="00563C09" w:rsidRDefault="008139F7" w:rsidP="00563C09">
      <w:pPr>
        <w:pStyle w:val="Naslov1"/>
        <w:numPr>
          <w:ilvl w:val="0"/>
          <w:numId w:val="2"/>
        </w:numPr>
        <w:tabs>
          <w:tab w:val="num" w:pos="720"/>
        </w:tabs>
        <w:rPr>
          <w:rFonts w:asciiTheme="majorBidi" w:hAnsiTheme="majorBidi"/>
          <w:color w:val="auto"/>
          <w:lang w:val="en-US"/>
        </w:rPr>
      </w:pPr>
      <w:bookmarkStart w:id="3" w:name="_Toc212314887"/>
      <w:r w:rsidRPr="00563C09">
        <w:rPr>
          <w:rFonts w:asciiTheme="majorBidi" w:hAnsiTheme="majorBidi"/>
          <w:color w:val="auto"/>
          <w:lang w:val="en-US"/>
        </w:rPr>
        <w:t>Data and Methodology</w:t>
      </w:r>
      <w:bookmarkEnd w:id="3"/>
    </w:p>
    <w:p w14:paraId="1A0FEC2D" w14:textId="3266BCEC" w:rsidR="008139F7" w:rsidRPr="00E01316" w:rsidRDefault="008139F7" w:rsidP="008139F7">
      <w:pPr>
        <w:spacing w:after="0" w:line="240" w:lineRule="auto"/>
        <w:jc w:val="both"/>
        <w:rPr>
          <w:sz w:val="24"/>
          <w:szCs w:val="24"/>
          <w:lang w:val="en-GB"/>
        </w:rPr>
      </w:pPr>
    </w:p>
    <w:p w14:paraId="2A6A6767" w14:textId="27AD3A58" w:rsidR="008139F7" w:rsidRPr="00372793" w:rsidRDefault="00151305" w:rsidP="00151305">
      <w:pPr>
        <w:pStyle w:val="Naslov2"/>
        <w:ind w:left="360"/>
        <w:rPr>
          <w:lang w:val="en-GB"/>
        </w:rPr>
      </w:pPr>
      <w:bookmarkStart w:id="4" w:name="_Toc212314888"/>
      <w:r>
        <w:rPr>
          <w:lang w:val="en-GB"/>
        </w:rPr>
        <w:t xml:space="preserve">3.1 </w:t>
      </w:r>
      <w:r>
        <w:rPr>
          <w:lang w:val="en-GB"/>
        </w:rPr>
        <w:tab/>
      </w:r>
      <w:r w:rsidR="00BE52DC" w:rsidRPr="00372793">
        <w:rPr>
          <w:lang w:val="en-GB"/>
        </w:rPr>
        <w:t>Identification Strategy</w:t>
      </w:r>
      <w:bookmarkEnd w:id="4"/>
    </w:p>
    <w:p w14:paraId="58DADB67" w14:textId="7962AC4A" w:rsidR="008139F7" w:rsidRDefault="008139F7" w:rsidP="008139F7">
      <w:pPr>
        <w:spacing w:after="0" w:line="240" w:lineRule="auto"/>
        <w:jc w:val="both"/>
        <w:rPr>
          <w:sz w:val="24"/>
          <w:szCs w:val="24"/>
          <w:lang w:val="en-GB"/>
        </w:rPr>
      </w:pPr>
    </w:p>
    <w:p w14:paraId="597888F8" w14:textId="51979315" w:rsidR="00BE52DC" w:rsidRDefault="00BE52DC" w:rsidP="008139F7">
      <w:pPr>
        <w:spacing w:after="0" w:line="240" w:lineRule="auto"/>
        <w:jc w:val="both"/>
        <w:rPr>
          <w:sz w:val="24"/>
          <w:szCs w:val="24"/>
          <w:lang w:val="en-GB"/>
        </w:rPr>
      </w:pPr>
      <w:r w:rsidRPr="00BE52DC">
        <w:rPr>
          <w:sz w:val="24"/>
          <w:szCs w:val="24"/>
          <w:lang w:val="en-GB"/>
        </w:rPr>
        <w:t>Our empirical analysis tests the central mechanism of the theoretical model: the dynamic equilibrium between compliance and non-compliance with international law. Specifically, we examine how institutional distance from violators shapes the probability that a given country votes in favor of UN General Assembly (UNGA) resolutions condemning breaches of international law. The underlying hypothesis is that governments whose governance quality diverges from that of the violator are more likely to align with international norms, while those institutionally proximate to the violator exhibit higher tolerance or support for norm violations.</w:t>
      </w:r>
    </w:p>
    <w:p w14:paraId="3EF27980" w14:textId="772BFA6A" w:rsidR="00BE52DC" w:rsidRDefault="00BE52DC" w:rsidP="008139F7">
      <w:pPr>
        <w:spacing w:after="0" w:line="240" w:lineRule="auto"/>
        <w:jc w:val="both"/>
        <w:rPr>
          <w:sz w:val="24"/>
          <w:szCs w:val="24"/>
          <w:lang w:val="en-GB"/>
        </w:rPr>
      </w:pPr>
    </w:p>
    <w:p w14:paraId="6D32A952" w14:textId="154AF6FB" w:rsidR="00BE52DC" w:rsidRPr="00C20CDB" w:rsidRDefault="00BE52DC" w:rsidP="00BE52DC">
      <w:pPr>
        <w:spacing w:after="0" w:line="240" w:lineRule="auto"/>
        <w:jc w:val="both"/>
        <w:rPr>
          <w:sz w:val="24"/>
          <w:szCs w:val="24"/>
          <w:lang w:val="en-US"/>
        </w:rPr>
      </w:pPr>
      <w:r w:rsidRPr="00BE52DC">
        <w:rPr>
          <w:sz w:val="24"/>
          <w:szCs w:val="24"/>
          <w:lang w:val="en-GB"/>
        </w:rPr>
        <w:t xml:space="preserve">The empirical design leverages the full corpus of UNGA resolutions from 1946 to 2023 that address violations of international law, including issues related to sovereignty, human rights, territorial integrity, and the use of force. Each country–resolution pair represents a unique observation of a compliance choice. The dependent variable </w:t>
      </w:r>
      <m:oMath>
        <m:sSub>
          <m:sSubPr>
            <m:ctrlPr>
              <w:rPr>
                <w:rFonts w:ascii="Cambria Math" w:hAnsi="Cambria Math"/>
                <w:i/>
                <w:sz w:val="24"/>
                <w:szCs w:val="24"/>
                <w:lang w:val="en-GB"/>
              </w:rPr>
            </m:ctrlPr>
          </m:sSubPr>
          <m:e>
            <m:r>
              <w:rPr>
                <w:rFonts w:ascii="Cambria Math" w:hAnsi="Cambria Math"/>
                <w:sz w:val="24"/>
                <w:szCs w:val="24"/>
                <w:lang w:val="en-GB"/>
              </w:rPr>
              <m:t>Y</m:t>
            </m:r>
          </m:e>
          <m:sub>
            <m:r>
              <w:rPr>
                <w:rFonts w:ascii="Cambria Math" w:hAnsi="Cambria Math"/>
                <w:sz w:val="24"/>
                <w:szCs w:val="24"/>
                <w:lang w:val="en-GB"/>
              </w:rPr>
              <m:t>i,k,t</m:t>
            </m:r>
          </m:sub>
        </m:sSub>
      </m:oMath>
      <w:r>
        <w:rPr>
          <w:rFonts w:eastAsiaTheme="minorEastAsia"/>
          <w:sz w:val="24"/>
          <w:szCs w:val="24"/>
          <w:lang w:val="en-GB"/>
        </w:rPr>
        <w:t xml:space="preserve"> takes the value 1 if country </w:t>
      </w:r>
      <w:r w:rsidRPr="00BE52DC">
        <w:rPr>
          <w:sz w:val="24"/>
          <w:szCs w:val="24"/>
          <w:lang w:val="en-GB"/>
        </w:rPr>
        <w:t>i votes in favor of the resolution</w:t>
      </w:r>
      <w:r>
        <w:rPr>
          <w:sz w:val="24"/>
          <w:szCs w:val="24"/>
          <w:lang w:val="en-GB"/>
        </w:rPr>
        <w:t xml:space="preserve"> k</w:t>
      </w:r>
      <w:r w:rsidRPr="00BE52DC">
        <w:rPr>
          <w:sz w:val="24"/>
          <w:szCs w:val="24"/>
          <w:lang w:val="en-GB"/>
        </w:rPr>
        <w:t xml:space="preserve"> (</w:t>
      </w:r>
      <w:r w:rsidR="003D3EBE" w:rsidRPr="00BE52DC">
        <w:rPr>
          <w:sz w:val="24"/>
          <w:szCs w:val="24"/>
          <w:lang w:val="en-GB"/>
        </w:rPr>
        <w:t>signalling</w:t>
      </w:r>
      <w:r w:rsidRPr="00BE52DC">
        <w:rPr>
          <w:sz w:val="24"/>
          <w:szCs w:val="24"/>
          <w:lang w:val="en-GB"/>
        </w:rPr>
        <w:t xml:space="preserve"> compliance with international law)</w:t>
      </w:r>
      <w:r>
        <w:rPr>
          <w:sz w:val="24"/>
          <w:szCs w:val="24"/>
          <w:lang w:val="en-GB"/>
        </w:rPr>
        <w:t xml:space="preserve"> at time t</w:t>
      </w:r>
      <w:r w:rsidRPr="00BE52DC">
        <w:rPr>
          <w:sz w:val="24"/>
          <w:szCs w:val="24"/>
          <w:lang w:val="en-GB"/>
        </w:rPr>
        <w:t xml:space="preserve">, 0 if it abstains or is absent, and </w:t>
      </w:r>
      <w:r w:rsidR="006A33C0">
        <w:rPr>
          <w:rFonts w:ascii="Times New Roman" w:hAnsi="Times New Roman" w:cs="Times New Roman"/>
          <w:sz w:val="24"/>
          <w:szCs w:val="24"/>
          <w:lang w:val="en-GB"/>
        </w:rPr>
        <w:t>-</w:t>
      </w:r>
      <w:r w:rsidRPr="00BE52DC">
        <w:rPr>
          <w:sz w:val="24"/>
          <w:szCs w:val="24"/>
          <w:lang w:val="en-GB"/>
        </w:rPr>
        <w:t>1 if it votes against the resolution (</w:t>
      </w:r>
      <w:r w:rsidR="003D3EBE" w:rsidRPr="00BE52DC">
        <w:rPr>
          <w:sz w:val="24"/>
          <w:szCs w:val="24"/>
          <w:lang w:val="en-GB"/>
        </w:rPr>
        <w:t>signalling</w:t>
      </w:r>
      <w:r w:rsidRPr="00BE52DC">
        <w:rPr>
          <w:sz w:val="24"/>
          <w:szCs w:val="24"/>
          <w:lang w:val="en-GB"/>
        </w:rPr>
        <w:t xml:space="preserve"> non-compliance or support for the violator).</w:t>
      </w:r>
    </w:p>
    <w:p w14:paraId="02F412EA" w14:textId="68866004" w:rsidR="00BE52DC" w:rsidRDefault="00BE52DC" w:rsidP="00BE52DC">
      <w:pPr>
        <w:spacing w:after="0" w:line="240" w:lineRule="auto"/>
        <w:jc w:val="both"/>
        <w:rPr>
          <w:sz w:val="24"/>
          <w:szCs w:val="24"/>
          <w:lang w:val="en-GB"/>
        </w:rPr>
      </w:pPr>
    </w:p>
    <w:p w14:paraId="061E5E76" w14:textId="08EB9F82" w:rsidR="00BE52DC" w:rsidRDefault="00BE52DC" w:rsidP="00BE52DC">
      <w:pPr>
        <w:spacing w:after="0" w:line="240" w:lineRule="auto"/>
        <w:jc w:val="both"/>
        <w:rPr>
          <w:sz w:val="24"/>
          <w:szCs w:val="24"/>
          <w:lang w:val="en-GB"/>
        </w:rPr>
      </w:pPr>
      <w:r w:rsidRPr="00BE52DC">
        <w:rPr>
          <w:sz w:val="24"/>
          <w:szCs w:val="24"/>
          <w:lang w:val="en-GB"/>
        </w:rPr>
        <w:t>The principal explanatory variable captures the institutional distance between the voting country and the violator. Using governance indicators from the Varieties of Democracy (V-Dem) dataset, we extract the first principal component of standardized institutional attributes</w:t>
      </w:r>
      <w:r w:rsidR="00BF50FA">
        <w:rPr>
          <w:sz w:val="24"/>
          <w:szCs w:val="24"/>
          <w:lang w:val="en-GB"/>
        </w:rPr>
        <w:t>,</w:t>
      </w:r>
      <w:r w:rsidRPr="00BE52DC">
        <w:rPr>
          <w:sz w:val="24"/>
          <w:szCs w:val="24"/>
          <w:lang w:val="en-GB"/>
        </w:rPr>
        <w:t xml:space="preserve"> including the rule of law, political stability, and degree of democracy</w:t>
      </w:r>
      <w:r w:rsidR="00BF50FA">
        <w:rPr>
          <w:sz w:val="24"/>
          <w:szCs w:val="24"/>
          <w:lang w:val="en-GB"/>
        </w:rPr>
        <w:t>,</w:t>
      </w:r>
      <w:r w:rsidRPr="00BE52DC">
        <w:rPr>
          <w:sz w:val="24"/>
          <w:szCs w:val="24"/>
          <w:lang w:val="en-GB"/>
        </w:rPr>
        <w:t xml:space="preserve"> to construct a unidimensional latent measure </w:t>
      </w:r>
      <m:oMath>
        <m:sSub>
          <m:sSubPr>
            <m:ctrlPr>
              <w:rPr>
                <w:rFonts w:ascii="Cambria Math" w:hAnsi="Cambria Math"/>
                <w:i/>
                <w:sz w:val="24"/>
                <w:szCs w:val="24"/>
                <w:lang w:val="en-GB"/>
              </w:rPr>
            </m:ctrlPr>
          </m:sSubPr>
          <m:e>
            <m:r>
              <w:rPr>
                <w:rFonts w:ascii="Cambria Math" w:hAnsi="Cambria Math"/>
                <w:sz w:val="24"/>
                <w:szCs w:val="24"/>
                <w:lang w:val="en-GB"/>
              </w:rPr>
              <m:t>Z</m:t>
            </m:r>
          </m:e>
          <m:sub>
            <m:r>
              <w:rPr>
                <w:rFonts w:ascii="Cambria Math" w:hAnsi="Cambria Math"/>
                <w:sz w:val="24"/>
                <w:szCs w:val="24"/>
                <w:lang w:val="en-GB"/>
              </w:rPr>
              <m:t>i,t</m:t>
            </m:r>
          </m:sub>
        </m:sSub>
      </m:oMath>
      <w:r w:rsidRPr="00BE52DC">
        <w:rPr>
          <w:sz w:val="24"/>
          <w:szCs w:val="24"/>
          <w:lang w:val="en-GB"/>
        </w:rPr>
        <w:t xml:space="preserve"> for each country-year</w:t>
      </w:r>
      <w:r>
        <w:rPr>
          <w:sz w:val="24"/>
          <w:szCs w:val="24"/>
          <w:lang w:val="en-GB"/>
        </w:rPr>
        <w:t xml:space="preserve"> combination</w:t>
      </w:r>
      <w:r w:rsidRPr="00BE52DC">
        <w:rPr>
          <w:sz w:val="24"/>
          <w:szCs w:val="24"/>
          <w:lang w:val="en-GB"/>
        </w:rPr>
        <w:t xml:space="preserve">. This measure is then compared to the corresponding </w:t>
      </w:r>
      <w:r>
        <w:rPr>
          <w:sz w:val="24"/>
          <w:szCs w:val="24"/>
          <w:lang w:val="en-GB"/>
        </w:rPr>
        <w:t xml:space="preserve">weighted </w:t>
      </w:r>
      <w:r w:rsidRPr="00BE52DC">
        <w:rPr>
          <w:sz w:val="24"/>
          <w:szCs w:val="24"/>
          <w:lang w:val="en-GB"/>
        </w:rPr>
        <w:t xml:space="preserve">score of the </w:t>
      </w:r>
      <m:oMath>
        <m:r>
          <w:rPr>
            <w:rFonts w:ascii="Cambria Math" w:hAnsi="Cambria Math"/>
            <w:sz w:val="24"/>
            <w:szCs w:val="24"/>
            <w:lang w:val="en-GB"/>
          </w:rPr>
          <m:t xml:space="preserve">k=1,2,…K </m:t>
        </m:r>
      </m:oMath>
      <w:r w:rsidRPr="00BE52DC">
        <w:rPr>
          <w:sz w:val="24"/>
          <w:szCs w:val="24"/>
          <w:lang w:val="en-GB"/>
        </w:rPr>
        <w:t>violator</w:t>
      </w:r>
      <w:r>
        <w:rPr>
          <w:sz w:val="24"/>
          <w:szCs w:val="24"/>
          <w:lang w:val="en-GB"/>
        </w:rPr>
        <w:t xml:space="preserve">s in year </w:t>
      </w:r>
      <m:oMath>
        <m:r>
          <w:rPr>
            <w:rFonts w:ascii="Cambria Math" w:hAnsi="Cambria Math"/>
            <w:sz w:val="24"/>
            <w:szCs w:val="24"/>
            <w:lang w:val="en-GB"/>
          </w:rPr>
          <m:t>t=1,2,…T</m:t>
        </m:r>
      </m:oMath>
      <w:r>
        <w:rPr>
          <w:sz w:val="24"/>
          <w:szCs w:val="24"/>
          <w:lang w:val="en-GB"/>
        </w:rPr>
        <w:t>,</w:t>
      </w:r>
      <w:r w:rsidRPr="00BE52DC">
        <w:rPr>
          <w:sz w:val="24"/>
          <w:szCs w:val="24"/>
          <w:lang w:val="en-GB"/>
        </w:rPr>
        <w:t xml:space="preserve">  to </w:t>
      </w:r>
      <w:r w:rsidR="005F7D68">
        <w:rPr>
          <w:sz w:val="24"/>
          <w:szCs w:val="24"/>
          <w:lang w:val="en-GB"/>
        </w:rPr>
        <w:t>compute</w:t>
      </w:r>
      <w:r w:rsidRPr="00BE52DC">
        <w:rPr>
          <w:sz w:val="24"/>
          <w:szCs w:val="24"/>
          <w:lang w:val="en-GB"/>
        </w:rPr>
        <w:t xml:space="preserve"> the normalized institutional distance:</w:t>
      </w:r>
    </w:p>
    <w:p w14:paraId="73D37043" w14:textId="11869D2C" w:rsidR="00BE52DC" w:rsidRDefault="00BE52DC" w:rsidP="00BE52DC">
      <w:pPr>
        <w:spacing w:after="0" w:line="240" w:lineRule="auto"/>
        <w:jc w:val="both"/>
        <w:rPr>
          <w:sz w:val="24"/>
          <w:szCs w:val="24"/>
          <w:lang w:val="en-GB"/>
        </w:rPr>
      </w:pPr>
    </w:p>
    <w:p w14:paraId="74486AF0" w14:textId="2737AA91" w:rsidR="00BE52DC" w:rsidRDefault="00000000" w:rsidP="00BE52DC">
      <w:pPr>
        <w:spacing w:after="0" w:line="240" w:lineRule="auto"/>
        <w:jc w:val="both"/>
        <w:rPr>
          <w:sz w:val="24"/>
          <w:szCs w:val="24"/>
          <w:lang w:val="en-GB"/>
        </w:rPr>
      </w:pPr>
      <m:oMathPara>
        <m:oMath>
          <m:sSub>
            <m:sSubPr>
              <m:ctrlPr>
                <w:rPr>
                  <w:rFonts w:ascii="Cambria Math" w:eastAsiaTheme="minorEastAsia" w:hAnsi="Cambria Math"/>
                  <w:i/>
                  <w:sz w:val="24"/>
                  <w:szCs w:val="24"/>
                  <w:lang w:val="en-GB"/>
                </w:rPr>
              </m:ctrlPr>
            </m:sSubPr>
            <m:e>
              <m:r>
                <w:rPr>
                  <w:rFonts w:ascii="Cambria Math" w:eastAsiaTheme="minorEastAsia" w:hAnsi="Cambria Math"/>
                  <w:sz w:val="24"/>
                  <w:szCs w:val="24"/>
                  <w:lang w:val="en-GB"/>
                </w:rPr>
                <m:t>Distance</m:t>
              </m:r>
            </m:e>
            <m:sub>
              <m:r>
                <w:rPr>
                  <w:rFonts w:ascii="Cambria Math" w:eastAsiaTheme="minorEastAsia" w:hAnsi="Cambria Math"/>
                  <w:sz w:val="24"/>
                  <w:szCs w:val="24"/>
                  <w:lang w:val="en-GB"/>
                </w:rPr>
                <m:t>i,v,t</m:t>
              </m:r>
            </m:sub>
          </m:sSub>
          <m:r>
            <w:rPr>
              <w:rFonts w:ascii="Cambria Math" w:eastAsiaTheme="minorEastAsia" w:hAnsi="Cambria Math"/>
              <w:sz w:val="24"/>
              <w:szCs w:val="24"/>
              <w:lang w:val="en-GB"/>
            </w:rPr>
            <m:t>=</m:t>
          </m:r>
          <m:f>
            <m:fPr>
              <m:ctrlPr>
                <w:rPr>
                  <w:rFonts w:ascii="Cambria Math" w:hAnsi="Cambria Math"/>
                  <w:i/>
                  <w:sz w:val="24"/>
                  <w:szCs w:val="24"/>
                  <w:lang w:val="en-GB"/>
                </w:rPr>
              </m:ctrlPr>
            </m:fPr>
            <m:num>
              <m:sSub>
                <m:sSubPr>
                  <m:ctrlPr>
                    <w:rPr>
                      <w:rFonts w:ascii="Cambria Math" w:hAnsi="Cambria Math"/>
                      <w:i/>
                      <w:sz w:val="24"/>
                      <w:szCs w:val="24"/>
                      <w:lang w:val="en-GB"/>
                    </w:rPr>
                  </m:ctrlPr>
                </m:sSubPr>
                <m:e>
                  <m:r>
                    <w:rPr>
                      <w:rFonts w:ascii="Cambria Math" w:hAnsi="Cambria Math"/>
                      <w:sz w:val="24"/>
                      <w:szCs w:val="24"/>
                      <w:lang w:val="en-GB"/>
                    </w:rPr>
                    <m:t>Z</m:t>
                  </m:r>
                </m:e>
                <m:sub>
                  <m:r>
                    <w:rPr>
                      <w:rFonts w:ascii="Cambria Math" w:hAnsi="Cambria Math"/>
                      <w:sz w:val="24"/>
                      <w:szCs w:val="24"/>
                      <w:lang w:val="en-GB"/>
                    </w:rPr>
                    <m:t>i,t</m:t>
                  </m:r>
                </m:sub>
              </m:sSub>
            </m:num>
            <m:den>
              <m:nary>
                <m:naryPr>
                  <m:chr m:val="∑"/>
                  <m:limLoc m:val="undOvr"/>
                  <m:ctrlPr>
                    <w:rPr>
                      <w:rFonts w:ascii="Cambria Math" w:hAnsi="Cambria Math"/>
                      <w:i/>
                      <w:sz w:val="24"/>
                      <w:szCs w:val="24"/>
                      <w:lang w:val="en-GB"/>
                    </w:rPr>
                  </m:ctrlPr>
                </m:naryPr>
                <m:sub>
                  <m:r>
                    <w:rPr>
                      <w:rFonts w:ascii="Cambria Math" w:hAnsi="Cambria Math"/>
                      <w:sz w:val="24"/>
                      <w:szCs w:val="24"/>
                      <w:lang w:val="en-GB"/>
                    </w:rPr>
                    <m:t>k=1</m:t>
                  </m:r>
                </m:sub>
                <m:sup>
                  <m:r>
                    <w:rPr>
                      <w:rFonts w:ascii="Cambria Math" w:hAnsi="Cambria Math"/>
                      <w:sz w:val="24"/>
                      <w:szCs w:val="24"/>
                      <w:lang w:val="en-GB"/>
                    </w:rPr>
                    <m:t>K</m:t>
                  </m:r>
                </m:sup>
                <m:e>
                  <m:sSub>
                    <m:sSubPr>
                      <m:ctrlPr>
                        <w:rPr>
                          <w:rFonts w:ascii="Cambria Math" w:hAnsi="Cambria Math"/>
                          <w:i/>
                          <w:sz w:val="24"/>
                          <w:szCs w:val="24"/>
                          <w:lang w:val="en-GB"/>
                        </w:rPr>
                      </m:ctrlPr>
                    </m:sSubPr>
                    <m:e>
                      <m:r>
                        <w:rPr>
                          <w:rFonts w:ascii="Cambria Math" w:hAnsi="Cambria Math"/>
                          <w:sz w:val="24"/>
                          <w:szCs w:val="24"/>
                          <w:lang w:val="en-GB"/>
                        </w:rPr>
                        <m:t>Z</m:t>
                      </m:r>
                    </m:e>
                    <m:sub>
                      <m:r>
                        <w:rPr>
                          <w:rFonts w:ascii="Cambria Math" w:hAnsi="Cambria Math"/>
                          <w:sz w:val="24"/>
                          <w:szCs w:val="24"/>
                          <w:lang w:val="en-GB"/>
                        </w:rPr>
                        <m:t>v,t</m:t>
                      </m:r>
                    </m:sub>
                  </m:sSub>
                </m:e>
              </m:nary>
            </m:den>
          </m:f>
        </m:oMath>
      </m:oMathPara>
    </w:p>
    <w:p w14:paraId="1E5F6FE9" w14:textId="1D9736F9" w:rsidR="00BE52DC" w:rsidRDefault="00BE52DC" w:rsidP="008139F7">
      <w:pPr>
        <w:spacing w:after="0" w:line="240" w:lineRule="auto"/>
        <w:jc w:val="both"/>
        <w:rPr>
          <w:sz w:val="24"/>
          <w:szCs w:val="24"/>
          <w:lang w:val="en-GB"/>
        </w:rPr>
      </w:pPr>
    </w:p>
    <w:p w14:paraId="4D24B992" w14:textId="6A16DF9B" w:rsidR="00BE52DC" w:rsidRDefault="00BE52DC" w:rsidP="008139F7">
      <w:pPr>
        <w:spacing w:after="0" w:line="240" w:lineRule="auto"/>
        <w:jc w:val="both"/>
        <w:rPr>
          <w:rFonts w:eastAsiaTheme="minorEastAsia"/>
          <w:sz w:val="24"/>
          <w:szCs w:val="24"/>
          <w:lang w:val="en-GB"/>
        </w:rPr>
      </w:pPr>
      <w:r>
        <w:rPr>
          <w:sz w:val="24"/>
          <w:szCs w:val="24"/>
          <w:lang w:val="en-GB"/>
        </w:rPr>
        <w:t xml:space="preserve">Where </w:t>
      </w:r>
      <m:oMath>
        <m:nary>
          <m:naryPr>
            <m:chr m:val="∑"/>
            <m:limLoc m:val="undOvr"/>
            <m:ctrlPr>
              <w:rPr>
                <w:rFonts w:ascii="Cambria Math" w:hAnsi="Cambria Math"/>
                <w:i/>
                <w:sz w:val="24"/>
                <w:szCs w:val="24"/>
                <w:lang w:val="en-GB"/>
              </w:rPr>
            </m:ctrlPr>
          </m:naryPr>
          <m:sub>
            <m:r>
              <w:rPr>
                <w:rFonts w:ascii="Cambria Math" w:hAnsi="Cambria Math"/>
                <w:sz w:val="24"/>
                <w:szCs w:val="24"/>
                <w:lang w:val="en-GB"/>
              </w:rPr>
              <m:t>k=1</m:t>
            </m:r>
          </m:sub>
          <m:sup>
            <m:r>
              <w:rPr>
                <w:rFonts w:ascii="Cambria Math" w:hAnsi="Cambria Math"/>
                <w:sz w:val="24"/>
                <w:szCs w:val="24"/>
                <w:lang w:val="en-GB"/>
              </w:rPr>
              <m:t>K</m:t>
            </m:r>
          </m:sup>
          <m:e>
            <m:sSub>
              <m:sSubPr>
                <m:ctrlPr>
                  <w:rPr>
                    <w:rFonts w:ascii="Cambria Math" w:hAnsi="Cambria Math"/>
                    <w:i/>
                    <w:sz w:val="24"/>
                    <w:szCs w:val="24"/>
                    <w:lang w:val="en-GB"/>
                  </w:rPr>
                </m:ctrlPr>
              </m:sSubPr>
              <m:e>
                <m:r>
                  <w:rPr>
                    <w:rFonts w:ascii="Cambria Math" w:hAnsi="Cambria Math"/>
                    <w:sz w:val="24"/>
                    <w:szCs w:val="24"/>
                    <w:lang w:val="en-GB"/>
                  </w:rPr>
                  <m:t>Z</m:t>
                </m:r>
              </m:e>
              <m:sub>
                <m:r>
                  <w:rPr>
                    <w:rFonts w:ascii="Cambria Math" w:hAnsi="Cambria Math"/>
                    <w:sz w:val="24"/>
                    <w:szCs w:val="24"/>
                    <w:lang w:val="en-GB"/>
                  </w:rPr>
                  <m:t>v,t</m:t>
                </m:r>
              </m:sub>
            </m:sSub>
          </m:e>
        </m:nary>
      </m:oMath>
      <w:r>
        <w:rPr>
          <w:rFonts w:eastAsiaTheme="minorEastAsia"/>
          <w:sz w:val="24"/>
          <w:szCs w:val="24"/>
          <w:lang w:val="en-GB"/>
        </w:rPr>
        <w:t xml:space="preserve"> denotes the weighted average of the violators governance scores in year </w:t>
      </w:r>
      <m:oMath>
        <m:r>
          <w:rPr>
            <w:rFonts w:ascii="Cambria Math" w:eastAsiaTheme="minorEastAsia" w:hAnsi="Cambria Math"/>
            <w:sz w:val="24"/>
            <w:szCs w:val="24"/>
            <w:lang w:val="en-GB"/>
          </w:rPr>
          <m:t>t</m:t>
        </m:r>
      </m:oMath>
      <w:r>
        <w:rPr>
          <w:rFonts w:eastAsiaTheme="minorEastAsia"/>
          <w:sz w:val="24"/>
          <w:szCs w:val="24"/>
          <w:lang w:val="en-GB"/>
        </w:rPr>
        <w:t xml:space="preserve">. The underlying </w:t>
      </w:r>
      <w:r w:rsidRPr="00BE52DC">
        <w:rPr>
          <w:rFonts w:eastAsiaTheme="minorEastAsia"/>
          <w:sz w:val="24"/>
          <w:szCs w:val="24"/>
          <w:lang w:val="en-GB"/>
        </w:rPr>
        <w:t>ratio effectively captures the degree of similarity between the institutional frameworks of the voting country and the violator. Positive values indicate institutional dissimilarity (</w:t>
      </w:r>
      <w:r w:rsidR="00EF754D">
        <w:rPr>
          <w:rFonts w:eastAsiaTheme="minorEastAsia"/>
          <w:sz w:val="24"/>
          <w:szCs w:val="24"/>
          <w:lang w:val="en-GB"/>
        </w:rPr>
        <w:t xml:space="preserve">i.e. </w:t>
      </w:r>
      <w:r w:rsidRPr="00BE52DC">
        <w:rPr>
          <w:rFonts w:eastAsiaTheme="minorEastAsia"/>
          <w:sz w:val="24"/>
          <w:szCs w:val="24"/>
          <w:lang w:val="en-GB"/>
        </w:rPr>
        <w:t>governance stronger than the violator), while values close to one suggest convergence</w:t>
      </w:r>
      <w:r w:rsidR="00EF754D">
        <w:rPr>
          <w:rFonts w:eastAsiaTheme="minorEastAsia"/>
          <w:sz w:val="24"/>
          <w:szCs w:val="24"/>
          <w:lang w:val="en-GB"/>
        </w:rPr>
        <w:t xml:space="preserve"> with the violators governance norms</w:t>
      </w:r>
      <w:r w:rsidRPr="00BE52DC">
        <w:rPr>
          <w:rFonts w:eastAsiaTheme="minorEastAsia"/>
          <w:sz w:val="24"/>
          <w:szCs w:val="24"/>
          <w:lang w:val="en-GB"/>
        </w:rPr>
        <w:t>. By multiplying this ratio with a categorical variable denoting voting behavior</w:t>
      </w:r>
      <w:r w:rsidR="00EF754D">
        <w:rPr>
          <w:rFonts w:eastAsiaTheme="minorEastAsia"/>
          <w:sz w:val="24"/>
          <w:szCs w:val="24"/>
          <w:lang w:val="en-GB"/>
        </w:rPr>
        <w:t xml:space="preserve">, </w:t>
      </w:r>
      <m:oMath>
        <m:sSub>
          <m:sSubPr>
            <m:ctrlPr>
              <w:rPr>
                <w:rFonts w:ascii="Cambria Math" w:eastAsiaTheme="minorEastAsia" w:hAnsi="Cambria Math"/>
                <w:i/>
                <w:sz w:val="24"/>
                <w:szCs w:val="24"/>
                <w:lang w:val="en-GB"/>
              </w:rPr>
            </m:ctrlPr>
          </m:sSubPr>
          <m:e>
            <m:r>
              <w:rPr>
                <w:rFonts w:ascii="Cambria Math" w:eastAsiaTheme="minorEastAsia" w:hAnsi="Cambria Math"/>
                <w:sz w:val="24"/>
                <w:szCs w:val="24"/>
                <w:lang w:val="en-GB"/>
              </w:rPr>
              <m:t>D</m:t>
            </m:r>
          </m:e>
          <m:sub>
            <m:r>
              <w:rPr>
                <w:rFonts w:ascii="Cambria Math" w:eastAsiaTheme="minorEastAsia" w:hAnsi="Cambria Math"/>
                <w:sz w:val="24"/>
                <w:szCs w:val="24"/>
                <w:lang w:val="en-GB"/>
              </w:rPr>
              <m:t>i,k,t</m:t>
            </m:r>
          </m:sub>
        </m:sSub>
        <m:r>
          <w:rPr>
            <w:rFonts w:ascii="Cambria Math" w:eastAsiaTheme="minorEastAsia" w:hAnsi="Cambria Math"/>
            <w:sz w:val="24"/>
            <w:szCs w:val="24"/>
            <w:lang w:val="en-GB"/>
          </w:rPr>
          <m:t>∈</m:t>
        </m:r>
        <m:d>
          <m:dPr>
            <m:begChr m:val="{"/>
            <m:endChr m:val="}"/>
            <m:ctrlPr>
              <w:rPr>
                <w:rFonts w:ascii="Cambria Math" w:eastAsiaTheme="minorEastAsia" w:hAnsi="Cambria Math"/>
                <w:i/>
                <w:sz w:val="24"/>
                <w:szCs w:val="24"/>
                <w:lang w:val="en-GB"/>
              </w:rPr>
            </m:ctrlPr>
          </m:dPr>
          <m:e>
            <m:r>
              <w:rPr>
                <w:rFonts w:ascii="Cambria Math" w:eastAsiaTheme="minorEastAsia" w:hAnsi="Cambria Math"/>
                <w:sz w:val="24"/>
                <w:szCs w:val="24"/>
                <w:lang w:val="en-GB"/>
              </w:rPr>
              <m:t>-1,0+1</m:t>
            </m:r>
          </m:e>
        </m:d>
      </m:oMath>
      <w:r w:rsidR="00EF754D">
        <w:rPr>
          <w:rFonts w:eastAsiaTheme="minorEastAsia"/>
          <w:sz w:val="24"/>
          <w:szCs w:val="24"/>
          <w:lang w:val="en-GB"/>
        </w:rPr>
        <w:t>, we obtain a continuous measure of compliance:</w:t>
      </w:r>
    </w:p>
    <w:p w14:paraId="0A8D284F" w14:textId="645020DC" w:rsidR="00EF754D" w:rsidRDefault="00EF754D" w:rsidP="008139F7">
      <w:pPr>
        <w:spacing w:after="0" w:line="240" w:lineRule="auto"/>
        <w:jc w:val="both"/>
        <w:rPr>
          <w:rFonts w:eastAsiaTheme="minorEastAsia"/>
          <w:sz w:val="24"/>
          <w:szCs w:val="24"/>
          <w:lang w:val="en-GB"/>
        </w:rPr>
      </w:pPr>
    </w:p>
    <w:p w14:paraId="710980AB" w14:textId="3595BEF3" w:rsidR="00EF754D" w:rsidRPr="00EF754D" w:rsidRDefault="00000000" w:rsidP="008139F7">
      <w:pPr>
        <w:spacing w:after="0" w:line="240" w:lineRule="auto"/>
        <w:jc w:val="both"/>
        <w:rPr>
          <w:rFonts w:eastAsiaTheme="minorEastAsia"/>
          <w:sz w:val="24"/>
          <w:szCs w:val="24"/>
          <w:lang w:val="en-GB"/>
        </w:rPr>
      </w:pPr>
      <m:oMathPara>
        <m:oMath>
          <m:sSub>
            <m:sSubPr>
              <m:ctrlPr>
                <w:rPr>
                  <w:rFonts w:ascii="Cambria Math" w:hAnsi="Cambria Math"/>
                  <w:i/>
                  <w:sz w:val="24"/>
                  <w:szCs w:val="24"/>
                  <w:lang w:val="en-GB"/>
                </w:rPr>
              </m:ctrlPr>
            </m:sSubPr>
            <m:e>
              <m:r>
                <w:rPr>
                  <w:rFonts w:ascii="Cambria Math" w:hAnsi="Cambria Math"/>
                  <w:sz w:val="24"/>
                  <w:szCs w:val="24"/>
                  <w:lang w:val="en-GB"/>
                </w:rPr>
                <m:t>Y</m:t>
              </m:r>
            </m:e>
            <m:sub>
              <m:r>
                <w:rPr>
                  <w:rFonts w:ascii="Cambria Math" w:hAnsi="Cambria Math"/>
                  <w:sz w:val="24"/>
                  <w:szCs w:val="24"/>
                  <w:lang w:val="en-GB"/>
                </w:rPr>
                <m:t>i,k,t</m:t>
              </m:r>
            </m:sub>
          </m:sSub>
          <m:r>
            <w:rPr>
              <w:rFonts w:ascii="Cambria Math" w:hAnsi="Cambria Math"/>
              <w:sz w:val="24"/>
              <w:szCs w:val="24"/>
              <w:lang w:val="en-GB"/>
            </w:rPr>
            <m:t>=</m:t>
          </m:r>
          <m:f>
            <m:fPr>
              <m:ctrlPr>
                <w:rPr>
                  <w:rFonts w:ascii="Cambria Math" w:hAnsi="Cambria Math"/>
                  <w:i/>
                  <w:sz w:val="24"/>
                  <w:szCs w:val="24"/>
                  <w:lang w:val="en-GB"/>
                </w:rPr>
              </m:ctrlPr>
            </m:fPr>
            <m:num>
              <m:sSub>
                <m:sSubPr>
                  <m:ctrlPr>
                    <w:rPr>
                      <w:rFonts w:ascii="Cambria Math" w:hAnsi="Cambria Math"/>
                      <w:i/>
                      <w:sz w:val="24"/>
                      <w:szCs w:val="24"/>
                      <w:lang w:val="en-GB"/>
                    </w:rPr>
                  </m:ctrlPr>
                </m:sSubPr>
                <m:e>
                  <m:r>
                    <w:rPr>
                      <w:rFonts w:ascii="Cambria Math" w:hAnsi="Cambria Math"/>
                      <w:sz w:val="24"/>
                      <w:szCs w:val="24"/>
                      <w:lang w:val="en-GB"/>
                    </w:rPr>
                    <m:t>Z</m:t>
                  </m:r>
                </m:e>
                <m:sub>
                  <m:r>
                    <w:rPr>
                      <w:rFonts w:ascii="Cambria Math" w:hAnsi="Cambria Math"/>
                      <w:sz w:val="24"/>
                      <w:szCs w:val="24"/>
                      <w:lang w:val="en-GB"/>
                    </w:rPr>
                    <m:t>i,t</m:t>
                  </m:r>
                </m:sub>
              </m:sSub>
            </m:num>
            <m:den>
              <m:nary>
                <m:naryPr>
                  <m:chr m:val="∑"/>
                  <m:limLoc m:val="undOvr"/>
                  <m:ctrlPr>
                    <w:rPr>
                      <w:rFonts w:ascii="Cambria Math" w:hAnsi="Cambria Math"/>
                      <w:i/>
                      <w:sz w:val="24"/>
                      <w:szCs w:val="24"/>
                      <w:lang w:val="en-GB"/>
                    </w:rPr>
                  </m:ctrlPr>
                </m:naryPr>
                <m:sub>
                  <m:r>
                    <w:rPr>
                      <w:rFonts w:ascii="Cambria Math" w:hAnsi="Cambria Math"/>
                      <w:sz w:val="24"/>
                      <w:szCs w:val="24"/>
                      <w:lang w:val="en-GB"/>
                    </w:rPr>
                    <m:t>k=1</m:t>
                  </m:r>
                </m:sub>
                <m:sup>
                  <m:r>
                    <w:rPr>
                      <w:rFonts w:ascii="Cambria Math" w:hAnsi="Cambria Math"/>
                      <w:sz w:val="24"/>
                      <w:szCs w:val="24"/>
                      <w:lang w:val="en-GB"/>
                    </w:rPr>
                    <m:t>K</m:t>
                  </m:r>
                </m:sup>
                <m:e>
                  <m:sSub>
                    <m:sSubPr>
                      <m:ctrlPr>
                        <w:rPr>
                          <w:rFonts w:ascii="Cambria Math" w:hAnsi="Cambria Math"/>
                          <w:i/>
                          <w:sz w:val="24"/>
                          <w:szCs w:val="24"/>
                          <w:lang w:val="en-GB"/>
                        </w:rPr>
                      </m:ctrlPr>
                    </m:sSubPr>
                    <m:e>
                      <m:r>
                        <w:rPr>
                          <w:rFonts w:ascii="Cambria Math" w:hAnsi="Cambria Math"/>
                          <w:sz w:val="24"/>
                          <w:szCs w:val="24"/>
                          <w:lang w:val="en-GB"/>
                        </w:rPr>
                        <m:t>Z</m:t>
                      </m:r>
                    </m:e>
                    <m:sub>
                      <m:r>
                        <w:rPr>
                          <w:rFonts w:ascii="Cambria Math" w:hAnsi="Cambria Math"/>
                          <w:sz w:val="24"/>
                          <w:szCs w:val="24"/>
                          <w:lang w:val="en-GB"/>
                        </w:rPr>
                        <m:t>v,t</m:t>
                      </m:r>
                    </m:sub>
                  </m:sSub>
                </m:e>
              </m:nary>
            </m:den>
          </m:f>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D</m:t>
              </m:r>
            </m:e>
            <m:sub>
              <m:r>
                <w:rPr>
                  <w:rFonts w:ascii="Cambria Math" w:hAnsi="Cambria Math"/>
                  <w:sz w:val="24"/>
                  <w:szCs w:val="24"/>
                  <w:lang w:val="en-GB"/>
                </w:rPr>
                <m:t>i,k,t</m:t>
              </m:r>
            </m:sub>
          </m:sSub>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ε</m:t>
              </m:r>
            </m:e>
            <m:sub>
              <m:r>
                <w:rPr>
                  <w:rFonts w:ascii="Cambria Math" w:hAnsi="Cambria Math"/>
                  <w:sz w:val="24"/>
                  <w:szCs w:val="24"/>
                  <w:lang w:val="en-GB"/>
                </w:rPr>
                <m:t>i,k,t</m:t>
              </m:r>
            </m:sub>
          </m:sSub>
        </m:oMath>
      </m:oMathPara>
    </w:p>
    <w:p w14:paraId="4CCB508F" w14:textId="2EDE6773" w:rsidR="00EF754D" w:rsidRDefault="00EF754D" w:rsidP="008139F7">
      <w:pPr>
        <w:spacing w:after="0" w:line="240" w:lineRule="auto"/>
        <w:jc w:val="both"/>
        <w:rPr>
          <w:rFonts w:eastAsiaTheme="minorEastAsia"/>
          <w:sz w:val="24"/>
          <w:szCs w:val="24"/>
          <w:lang w:val="en-GB"/>
        </w:rPr>
      </w:pPr>
    </w:p>
    <w:p w14:paraId="25337707" w14:textId="0DB51BD9" w:rsidR="00EF754D" w:rsidRDefault="00EF754D" w:rsidP="008139F7">
      <w:pPr>
        <w:spacing w:after="0" w:line="240" w:lineRule="auto"/>
        <w:jc w:val="both"/>
        <w:rPr>
          <w:rFonts w:eastAsiaTheme="minorEastAsia"/>
          <w:sz w:val="24"/>
          <w:szCs w:val="24"/>
          <w:lang w:val="en-GB"/>
        </w:rPr>
      </w:pPr>
      <w:r>
        <w:rPr>
          <w:rFonts w:eastAsiaTheme="minorEastAsia"/>
          <w:sz w:val="24"/>
          <w:szCs w:val="24"/>
          <w:lang w:val="en-GB"/>
        </w:rPr>
        <w:t xml:space="preserve">Which captures both the strategic and attitudinal dimensions of voting by embedding the institutional context (through Z) as well as the behavioral stance (through D) in the compliance score. In turn, the resulting variable produces a continuous compliance score that varies across countries, resolutions and time. Unlike more traditional </w:t>
      </w:r>
      <w:r w:rsidR="003D3EBE">
        <w:rPr>
          <w:rFonts w:eastAsiaTheme="minorEastAsia"/>
          <w:sz w:val="24"/>
          <w:szCs w:val="24"/>
          <w:lang w:val="en-GB"/>
        </w:rPr>
        <w:t>dichotomous</w:t>
      </w:r>
      <w:r>
        <w:rPr>
          <w:rFonts w:eastAsiaTheme="minorEastAsia"/>
          <w:sz w:val="24"/>
          <w:szCs w:val="24"/>
          <w:lang w:val="en-GB"/>
        </w:rPr>
        <w:t xml:space="preserve"> measures of compliance, our specification allows for dynamic cross-sectional and temporal comparison.</w:t>
      </w:r>
    </w:p>
    <w:p w14:paraId="2C01B14D" w14:textId="57FBABDE" w:rsidR="00EF754D" w:rsidRDefault="00EF754D" w:rsidP="008139F7">
      <w:pPr>
        <w:spacing w:after="0" w:line="240" w:lineRule="auto"/>
        <w:jc w:val="both"/>
        <w:rPr>
          <w:rFonts w:eastAsiaTheme="minorEastAsia"/>
          <w:sz w:val="24"/>
          <w:szCs w:val="24"/>
          <w:lang w:val="en-GB"/>
        </w:rPr>
      </w:pPr>
    </w:p>
    <w:p w14:paraId="6CFD35C4" w14:textId="22C247C8" w:rsidR="00EF754D" w:rsidRDefault="00EF754D" w:rsidP="008139F7">
      <w:pPr>
        <w:spacing w:after="0" w:line="240" w:lineRule="auto"/>
        <w:jc w:val="both"/>
        <w:rPr>
          <w:rFonts w:eastAsiaTheme="minorEastAsia"/>
          <w:sz w:val="24"/>
          <w:szCs w:val="24"/>
          <w:lang w:val="en-GB"/>
        </w:rPr>
      </w:pPr>
      <w:r>
        <w:rPr>
          <w:rFonts w:eastAsiaTheme="minorEastAsia"/>
          <w:sz w:val="24"/>
          <w:szCs w:val="24"/>
          <w:lang w:val="en-GB"/>
        </w:rPr>
        <w:t>The empirical analysis proceeds in two stages. In the first stage, we begin by estimating a baseline problit and logit models linking the probability of pro-compliance vote to the country-level institutional distance from the violators of international law. The basic probit specification that takes place is:</w:t>
      </w:r>
    </w:p>
    <w:p w14:paraId="12487809" w14:textId="0131A37A" w:rsidR="00EF754D" w:rsidRDefault="00EF754D" w:rsidP="008139F7">
      <w:pPr>
        <w:spacing w:after="0" w:line="240" w:lineRule="auto"/>
        <w:jc w:val="both"/>
        <w:rPr>
          <w:rFonts w:eastAsiaTheme="minorEastAsia"/>
          <w:sz w:val="24"/>
          <w:szCs w:val="24"/>
          <w:lang w:val="en-GB"/>
        </w:rPr>
      </w:pPr>
    </w:p>
    <w:p w14:paraId="68592741" w14:textId="324CC806" w:rsidR="00EF754D" w:rsidRDefault="005F7D68" w:rsidP="008139F7">
      <w:pPr>
        <w:spacing w:after="0" w:line="240" w:lineRule="auto"/>
        <w:jc w:val="both"/>
        <w:rPr>
          <w:sz w:val="24"/>
          <w:szCs w:val="24"/>
          <w:lang w:val="en-GB"/>
        </w:rPr>
      </w:pPr>
      <m:oMathPara>
        <m:oMath>
          <m:r>
            <m:rPr>
              <m:sty m:val="p"/>
            </m:rPr>
            <w:rPr>
              <w:rFonts w:ascii="Cambria Math" w:hAnsi="Cambria Math"/>
              <w:sz w:val="24"/>
              <w:szCs w:val="24"/>
              <w:lang w:val="en-GB"/>
            </w:rPr>
            <m:t>Pr</m:t>
          </m:r>
          <m:d>
            <m:dPr>
              <m:ctrlPr>
                <w:rPr>
                  <w:rFonts w:ascii="Cambria Math" w:hAnsi="Cambria Math"/>
                  <w:i/>
                  <w:sz w:val="24"/>
                  <w:szCs w:val="24"/>
                  <w:lang w:val="en-GB"/>
                </w:rPr>
              </m:ctrlPr>
            </m:dPr>
            <m:e>
              <m:sSub>
                <m:sSubPr>
                  <m:ctrlPr>
                    <w:rPr>
                      <w:rFonts w:ascii="Cambria Math" w:hAnsi="Cambria Math"/>
                      <w:i/>
                      <w:sz w:val="24"/>
                      <w:szCs w:val="24"/>
                      <w:lang w:val="en-GB"/>
                    </w:rPr>
                  </m:ctrlPr>
                </m:sSubPr>
                <m:e>
                  <m:r>
                    <w:rPr>
                      <w:rFonts w:ascii="Cambria Math" w:hAnsi="Cambria Math"/>
                      <w:sz w:val="24"/>
                      <w:szCs w:val="24"/>
                      <w:lang w:val="en-GB"/>
                    </w:rPr>
                    <m:t>Y</m:t>
                  </m:r>
                </m:e>
                <m:sub>
                  <m:r>
                    <w:rPr>
                      <w:rFonts w:ascii="Cambria Math" w:hAnsi="Cambria Math"/>
                      <w:sz w:val="24"/>
                      <w:szCs w:val="24"/>
                      <w:lang w:val="en-GB"/>
                    </w:rPr>
                    <m:t>i,k,t</m:t>
                  </m:r>
                </m:sub>
              </m:sSub>
              <m:r>
                <w:rPr>
                  <w:rFonts w:ascii="Cambria Math" w:hAnsi="Cambria Math"/>
                  <w:sz w:val="24"/>
                  <w:szCs w:val="24"/>
                  <w:lang w:val="en-GB"/>
                </w:rPr>
                <m:t>=1</m:t>
              </m:r>
            </m:e>
          </m:d>
          <m:r>
            <w:rPr>
              <w:rFonts w:ascii="Cambria Math" w:hAnsi="Cambria Math"/>
              <w:sz w:val="24"/>
              <w:szCs w:val="24"/>
              <w:lang w:val="en-GB"/>
            </w:rPr>
            <m:t>=ϕ</m:t>
          </m:r>
          <m:d>
            <m:dPr>
              <m:ctrlPr>
                <w:rPr>
                  <w:rFonts w:ascii="Cambria Math" w:hAnsi="Cambria Math"/>
                  <w:i/>
                  <w:sz w:val="24"/>
                  <w:szCs w:val="24"/>
                  <w:lang w:val="en-GB"/>
                </w:rPr>
              </m:ctrlPr>
            </m:dPr>
            <m:e>
              <m:r>
                <w:rPr>
                  <w:rFonts w:ascii="Cambria Math" w:hAnsi="Cambria Math"/>
                  <w:sz w:val="24"/>
                  <w:szCs w:val="24"/>
                  <w:lang w:val="en-GB"/>
                </w:rPr>
                <m:t>α+β×</m:t>
              </m:r>
              <m:sSub>
                <m:sSubPr>
                  <m:ctrlPr>
                    <w:rPr>
                      <w:rFonts w:ascii="Cambria Math" w:hAnsi="Cambria Math"/>
                      <w:i/>
                      <w:sz w:val="24"/>
                      <w:szCs w:val="24"/>
                      <w:lang w:val="en-GB"/>
                    </w:rPr>
                  </m:ctrlPr>
                </m:sSubPr>
                <m:e>
                  <m:r>
                    <w:rPr>
                      <w:rFonts w:ascii="Cambria Math" w:hAnsi="Cambria Math"/>
                      <w:sz w:val="24"/>
                      <w:szCs w:val="24"/>
                      <w:lang w:val="en-GB"/>
                    </w:rPr>
                    <m:t>Distance</m:t>
                  </m:r>
                </m:e>
                <m:sub>
                  <m:r>
                    <w:rPr>
                      <w:rFonts w:ascii="Cambria Math" w:hAnsi="Cambria Math"/>
                      <w:sz w:val="24"/>
                      <w:szCs w:val="24"/>
                      <w:lang w:val="en-GB"/>
                    </w:rPr>
                    <m:t>i,v,t</m:t>
                  </m:r>
                </m:sub>
              </m:sSub>
              <m:r>
                <w:rPr>
                  <w:rFonts w:ascii="Cambria Math" w:hAnsi="Cambria Math"/>
                  <w:sz w:val="24"/>
                  <w:szCs w:val="24"/>
                  <w:lang w:val="en-GB"/>
                </w:rPr>
                <m:t>+</m:t>
              </m:r>
              <m:sSubSup>
                <m:sSubSupPr>
                  <m:ctrlPr>
                    <w:rPr>
                      <w:rFonts w:ascii="Cambria Math" w:hAnsi="Cambria Math"/>
                      <w:i/>
                      <w:sz w:val="24"/>
                      <w:szCs w:val="24"/>
                      <w:lang w:val="en-GB"/>
                    </w:rPr>
                  </m:ctrlPr>
                </m:sSubSupPr>
                <m:e>
                  <m:r>
                    <m:rPr>
                      <m:sty m:val="b"/>
                    </m:rPr>
                    <w:rPr>
                      <w:rFonts w:ascii="Cambria Math" w:hAnsi="Cambria Math"/>
                      <w:sz w:val="24"/>
                      <w:szCs w:val="24"/>
                      <w:lang w:val="en-GB"/>
                    </w:rPr>
                    <m:t>X</m:t>
                  </m:r>
                </m:e>
                <m:sub>
                  <m:r>
                    <w:rPr>
                      <w:rFonts w:ascii="Cambria Math" w:hAnsi="Cambria Math"/>
                      <w:sz w:val="24"/>
                      <w:szCs w:val="24"/>
                      <w:lang w:val="en-GB"/>
                    </w:rPr>
                    <m:t>i,t</m:t>
                  </m:r>
                </m:sub>
                <m:sup>
                  <m:r>
                    <w:rPr>
                      <w:rFonts w:ascii="Cambria Math" w:hAnsi="Cambria Math"/>
                      <w:sz w:val="24"/>
                      <w:szCs w:val="24"/>
                      <w:lang w:val="en-GB"/>
                    </w:rPr>
                    <m:t>'</m:t>
                  </m:r>
                </m:sup>
              </m:sSubSup>
              <m:r>
                <w:rPr>
                  <w:rFonts w:ascii="Cambria Math" w:hAnsi="Cambria Math"/>
                  <w:sz w:val="24"/>
                  <w:szCs w:val="24"/>
                  <w:lang w:val="en-GB"/>
                </w:rPr>
                <m:t>γ+</m:t>
              </m:r>
              <m:sSub>
                <m:sSubPr>
                  <m:ctrlPr>
                    <w:rPr>
                      <w:rFonts w:ascii="Cambria Math" w:hAnsi="Cambria Math"/>
                      <w:i/>
                      <w:sz w:val="24"/>
                      <w:szCs w:val="24"/>
                      <w:lang w:val="en-GB"/>
                    </w:rPr>
                  </m:ctrlPr>
                </m:sSubPr>
                <m:e>
                  <m:r>
                    <w:rPr>
                      <w:rFonts w:ascii="Cambria Math" w:hAnsi="Cambria Math"/>
                      <w:sz w:val="24"/>
                      <w:szCs w:val="24"/>
                      <w:lang w:val="en-GB"/>
                    </w:rPr>
                    <m:t>μ</m:t>
                  </m:r>
                </m:e>
                <m:sub>
                  <m:r>
                    <w:rPr>
                      <w:rFonts w:ascii="Cambria Math" w:hAnsi="Cambria Math"/>
                      <w:sz w:val="24"/>
                      <w:szCs w:val="24"/>
                      <w:lang w:val="en-GB"/>
                    </w:rPr>
                    <m:t>i</m:t>
                  </m:r>
                </m:sub>
              </m:sSub>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λ</m:t>
                  </m:r>
                </m:e>
                <m:sub>
                  <m:r>
                    <w:rPr>
                      <w:rFonts w:ascii="Cambria Math" w:hAnsi="Cambria Math"/>
                      <w:sz w:val="24"/>
                      <w:szCs w:val="24"/>
                      <w:lang w:val="en-GB"/>
                    </w:rPr>
                    <m:t>t</m:t>
                  </m:r>
                </m:sub>
              </m:sSub>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ϵ</m:t>
                  </m:r>
                </m:e>
                <m:sub>
                  <m:r>
                    <w:rPr>
                      <w:rFonts w:ascii="Cambria Math" w:hAnsi="Cambria Math"/>
                      <w:sz w:val="24"/>
                      <w:szCs w:val="24"/>
                      <w:lang w:val="en-GB"/>
                    </w:rPr>
                    <m:t>i,t</m:t>
                  </m:r>
                </m:sub>
              </m:sSub>
            </m:e>
          </m:d>
        </m:oMath>
      </m:oMathPara>
    </w:p>
    <w:p w14:paraId="573DA4FE" w14:textId="644FED28" w:rsidR="00BE52DC" w:rsidRDefault="00BE52DC" w:rsidP="008139F7">
      <w:pPr>
        <w:spacing w:after="0" w:line="240" w:lineRule="auto"/>
        <w:jc w:val="both"/>
        <w:rPr>
          <w:sz w:val="24"/>
          <w:szCs w:val="24"/>
          <w:lang w:val="en-GB"/>
        </w:rPr>
      </w:pPr>
    </w:p>
    <w:p w14:paraId="74AB680A" w14:textId="77777777" w:rsidR="00BF50FA" w:rsidRDefault="00EF754D" w:rsidP="008139F7">
      <w:pPr>
        <w:spacing w:after="0" w:line="240" w:lineRule="auto"/>
        <w:jc w:val="both"/>
        <w:rPr>
          <w:rFonts w:eastAsiaTheme="minorEastAsia"/>
          <w:sz w:val="24"/>
          <w:szCs w:val="24"/>
          <w:lang w:val="en-GB"/>
        </w:rPr>
      </w:pPr>
      <w:r>
        <w:rPr>
          <w:sz w:val="24"/>
          <w:szCs w:val="24"/>
          <w:lang w:val="en-GB"/>
        </w:rPr>
        <w:t xml:space="preserve">Where </w:t>
      </w:r>
      <m:oMath>
        <m:r>
          <m:rPr>
            <m:sty m:val="b"/>
          </m:rPr>
          <w:rPr>
            <w:rFonts w:ascii="Cambria Math" w:hAnsi="Cambria Math"/>
            <w:sz w:val="24"/>
            <w:szCs w:val="24"/>
            <w:lang w:val="en-GB"/>
          </w:rPr>
          <m:t>X</m:t>
        </m:r>
      </m:oMath>
      <w:r>
        <w:rPr>
          <w:rFonts w:eastAsiaTheme="minorEastAsia"/>
          <w:iCs/>
          <w:sz w:val="24"/>
          <w:szCs w:val="24"/>
          <w:lang w:val="en-GB"/>
        </w:rPr>
        <w:t xml:space="preserve"> represents the vector of control variables, </w:t>
      </w:r>
      <m:oMath>
        <m:sSub>
          <m:sSubPr>
            <m:ctrlPr>
              <w:rPr>
                <w:rFonts w:ascii="Cambria Math" w:hAnsi="Cambria Math"/>
                <w:i/>
                <w:sz w:val="24"/>
                <w:szCs w:val="24"/>
                <w:lang w:val="en-GB"/>
              </w:rPr>
            </m:ctrlPr>
          </m:sSubPr>
          <m:e>
            <m:r>
              <w:rPr>
                <w:rFonts w:ascii="Cambria Math" w:hAnsi="Cambria Math"/>
                <w:sz w:val="24"/>
                <w:szCs w:val="24"/>
                <w:lang w:val="en-GB"/>
              </w:rPr>
              <m:t>μ</m:t>
            </m:r>
          </m:e>
          <m:sub>
            <m:r>
              <w:rPr>
                <w:rFonts w:ascii="Cambria Math" w:hAnsi="Cambria Math"/>
                <w:sz w:val="24"/>
                <w:szCs w:val="24"/>
                <w:lang w:val="en-GB"/>
              </w:rPr>
              <m:t>i</m:t>
            </m:r>
          </m:sub>
        </m:sSub>
      </m:oMath>
      <w:r>
        <w:rPr>
          <w:rFonts w:eastAsiaTheme="minorEastAsia"/>
          <w:sz w:val="24"/>
          <w:szCs w:val="24"/>
          <w:lang w:val="en-GB"/>
        </w:rPr>
        <w:t xml:space="preserve"> is the set of country-fixed effects, </w:t>
      </w:r>
      <m:oMath>
        <m:sSub>
          <m:sSubPr>
            <m:ctrlPr>
              <w:rPr>
                <w:rFonts w:ascii="Cambria Math" w:hAnsi="Cambria Math"/>
                <w:i/>
                <w:sz w:val="24"/>
                <w:szCs w:val="24"/>
                <w:lang w:val="en-GB"/>
              </w:rPr>
            </m:ctrlPr>
          </m:sSubPr>
          <m:e>
            <m:r>
              <w:rPr>
                <w:rFonts w:ascii="Cambria Math" w:hAnsi="Cambria Math"/>
                <w:sz w:val="24"/>
                <w:szCs w:val="24"/>
                <w:lang w:val="en-GB"/>
              </w:rPr>
              <m:t>λ</m:t>
            </m:r>
          </m:e>
          <m:sub>
            <m:r>
              <w:rPr>
                <w:rFonts w:ascii="Cambria Math" w:hAnsi="Cambria Math"/>
                <w:sz w:val="24"/>
                <w:szCs w:val="24"/>
                <w:lang w:val="en-GB"/>
              </w:rPr>
              <m:t>t</m:t>
            </m:r>
          </m:sub>
        </m:sSub>
      </m:oMath>
      <w:r>
        <w:rPr>
          <w:rFonts w:eastAsiaTheme="minorEastAsia"/>
          <w:sz w:val="24"/>
          <w:szCs w:val="24"/>
          <w:lang w:val="en-GB"/>
        </w:rPr>
        <w:t xml:space="preserve"> is the set of time-fixed effects common to all countries, and </w:t>
      </w:r>
      <m:oMath>
        <m:sSub>
          <m:sSubPr>
            <m:ctrlPr>
              <w:rPr>
                <w:rFonts w:ascii="Cambria Math" w:hAnsi="Cambria Math"/>
                <w:i/>
                <w:sz w:val="24"/>
                <w:szCs w:val="24"/>
                <w:lang w:val="en-GB"/>
              </w:rPr>
            </m:ctrlPr>
          </m:sSubPr>
          <m:e>
            <m:r>
              <w:rPr>
                <w:rFonts w:ascii="Cambria Math" w:hAnsi="Cambria Math"/>
                <w:sz w:val="24"/>
                <w:szCs w:val="24"/>
                <w:lang w:val="en-GB"/>
              </w:rPr>
              <m:t>ϵ</m:t>
            </m:r>
          </m:e>
          <m:sub>
            <m:r>
              <w:rPr>
                <w:rFonts w:ascii="Cambria Math" w:hAnsi="Cambria Math"/>
                <w:sz w:val="24"/>
                <w:szCs w:val="24"/>
                <w:lang w:val="en-GB"/>
              </w:rPr>
              <m:t>i,t</m:t>
            </m:r>
          </m:sub>
        </m:sSub>
      </m:oMath>
      <w:r>
        <w:rPr>
          <w:rFonts w:eastAsiaTheme="minorEastAsia"/>
          <w:sz w:val="24"/>
          <w:szCs w:val="24"/>
          <w:lang w:val="en-GB"/>
        </w:rPr>
        <w:t xml:space="preserve"> denotes the random error term. To mitigate potential omitted variable bias from unobserved cross-sectional and temporal </w:t>
      </w:r>
      <w:r>
        <w:rPr>
          <w:rFonts w:eastAsiaTheme="minorEastAsia"/>
          <w:sz w:val="24"/>
          <w:szCs w:val="24"/>
          <w:lang w:val="en-GB"/>
        </w:rPr>
        <w:lastRenderedPageBreak/>
        <w:t xml:space="preserve">factors, our empirical approach employs the high-dimensional fixed-effects estimator (Correia et. al. 2016) which allows for the simultaneous inclusion of country-, year- and resolution-fixed effects. The key parameter of interest is </w:t>
      </w:r>
      <m:oMath>
        <m:r>
          <w:rPr>
            <w:rFonts w:ascii="Cambria Math" w:hAnsi="Cambria Math"/>
            <w:sz w:val="24"/>
            <w:szCs w:val="24"/>
            <w:lang w:val="en-GB"/>
          </w:rPr>
          <m:t>β</m:t>
        </m:r>
      </m:oMath>
      <w:r>
        <w:rPr>
          <w:rFonts w:eastAsiaTheme="minorEastAsia"/>
          <w:sz w:val="24"/>
          <w:szCs w:val="24"/>
          <w:lang w:val="en-GB"/>
        </w:rPr>
        <w:t xml:space="preserve"> which </w:t>
      </w:r>
      <w:r w:rsidR="00BF50FA">
        <w:rPr>
          <w:rFonts w:eastAsiaTheme="minorEastAsia"/>
          <w:sz w:val="24"/>
          <w:szCs w:val="24"/>
          <w:lang w:val="en-GB"/>
        </w:rPr>
        <w:t xml:space="preserve">represents the elasticity of compliance with respect to the governance distance from the violators’ norms. Our theoretical expectation is that </w:t>
      </w:r>
      <m:oMath>
        <m:r>
          <w:rPr>
            <w:rFonts w:ascii="Cambria Math" w:hAnsi="Cambria Math"/>
            <w:sz w:val="24"/>
            <w:szCs w:val="24"/>
            <w:lang w:val="en-GB"/>
          </w:rPr>
          <m:t>β&gt;0</m:t>
        </m:r>
      </m:oMath>
      <w:r w:rsidR="00BF50FA">
        <w:rPr>
          <w:rFonts w:eastAsiaTheme="minorEastAsia"/>
          <w:sz w:val="24"/>
          <w:szCs w:val="24"/>
          <w:lang w:val="en-GB"/>
        </w:rPr>
        <w:t xml:space="preserve"> which implies that increasing the distance from the violators governance norms is associated with greater compliance with international law.</w:t>
      </w:r>
    </w:p>
    <w:p w14:paraId="54F26B20" w14:textId="77777777" w:rsidR="00BF50FA" w:rsidRDefault="00BF50FA" w:rsidP="008139F7">
      <w:pPr>
        <w:spacing w:after="0" w:line="240" w:lineRule="auto"/>
        <w:jc w:val="both"/>
        <w:rPr>
          <w:rFonts w:eastAsiaTheme="minorEastAsia"/>
          <w:sz w:val="24"/>
          <w:szCs w:val="24"/>
          <w:lang w:val="en-GB"/>
        </w:rPr>
      </w:pPr>
    </w:p>
    <w:p w14:paraId="118841D1" w14:textId="599F987E" w:rsidR="00BF50FA" w:rsidRDefault="00BF50FA" w:rsidP="008139F7">
      <w:pPr>
        <w:spacing w:after="0" w:line="240" w:lineRule="auto"/>
        <w:jc w:val="both"/>
        <w:rPr>
          <w:rFonts w:eastAsiaTheme="minorEastAsia"/>
          <w:sz w:val="24"/>
          <w:szCs w:val="24"/>
          <w:lang w:val="en-GB"/>
        </w:rPr>
      </w:pPr>
      <w:r w:rsidRPr="00BF50FA">
        <w:rPr>
          <w:rFonts w:eastAsiaTheme="minorEastAsia"/>
          <w:sz w:val="24"/>
          <w:szCs w:val="24"/>
          <w:lang w:val="en-GB"/>
        </w:rPr>
        <w:t>The second stage extends the analysis by estimating annual latent ideal points of compliance for each country using a Bayesian Markov Chain Monte Carlo (MCMC) procedure. Following Epstein (2007a), the approach models each state’s underlying policy preference as a time-varying ideal point inferred from its observed voting record.</w:t>
      </w:r>
      <w:r>
        <w:rPr>
          <w:rFonts w:eastAsiaTheme="minorEastAsia"/>
          <w:sz w:val="24"/>
          <w:szCs w:val="24"/>
          <w:lang w:val="en-GB"/>
        </w:rPr>
        <w:t xml:space="preserve"> Thus, for </w:t>
      </w:r>
      <m:oMath>
        <m:r>
          <w:rPr>
            <w:rFonts w:ascii="Cambria Math" w:eastAsiaTheme="minorEastAsia" w:hAnsi="Cambria Math"/>
            <w:sz w:val="24"/>
            <w:szCs w:val="24"/>
            <w:lang w:val="en-GB"/>
          </w:rPr>
          <m:t>N</m:t>
        </m:r>
      </m:oMath>
      <w:r>
        <w:rPr>
          <w:rFonts w:eastAsiaTheme="minorEastAsia"/>
          <w:sz w:val="24"/>
          <w:szCs w:val="24"/>
          <w:lang w:val="en-GB"/>
        </w:rPr>
        <w:t xml:space="preserve"> voting countries and </w:t>
      </w:r>
      <m:oMath>
        <m:r>
          <w:rPr>
            <w:rFonts w:ascii="Cambria Math" w:eastAsiaTheme="minorEastAsia" w:hAnsi="Cambria Math"/>
            <w:sz w:val="24"/>
            <w:szCs w:val="24"/>
            <w:lang w:val="en-GB"/>
          </w:rPr>
          <m:t>J</m:t>
        </m:r>
      </m:oMath>
      <w:r>
        <w:rPr>
          <w:rFonts w:eastAsiaTheme="minorEastAsia"/>
          <w:sz w:val="24"/>
          <w:szCs w:val="24"/>
          <w:lang w:val="en-GB"/>
        </w:rPr>
        <w:t xml:space="preserve"> violators over a finite horizon </w:t>
      </w:r>
      <m:oMath>
        <m:r>
          <w:rPr>
            <w:rFonts w:ascii="Cambria Math" w:eastAsiaTheme="minorEastAsia" w:hAnsi="Cambria Math"/>
            <w:sz w:val="24"/>
            <w:szCs w:val="24"/>
            <w:lang w:val="en-GB"/>
          </w:rPr>
          <m:t>T</m:t>
        </m:r>
      </m:oMath>
      <w:r>
        <w:rPr>
          <w:rFonts w:eastAsiaTheme="minorEastAsia"/>
          <w:sz w:val="24"/>
          <w:szCs w:val="24"/>
          <w:lang w:val="en-GB"/>
        </w:rPr>
        <w:t>, the latent compliance propensity is defined as:</w:t>
      </w:r>
    </w:p>
    <w:p w14:paraId="5AAA0478" w14:textId="477A629C" w:rsidR="00BF50FA" w:rsidRDefault="00BF50FA" w:rsidP="008139F7">
      <w:pPr>
        <w:spacing w:after="0" w:line="240" w:lineRule="auto"/>
        <w:jc w:val="both"/>
        <w:rPr>
          <w:rFonts w:eastAsiaTheme="minorEastAsia"/>
          <w:sz w:val="24"/>
          <w:szCs w:val="24"/>
          <w:lang w:val="en-GB"/>
        </w:rPr>
      </w:pPr>
    </w:p>
    <w:p w14:paraId="3D25CD8B" w14:textId="39A9B359" w:rsidR="00BF50FA" w:rsidRDefault="00000000" w:rsidP="008139F7">
      <w:pPr>
        <w:spacing w:after="0" w:line="240" w:lineRule="auto"/>
        <w:jc w:val="both"/>
        <w:rPr>
          <w:rFonts w:eastAsiaTheme="minorEastAsia"/>
          <w:sz w:val="24"/>
          <w:szCs w:val="24"/>
          <w:lang w:val="en-GB"/>
        </w:rPr>
      </w:pPr>
      <m:oMathPara>
        <m:oMath>
          <m:sSub>
            <m:sSubPr>
              <m:ctrlPr>
                <w:rPr>
                  <w:rFonts w:ascii="Cambria Math" w:eastAsiaTheme="minorEastAsia" w:hAnsi="Cambria Math"/>
                  <w:i/>
                  <w:sz w:val="24"/>
                  <w:szCs w:val="24"/>
                  <w:lang w:val="en-GB"/>
                </w:rPr>
              </m:ctrlPr>
            </m:sSubPr>
            <m:e>
              <m:r>
                <w:rPr>
                  <w:rFonts w:ascii="Cambria Math" w:eastAsiaTheme="minorEastAsia" w:hAnsi="Cambria Math"/>
                  <w:sz w:val="24"/>
                  <w:szCs w:val="24"/>
                  <w:lang w:val="en-GB"/>
                </w:rPr>
                <m:t>u</m:t>
              </m:r>
            </m:e>
            <m:sub>
              <m:r>
                <w:rPr>
                  <w:rFonts w:ascii="Cambria Math" w:eastAsiaTheme="minorEastAsia" w:hAnsi="Cambria Math"/>
                  <w:sz w:val="24"/>
                  <w:szCs w:val="24"/>
                  <w:lang w:val="en-GB"/>
                </w:rPr>
                <m:t>i,j,t</m:t>
              </m:r>
            </m:sub>
          </m:sSub>
          <m:r>
            <w:rPr>
              <w:rFonts w:ascii="Cambria Math" w:eastAsiaTheme="minorEastAsia" w:hAnsi="Cambria Math"/>
              <w:sz w:val="24"/>
              <w:szCs w:val="24"/>
              <w:lang w:val="en-GB"/>
            </w:rPr>
            <m:t>=</m:t>
          </m:r>
          <m:sSup>
            <m:sSupPr>
              <m:ctrlPr>
                <w:rPr>
                  <w:rFonts w:ascii="Cambria Math" w:eastAsiaTheme="minorEastAsia" w:hAnsi="Cambria Math"/>
                  <w:i/>
                  <w:sz w:val="24"/>
                  <w:szCs w:val="24"/>
                  <w:lang w:val="en-GB"/>
                </w:rPr>
              </m:ctrlPr>
            </m:sSupPr>
            <m:e>
              <m:r>
                <m:rPr>
                  <m:sty m:val="p"/>
                </m:rPr>
                <w:rPr>
                  <w:rFonts w:ascii="Cambria Math" w:eastAsiaTheme="minorEastAsia" w:hAnsi="Cambria Math"/>
                  <w:sz w:val="24"/>
                  <w:szCs w:val="24"/>
                  <w:lang w:val="en-GB"/>
                </w:rPr>
                <m:t>sinh</m:t>
              </m:r>
            </m:e>
            <m:sup>
              <m:r>
                <w:rPr>
                  <w:rFonts w:ascii="Cambria Math" w:eastAsiaTheme="minorEastAsia" w:hAnsi="Cambria Math"/>
                  <w:sz w:val="24"/>
                  <w:szCs w:val="24"/>
                  <w:lang w:val="en-GB"/>
                </w:rPr>
                <m:t>-1</m:t>
              </m:r>
            </m:sup>
          </m:sSup>
          <m:d>
            <m:dPr>
              <m:ctrlPr>
                <w:rPr>
                  <w:rFonts w:ascii="Cambria Math" w:eastAsiaTheme="minorEastAsia" w:hAnsi="Cambria Math"/>
                  <w:i/>
                  <w:sz w:val="24"/>
                  <w:szCs w:val="24"/>
                  <w:lang w:val="en-GB"/>
                </w:rPr>
              </m:ctrlPr>
            </m:dPr>
            <m:e>
              <m:r>
                <m:rPr>
                  <m:sty m:val="p"/>
                </m:rPr>
                <w:rPr>
                  <w:rFonts w:ascii="Cambria Math" w:eastAsiaTheme="minorEastAsia" w:hAnsi="Cambria Math"/>
                  <w:sz w:val="24"/>
                  <w:szCs w:val="24"/>
                  <w:lang w:val="en-GB"/>
                </w:rPr>
                <m:t>dist</m:t>
              </m:r>
              <m:d>
                <m:dPr>
                  <m:ctrlPr>
                    <w:rPr>
                      <w:rFonts w:ascii="Cambria Math" w:eastAsiaTheme="minorEastAsia" w:hAnsi="Cambria Math"/>
                      <w:i/>
                      <w:sz w:val="24"/>
                      <w:szCs w:val="24"/>
                      <w:lang w:val="en-GB"/>
                    </w:rPr>
                  </m:ctrlPr>
                </m:dPr>
                <m:e>
                  <m:sSub>
                    <m:sSubPr>
                      <m:ctrlPr>
                        <w:rPr>
                          <w:rFonts w:ascii="Cambria Math" w:eastAsiaTheme="minorEastAsia" w:hAnsi="Cambria Math"/>
                          <w:i/>
                          <w:sz w:val="24"/>
                          <w:szCs w:val="24"/>
                          <w:lang w:val="en-GB"/>
                        </w:rPr>
                      </m:ctrlPr>
                    </m:sSubPr>
                    <m:e>
                      <m:r>
                        <w:rPr>
                          <w:rFonts w:ascii="Cambria Math" w:eastAsiaTheme="minorEastAsia" w:hAnsi="Cambria Math"/>
                          <w:sz w:val="24"/>
                          <w:szCs w:val="24"/>
                          <w:lang w:val="en-GB"/>
                        </w:rPr>
                        <m:t>Z</m:t>
                      </m:r>
                    </m:e>
                    <m:sub>
                      <m:r>
                        <w:rPr>
                          <w:rFonts w:ascii="Cambria Math" w:eastAsiaTheme="minorEastAsia" w:hAnsi="Cambria Math"/>
                          <w:sz w:val="24"/>
                          <w:szCs w:val="24"/>
                          <w:lang w:val="en-GB"/>
                        </w:rPr>
                        <m:t>i,t</m:t>
                      </m:r>
                    </m:sub>
                  </m:sSub>
                  <m:r>
                    <w:rPr>
                      <w:rFonts w:ascii="Cambria Math" w:eastAsiaTheme="minorEastAsia" w:hAnsi="Cambria Math"/>
                      <w:sz w:val="24"/>
                      <w:szCs w:val="24"/>
                      <w:lang w:val="en-GB"/>
                    </w:rPr>
                    <m:t>,</m:t>
                  </m:r>
                  <m:nary>
                    <m:naryPr>
                      <m:chr m:val="∑"/>
                      <m:limLoc m:val="undOvr"/>
                      <m:ctrlPr>
                        <w:rPr>
                          <w:rFonts w:ascii="Cambria Math" w:hAnsi="Cambria Math"/>
                          <w:i/>
                          <w:sz w:val="24"/>
                          <w:szCs w:val="24"/>
                          <w:lang w:val="en-GB"/>
                        </w:rPr>
                      </m:ctrlPr>
                    </m:naryPr>
                    <m:sub>
                      <m:r>
                        <w:rPr>
                          <w:rFonts w:ascii="Cambria Math" w:hAnsi="Cambria Math"/>
                          <w:sz w:val="24"/>
                          <w:szCs w:val="24"/>
                          <w:lang w:val="en-GB"/>
                        </w:rPr>
                        <m:t>k=1</m:t>
                      </m:r>
                    </m:sub>
                    <m:sup>
                      <m:r>
                        <w:rPr>
                          <w:rFonts w:ascii="Cambria Math" w:hAnsi="Cambria Math"/>
                          <w:sz w:val="24"/>
                          <w:szCs w:val="24"/>
                          <w:lang w:val="en-GB"/>
                        </w:rPr>
                        <m:t>K</m:t>
                      </m:r>
                    </m:sup>
                    <m:e>
                      <m:sSub>
                        <m:sSubPr>
                          <m:ctrlPr>
                            <w:rPr>
                              <w:rFonts w:ascii="Cambria Math" w:hAnsi="Cambria Math"/>
                              <w:i/>
                              <w:sz w:val="24"/>
                              <w:szCs w:val="24"/>
                              <w:lang w:val="en-GB"/>
                            </w:rPr>
                          </m:ctrlPr>
                        </m:sSubPr>
                        <m:e>
                          <m:r>
                            <w:rPr>
                              <w:rFonts w:ascii="Cambria Math" w:hAnsi="Cambria Math"/>
                              <w:sz w:val="24"/>
                              <w:szCs w:val="24"/>
                              <w:lang w:val="en-GB"/>
                            </w:rPr>
                            <m:t>Z</m:t>
                          </m:r>
                        </m:e>
                        <m:sub>
                          <m:r>
                            <w:rPr>
                              <w:rFonts w:ascii="Cambria Math" w:hAnsi="Cambria Math"/>
                              <w:sz w:val="24"/>
                              <w:szCs w:val="24"/>
                              <w:lang w:val="en-GB"/>
                            </w:rPr>
                            <m:t>v,t</m:t>
                          </m:r>
                        </m:sub>
                      </m:sSub>
                    </m:e>
                  </m:nary>
                </m:e>
              </m:d>
            </m:e>
          </m:d>
        </m:oMath>
      </m:oMathPara>
    </w:p>
    <w:p w14:paraId="5EAA9142" w14:textId="77777777" w:rsidR="00BF50FA" w:rsidRDefault="00BF50FA" w:rsidP="008139F7">
      <w:pPr>
        <w:spacing w:after="0" w:line="240" w:lineRule="auto"/>
        <w:jc w:val="both"/>
        <w:rPr>
          <w:rFonts w:eastAsiaTheme="minorEastAsia"/>
          <w:sz w:val="24"/>
          <w:szCs w:val="24"/>
          <w:lang w:val="en-GB"/>
        </w:rPr>
      </w:pPr>
    </w:p>
    <w:p w14:paraId="4DB86D9F" w14:textId="1622F519" w:rsidR="00EF754D" w:rsidRDefault="00BF50FA" w:rsidP="00BF50FA">
      <w:pPr>
        <w:spacing w:after="0" w:line="240" w:lineRule="auto"/>
        <w:jc w:val="both"/>
        <w:rPr>
          <w:sz w:val="24"/>
          <w:szCs w:val="24"/>
          <w:lang w:val="en-GB"/>
        </w:rPr>
      </w:pPr>
      <w:r w:rsidRPr="00BF50FA">
        <w:rPr>
          <w:sz w:val="24"/>
          <w:szCs w:val="24"/>
          <w:lang w:val="en-GB"/>
        </w:rPr>
        <w:t>where the inverse hyperbolic sine transformation smooths the distribution of governance distances and retains interpretability for zero or negative values.</w:t>
      </w:r>
      <w:r>
        <w:rPr>
          <w:sz w:val="24"/>
          <w:szCs w:val="24"/>
          <w:lang w:val="en-GB"/>
        </w:rPr>
        <w:t xml:space="preserve"> </w:t>
      </w:r>
      <w:r w:rsidRPr="00BF50FA">
        <w:rPr>
          <w:sz w:val="24"/>
          <w:szCs w:val="24"/>
          <w:lang w:val="en-GB"/>
        </w:rPr>
        <w:t>Using the Metropolis</w:t>
      </w:r>
      <w:r>
        <w:rPr>
          <w:sz w:val="24"/>
          <w:szCs w:val="24"/>
          <w:lang w:val="en-GB"/>
        </w:rPr>
        <w:t>-</w:t>
      </w:r>
      <w:r w:rsidRPr="00BF50FA">
        <w:rPr>
          <w:sz w:val="24"/>
          <w:szCs w:val="24"/>
          <w:lang w:val="en-GB"/>
        </w:rPr>
        <w:t xml:space="preserve">Hastings algorithm, a large sequence of posterior samples is drawn for each country–year pair, generating more than 1.5 million iterations per </w:t>
      </w:r>
      <w:r>
        <w:rPr>
          <w:sz w:val="24"/>
          <w:szCs w:val="24"/>
          <w:lang w:val="en-GB"/>
        </w:rPr>
        <w:t xml:space="preserve">unit of </w:t>
      </w:r>
      <w:r w:rsidRPr="00BF50FA">
        <w:rPr>
          <w:sz w:val="24"/>
          <w:szCs w:val="24"/>
          <w:lang w:val="en-GB"/>
        </w:rPr>
        <w:t>observation and approximately 2.5 billion draws in total. From the resulting posterior distributions, we compute posterior means, standard deviations, and credible intervals for each country’s latent compliance score.</w:t>
      </w:r>
      <w:r>
        <w:rPr>
          <w:sz w:val="24"/>
          <w:szCs w:val="24"/>
          <w:lang w:val="en-GB"/>
        </w:rPr>
        <w:t xml:space="preserve"> </w:t>
      </w:r>
      <w:r w:rsidRPr="00BF50FA">
        <w:rPr>
          <w:sz w:val="24"/>
          <w:szCs w:val="24"/>
          <w:lang w:val="en-GB"/>
        </w:rPr>
        <w:t>This</w:t>
      </w:r>
      <w:r>
        <w:rPr>
          <w:sz w:val="24"/>
          <w:szCs w:val="24"/>
          <w:lang w:val="en-GB"/>
        </w:rPr>
        <w:t xml:space="preserve"> particular</w:t>
      </w:r>
      <w:r w:rsidRPr="00BF50FA">
        <w:rPr>
          <w:sz w:val="24"/>
          <w:szCs w:val="24"/>
          <w:lang w:val="en-GB"/>
        </w:rPr>
        <w:t xml:space="preserve"> ideal-point framework provides a continuous measure of each state’s revealed preference for compliance, permitting the analysis of dynamic trajectories of international-law alignment across time and regime type.</w:t>
      </w:r>
    </w:p>
    <w:p w14:paraId="5B1ED4D8" w14:textId="77777777" w:rsidR="00C20CDB" w:rsidRDefault="00C20CDB" w:rsidP="00BF50FA">
      <w:pPr>
        <w:spacing w:after="0" w:line="240" w:lineRule="auto"/>
        <w:jc w:val="both"/>
        <w:rPr>
          <w:sz w:val="24"/>
          <w:szCs w:val="24"/>
          <w:lang w:val="en-GB"/>
        </w:rPr>
      </w:pPr>
    </w:p>
    <w:p w14:paraId="007E3C1E" w14:textId="4757772F" w:rsidR="00BF50FA" w:rsidRDefault="00BF50FA" w:rsidP="00BF50FA">
      <w:pPr>
        <w:spacing w:after="0" w:line="240" w:lineRule="auto"/>
        <w:jc w:val="both"/>
        <w:rPr>
          <w:rFonts w:eastAsiaTheme="minorEastAsia"/>
          <w:sz w:val="24"/>
          <w:szCs w:val="24"/>
          <w:lang w:val="en-GB"/>
        </w:rPr>
      </w:pPr>
      <w:r w:rsidRPr="00BF50FA">
        <w:rPr>
          <w:rFonts w:eastAsiaTheme="minorEastAsia"/>
          <w:sz w:val="24"/>
          <w:szCs w:val="24"/>
          <w:lang w:val="en-GB"/>
        </w:rPr>
        <w:t>Posterior intervals are used to quantify uncertainty around the estimated compliance measures. The variance of each posterior distribution is decomposed into short-run (cyclical) and long-run (deterministic) components, identifying whether deviations from the international-law benchmark are transitory or structural.</w:t>
      </w:r>
      <w:r>
        <w:rPr>
          <w:rFonts w:eastAsiaTheme="minorEastAsia"/>
          <w:sz w:val="24"/>
          <w:szCs w:val="24"/>
          <w:lang w:val="en-GB"/>
        </w:rPr>
        <w:t xml:space="preserve"> </w:t>
      </w:r>
      <w:r w:rsidRPr="00BF50FA">
        <w:rPr>
          <w:rFonts w:eastAsiaTheme="minorEastAsia"/>
          <w:sz w:val="24"/>
          <w:szCs w:val="24"/>
          <w:lang w:val="en-GB"/>
        </w:rPr>
        <w:t xml:space="preserve">To </w:t>
      </w:r>
      <w:r w:rsidR="005F7D68">
        <w:rPr>
          <w:rFonts w:eastAsiaTheme="minorEastAsia"/>
          <w:sz w:val="24"/>
          <w:szCs w:val="24"/>
          <w:lang w:val="en-GB"/>
        </w:rPr>
        <w:t>tackle the</w:t>
      </w:r>
      <w:r w:rsidRPr="00BF50FA">
        <w:rPr>
          <w:rFonts w:eastAsiaTheme="minorEastAsia"/>
          <w:sz w:val="24"/>
          <w:szCs w:val="24"/>
          <w:lang w:val="en-GB"/>
        </w:rPr>
        <w:t xml:space="preserve"> robustness</w:t>
      </w:r>
      <w:r w:rsidR="005F7D68">
        <w:rPr>
          <w:rFonts w:eastAsiaTheme="minorEastAsia"/>
          <w:sz w:val="24"/>
          <w:szCs w:val="24"/>
          <w:lang w:val="en-GB"/>
        </w:rPr>
        <w:t xml:space="preserve"> of our estimators</w:t>
      </w:r>
      <w:r w:rsidRPr="00BF50FA">
        <w:rPr>
          <w:rFonts w:eastAsiaTheme="minorEastAsia"/>
          <w:sz w:val="24"/>
          <w:szCs w:val="24"/>
          <w:lang w:val="en-GB"/>
        </w:rPr>
        <w:t>, alternative weighting schemes for multi-violator years are implemented, along with randomization and block-sampling checks. All estimations are conducted with clustered standard errors at the country level</w:t>
      </w:r>
      <w:r>
        <w:rPr>
          <w:rFonts w:eastAsiaTheme="minorEastAsia"/>
          <w:sz w:val="24"/>
          <w:szCs w:val="24"/>
          <w:lang w:val="en-GB"/>
        </w:rPr>
        <w:t>.</w:t>
      </w:r>
    </w:p>
    <w:p w14:paraId="18C4B633" w14:textId="77777777" w:rsidR="00BF50FA" w:rsidRPr="00BF50FA" w:rsidRDefault="00BF50FA" w:rsidP="00BF50FA">
      <w:pPr>
        <w:spacing w:after="0" w:line="240" w:lineRule="auto"/>
        <w:jc w:val="both"/>
        <w:rPr>
          <w:rFonts w:eastAsiaTheme="minorEastAsia"/>
          <w:sz w:val="24"/>
          <w:szCs w:val="24"/>
          <w:lang w:val="en-GB"/>
        </w:rPr>
      </w:pPr>
    </w:p>
    <w:p w14:paraId="20402382" w14:textId="1E564DB5" w:rsidR="008139F7" w:rsidRPr="00A04731" w:rsidRDefault="00563C09" w:rsidP="00A04731">
      <w:pPr>
        <w:pStyle w:val="Naslov2"/>
        <w:ind w:firstLine="360"/>
        <w:rPr>
          <w:lang w:val="en-GB"/>
        </w:rPr>
      </w:pPr>
      <w:bookmarkStart w:id="5" w:name="_Toc212314889"/>
      <w:r w:rsidRPr="00A04731">
        <w:rPr>
          <w:lang w:val="en-GB"/>
        </w:rPr>
        <w:t>3</w:t>
      </w:r>
      <w:r w:rsidR="00372793" w:rsidRPr="00A04731">
        <w:rPr>
          <w:lang w:val="en-GB"/>
        </w:rPr>
        <w:t>.2</w:t>
      </w:r>
      <w:r w:rsidR="00151305">
        <w:rPr>
          <w:lang w:val="en-GB"/>
        </w:rPr>
        <w:tab/>
      </w:r>
      <w:r w:rsidR="00372793" w:rsidRPr="00A04731">
        <w:rPr>
          <w:lang w:val="en-GB"/>
        </w:rPr>
        <w:tab/>
      </w:r>
      <w:r w:rsidR="008139F7" w:rsidRPr="00A04731">
        <w:rPr>
          <w:lang w:val="en-GB"/>
        </w:rPr>
        <w:t>Samples and descriptive statistics</w:t>
      </w:r>
      <w:bookmarkEnd w:id="5"/>
    </w:p>
    <w:p w14:paraId="62FEB8B8" w14:textId="61015192" w:rsidR="008139F7" w:rsidRPr="00E01316" w:rsidRDefault="008139F7" w:rsidP="008139F7">
      <w:pPr>
        <w:spacing w:after="0" w:line="240" w:lineRule="auto"/>
        <w:jc w:val="both"/>
        <w:rPr>
          <w:sz w:val="24"/>
          <w:szCs w:val="24"/>
          <w:lang w:val="en-GB"/>
        </w:rPr>
      </w:pPr>
    </w:p>
    <w:p w14:paraId="79734125" w14:textId="21B48004" w:rsidR="008139F7" w:rsidRPr="00E01316" w:rsidRDefault="008139F7" w:rsidP="008139F7">
      <w:pPr>
        <w:spacing w:after="0" w:line="240" w:lineRule="auto"/>
        <w:jc w:val="both"/>
        <w:rPr>
          <w:sz w:val="24"/>
          <w:szCs w:val="24"/>
          <w:lang w:val="en-GB"/>
        </w:rPr>
      </w:pPr>
      <w:r w:rsidRPr="00E01316">
        <w:rPr>
          <w:sz w:val="24"/>
          <w:szCs w:val="24"/>
          <w:lang w:val="en-GB"/>
        </w:rPr>
        <w:t>The empirical analysis draws on the complete corpus of United Nations General Assembly (UNGA) resolutions that explicitly address violations of international law between 1946 and 2023. This universe includes resolutions dealing with breaches of sovereignty, human-rights abuses, acts of aggression, and non-compliance with multilateral obligations. After a systematic review, we identify 188 resolutions meeting these criteria. For each resolution, we calculate the governance distance between every UN member state and the weighted average of the violators’ governance characteristics. This procedure mitigates the bias that would result if the reference point were based on a single country, thereby ensuring that violations are detected through a non-uniform and representative distribution across time and regions.</w:t>
      </w:r>
    </w:p>
    <w:p w14:paraId="559715B0" w14:textId="77777777" w:rsidR="008139F7" w:rsidRPr="00E01316" w:rsidRDefault="008139F7" w:rsidP="008139F7">
      <w:pPr>
        <w:spacing w:after="0" w:line="240" w:lineRule="auto"/>
        <w:jc w:val="both"/>
        <w:rPr>
          <w:sz w:val="24"/>
          <w:szCs w:val="24"/>
          <w:lang w:val="en-GB"/>
        </w:rPr>
      </w:pPr>
    </w:p>
    <w:p w14:paraId="2027D47C" w14:textId="6F7D1D9E" w:rsidR="008139F7" w:rsidRPr="00E01316" w:rsidRDefault="008139F7" w:rsidP="008139F7">
      <w:pPr>
        <w:spacing w:after="0" w:line="240" w:lineRule="auto"/>
        <w:jc w:val="both"/>
        <w:rPr>
          <w:sz w:val="24"/>
          <w:szCs w:val="24"/>
          <w:lang w:val="en-GB"/>
        </w:rPr>
      </w:pPr>
      <w:r w:rsidRPr="00E01316">
        <w:rPr>
          <w:sz w:val="24"/>
          <w:szCs w:val="24"/>
          <w:lang w:val="en-GB"/>
        </w:rPr>
        <w:t>The full sample consists of 6,342 country-year-resolution observations capturing latent policy preferences toward compliance with international law. The key variables, (i) vote in favor of the resolution is binary and (ii) the compliance ideal point, is continuous and unbounded. Negative values denote dissent from international norms and condemnation of the violator, values around zero correspond to neutrality or abstention, and positive values reflect latent or explicit support for the violator. To complement this measure, we compile a second dataset of 23,405 matched observations of country-level votes on each resolution. The dependent variable can take three distinct values: a vote in favor of the resolution, an abstention, or a vote against it. Because a vote in favor of the resolution is typically interpreted as support for the enforcement of international law, this outcome serves as our main indicator of compliance behavior.</w:t>
      </w:r>
    </w:p>
    <w:p w14:paraId="330F60D4" w14:textId="77777777" w:rsidR="008139F7" w:rsidRPr="00E01316" w:rsidRDefault="008139F7" w:rsidP="008139F7">
      <w:pPr>
        <w:spacing w:after="0" w:line="240" w:lineRule="auto"/>
        <w:jc w:val="both"/>
        <w:rPr>
          <w:sz w:val="24"/>
          <w:szCs w:val="24"/>
          <w:lang w:val="en-GB"/>
        </w:rPr>
      </w:pPr>
    </w:p>
    <w:p w14:paraId="70027F4D" w14:textId="5740C0F0" w:rsidR="008139F7" w:rsidRPr="00E01316" w:rsidRDefault="008139F7" w:rsidP="008139F7">
      <w:pPr>
        <w:spacing w:after="0" w:line="240" w:lineRule="auto"/>
        <w:jc w:val="both"/>
        <w:rPr>
          <w:sz w:val="24"/>
          <w:szCs w:val="24"/>
          <w:lang w:val="en-GB"/>
        </w:rPr>
      </w:pPr>
      <w:r w:rsidRPr="00E01316">
        <w:rPr>
          <w:sz w:val="24"/>
          <w:szCs w:val="24"/>
          <w:lang w:val="en-GB"/>
        </w:rPr>
        <w:t>Constructing a coherent benchmark for governance distance presents methodological challenges, since in most years more than one state commits an internationally recognized violation. To overcome this, we compute a weighted average of the quality-of-governance scores for all violators in a given year, with weights reflecting the relative salience of each violation as captured by UN citation frequency. In years with a single violator, the reference point naturally coincides with that country’s governance score. This procedure ensures that our compliance parameters are not excessively influenced by isolated cases and that the resulting measure retains both conceptual clarity and empirical comparability. Table 1 reports a representative corpus of the UNGA resolutions included in the sample, ranging from early post-war conflicts to contemporary crises. Examples include Resolution 109 (1947) on threats to Greek sovereignty by Turkey, Resolution 498 (1951) condemning Chinese intervention in Korea, Resolution 1761 (1962) recommending sanctions against apartheid South Africa, Resolution 338 (1973) calling for an end to the Yom Kippur War, Resolution 47/121 (1993) condemning ethnic cleansing in Bosnia, Resolution 68/262 (2014) reaffirming Ukraine’s territorial integrity, and Resolution ES-11/4 (2022) defending the principles of the UN Charter in the context of Russia’s invasion of Ukraine.</w:t>
      </w:r>
    </w:p>
    <w:p w14:paraId="2ADAA875" w14:textId="13305BB6" w:rsidR="008139F7" w:rsidRPr="00E01316" w:rsidRDefault="008139F7" w:rsidP="008139F7">
      <w:pPr>
        <w:spacing w:after="0" w:line="240" w:lineRule="auto"/>
        <w:jc w:val="both"/>
        <w:rPr>
          <w:sz w:val="24"/>
          <w:szCs w:val="24"/>
          <w:lang w:val="en-GB"/>
        </w:rPr>
      </w:pPr>
    </w:p>
    <w:p w14:paraId="0D91638F" w14:textId="77777777" w:rsidR="008139F7" w:rsidRPr="008139F7" w:rsidRDefault="008139F7" w:rsidP="008139F7">
      <w:pPr>
        <w:spacing w:after="0" w:line="240" w:lineRule="auto"/>
        <w:jc w:val="both"/>
        <w:rPr>
          <w:sz w:val="24"/>
          <w:szCs w:val="24"/>
          <w:lang w:val="en-GB"/>
        </w:rPr>
      </w:pPr>
      <w:r w:rsidRPr="008139F7">
        <w:rPr>
          <w:b/>
          <w:bCs/>
          <w:sz w:val="24"/>
          <w:szCs w:val="24"/>
          <w:lang w:val="en-GB"/>
        </w:rPr>
        <w:t>Table 1</w:t>
      </w:r>
      <w:r w:rsidRPr="008139F7">
        <w:rPr>
          <w:sz w:val="24"/>
          <w:szCs w:val="24"/>
          <w:lang w:val="en-GB"/>
        </w:rPr>
        <w:t>: A Sample of UN General Assembly Resolutions on the Violation of International Law</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09"/>
        <w:gridCol w:w="4394"/>
        <w:gridCol w:w="1080"/>
        <w:gridCol w:w="1137"/>
      </w:tblGrid>
      <w:tr w:rsidR="008139F7" w:rsidRPr="008139F7" w14:paraId="7A4AFE1C" w14:textId="77777777" w:rsidTr="008139F7">
        <w:tc>
          <w:tcPr>
            <w:tcW w:w="1696" w:type="dxa"/>
            <w:tcBorders>
              <w:top w:val="double" w:sz="4" w:space="0" w:color="auto"/>
              <w:bottom w:val="single" w:sz="4" w:space="0" w:color="auto"/>
            </w:tcBorders>
            <w:vAlign w:val="bottom"/>
          </w:tcPr>
          <w:p w14:paraId="1DA50F10" w14:textId="77777777" w:rsidR="008139F7" w:rsidRPr="008139F7" w:rsidRDefault="008139F7" w:rsidP="008139F7">
            <w:pPr>
              <w:jc w:val="both"/>
              <w:rPr>
                <w:b/>
                <w:bCs/>
                <w:sz w:val="18"/>
                <w:szCs w:val="18"/>
                <w:lang w:val="en-GB"/>
              </w:rPr>
            </w:pPr>
            <w:r w:rsidRPr="008139F7">
              <w:rPr>
                <w:b/>
                <w:bCs/>
                <w:sz w:val="18"/>
                <w:szCs w:val="18"/>
                <w:lang w:val="en-GB"/>
              </w:rPr>
              <w:t>Resolution</w:t>
            </w:r>
          </w:p>
        </w:tc>
        <w:tc>
          <w:tcPr>
            <w:tcW w:w="709" w:type="dxa"/>
            <w:tcBorders>
              <w:top w:val="double" w:sz="4" w:space="0" w:color="auto"/>
              <w:bottom w:val="single" w:sz="4" w:space="0" w:color="auto"/>
            </w:tcBorders>
            <w:vAlign w:val="bottom"/>
          </w:tcPr>
          <w:p w14:paraId="603F8F6F" w14:textId="77777777" w:rsidR="008139F7" w:rsidRPr="008139F7" w:rsidRDefault="008139F7" w:rsidP="008139F7">
            <w:pPr>
              <w:jc w:val="both"/>
              <w:rPr>
                <w:b/>
                <w:bCs/>
                <w:sz w:val="18"/>
                <w:szCs w:val="18"/>
                <w:lang w:val="en-GB"/>
              </w:rPr>
            </w:pPr>
            <w:r w:rsidRPr="008139F7">
              <w:rPr>
                <w:b/>
                <w:bCs/>
                <w:sz w:val="18"/>
                <w:szCs w:val="18"/>
                <w:lang w:val="en-GB"/>
              </w:rPr>
              <w:t>Year</w:t>
            </w:r>
          </w:p>
        </w:tc>
        <w:tc>
          <w:tcPr>
            <w:tcW w:w="4394" w:type="dxa"/>
            <w:tcBorders>
              <w:top w:val="double" w:sz="4" w:space="0" w:color="auto"/>
              <w:bottom w:val="single" w:sz="4" w:space="0" w:color="auto"/>
            </w:tcBorders>
            <w:vAlign w:val="bottom"/>
          </w:tcPr>
          <w:p w14:paraId="016E7F21" w14:textId="77777777" w:rsidR="008139F7" w:rsidRPr="008139F7" w:rsidRDefault="008139F7" w:rsidP="008139F7">
            <w:pPr>
              <w:jc w:val="both"/>
              <w:rPr>
                <w:b/>
                <w:bCs/>
                <w:sz w:val="18"/>
                <w:szCs w:val="18"/>
                <w:lang w:val="en-GB"/>
              </w:rPr>
            </w:pPr>
            <w:r w:rsidRPr="008139F7">
              <w:rPr>
                <w:b/>
                <w:bCs/>
                <w:sz w:val="18"/>
                <w:szCs w:val="18"/>
                <w:lang w:val="en-GB"/>
              </w:rPr>
              <w:t>Question</w:t>
            </w:r>
          </w:p>
        </w:tc>
        <w:tc>
          <w:tcPr>
            <w:tcW w:w="1080" w:type="dxa"/>
            <w:tcBorders>
              <w:top w:val="double" w:sz="4" w:space="0" w:color="auto"/>
              <w:bottom w:val="single" w:sz="4" w:space="0" w:color="auto"/>
            </w:tcBorders>
          </w:tcPr>
          <w:p w14:paraId="070FB463" w14:textId="77777777" w:rsidR="008139F7" w:rsidRPr="008139F7" w:rsidRDefault="008139F7" w:rsidP="008139F7">
            <w:pPr>
              <w:jc w:val="both"/>
              <w:rPr>
                <w:b/>
                <w:bCs/>
                <w:sz w:val="18"/>
                <w:szCs w:val="18"/>
              </w:rPr>
            </w:pPr>
            <w:r w:rsidRPr="008139F7">
              <w:rPr>
                <w:b/>
                <w:bCs/>
                <w:sz w:val="18"/>
                <w:szCs w:val="18"/>
              </w:rPr>
              <w:t>Violator</w:t>
            </w:r>
          </w:p>
        </w:tc>
        <w:tc>
          <w:tcPr>
            <w:tcW w:w="1137" w:type="dxa"/>
            <w:tcBorders>
              <w:top w:val="double" w:sz="4" w:space="0" w:color="auto"/>
              <w:bottom w:val="single" w:sz="4" w:space="0" w:color="auto"/>
            </w:tcBorders>
            <w:vAlign w:val="bottom"/>
          </w:tcPr>
          <w:p w14:paraId="0087F191" w14:textId="77777777" w:rsidR="008139F7" w:rsidRPr="008139F7" w:rsidRDefault="008139F7" w:rsidP="008139F7">
            <w:pPr>
              <w:jc w:val="both"/>
              <w:rPr>
                <w:b/>
                <w:bCs/>
                <w:sz w:val="18"/>
                <w:szCs w:val="18"/>
                <w:lang w:val="en-GB"/>
              </w:rPr>
            </w:pPr>
            <w:r w:rsidRPr="008139F7">
              <w:rPr>
                <w:b/>
                <w:bCs/>
                <w:sz w:val="18"/>
                <w:szCs w:val="18"/>
                <w:lang w:val="en-GB"/>
              </w:rPr>
              <w:t>Defender</w:t>
            </w:r>
          </w:p>
        </w:tc>
      </w:tr>
      <w:tr w:rsidR="008139F7" w:rsidRPr="008139F7" w14:paraId="163DDFAB" w14:textId="77777777" w:rsidTr="008139F7">
        <w:tc>
          <w:tcPr>
            <w:tcW w:w="1696" w:type="dxa"/>
            <w:tcBorders>
              <w:top w:val="single" w:sz="4" w:space="0" w:color="auto"/>
            </w:tcBorders>
          </w:tcPr>
          <w:p w14:paraId="2A0363BC" w14:textId="77777777" w:rsidR="008139F7" w:rsidRPr="008139F7" w:rsidRDefault="008139F7" w:rsidP="008139F7">
            <w:pPr>
              <w:jc w:val="both"/>
              <w:rPr>
                <w:sz w:val="18"/>
                <w:szCs w:val="18"/>
                <w:lang w:val="en-GB"/>
              </w:rPr>
            </w:pPr>
            <w:r w:rsidRPr="008139F7">
              <w:rPr>
                <w:sz w:val="18"/>
                <w:szCs w:val="18"/>
              </w:rPr>
              <w:t>Resolution 109</w:t>
            </w:r>
          </w:p>
        </w:tc>
        <w:tc>
          <w:tcPr>
            <w:tcW w:w="709" w:type="dxa"/>
            <w:tcBorders>
              <w:top w:val="single" w:sz="4" w:space="0" w:color="auto"/>
            </w:tcBorders>
          </w:tcPr>
          <w:p w14:paraId="5F15EBC0" w14:textId="77777777" w:rsidR="008139F7" w:rsidRPr="008139F7" w:rsidRDefault="008139F7" w:rsidP="008139F7">
            <w:pPr>
              <w:jc w:val="both"/>
              <w:rPr>
                <w:sz w:val="18"/>
                <w:szCs w:val="18"/>
                <w:lang w:val="en-GB"/>
              </w:rPr>
            </w:pPr>
            <w:r w:rsidRPr="008139F7">
              <w:rPr>
                <w:sz w:val="18"/>
                <w:szCs w:val="18"/>
              </w:rPr>
              <w:t>1947</w:t>
            </w:r>
          </w:p>
        </w:tc>
        <w:tc>
          <w:tcPr>
            <w:tcW w:w="4394" w:type="dxa"/>
            <w:tcBorders>
              <w:top w:val="single" w:sz="4" w:space="0" w:color="auto"/>
            </w:tcBorders>
          </w:tcPr>
          <w:p w14:paraId="67021763" w14:textId="77777777" w:rsidR="008139F7" w:rsidRPr="008139F7" w:rsidRDefault="008139F7" w:rsidP="008139F7">
            <w:pPr>
              <w:jc w:val="both"/>
              <w:rPr>
                <w:sz w:val="18"/>
                <w:szCs w:val="18"/>
                <w:lang w:val="en-GB"/>
              </w:rPr>
            </w:pPr>
            <w:r w:rsidRPr="008139F7">
              <w:rPr>
                <w:sz w:val="18"/>
                <w:szCs w:val="18"/>
              </w:rPr>
              <w:t>Threats to the political independence and territorial integrity of Greece</w:t>
            </w:r>
          </w:p>
        </w:tc>
        <w:tc>
          <w:tcPr>
            <w:tcW w:w="1080" w:type="dxa"/>
            <w:tcBorders>
              <w:top w:val="single" w:sz="4" w:space="0" w:color="auto"/>
            </w:tcBorders>
          </w:tcPr>
          <w:p w14:paraId="56482DB8" w14:textId="77777777" w:rsidR="008139F7" w:rsidRPr="008139F7" w:rsidRDefault="008139F7" w:rsidP="008139F7">
            <w:pPr>
              <w:jc w:val="both"/>
              <w:rPr>
                <w:sz w:val="18"/>
                <w:szCs w:val="18"/>
              </w:rPr>
            </w:pPr>
            <w:r w:rsidRPr="008139F7">
              <w:rPr>
                <w:sz w:val="18"/>
                <w:szCs w:val="18"/>
              </w:rPr>
              <w:t>Turkey</w:t>
            </w:r>
          </w:p>
        </w:tc>
        <w:tc>
          <w:tcPr>
            <w:tcW w:w="1137" w:type="dxa"/>
            <w:tcBorders>
              <w:top w:val="single" w:sz="4" w:space="0" w:color="auto"/>
            </w:tcBorders>
          </w:tcPr>
          <w:p w14:paraId="2A0ED63E" w14:textId="77777777" w:rsidR="008139F7" w:rsidRPr="008139F7" w:rsidRDefault="008139F7" w:rsidP="008139F7">
            <w:pPr>
              <w:jc w:val="both"/>
              <w:rPr>
                <w:sz w:val="18"/>
                <w:szCs w:val="18"/>
                <w:lang w:val="en-GB"/>
              </w:rPr>
            </w:pPr>
            <w:r w:rsidRPr="008139F7">
              <w:rPr>
                <w:sz w:val="18"/>
                <w:szCs w:val="18"/>
              </w:rPr>
              <w:t>Greece</w:t>
            </w:r>
          </w:p>
        </w:tc>
      </w:tr>
      <w:tr w:rsidR="008139F7" w:rsidRPr="008139F7" w14:paraId="072FADEC" w14:textId="77777777" w:rsidTr="008139F7">
        <w:tc>
          <w:tcPr>
            <w:tcW w:w="1696" w:type="dxa"/>
          </w:tcPr>
          <w:p w14:paraId="5EBA601C" w14:textId="77777777" w:rsidR="008139F7" w:rsidRPr="008139F7" w:rsidRDefault="008139F7" w:rsidP="008139F7">
            <w:pPr>
              <w:jc w:val="both"/>
              <w:rPr>
                <w:sz w:val="18"/>
                <w:szCs w:val="18"/>
                <w:lang w:val="en-GB"/>
              </w:rPr>
            </w:pPr>
            <w:r w:rsidRPr="008139F7">
              <w:rPr>
                <w:sz w:val="18"/>
                <w:szCs w:val="18"/>
              </w:rPr>
              <w:t>Resolution 289</w:t>
            </w:r>
          </w:p>
        </w:tc>
        <w:tc>
          <w:tcPr>
            <w:tcW w:w="709" w:type="dxa"/>
          </w:tcPr>
          <w:p w14:paraId="2F060CD5" w14:textId="77777777" w:rsidR="008139F7" w:rsidRPr="008139F7" w:rsidRDefault="008139F7" w:rsidP="008139F7">
            <w:pPr>
              <w:jc w:val="both"/>
              <w:rPr>
                <w:sz w:val="18"/>
                <w:szCs w:val="18"/>
                <w:lang w:val="en-GB"/>
              </w:rPr>
            </w:pPr>
            <w:r w:rsidRPr="008139F7">
              <w:rPr>
                <w:sz w:val="18"/>
                <w:szCs w:val="18"/>
              </w:rPr>
              <w:t>1949</w:t>
            </w:r>
          </w:p>
        </w:tc>
        <w:tc>
          <w:tcPr>
            <w:tcW w:w="4394" w:type="dxa"/>
          </w:tcPr>
          <w:p w14:paraId="1627081F" w14:textId="77777777" w:rsidR="008139F7" w:rsidRPr="008139F7" w:rsidRDefault="008139F7" w:rsidP="008139F7">
            <w:pPr>
              <w:jc w:val="both"/>
              <w:rPr>
                <w:sz w:val="18"/>
                <w:szCs w:val="18"/>
                <w:lang w:val="en-GB"/>
              </w:rPr>
            </w:pPr>
            <w:r w:rsidRPr="008139F7">
              <w:rPr>
                <w:sz w:val="18"/>
                <w:szCs w:val="18"/>
              </w:rPr>
              <w:t>On the Question of the disposal of the former Italian colonies: recommending that Libya should be independent not later than January 1, 1952</w:t>
            </w:r>
          </w:p>
        </w:tc>
        <w:tc>
          <w:tcPr>
            <w:tcW w:w="1080" w:type="dxa"/>
          </w:tcPr>
          <w:p w14:paraId="726F3E56" w14:textId="77777777" w:rsidR="008139F7" w:rsidRPr="008139F7" w:rsidRDefault="008139F7" w:rsidP="008139F7">
            <w:pPr>
              <w:jc w:val="both"/>
              <w:rPr>
                <w:sz w:val="18"/>
                <w:szCs w:val="18"/>
              </w:rPr>
            </w:pPr>
            <w:r w:rsidRPr="008139F7">
              <w:rPr>
                <w:sz w:val="18"/>
                <w:szCs w:val="18"/>
              </w:rPr>
              <w:t>Italy</w:t>
            </w:r>
          </w:p>
        </w:tc>
        <w:tc>
          <w:tcPr>
            <w:tcW w:w="1137" w:type="dxa"/>
          </w:tcPr>
          <w:p w14:paraId="30B76879" w14:textId="77777777" w:rsidR="008139F7" w:rsidRPr="008139F7" w:rsidRDefault="008139F7" w:rsidP="008139F7">
            <w:pPr>
              <w:jc w:val="both"/>
              <w:rPr>
                <w:sz w:val="18"/>
                <w:szCs w:val="18"/>
                <w:lang w:val="en-GB"/>
              </w:rPr>
            </w:pPr>
            <w:r w:rsidRPr="008139F7">
              <w:rPr>
                <w:sz w:val="18"/>
                <w:szCs w:val="18"/>
              </w:rPr>
              <w:t>Lybia</w:t>
            </w:r>
          </w:p>
        </w:tc>
      </w:tr>
      <w:tr w:rsidR="008139F7" w:rsidRPr="008139F7" w14:paraId="13E699F1" w14:textId="77777777" w:rsidTr="008139F7">
        <w:tc>
          <w:tcPr>
            <w:tcW w:w="1696" w:type="dxa"/>
          </w:tcPr>
          <w:p w14:paraId="4B2FE08B" w14:textId="77777777" w:rsidR="008139F7" w:rsidRPr="008139F7" w:rsidRDefault="008139F7" w:rsidP="008139F7">
            <w:pPr>
              <w:jc w:val="both"/>
              <w:rPr>
                <w:sz w:val="18"/>
                <w:szCs w:val="18"/>
                <w:lang w:val="en-GB"/>
              </w:rPr>
            </w:pPr>
            <w:r w:rsidRPr="008139F7">
              <w:rPr>
                <w:sz w:val="18"/>
                <w:szCs w:val="18"/>
              </w:rPr>
              <w:t>Resolution 498</w:t>
            </w:r>
          </w:p>
        </w:tc>
        <w:tc>
          <w:tcPr>
            <w:tcW w:w="709" w:type="dxa"/>
          </w:tcPr>
          <w:p w14:paraId="06C61BFA" w14:textId="77777777" w:rsidR="008139F7" w:rsidRPr="008139F7" w:rsidRDefault="008139F7" w:rsidP="008139F7">
            <w:pPr>
              <w:jc w:val="both"/>
              <w:rPr>
                <w:sz w:val="18"/>
                <w:szCs w:val="18"/>
                <w:lang w:val="en-GB"/>
              </w:rPr>
            </w:pPr>
            <w:r w:rsidRPr="008139F7">
              <w:rPr>
                <w:sz w:val="18"/>
                <w:szCs w:val="18"/>
              </w:rPr>
              <w:t>1951</w:t>
            </w:r>
          </w:p>
        </w:tc>
        <w:tc>
          <w:tcPr>
            <w:tcW w:w="4394" w:type="dxa"/>
          </w:tcPr>
          <w:p w14:paraId="792BF360" w14:textId="77777777" w:rsidR="008139F7" w:rsidRPr="008139F7" w:rsidRDefault="008139F7" w:rsidP="008139F7">
            <w:pPr>
              <w:jc w:val="both"/>
              <w:rPr>
                <w:sz w:val="18"/>
                <w:szCs w:val="18"/>
                <w:lang w:val="en-GB"/>
              </w:rPr>
            </w:pPr>
            <w:r w:rsidRPr="008139F7">
              <w:rPr>
                <w:sz w:val="18"/>
                <w:szCs w:val="18"/>
              </w:rPr>
              <w:t>China to cease all hostilities on the Korean peninsula, its armed forces continue invasion of Korea &amp; large-scale attacks upon UN forces</w:t>
            </w:r>
          </w:p>
        </w:tc>
        <w:tc>
          <w:tcPr>
            <w:tcW w:w="1080" w:type="dxa"/>
          </w:tcPr>
          <w:p w14:paraId="26249480" w14:textId="77777777" w:rsidR="008139F7" w:rsidRPr="008139F7" w:rsidRDefault="008139F7" w:rsidP="008139F7">
            <w:pPr>
              <w:jc w:val="both"/>
              <w:rPr>
                <w:sz w:val="18"/>
                <w:szCs w:val="18"/>
              </w:rPr>
            </w:pPr>
            <w:r w:rsidRPr="008139F7">
              <w:rPr>
                <w:sz w:val="18"/>
                <w:szCs w:val="18"/>
              </w:rPr>
              <w:t>China</w:t>
            </w:r>
          </w:p>
        </w:tc>
        <w:tc>
          <w:tcPr>
            <w:tcW w:w="1137" w:type="dxa"/>
          </w:tcPr>
          <w:p w14:paraId="6461B842" w14:textId="77777777" w:rsidR="008139F7" w:rsidRPr="008139F7" w:rsidRDefault="008139F7" w:rsidP="008139F7">
            <w:pPr>
              <w:jc w:val="both"/>
              <w:rPr>
                <w:sz w:val="18"/>
                <w:szCs w:val="18"/>
                <w:lang w:val="en-GB"/>
              </w:rPr>
            </w:pPr>
            <w:r w:rsidRPr="008139F7">
              <w:rPr>
                <w:sz w:val="18"/>
                <w:szCs w:val="18"/>
              </w:rPr>
              <w:t>S. Korea</w:t>
            </w:r>
          </w:p>
        </w:tc>
      </w:tr>
      <w:tr w:rsidR="008139F7" w:rsidRPr="008139F7" w14:paraId="4A1BC227" w14:textId="77777777" w:rsidTr="008139F7">
        <w:tc>
          <w:tcPr>
            <w:tcW w:w="1696" w:type="dxa"/>
          </w:tcPr>
          <w:p w14:paraId="10AC5D7D" w14:textId="77777777" w:rsidR="008139F7" w:rsidRPr="008139F7" w:rsidRDefault="008139F7" w:rsidP="008139F7">
            <w:pPr>
              <w:jc w:val="both"/>
              <w:rPr>
                <w:sz w:val="18"/>
                <w:szCs w:val="18"/>
                <w:lang w:val="en-GB"/>
              </w:rPr>
            </w:pPr>
            <w:r w:rsidRPr="008139F7">
              <w:rPr>
                <w:sz w:val="18"/>
                <w:szCs w:val="18"/>
              </w:rPr>
              <w:t>Resolution 500</w:t>
            </w:r>
          </w:p>
        </w:tc>
        <w:tc>
          <w:tcPr>
            <w:tcW w:w="709" w:type="dxa"/>
          </w:tcPr>
          <w:p w14:paraId="3F8B3AF5" w14:textId="77777777" w:rsidR="008139F7" w:rsidRPr="008139F7" w:rsidRDefault="008139F7" w:rsidP="008139F7">
            <w:pPr>
              <w:jc w:val="both"/>
              <w:rPr>
                <w:sz w:val="18"/>
                <w:szCs w:val="18"/>
                <w:lang w:val="en-GB"/>
              </w:rPr>
            </w:pPr>
            <w:r w:rsidRPr="008139F7">
              <w:rPr>
                <w:sz w:val="18"/>
                <w:szCs w:val="18"/>
              </w:rPr>
              <w:t>1951</w:t>
            </w:r>
          </w:p>
        </w:tc>
        <w:tc>
          <w:tcPr>
            <w:tcW w:w="4394" w:type="dxa"/>
          </w:tcPr>
          <w:p w14:paraId="5B61ABD5" w14:textId="77777777" w:rsidR="008139F7" w:rsidRPr="008139F7" w:rsidRDefault="008139F7" w:rsidP="008139F7">
            <w:pPr>
              <w:jc w:val="both"/>
              <w:rPr>
                <w:sz w:val="18"/>
                <w:szCs w:val="18"/>
                <w:lang w:val="en-GB"/>
              </w:rPr>
            </w:pPr>
            <w:r w:rsidRPr="008139F7">
              <w:rPr>
                <w:sz w:val="18"/>
                <w:szCs w:val="18"/>
              </w:rPr>
              <w:t>general trade embargo against People's Republic of China and North Korea for their aggression in Korea</w:t>
            </w:r>
          </w:p>
        </w:tc>
        <w:tc>
          <w:tcPr>
            <w:tcW w:w="1080" w:type="dxa"/>
          </w:tcPr>
          <w:p w14:paraId="4D09FA9F" w14:textId="77777777" w:rsidR="008139F7" w:rsidRPr="008139F7" w:rsidRDefault="008139F7" w:rsidP="008139F7">
            <w:pPr>
              <w:jc w:val="both"/>
              <w:rPr>
                <w:sz w:val="18"/>
                <w:szCs w:val="18"/>
              </w:rPr>
            </w:pPr>
            <w:r w:rsidRPr="008139F7">
              <w:rPr>
                <w:sz w:val="18"/>
                <w:szCs w:val="18"/>
              </w:rPr>
              <w:t>China &amp; N Korea</w:t>
            </w:r>
          </w:p>
        </w:tc>
        <w:tc>
          <w:tcPr>
            <w:tcW w:w="1137" w:type="dxa"/>
          </w:tcPr>
          <w:p w14:paraId="12E0835A" w14:textId="77777777" w:rsidR="008139F7" w:rsidRPr="008139F7" w:rsidRDefault="008139F7" w:rsidP="008139F7">
            <w:pPr>
              <w:jc w:val="both"/>
              <w:rPr>
                <w:sz w:val="18"/>
                <w:szCs w:val="18"/>
                <w:lang w:val="en-GB"/>
              </w:rPr>
            </w:pPr>
            <w:r w:rsidRPr="008139F7">
              <w:rPr>
                <w:sz w:val="18"/>
                <w:szCs w:val="18"/>
              </w:rPr>
              <w:t>S. Korea</w:t>
            </w:r>
          </w:p>
        </w:tc>
      </w:tr>
      <w:tr w:rsidR="008139F7" w:rsidRPr="008139F7" w14:paraId="4DCAF131" w14:textId="77777777" w:rsidTr="008139F7">
        <w:tc>
          <w:tcPr>
            <w:tcW w:w="1696" w:type="dxa"/>
          </w:tcPr>
          <w:p w14:paraId="25F41D53" w14:textId="77777777" w:rsidR="008139F7" w:rsidRPr="008139F7" w:rsidRDefault="008139F7" w:rsidP="008139F7">
            <w:pPr>
              <w:jc w:val="both"/>
              <w:rPr>
                <w:sz w:val="18"/>
                <w:szCs w:val="18"/>
                <w:lang w:val="en-GB"/>
              </w:rPr>
            </w:pPr>
            <w:r w:rsidRPr="008139F7">
              <w:rPr>
                <w:sz w:val="18"/>
                <w:szCs w:val="18"/>
              </w:rPr>
              <w:t>Resolution 498</w:t>
            </w:r>
          </w:p>
        </w:tc>
        <w:tc>
          <w:tcPr>
            <w:tcW w:w="709" w:type="dxa"/>
          </w:tcPr>
          <w:p w14:paraId="2115B3C0" w14:textId="77777777" w:rsidR="008139F7" w:rsidRPr="008139F7" w:rsidRDefault="008139F7" w:rsidP="008139F7">
            <w:pPr>
              <w:jc w:val="both"/>
              <w:rPr>
                <w:sz w:val="18"/>
                <w:szCs w:val="18"/>
                <w:lang w:val="en-GB"/>
              </w:rPr>
            </w:pPr>
            <w:r w:rsidRPr="008139F7">
              <w:rPr>
                <w:sz w:val="18"/>
                <w:szCs w:val="18"/>
              </w:rPr>
              <w:t>1951</w:t>
            </w:r>
          </w:p>
        </w:tc>
        <w:tc>
          <w:tcPr>
            <w:tcW w:w="4394" w:type="dxa"/>
          </w:tcPr>
          <w:p w14:paraId="589D81DF" w14:textId="018423D0" w:rsidR="008139F7" w:rsidRPr="008139F7" w:rsidRDefault="005F7D68" w:rsidP="008139F7">
            <w:pPr>
              <w:jc w:val="both"/>
              <w:rPr>
                <w:sz w:val="18"/>
                <w:szCs w:val="18"/>
                <w:lang w:val="en-GB"/>
              </w:rPr>
            </w:pPr>
            <w:r>
              <w:rPr>
                <w:sz w:val="18"/>
                <w:szCs w:val="18"/>
              </w:rPr>
              <w:t>R</w:t>
            </w:r>
            <w:r w:rsidR="008139F7" w:rsidRPr="008139F7">
              <w:rPr>
                <w:sz w:val="18"/>
                <w:szCs w:val="18"/>
              </w:rPr>
              <w:t>esponse to the intervention of Chinese Communist troops in Korean War</w:t>
            </w:r>
          </w:p>
        </w:tc>
        <w:tc>
          <w:tcPr>
            <w:tcW w:w="1080" w:type="dxa"/>
          </w:tcPr>
          <w:p w14:paraId="2D8C3FE6" w14:textId="77777777" w:rsidR="008139F7" w:rsidRPr="008139F7" w:rsidRDefault="008139F7" w:rsidP="008139F7">
            <w:pPr>
              <w:jc w:val="both"/>
              <w:rPr>
                <w:sz w:val="18"/>
                <w:szCs w:val="18"/>
              </w:rPr>
            </w:pPr>
            <w:r w:rsidRPr="008139F7">
              <w:rPr>
                <w:sz w:val="18"/>
                <w:szCs w:val="18"/>
              </w:rPr>
              <w:t>N Korea</w:t>
            </w:r>
          </w:p>
        </w:tc>
        <w:tc>
          <w:tcPr>
            <w:tcW w:w="1137" w:type="dxa"/>
          </w:tcPr>
          <w:p w14:paraId="787C2601" w14:textId="77777777" w:rsidR="008139F7" w:rsidRPr="008139F7" w:rsidRDefault="008139F7" w:rsidP="008139F7">
            <w:pPr>
              <w:jc w:val="both"/>
              <w:rPr>
                <w:sz w:val="18"/>
                <w:szCs w:val="18"/>
                <w:lang w:val="en-GB"/>
              </w:rPr>
            </w:pPr>
            <w:r w:rsidRPr="008139F7">
              <w:rPr>
                <w:sz w:val="18"/>
                <w:szCs w:val="18"/>
              </w:rPr>
              <w:t>S. Korea</w:t>
            </w:r>
          </w:p>
        </w:tc>
      </w:tr>
      <w:tr w:rsidR="008139F7" w:rsidRPr="008139F7" w14:paraId="3B6F19AD" w14:textId="77777777" w:rsidTr="008139F7">
        <w:tc>
          <w:tcPr>
            <w:tcW w:w="1696" w:type="dxa"/>
          </w:tcPr>
          <w:p w14:paraId="7D93D650" w14:textId="77777777" w:rsidR="008139F7" w:rsidRPr="008139F7" w:rsidRDefault="008139F7" w:rsidP="008139F7">
            <w:pPr>
              <w:jc w:val="both"/>
              <w:rPr>
                <w:sz w:val="18"/>
                <w:szCs w:val="18"/>
                <w:lang w:val="en-GB"/>
              </w:rPr>
            </w:pPr>
            <w:r w:rsidRPr="008139F7">
              <w:rPr>
                <w:sz w:val="18"/>
                <w:szCs w:val="18"/>
              </w:rPr>
              <w:t>Resolution 505</w:t>
            </w:r>
          </w:p>
        </w:tc>
        <w:tc>
          <w:tcPr>
            <w:tcW w:w="709" w:type="dxa"/>
          </w:tcPr>
          <w:p w14:paraId="2B91C262" w14:textId="77777777" w:rsidR="008139F7" w:rsidRPr="008139F7" w:rsidRDefault="008139F7" w:rsidP="008139F7">
            <w:pPr>
              <w:jc w:val="both"/>
              <w:rPr>
                <w:sz w:val="18"/>
                <w:szCs w:val="18"/>
                <w:lang w:val="en-GB"/>
              </w:rPr>
            </w:pPr>
            <w:r w:rsidRPr="008139F7">
              <w:rPr>
                <w:sz w:val="18"/>
                <w:szCs w:val="18"/>
              </w:rPr>
              <w:t>1952</w:t>
            </w:r>
          </w:p>
        </w:tc>
        <w:tc>
          <w:tcPr>
            <w:tcW w:w="4394" w:type="dxa"/>
          </w:tcPr>
          <w:p w14:paraId="11DB053E" w14:textId="77777777" w:rsidR="008139F7" w:rsidRPr="008139F7" w:rsidRDefault="008139F7" w:rsidP="008139F7">
            <w:pPr>
              <w:jc w:val="both"/>
              <w:rPr>
                <w:sz w:val="18"/>
                <w:szCs w:val="18"/>
                <w:lang w:val="en-GB"/>
              </w:rPr>
            </w:pPr>
            <w:r w:rsidRPr="008139F7">
              <w:rPr>
                <w:sz w:val="18"/>
                <w:szCs w:val="18"/>
              </w:rPr>
              <w:t xml:space="preserve">Threats to the political independence and territorial integrity of China </w:t>
            </w:r>
          </w:p>
        </w:tc>
        <w:tc>
          <w:tcPr>
            <w:tcW w:w="1080" w:type="dxa"/>
          </w:tcPr>
          <w:p w14:paraId="1A64D49F" w14:textId="77777777" w:rsidR="008139F7" w:rsidRPr="008139F7" w:rsidRDefault="008139F7" w:rsidP="008139F7">
            <w:pPr>
              <w:jc w:val="both"/>
              <w:rPr>
                <w:sz w:val="18"/>
                <w:szCs w:val="18"/>
              </w:rPr>
            </w:pPr>
            <w:r w:rsidRPr="008139F7">
              <w:rPr>
                <w:sz w:val="18"/>
                <w:szCs w:val="18"/>
              </w:rPr>
              <w:t>Soviet Union</w:t>
            </w:r>
          </w:p>
        </w:tc>
        <w:tc>
          <w:tcPr>
            <w:tcW w:w="1137" w:type="dxa"/>
          </w:tcPr>
          <w:p w14:paraId="293D9AF9" w14:textId="77777777" w:rsidR="008139F7" w:rsidRPr="008139F7" w:rsidRDefault="008139F7" w:rsidP="008139F7">
            <w:pPr>
              <w:jc w:val="both"/>
              <w:rPr>
                <w:sz w:val="18"/>
                <w:szCs w:val="18"/>
                <w:lang w:val="en-GB"/>
              </w:rPr>
            </w:pPr>
            <w:r w:rsidRPr="008139F7">
              <w:rPr>
                <w:sz w:val="18"/>
                <w:szCs w:val="18"/>
              </w:rPr>
              <w:t>China</w:t>
            </w:r>
          </w:p>
        </w:tc>
      </w:tr>
      <w:tr w:rsidR="008139F7" w:rsidRPr="008139F7" w14:paraId="30504643" w14:textId="77777777" w:rsidTr="008139F7">
        <w:tc>
          <w:tcPr>
            <w:tcW w:w="1696" w:type="dxa"/>
          </w:tcPr>
          <w:p w14:paraId="3038C5CF" w14:textId="77777777" w:rsidR="008139F7" w:rsidRPr="008139F7" w:rsidRDefault="008139F7" w:rsidP="008139F7">
            <w:pPr>
              <w:jc w:val="both"/>
              <w:rPr>
                <w:sz w:val="18"/>
                <w:szCs w:val="18"/>
                <w:lang w:val="en-GB"/>
              </w:rPr>
            </w:pPr>
            <w:r w:rsidRPr="008139F7">
              <w:rPr>
                <w:sz w:val="18"/>
                <w:szCs w:val="18"/>
              </w:rPr>
              <w:t>Resolution A/RES/616(VII)[B]</w:t>
            </w:r>
          </w:p>
        </w:tc>
        <w:tc>
          <w:tcPr>
            <w:tcW w:w="709" w:type="dxa"/>
          </w:tcPr>
          <w:p w14:paraId="0D096660" w14:textId="77777777" w:rsidR="008139F7" w:rsidRPr="008139F7" w:rsidRDefault="008139F7" w:rsidP="008139F7">
            <w:pPr>
              <w:jc w:val="both"/>
              <w:rPr>
                <w:sz w:val="18"/>
                <w:szCs w:val="18"/>
                <w:lang w:val="en-GB"/>
              </w:rPr>
            </w:pPr>
            <w:r w:rsidRPr="008139F7">
              <w:rPr>
                <w:sz w:val="18"/>
                <w:szCs w:val="18"/>
              </w:rPr>
              <w:t>1952</w:t>
            </w:r>
          </w:p>
        </w:tc>
        <w:tc>
          <w:tcPr>
            <w:tcW w:w="4394" w:type="dxa"/>
          </w:tcPr>
          <w:p w14:paraId="3CA931FD" w14:textId="77777777" w:rsidR="008139F7" w:rsidRPr="008139F7" w:rsidRDefault="008139F7" w:rsidP="008139F7">
            <w:pPr>
              <w:jc w:val="both"/>
              <w:rPr>
                <w:sz w:val="18"/>
                <w:szCs w:val="18"/>
                <w:lang w:val="en-GB"/>
              </w:rPr>
            </w:pPr>
            <w:r w:rsidRPr="008139F7">
              <w:rPr>
                <w:sz w:val="18"/>
                <w:szCs w:val="18"/>
              </w:rPr>
              <w:t xml:space="preserve">The question of race conflict in South Africa resulting from the policies of apartheid of the Government of the Union of South Africa </w:t>
            </w:r>
          </w:p>
        </w:tc>
        <w:tc>
          <w:tcPr>
            <w:tcW w:w="1080" w:type="dxa"/>
          </w:tcPr>
          <w:p w14:paraId="41EF8AD4" w14:textId="77777777" w:rsidR="008139F7" w:rsidRPr="008139F7" w:rsidRDefault="008139F7" w:rsidP="008139F7">
            <w:pPr>
              <w:jc w:val="both"/>
              <w:rPr>
                <w:sz w:val="18"/>
                <w:szCs w:val="18"/>
              </w:rPr>
            </w:pPr>
            <w:r w:rsidRPr="008139F7">
              <w:rPr>
                <w:sz w:val="18"/>
                <w:szCs w:val="18"/>
              </w:rPr>
              <w:t>South Africa</w:t>
            </w:r>
          </w:p>
        </w:tc>
        <w:tc>
          <w:tcPr>
            <w:tcW w:w="1137" w:type="dxa"/>
          </w:tcPr>
          <w:p w14:paraId="1DADD1A4" w14:textId="77777777" w:rsidR="008139F7" w:rsidRPr="008139F7" w:rsidRDefault="008139F7" w:rsidP="008139F7">
            <w:pPr>
              <w:jc w:val="both"/>
              <w:rPr>
                <w:sz w:val="18"/>
                <w:szCs w:val="18"/>
                <w:lang w:val="en-GB"/>
              </w:rPr>
            </w:pPr>
            <w:r w:rsidRPr="008139F7">
              <w:rPr>
                <w:sz w:val="18"/>
                <w:szCs w:val="18"/>
              </w:rPr>
              <w:t>black population</w:t>
            </w:r>
          </w:p>
        </w:tc>
      </w:tr>
      <w:tr w:rsidR="008139F7" w:rsidRPr="008139F7" w14:paraId="15EBE339" w14:textId="77777777" w:rsidTr="008139F7">
        <w:tc>
          <w:tcPr>
            <w:tcW w:w="1696" w:type="dxa"/>
          </w:tcPr>
          <w:p w14:paraId="12A44F56" w14:textId="77777777" w:rsidR="008139F7" w:rsidRPr="008139F7" w:rsidRDefault="008139F7" w:rsidP="008139F7">
            <w:pPr>
              <w:jc w:val="both"/>
              <w:rPr>
                <w:sz w:val="18"/>
                <w:szCs w:val="18"/>
                <w:lang w:val="en-GB"/>
              </w:rPr>
            </w:pPr>
            <w:r w:rsidRPr="008139F7">
              <w:rPr>
                <w:sz w:val="18"/>
                <w:szCs w:val="18"/>
              </w:rPr>
              <w:t>Resolution A/RES/721(VIII)</w:t>
            </w:r>
          </w:p>
        </w:tc>
        <w:tc>
          <w:tcPr>
            <w:tcW w:w="709" w:type="dxa"/>
          </w:tcPr>
          <w:p w14:paraId="4484454C" w14:textId="77777777" w:rsidR="008139F7" w:rsidRPr="008139F7" w:rsidRDefault="008139F7" w:rsidP="008139F7">
            <w:pPr>
              <w:jc w:val="both"/>
              <w:rPr>
                <w:sz w:val="18"/>
                <w:szCs w:val="18"/>
                <w:lang w:val="en-GB"/>
              </w:rPr>
            </w:pPr>
            <w:r w:rsidRPr="008139F7">
              <w:rPr>
                <w:sz w:val="18"/>
                <w:szCs w:val="18"/>
              </w:rPr>
              <w:t>1953</w:t>
            </w:r>
          </w:p>
        </w:tc>
        <w:tc>
          <w:tcPr>
            <w:tcW w:w="4394" w:type="dxa"/>
          </w:tcPr>
          <w:p w14:paraId="21635126" w14:textId="77777777" w:rsidR="008139F7" w:rsidRPr="008139F7" w:rsidRDefault="008139F7" w:rsidP="008139F7">
            <w:pPr>
              <w:jc w:val="both"/>
              <w:rPr>
                <w:sz w:val="18"/>
                <w:szCs w:val="18"/>
                <w:lang w:val="en-GB"/>
              </w:rPr>
            </w:pPr>
            <w:r w:rsidRPr="008139F7">
              <w:rPr>
                <w:sz w:val="18"/>
                <w:szCs w:val="18"/>
              </w:rPr>
              <w:t>The question of race conflict in South Africa resulting from the policies of apartheid of the Government of the Union of South Africa</w:t>
            </w:r>
          </w:p>
        </w:tc>
        <w:tc>
          <w:tcPr>
            <w:tcW w:w="1080" w:type="dxa"/>
          </w:tcPr>
          <w:p w14:paraId="7A2CDECA" w14:textId="77777777" w:rsidR="008139F7" w:rsidRPr="008139F7" w:rsidRDefault="008139F7" w:rsidP="008139F7">
            <w:pPr>
              <w:jc w:val="both"/>
              <w:rPr>
                <w:sz w:val="18"/>
                <w:szCs w:val="18"/>
              </w:rPr>
            </w:pPr>
            <w:r w:rsidRPr="008139F7">
              <w:rPr>
                <w:sz w:val="18"/>
                <w:szCs w:val="18"/>
              </w:rPr>
              <w:t>South Africa</w:t>
            </w:r>
          </w:p>
        </w:tc>
        <w:tc>
          <w:tcPr>
            <w:tcW w:w="1137" w:type="dxa"/>
          </w:tcPr>
          <w:p w14:paraId="266BF03C" w14:textId="77777777" w:rsidR="008139F7" w:rsidRPr="008139F7" w:rsidRDefault="008139F7" w:rsidP="008139F7">
            <w:pPr>
              <w:jc w:val="both"/>
              <w:rPr>
                <w:sz w:val="18"/>
                <w:szCs w:val="18"/>
                <w:lang w:val="en-GB"/>
              </w:rPr>
            </w:pPr>
            <w:r w:rsidRPr="008139F7">
              <w:rPr>
                <w:sz w:val="18"/>
                <w:szCs w:val="18"/>
              </w:rPr>
              <w:t>black population</w:t>
            </w:r>
          </w:p>
        </w:tc>
      </w:tr>
      <w:tr w:rsidR="008139F7" w:rsidRPr="008139F7" w14:paraId="485E6C19" w14:textId="77777777" w:rsidTr="008139F7">
        <w:tc>
          <w:tcPr>
            <w:tcW w:w="1696" w:type="dxa"/>
          </w:tcPr>
          <w:p w14:paraId="1578C8BE" w14:textId="77777777" w:rsidR="008139F7" w:rsidRPr="008139F7" w:rsidRDefault="008139F7" w:rsidP="008139F7">
            <w:pPr>
              <w:jc w:val="both"/>
              <w:rPr>
                <w:sz w:val="18"/>
                <w:szCs w:val="18"/>
                <w:lang w:val="en-GB"/>
              </w:rPr>
            </w:pPr>
            <w:r w:rsidRPr="008139F7">
              <w:rPr>
                <w:sz w:val="18"/>
                <w:szCs w:val="18"/>
              </w:rPr>
              <w:lastRenderedPageBreak/>
              <w:t>Resolution 804</w:t>
            </w:r>
          </w:p>
        </w:tc>
        <w:tc>
          <w:tcPr>
            <w:tcW w:w="709" w:type="dxa"/>
          </w:tcPr>
          <w:p w14:paraId="55B9DBFE" w14:textId="77777777" w:rsidR="008139F7" w:rsidRPr="008139F7" w:rsidRDefault="008139F7" w:rsidP="008139F7">
            <w:pPr>
              <w:jc w:val="both"/>
              <w:rPr>
                <w:sz w:val="18"/>
                <w:szCs w:val="18"/>
                <w:lang w:val="en-GB"/>
              </w:rPr>
            </w:pPr>
            <w:r w:rsidRPr="008139F7">
              <w:rPr>
                <w:sz w:val="18"/>
                <w:szCs w:val="18"/>
              </w:rPr>
              <w:t>1953</w:t>
            </w:r>
          </w:p>
        </w:tc>
        <w:tc>
          <w:tcPr>
            <w:tcW w:w="4394" w:type="dxa"/>
          </w:tcPr>
          <w:p w14:paraId="5639773D" w14:textId="77777777" w:rsidR="008139F7" w:rsidRPr="008139F7" w:rsidRDefault="008139F7" w:rsidP="008139F7">
            <w:pPr>
              <w:jc w:val="both"/>
              <w:rPr>
                <w:sz w:val="18"/>
                <w:szCs w:val="18"/>
                <w:lang w:val="en-GB"/>
              </w:rPr>
            </w:pPr>
            <w:r w:rsidRPr="008139F7">
              <w:rPr>
                <w:sz w:val="18"/>
                <w:szCs w:val="18"/>
              </w:rPr>
              <w:t>Question of atrocities committed by the North Korean and Chinese Communist forces</w:t>
            </w:r>
          </w:p>
        </w:tc>
        <w:tc>
          <w:tcPr>
            <w:tcW w:w="1080" w:type="dxa"/>
          </w:tcPr>
          <w:p w14:paraId="75A04270" w14:textId="77777777" w:rsidR="008139F7" w:rsidRPr="008139F7" w:rsidRDefault="008139F7" w:rsidP="008139F7">
            <w:pPr>
              <w:jc w:val="both"/>
              <w:rPr>
                <w:sz w:val="18"/>
                <w:szCs w:val="18"/>
              </w:rPr>
            </w:pPr>
            <w:r w:rsidRPr="008139F7">
              <w:rPr>
                <w:sz w:val="18"/>
                <w:szCs w:val="18"/>
              </w:rPr>
              <w:t>China</w:t>
            </w:r>
          </w:p>
        </w:tc>
        <w:tc>
          <w:tcPr>
            <w:tcW w:w="1137" w:type="dxa"/>
          </w:tcPr>
          <w:p w14:paraId="2021B661" w14:textId="77777777" w:rsidR="008139F7" w:rsidRPr="008139F7" w:rsidRDefault="008139F7" w:rsidP="008139F7">
            <w:pPr>
              <w:jc w:val="both"/>
              <w:rPr>
                <w:sz w:val="18"/>
                <w:szCs w:val="18"/>
                <w:lang w:val="en-GB"/>
              </w:rPr>
            </w:pPr>
            <w:r w:rsidRPr="008139F7">
              <w:rPr>
                <w:sz w:val="18"/>
                <w:szCs w:val="18"/>
              </w:rPr>
              <w:t>S. Korea</w:t>
            </w:r>
          </w:p>
        </w:tc>
      </w:tr>
      <w:tr w:rsidR="008139F7" w:rsidRPr="008139F7" w14:paraId="6A12303F" w14:textId="77777777" w:rsidTr="008139F7">
        <w:tc>
          <w:tcPr>
            <w:tcW w:w="1696" w:type="dxa"/>
          </w:tcPr>
          <w:p w14:paraId="6965D226" w14:textId="77777777" w:rsidR="008139F7" w:rsidRPr="008139F7" w:rsidRDefault="008139F7" w:rsidP="008139F7">
            <w:pPr>
              <w:jc w:val="both"/>
              <w:rPr>
                <w:sz w:val="18"/>
                <w:szCs w:val="18"/>
                <w:lang w:val="en-GB"/>
              </w:rPr>
            </w:pPr>
            <w:r w:rsidRPr="008139F7">
              <w:rPr>
                <w:sz w:val="18"/>
                <w:szCs w:val="18"/>
              </w:rPr>
              <w:t>Resolution 815</w:t>
            </w:r>
          </w:p>
        </w:tc>
        <w:tc>
          <w:tcPr>
            <w:tcW w:w="709" w:type="dxa"/>
          </w:tcPr>
          <w:p w14:paraId="023BD832" w14:textId="77777777" w:rsidR="008139F7" w:rsidRPr="008139F7" w:rsidRDefault="008139F7" w:rsidP="008139F7">
            <w:pPr>
              <w:jc w:val="both"/>
              <w:rPr>
                <w:sz w:val="18"/>
                <w:szCs w:val="18"/>
                <w:lang w:val="en-GB"/>
              </w:rPr>
            </w:pPr>
            <w:r w:rsidRPr="008139F7">
              <w:rPr>
                <w:sz w:val="18"/>
                <w:szCs w:val="18"/>
              </w:rPr>
              <w:t>1954</w:t>
            </w:r>
          </w:p>
        </w:tc>
        <w:tc>
          <w:tcPr>
            <w:tcW w:w="4394" w:type="dxa"/>
          </w:tcPr>
          <w:p w14:paraId="4CE1A837" w14:textId="77777777" w:rsidR="008139F7" w:rsidRPr="008139F7" w:rsidRDefault="008139F7" w:rsidP="008139F7">
            <w:pPr>
              <w:jc w:val="both"/>
              <w:rPr>
                <w:sz w:val="18"/>
                <w:szCs w:val="18"/>
                <w:lang w:val="en-GB"/>
              </w:rPr>
            </w:pPr>
            <w:r w:rsidRPr="008139F7">
              <w:rPr>
                <w:sz w:val="18"/>
                <w:szCs w:val="18"/>
              </w:rPr>
              <w:t>Complaint by the Union of Burma regarding aggression against it by the Government of the Republic of China</w:t>
            </w:r>
          </w:p>
        </w:tc>
        <w:tc>
          <w:tcPr>
            <w:tcW w:w="1080" w:type="dxa"/>
          </w:tcPr>
          <w:p w14:paraId="07FF2CB7" w14:textId="77777777" w:rsidR="008139F7" w:rsidRPr="008139F7" w:rsidRDefault="008139F7" w:rsidP="008139F7">
            <w:pPr>
              <w:jc w:val="both"/>
              <w:rPr>
                <w:sz w:val="18"/>
                <w:szCs w:val="18"/>
              </w:rPr>
            </w:pPr>
            <w:r w:rsidRPr="008139F7">
              <w:rPr>
                <w:sz w:val="18"/>
                <w:szCs w:val="18"/>
              </w:rPr>
              <w:t>China</w:t>
            </w:r>
          </w:p>
        </w:tc>
        <w:tc>
          <w:tcPr>
            <w:tcW w:w="1137" w:type="dxa"/>
          </w:tcPr>
          <w:p w14:paraId="63630DB8" w14:textId="77777777" w:rsidR="008139F7" w:rsidRPr="008139F7" w:rsidRDefault="008139F7" w:rsidP="008139F7">
            <w:pPr>
              <w:jc w:val="both"/>
              <w:rPr>
                <w:sz w:val="18"/>
                <w:szCs w:val="18"/>
                <w:lang w:val="en-GB"/>
              </w:rPr>
            </w:pPr>
            <w:r w:rsidRPr="008139F7">
              <w:rPr>
                <w:sz w:val="18"/>
                <w:szCs w:val="18"/>
              </w:rPr>
              <w:t>Burma</w:t>
            </w:r>
          </w:p>
        </w:tc>
      </w:tr>
      <w:tr w:rsidR="008139F7" w:rsidRPr="008139F7" w14:paraId="188FBC1E" w14:textId="77777777" w:rsidTr="008139F7">
        <w:tc>
          <w:tcPr>
            <w:tcW w:w="1696" w:type="dxa"/>
          </w:tcPr>
          <w:p w14:paraId="56D1CA03" w14:textId="77777777" w:rsidR="008139F7" w:rsidRPr="008139F7" w:rsidRDefault="008139F7" w:rsidP="008139F7">
            <w:pPr>
              <w:jc w:val="both"/>
              <w:rPr>
                <w:sz w:val="18"/>
                <w:szCs w:val="18"/>
                <w:lang w:val="en-GB"/>
              </w:rPr>
            </w:pPr>
            <w:r w:rsidRPr="008139F7">
              <w:rPr>
                <w:sz w:val="18"/>
                <w:szCs w:val="18"/>
              </w:rPr>
              <w:t>Resolution A/RES/917(X)</w:t>
            </w:r>
          </w:p>
        </w:tc>
        <w:tc>
          <w:tcPr>
            <w:tcW w:w="709" w:type="dxa"/>
          </w:tcPr>
          <w:p w14:paraId="493FA8DC" w14:textId="77777777" w:rsidR="008139F7" w:rsidRPr="008139F7" w:rsidRDefault="008139F7" w:rsidP="008139F7">
            <w:pPr>
              <w:jc w:val="both"/>
              <w:rPr>
                <w:sz w:val="18"/>
                <w:szCs w:val="18"/>
                <w:lang w:val="en-GB"/>
              </w:rPr>
            </w:pPr>
            <w:r w:rsidRPr="008139F7">
              <w:rPr>
                <w:sz w:val="18"/>
                <w:szCs w:val="18"/>
              </w:rPr>
              <w:t>1955</w:t>
            </w:r>
          </w:p>
        </w:tc>
        <w:tc>
          <w:tcPr>
            <w:tcW w:w="4394" w:type="dxa"/>
          </w:tcPr>
          <w:p w14:paraId="2A3DDC9C" w14:textId="77777777" w:rsidR="008139F7" w:rsidRPr="008139F7" w:rsidRDefault="008139F7" w:rsidP="008139F7">
            <w:pPr>
              <w:jc w:val="both"/>
              <w:rPr>
                <w:sz w:val="18"/>
                <w:szCs w:val="18"/>
                <w:lang w:val="en-GB"/>
              </w:rPr>
            </w:pPr>
            <w:r w:rsidRPr="008139F7">
              <w:rPr>
                <w:sz w:val="18"/>
                <w:szCs w:val="18"/>
              </w:rPr>
              <w:t xml:space="preserve">The question of race conflict in South Africa resulting from the policies of apartheid of the Government of the Union of South Africa </w:t>
            </w:r>
          </w:p>
        </w:tc>
        <w:tc>
          <w:tcPr>
            <w:tcW w:w="1080" w:type="dxa"/>
          </w:tcPr>
          <w:p w14:paraId="22451A99" w14:textId="77777777" w:rsidR="008139F7" w:rsidRPr="008139F7" w:rsidRDefault="008139F7" w:rsidP="008139F7">
            <w:pPr>
              <w:jc w:val="both"/>
              <w:rPr>
                <w:sz w:val="18"/>
                <w:szCs w:val="18"/>
              </w:rPr>
            </w:pPr>
            <w:r w:rsidRPr="008139F7">
              <w:rPr>
                <w:sz w:val="18"/>
                <w:szCs w:val="18"/>
              </w:rPr>
              <w:t>South Africa</w:t>
            </w:r>
          </w:p>
        </w:tc>
        <w:tc>
          <w:tcPr>
            <w:tcW w:w="1137" w:type="dxa"/>
          </w:tcPr>
          <w:p w14:paraId="501A35D3" w14:textId="77777777" w:rsidR="008139F7" w:rsidRPr="008139F7" w:rsidRDefault="008139F7" w:rsidP="008139F7">
            <w:pPr>
              <w:jc w:val="both"/>
              <w:rPr>
                <w:sz w:val="18"/>
                <w:szCs w:val="18"/>
                <w:lang w:val="en-GB"/>
              </w:rPr>
            </w:pPr>
            <w:r w:rsidRPr="008139F7">
              <w:rPr>
                <w:sz w:val="18"/>
                <w:szCs w:val="18"/>
              </w:rPr>
              <w:t>black population</w:t>
            </w:r>
          </w:p>
        </w:tc>
      </w:tr>
      <w:tr w:rsidR="008139F7" w:rsidRPr="008139F7" w14:paraId="72DECAF4" w14:textId="77777777" w:rsidTr="008139F7">
        <w:tc>
          <w:tcPr>
            <w:tcW w:w="1696" w:type="dxa"/>
          </w:tcPr>
          <w:p w14:paraId="5D3083EB" w14:textId="77777777" w:rsidR="008139F7" w:rsidRPr="008139F7" w:rsidRDefault="008139F7" w:rsidP="008139F7">
            <w:pPr>
              <w:jc w:val="both"/>
              <w:rPr>
                <w:sz w:val="18"/>
                <w:szCs w:val="18"/>
                <w:lang w:val="en-GB"/>
              </w:rPr>
            </w:pPr>
            <w:r w:rsidRPr="008139F7">
              <w:rPr>
                <w:sz w:val="18"/>
                <w:szCs w:val="18"/>
              </w:rPr>
              <w:t>Resolution 997(ES-I)</w:t>
            </w:r>
          </w:p>
        </w:tc>
        <w:tc>
          <w:tcPr>
            <w:tcW w:w="709" w:type="dxa"/>
          </w:tcPr>
          <w:p w14:paraId="2941B0FA" w14:textId="77777777" w:rsidR="008139F7" w:rsidRPr="008139F7" w:rsidRDefault="008139F7" w:rsidP="008139F7">
            <w:pPr>
              <w:jc w:val="both"/>
              <w:rPr>
                <w:sz w:val="18"/>
                <w:szCs w:val="18"/>
                <w:lang w:val="en-GB"/>
              </w:rPr>
            </w:pPr>
            <w:r w:rsidRPr="008139F7">
              <w:rPr>
                <w:sz w:val="18"/>
                <w:szCs w:val="18"/>
              </w:rPr>
              <w:t>1956</w:t>
            </w:r>
          </w:p>
        </w:tc>
        <w:tc>
          <w:tcPr>
            <w:tcW w:w="4394" w:type="dxa"/>
          </w:tcPr>
          <w:p w14:paraId="582F4228" w14:textId="77777777" w:rsidR="008139F7" w:rsidRPr="008139F7" w:rsidRDefault="008139F7" w:rsidP="008139F7">
            <w:pPr>
              <w:jc w:val="both"/>
              <w:rPr>
                <w:sz w:val="18"/>
                <w:szCs w:val="18"/>
                <w:lang w:val="en-GB"/>
              </w:rPr>
            </w:pPr>
            <w:r w:rsidRPr="008139F7">
              <w:rPr>
                <w:sz w:val="18"/>
                <w:szCs w:val="18"/>
              </w:rPr>
              <w:t>Suez crisis</w:t>
            </w:r>
          </w:p>
        </w:tc>
        <w:tc>
          <w:tcPr>
            <w:tcW w:w="1080" w:type="dxa"/>
          </w:tcPr>
          <w:p w14:paraId="2809E27B" w14:textId="77777777" w:rsidR="008139F7" w:rsidRPr="008139F7" w:rsidRDefault="008139F7" w:rsidP="008139F7">
            <w:pPr>
              <w:jc w:val="both"/>
              <w:rPr>
                <w:sz w:val="18"/>
                <w:szCs w:val="18"/>
              </w:rPr>
            </w:pPr>
            <w:r w:rsidRPr="008139F7">
              <w:rPr>
                <w:sz w:val="18"/>
                <w:szCs w:val="18"/>
              </w:rPr>
              <w:t>France &amp; UK</w:t>
            </w:r>
          </w:p>
        </w:tc>
        <w:tc>
          <w:tcPr>
            <w:tcW w:w="1137" w:type="dxa"/>
          </w:tcPr>
          <w:p w14:paraId="1E425C62" w14:textId="77777777" w:rsidR="008139F7" w:rsidRPr="008139F7" w:rsidRDefault="008139F7" w:rsidP="008139F7">
            <w:pPr>
              <w:jc w:val="both"/>
              <w:rPr>
                <w:sz w:val="18"/>
                <w:szCs w:val="18"/>
                <w:lang w:val="en-GB"/>
              </w:rPr>
            </w:pPr>
            <w:r w:rsidRPr="008139F7">
              <w:rPr>
                <w:sz w:val="18"/>
                <w:szCs w:val="18"/>
              </w:rPr>
              <w:t>Egypt</w:t>
            </w:r>
          </w:p>
        </w:tc>
      </w:tr>
      <w:tr w:rsidR="008139F7" w:rsidRPr="008139F7" w14:paraId="06651014" w14:textId="77777777" w:rsidTr="008139F7">
        <w:tc>
          <w:tcPr>
            <w:tcW w:w="1696" w:type="dxa"/>
          </w:tcPr>
          <w:p w14:paraId="681CEB0C" w14:textId="77777777" w:rsidR="008139F7" w:rsidRPr="008139F7" w:rsidRDefault="008139F7" w:rsidP="008139F7">
            <w:pPr>
              <w:jc w:val="both"/>
              <w:rPr>
                <w:sz w:val="18"/>
                <w:szCs w:val="18"/>
                <w:lang w:val="en-GB"/>
              </w:rPr>
            </w:pPr>
            <w:r w:rsidRPr="008139F7">
              <w:rPr>
                <w:sz w:val="18"/>
                <w:szCs w:val="18"/>
              </w:rPr>
              <w:t>Resolution 1105</w:t>
            </w:r>
          </w:p>
        </w:tc>
        <w:tc>
          <w:tcPr>
            <w:tcW w:w="709" w:type="dxa"/>
          </w:tcPr>
          <w:p w14:paraId="387227AB" w14:textId="77777777" w:rsidR="008139F7" w:rsidRPr="008139F7" w:rsidRDefault="008139F7" w:rsidP="008139F7">
            <w:pPr>
              <w:jc w:val="both"/>
              <w:rPr>
                <w:sz w:val="18"/>
                <w:szCs w:val="18"/>
                <w:lang w:val="en-GB"/>
              </w:rPr>
            </w:pPr>
            <w:r w:rsidRPr="008139F7">
              <w:rPr>
                <w:sz w:val="18"/>
                <w:szCs w:val="18"/>
              </w:rPr>
              <w:t>1956</w:t>
            </w:r>
          </w:p>
        </w:tc>
        <w:tc>
          <w:tcPr>
            <w:tcW w:w="4394" w:type="dxa"/>
          </w:tcPr>
          <w:p w14:paraId="0E688BB6" w14:textId="77777777" w:rsidR="008139F7" w:rsidRPr="008139F7" w:rsidRDefault="008139F7" w:rsidP="008139F7">
            <w:pPr>
              <w:jc w:val="both"/>
              <w:rPr>
                <w:sz w:val="18"/>
                <w:szCs w:val="18"/>
                <w:lang w:val="en-GB"/>
              </w:rPr>
            </w:pPr>
            <w:r w:rsidRPr="008139F7">
              <w:rPr>
                <w:sz w:val="18"/>
                <w:szCs w:val="18"/>
              </w:rPr>
              <w:t>The situation in Hungary</w:t>
            </w:r>
          </w:p>
        </w:tc>
        <w:tc>
          <w:tcPr>
            <w:tcW w:w="1080" w:type="dxa"/>
          </w:tcPr>
          <w:p w14:paraId="5BC48E9F" w14:textId="77777777" w:rsidR="008139F7" w:rsidRPr="008139F7" w:rsidRDefault="008139F7" w:rsidP="008139F7">
            <w:pPr>
              <w:jc w:val="both"/>
              <w:rPr>
                <w:sz w:val="18"/>
                <w:szCs w:val="18"/>
              </w:rPr>
            </w:pPr>
            <w:r w:rsidRPr="008139F7">
              <w:rPr>
                <w:sz w:val="18"/>
                <w:szCs w:val="18"/>
              </w:rPr>
              <w:t>Russia</w:t>
            </w:r>
          </w:p>
        </w:tc>
        <w:tc>
          <w:tcPr>
            <w:tcW w:w="1137" w:type="dxa"/>
          </w:tcPr>
          <w:p w14:paraId="1EA04ADF" w14:textId="77777777" w:rsidR="008139F7" w:rsidRPr="008139F7" w:rsidRDefault="008139F7" w:rsidP="008139F7">
            <w:pPr>
              <w:jc w:val="both"/>
              <w:rPr>
                <w:sz w:val="18"/>
                <w:szCs w:val="18"/>
                <w:lang w:val="en-GB"/>
              </w:rPr>
            </w:pPr>
            <w:r w:rsidRPr="008139F7">
              <w:rPr>
                <w:sz w:val="18"/>
                <w:szCs w:val="18"/>
              </w:rPr>
              <w:t>Hungary</w:t>
            </w:r>
          </w:p>
        </w:tc>
      </w:tr>
      <w:tr w:rsidR="008139F7" w:rsidRPr="008139F7" w14:paraId="3D2F14C8" w14:textId="77777777" w:rsidTr="008139F7">
        <w:tc>
          <w:tcPr>
            <w:tcW w:w="1696" w:type="dxa"/>
          </w:tcPr>
          <w:p w14:paraId="6E26722E" w14:textId="77777777" w:rsidR="008139F7" w:rsidRPr="008139F7" w:rsidRDefault="008139F7" w:rsidP="008139F7">
            <w:pPr>
              <w:jc w:val="both"/>
              <w:rPr>
                <w:sz w:val="18"/>
                <w:szCs w:val="18"/>
                <w:lang w:val="en-GB"/>
              </w:rPr>
            </w:pPr>
            <w:r w:rsidRPr="008139F7">
              <w:rPr>
                <w:sz w:val="18"/>
                <w:szCs w:val="18"/>
              </w:rPr>
              <w:t>Resolution 1180</w:t>
            </w:r>
          </w:p>
        </w:tc>
        <w:tc>
          <w:tcPr>
            <w:tcW w:w="709" w:type="dxa"/>
          </w:tcPr>
          <w:p w14:paraId="53F74147" w14:textId="77777777" w:rsidR="008139F7" w:rsidRPr="008139F7" w:rsidRDefault="008139F7" w:rsidP="008139F7">
            <w:pPr>
              <w:jc w:val="both"/>
              <w:rPr>
                <w:sz w:val="18"/>
                <w:szCs w:val="18"/>
                <w:lang w:val="en-GB"/>
              </w:rPr>
            </w:pPr>
            <w:r w:rsidRPr="008139F7">
              <w:rPr>
                <w:sz w:val="18"/>
                <w:szCs w:val="18"/>
              </w:rPr>
              <w:t>1957</w:t>
            </w:r>
          </w:p>
        </w:tc>
        <w:tc>
          <w:tcPr>
            <w:tcW w:w="4394" w:type="dxa"/>
          </w:tcPr>
          <w:p w14:paraId="4F90104B" w14:textId="77777777" w:rsidR="008139F7" w:rsidRPr="008139F7" w:rsidRDefault="008139F7" w:rsidP="008139F7">
            <w:pPr>
              <w:jc w:val="both"/>
              <w:rPr>
                <w:sz w:val="18"/>
                <w:szCs w:val="18"/>
                <w:lang w:val="en-GB"/>
              </w:rPr>
            </w:pPr>
            <w:r w:rsidRPr="008139F7">
              <w:rPr>
                <w:sz w:val="18"/>
                <w:szCs w:val="18"/>
              </w:rPr>
              <w:t>The Korean question</w:t>
            </w:r>
          </w:p>
        </w:tc>
        <w:tc>
          <w:tcPr>
            <w:tcW w:w="1080" w:type="dxa"/>
          </w:tcPr>
          <w:p w14:paraId="64CDDC5E" w14:textId="77777777" w:rsidR="008139F7" w:rsidRPr="008139F7" w:rsidRDefault="008139F7" w:rsidP="008139F7">
            <w:pPr>
              <w:jc w:val="both"/>
              <w:rPr>
                <w:sz w:val="18"/>
                <w:szCs w:val="18"/>
              </w:rPr>
            </w:pPr>
            <w:r w:rsidRPr="008139F7">
              <w:rPr>
                <w:sz w:val="18"/>
                <w:szCs w:val="18"/>
              </w:rPr>
              <w:t>N. Korea</w:t>
            </w:r>
          </w:p>
        </w:tc>
        <w:tc>
          <w:tcPr>
            <w:tcW w:w="1137" w:type="dxa"/>
          </w:tcPr>
          <w:p w14:paraId="488BFB28" w14:textId="77777777" w:rsidR="008139F7" w:rsidRPr="008139F7" w:rsidRDefault="008139F7" w:rsidP="008139F7">
            <w:pPr>
              <w:jc w:val="both"/>
              <w:rPr>
                <w:sz w:val="18"/>
                <w:szCs w:val="18"/>
                <w:lang w:val="en-GB"/>
              </w:rPr>
            </w:pPr>
            <w:r w:rsidRPr="008139F7">
              <w:rPr>
                <w:sz w:val="18"/>
                <w:szCs w:val="18"/>
              </w:rPr>
              <w:t>S. Korea</w:t>
            </w:r>
          </w:p>
        </w:tc>
      </w:tr>
      <w:tr w:rsidR="008139F7" w:rsidRPr="008139F7" w14:paraId="73454C2B" w14:textId="77777777" w:rsidTr="008139F7">
        <w:tc>
          <w:tcPr>
            <w:tcW w:w="1696" w:type="dxa"/>
          </w:tcPr>
          <w:p w14:paraId="523D2209" w14:textId="77777777" w:rsidR="008139F7" w:rsidRPr="008139F7" w:rsidRDefault="008139F7" w:rsidP="008139F7">
            <w:pPr>
              <w:jc w:val="both"/>
              <w:rPr>
                <w:sz w:val="18"/>
                <w:szCs w:val="18"/>
                <w:lang w:val="en-GB"/>
              </w:rPr>
            </w:pPr>
            <w:r w:rsidRPr="008139F7">
              <w:rPr>
                <w:sz w:val="18"/>
                <w:szCs w:val="18"/>
              </w:rPr>
              <w:t>Resolution A/RES/1248(XIII)</w:t>
            </w:r>
          </w:p>
        </w:tc>
        <w:tc>
          <w:tcPr>
            <w:tcW w:w="709" w:type="dxa"/>
          </w:tcPr>
          <w:p w14:paraId="0E4F83E5" w14:textId="77777777" w:rsidR="008139F7" w:rsidRPr="008139F7" w:rsidRDefault="008139F7" w:rsidP="008139F7">
            <w:pPr>
              <w:jc w:val="both"/>
              <w:rPr>
                <w:sz w:val="18"/>
                <w:szCs w:val="18"/>
                <w:lang w:val="en-GB"/>
              </w:rPr>
            </w:pPr>
            <w:r w:rsidRPr="008139F7">
              <w:rPr>
                <w:sz w:val="18"/>
                <w:szCs w:val="18"/>
              </w:rPr>
              <w:t>1959</w:t>
            </w:r>
          </w:p>
        </w:tc>
        <w:tc>
          <w:tcPr>
            <w:tcW w:w="4394" w:type="dxa"/>
          </w:tcPr>
          <w:p w14:paraId="1B83ACC1" w14:textId="77777777" w:rsidR="008139F7" w:rsidRPr="008139F7" w:rsidRDefault="008139F7" w:rsidP="008139F7">
            <w:pPr>
              <w:jc w:val="both"/>
              <w:rPr>
                <w:sz w:val="18"/>
                <w:szCs w:val="18"/>
                <w:lang w:val="en-GB"/>
              </w:rPr>
            </w:pPr>
            <w:r w:rsidRPr="008139F7">
              <w:rPr>
                <w:sz w:val="18"/>
                <w:szCs w:val="18"/>
              </w:rPr>
              <w:t>Question of race conflict in South Africa resulting from the policies of apartheid of the Government of the Union of South Africa</w:t>
            </w:r>
          </w:p>
        </w:tc>
        <w:tc>
          <w:tcPr>
            <w:tcW w:w="1080" w:type="dxa"/>
          </w:tcPr>
          <w:p w14:paraId="2587234F" w14:textId="77777777" w:rsidR="008139F7" w:rsidRPr="008139F7" w:rsidRDefault="008139F7" w:rsidP="008139F7">
            <w:pPr>
              <w:jc w:val="both"/>
              <w:rPr>
                <w:sz w:val="18"/>
                <w:szCs w:val="18"/>
              </w:rPr>
            </w:pPr>
            <w:r w:rsidRPr="008139F7">
              <w:rPr>
                <w:sz w:val="18"/>
                <w:szCs w:val="18"/>
              </w:rPr>
              <w:t>South Africa</w:t>
            </w:r>
          </w:p>
        </w:tc>
        <w:tc>
          <w:tcPr>
            <w:tcW w:w="1137" w:type="dxa"/>
          </w:tcPr>
          <w:p w14:paraId="4C625435" w14:textId="77777777" w:rsidR="008139F7" w:rsidRPr="008139F7" w:rsidRDefault="008139F7" w:rsidP="008139F7">
            <w:pPr>
              <w:jc w:val="both"/>
              <w:rPr>
                <w:sz w:val="18"/>
                <w:szCs w:val="18"/>
                <w:lang w:val="en-GB"/>
              </w:rPr>
            </w:pPr>
            <w:r w:rsidRPr="008139F7">
              <w:rPr>
                <w:sz w:val="18"/>
                <w:szCs w:val="18"/>
              </w:rPr>
              <w:t>black population</w:t>
            </w:r>
          </w:p>
        </w:tc>
      </w:tr>
      <w:tr w:rsidR="008139F7" w:rsidRPr="008139F7" w14:paraId="3BCAD2EF" w14:textId="77777777" w:rsidTr="008139F7">
        <w:tc>
          <w:tcPr>
            <w:tcW w:w="1696" w:type="dxa"/>
          </w:tcPr>
          <w:p w14:paraId="4488026F" w14:textId="77777777" w:rsidR="008139F7" w:rsidRPr="008139F7" w:rsidRDefault="008139F7" w:rsidP="008139F7">
            <w:pPr>
              <w:jc w:val="both"/>
              <w:rPr>
                <w:sz w:val="18"/>
                <w:szCs w:val="18"/>
                <w:lang w:val="en-GB"/>
              </w:rPr>
            </w:pPr>
            <w:r w:rsidRPr="008139F7">
              <w:rPr>
                <w:sz w:val="18"/>
                <w:szCs w:val="18"/>
              </w:rPr>
              <w:t>Resolution A/RES/1375(XIV)</w:t>
            </w:r>
          </w:p>
        </w:tc>
        <w:tc>
          <w:tcPr>
            <w:tcW w:w="709" w:type="dxa"/>
          </w:tcPr>
          <w:p w14:paraId="30D23D0F" w14:textId="77777777" w:rsidR="008139F7" w:rsidRPr="008139F7" w:rsidRDefault="008139F7" w:rsidP="008139F7">
            <w:pPr>
              <w:jc w:val="both"/>
              <w:rPr>
                <w:sz w:val="18"/>
                <w:szCs w:val="18"/>
                <w:lang w:val="en-GB"/>
              </w:rPr>
            </w:pPr>
            <w:r w:rsidRPr="008139F7">
              <w:rPr>
                <w:sz w:val="18"/>
                <w:szCs w:val="18"/>
              </w:rPr>
              <w:t>1959</w:t>
            </w:r>
          </w:p>
        </w:tc>
        <w:tc>
          <w:tcPr>
            <w:tcW w:w="4394" w:type="dxa"/>
          </w:tcPr>
          <w:p w14:paraId="0C7D2F09" w14:textId="77777777" w:rsidR="008139F7" w:rsidRPr="008139F7" w:rsidRDefault="008139F7" w:rsidP="008139F7">
            <w:pPr>
              <w:jc w:val="both"/>
              <w:rPr>
                <w:sz w:val="18"/>
                <w:szCs w:val="18"/>
                <w:lang w:val="en-GB"/>
              </w:rPr>
            </w:pPr>
            <w:r w:rsidRPr="008139F7">
              <w:rPr>
                <w:sz w:val="18"/>
                <w:szCs w:val="18"/>
              </w:rPr>
              <w:t>Question of race conflict in South Africa resulting from the policies of apartheid of the Government of the Union of South Africa</w:t>
            </w:r>
          </w:p>
        </w:tc>
        <w:tc>
          <w:tcPr>
            <w:tcW w:w="1080" w:type="dxa"/>
          </w:tcPr>
          <w:p w14:paraId="398223CB" w14:textId="77777777" w:rsidR="008139F7" w:rsidRPr="008139F7" w:rsidRDefault="008139F7" w:rsidP="008139F7">
            <w:pPr>
              <w:jc w:val="both"/>
              <w:rPr>
                <w:sz w:val="18"/>
                <w:szCs w:val="18"/>
              </w:rPr>
            </w:pPr>
            <w:r w:rsidRPr="008139F7">
              <w:rPr>
                <w:sz w:val="18"/>
                <w:szCs w:val="18"/>
              </w:rPr>
              <w:t>South Africa</w:t>
            </w:r>
          </w:p>
        </w:tc>
        <w:tc>
          <w:tcPr>
            <w:tcW w:w="1137" w:type="dxa"/>
          </w:tcPr>
          <w:p w14:paraId="50A3ED13" w14:textId="77777777" w:rsidR="008139F7" w:rsidRPr="008139F7" w:rsidRDefault="008139F7" w:rsidP="008139F7">
            <w:pPr>
              <w:jc w:val="both"/>
              <w:rPr>
                <w:sz w:val="18"/>
                <w:szCs w:val="18"/>
                <w:lang w:val="en-GB"/>
              </w:rPr>
            </w:pPr>
            <w:r w:rsidRPr="008139F7">
              <w:rPr>
                <w:sz w:val="18"/>
                <w:szCs w:val="18"/>
              </w:rPr>
              <w:t>black population</w:t>
            </w:r>
          </w:p>
        </w:tc>
      </w:tr>
      <w:tr w:rsidR="008139F7" w:rsidRPr="008139F7" w14:paraId="34F5C3D6" w14:textId="77777777" w:rsidTr="008139F7">
        <w:tc>
          <w:tcPr>
            <w:tcW w:w="1696" w:type="dxa"/>
          </w:tcPr>
          <w:p w14:paraId="6F0AFD47" w14:textId="77777777" w:rsidR="008139F7" w:rsidRPr="008139F7" w:rsidRDefault="008139F7" w:rsidP="008139F7">
            <w:pPr>
              <w:jc w:val="both"/>
              <w:rPr>
                <w:sz w:val="18"/>
                <w:szCs w:val="18"/>
                <w:lang w:val="en-GB"/>
              </w:rPr>
            </w:pPr>
            <w:r w:rsidRPr="008139F7">
              <w:rPr>
                <w:sz w:val="18"/>
                <w:szCs w:val="18"/>
              </w:rPr>
              <w:t>Resolution A/RES/1627(XVI)</w:t>
            </w:r>
          </w:p>
        </w:tc>
        <w:tc>
          <w:tcPr>
            <w:tcW w:w="709" w:type="dxa"/>
          </w:tcPr>
          <w:p w14:paraId="13A3808F" w14:textId="77777777" w:rsidR="008139F7" w:rsidRPr="008139F7" w:rsidRDefault="008139F7" w:rsidP="008139F7">
            <w:pPr>
              <w:jc w:val="both"/>
              <w:rPr>
                <w:sz w:val="18"/>
                <w:szCs w:val="18"/>
                <w:lang w:val="en-GB"/>
              </w:rPr>
            </w:pPr>
            <w:r w:rsidRPr="008139F7">
              <w:rPr>
                <w:sz w:val="18"/>
                <w:szCs w:val="18"/>
              </w:rPr>
              <w:t>1961</w:t>
            </w:r>
          </w:p>
        </w:tc>
        <w:tc>
          <w:tcPr>
            <w:tcW w:w="4394" w:type="dxa"/>
          </w:tcPr>
          <w:p w14:paraId="0287B9DB" w14:textId="77777777" w:rsidR="008139F7" w:rsidRPr="008139F7" w:rsidRDefault="008139F7" w:rsidP="008139F7">
            <w:pPr>
              <w:jc w:val="both"/>
              <w:rPr>
                <w:sz w:val="18"/>
                <w:szCs w:val="18"/>
                <w:lang w:val="en-GB"/>
              </w:rPr>
            </w:pPr>
            <w:r w:rsidRPr="008139F7">
              <w:rPr>
                <w:sz w:val="18"/>
                <w:szCs w:val="18"/>
              </w:rPr>
              <w:t>Assassination of the Prime Minister of Burundi</w:t>
            </w:r>
          </w:p>
        </w:tc>
        <w:tc>
          <w:tcPr>
            <w:tcW w:w="1080" w:type="dxa"/>
          </w:tcPr>
          <w:p w14:paraId="2BF1BA1C" w14:textId="77777777" w:rsidR="008139F7" w:rsidRPr="008139F7" w:rsidRDefault="008139F7" w:rsidP="008139F7">
            <w:pPr>
              <w:jc w:val="both"/>
              <w:rPr>
                <w:sz w:val="18"/>
                <w:szCs w:val="18"/>
              </w:rPr>
            </w:pPr>
            <w:r w:rsidRPr="008139F7">
              <w:rPr>
                <w:sz w:val="18"/>
                <w:szCs w:val="18"/>
              </w:rPr>
              <w:t>Ruanda</w:t>
            </w:r>
          </w:p>
        </w:tc>
        <w:tc>
          <w:tcPr>
            <w:tcW w:w="1137" w:type="dxa"/>
          </w:tcPr>
          <w:p w14:paraId="737D9CD0" w14:textId="77777777" w:rsidR="008139F7" w:rsidRPr="008139F7" w:rsidRDefault="008139F7" w:rsidP="008139F7">
            <w:pPr>
              <w:jc w:val="both"/>
              <w:rPr>
                <w:sz w:val="18"/>
                <w:szCs w:val="18"/>
                <w:lang w:val="en-GB"/>
              </w:rPr>
            </w:pPr>
            <w:r w:rsidRPr="008139F7">
              <w:rPr>
                <w:sz w:val="18"/>
                <w:szCs w:val="18"/>
              </w:rPr>
              <w:t>Burundi</w:t>
            </w:r>
          </w:p>
        </w:tc>
      </w:tr>
      <w:tr w:rsidR="008139F7" w:rsidRPr="008139F7" w14:paraId="44D4B3F3" w14:textId="77777777" w:rsidTr="008139F7">
        <w:tc>
          <w:tcPr>
            <w:tcW w:w="1696" w:type="dxa"/>
          </w:tcPr>
          <w:p w14:paraId="5366AE5A" w14:textId="77777777" w:rsidR="008139F7" w:rsidRPr="008139F7" w:rsidRDefault="008139F7" w:rsidP="008139F7">
            <w:pPr>
              <w:jc w:val="both"/>
              <w:rPr>
                <w:sz w:val="18"/>
                <w:szCs w:val="18"/>
                <w:lang w:val="en-GB"/>
              </w:rPr>
            </w:pPr>
            <w:r w:rsidRPr="008139F7">
              <w:rPr>
                <w:sz w:val="18"/>
                <w:szCs w:val="18"/>
              </w:rPr>
              <w:t>Resolution 1740</w:t>
            </w:r>
          </w:p>
        </w:tc>
        <w:tc>
          <w:tcPr>
            <w:tcW w:w="709" w:type="dxa"/>
          </w:tcPr>
          <w:p w14:paraId="253B82B8" w14:textId="77777777" w:rsidR="008139F7" w:rsidRPr="008139F7" w:rsidRDefault="008139F7" w:rsidP="008139F7">
            <w:pPr>
              <w:jc w:val="both"/>
              <w:rPr>
                <w:sz w:val="18"/>
                <w:szCs w:val="18"/>
                <w:lang w:val="en-GB"/>
              </w:rPr>
            </w:pPr>
            <w:r w:rsidRPr="008139F7">
              <w:rPr>
                <w:sz w:val="18"/>
                <w:szCs w:val="18"/>
              </w:rPr>
              <w:t>1961</w:t>
            </w:r>
          </w:p>
        </w:tc>
        <w:tc>
          <w:tcPr>
            <w:tcW w:w="4394" w:type="dxa"/>
          </w:tcPr>
          <w:p w14:paraId="7712A661" w14:textId="77777777" w:rsidR="008139F7" w:rsidRPr="008139F7" w:rsidRDefault="008139F7" w:rsidP="008139F7">
            <w:pPr>
              <w:jc w:val="both"/>
              <w:rPr>
                <w:sz w:val="18"/>
                <w:szCs w:val="18"/>
                <w:lang w:val="en-GB"/>
              </w:rPr>
            </w:pPr>
            <w:r w:rsidRPr="008139F7">
              <w:rPr>
                <w:sz w:val="18"/>
                <w:szCs w:val="18"/>
              </w:rPr>
              <w:t xml:space="preserve">The Korean question </w:t>
            </w:r>
          </w:p>
        </w:tc>
        <w:tc>
          <w:tcPr>
            <w:tcW w:w="1080" w:type="dxa"/>
          </w:tcPr>
          <w:p w14:paraId="2185D9C4" w14:textId="77777777" w:rsidR="008139F7" w:rsidRPr="008139F7" w:rsidRDefault="008139F7" w:rsidP="008139F7">
            <w:pPr>
              <w:jc w:val="both"/>
              <w:rPr>
                <w:sz w:val="18"/>
                <w:szCs w:val="18"/>
              </w:rPr>
            </w:pPr>
            <w:r w:rsidRPr="008139F7">
              <w:rPr>
                <w:sz w:val="18"/>
                <w:szCs w:val="18"/>
              </w:rPr>
              <w:t>N. Korea</w:t>
            </w:r>
          </w:p>
        </w:tc>
        <w:tc>
          <w:tcPr>
            <w:tcW w:w="1137" w:type="dxa"/>
          </w:tcPr>
          <w:p w14:paraId="26FFF7DD" w14:textId="77777777" w:rsidR="008139F7" w:rsidRPr="008139F7" w:rsidRDefault="008139F7" w:rsidP="008139F7">
            <w:pPr>
              <w:jc w:val="both"/>
              <w:rPr>
                <w:sz w:val="18"/>
                <w:szCs w:val="18"/>
                <w:lang w:val="en-GB"/>
              </w:rPr>
            </w:pPr>
            <w:r w:rsidRPr="008139F7">
              <w:rPr>
                <w:sz w:val="18"/>
                <w:szCs w:val="18"/>
              </w:rPr>
              <w:t>S. Korea</w:t>
            </w:r>
          </w:p>
        </w:tc>
      </w:tr>
      <w:tr w:rsidR="008139F7" w:rsidRPr="008139F7" w14:paraId="7DED31F5" w14:textId="77777777" w:rsidTr="008139F7">
        <w:tc>
          <w:tcPr>
            <w:tcW w:w="1696" w:type="dxa"/>
          </w:tcPr>
          <w:p w14:paraId="2F0842E0" w14:textId="77777777" w:rsidR="008139F7" w:rsidRPr="008139F7" w:rsidRDefault="008139F7" w:rsidP="008139F7">
            <w:pPr>
              <w:jc w:val="both"/>
              <w:rPr>
                <w:sz w:val="18"/>
                <w:szCs w:val="18"/>
                <w:lang w:val="en-GB"/>
              </w:rPr>
            </w:pPr>
            <w:r w:rsidRPr="008139F7">
              <w:rPr>
                <w:sz w:val="18"/>
                <w:szCs w:val="18"/>
              </w:rPr>
              <w:t>Resolution 1741</w:t>
            </w:r>
          </w:p>
        </w:tc>
        <w:tc>
          <w:tcPr>
            <w:tcW w:w="709" w:type="dxa"/>
          </w:tcPr>
          <w:p w14:paraId="6AFA5DCB" w14:textId="77777777" w:rsidR="008139F7" w:rsidRPr="008139F7" w:rsidRDefault="008139F7" w:rsidP="008139F7">
            <w:pPr>
              <w:jc w:val="both"/>
              <w:rPr>
                <w:sz w:val="18"/>
                <w:szCs w:val="18"/>
                <w:lang w:val="en-GB"/>
              </w:rPr>
            </w:pPr>
            <w:r w:rsidRPr="008139F7">
              <w:rPr>
                <w:sz w:val="18"/>
                <w:szCs w:val="18"/>
              </w:rPr>
              <w:t>1961</w:t>
            </w:r>
          </w:p>
        </w:tc>
        <w:tc>
          <w:tcPr>
            <w:tcW w:w="4394" w:type="dxa"/>
          </w:tcPr>
          <w:p w14:paraId="21ED2D75" w14:textId="77777777" w:rsidR="008139F7" w:rsidRPr="008139F7" w:rsidRDefault="008139F7" w:rsidP="008139F7">
            <w:pPr>
              <w:jc w:val="both"/>
              <w:rPr>
                <w:sz w:val="18"/>
                <w:szCs w:val="18"/>
                <w:lang w:val="en-GB"/>
              </w:rPr>
            </w:pPr>
            <w:r w:rsidRPr="008139F7">
              <w:rPr>
                <w:sz w:val="18"/>
                <w:szCs w:val="18"/>
              </w:rPr>
              <w:t>Question of Hungary</w:t>
            </w:r>
          </w:p>
        </w:tc>
        <w:tc>
          <w:tcPr>
            <w:tcW w:w="1080" w:type="dxa"/>
          </w:tcPr>
          <w:p w14:paraId="22F5ACF5" w14:textId="77777777" w:rsidR="008139F7" w:rsidRPr="008139F7" w:rsidRDefault="008139F7" w:rsidP="008139F7">
            <w:pPr>
              <w:jc w:val="both"/>
              <w:rPr>
                <w:sz w:val="18"/>
                <w:szCs w:val="18"/>
              </w:rPr>
            </w:pPr>
            <w:r w:rsidRPr="008139F7">
              <w:rPr>
                <w:sz w:val="18"/>
                <w:szCs w:val="18"/>
              </w:rPr>
              <w:t>Russia</w:t>
            </w:r>
          </w:p>
        </w:tc>
        <w:tc>
          <w:tcPr>
            <w:tcW w:w="1137" w:type="dxa"/>
          </w:tcPr>
          <w:p w14:paraId="45F90979" w14:textId="77777777" w:rsidR="008139F7" w:rsidRPr="008139F7" w:rsidRDefault="008139F7" w:rsidP="008139F7">
            <w:pPr>
              <w:jc w:val="both"/>
              <w:rPr>
                <w:sz w:val="18"/>
                <w:szCs w:val="18"/>
                <w:lang w:val="en-GB"/>
              </w:rPr>
            </w:pPr>
            <w:r w:rsidRPr="008139F7">
              <w:rPr>
                <w:sz w:val="18"/>
                <w:szCs w:val="18"/>
              </w:rPr>
              <w:t>Hungary</w:t>
            </w:r>
          </w:p>
        </w:tc>
      </w:tr>
      <w:tr w:rsidR="008139F7" w:rsidRPr="008139F7" w14:paraId="44937D96" w14:textId="77777777" w:rsidTr="008139F7">
        <w:tc>
          <w:tcPr>
            <w:tcW w:w="1696" w:type="dxa"/>
          </w:tcPr>
          <w:p w14:paraId="0FA27D64" w14:textId="77777777" w:rsidR="008139F7" w:rsidRPr="008139F7" w:rsidRDefault="008139F7" w:rsidP="008139F7">
            <w:pPr>
              <w:jc w:val="both"/>
              <w:rPr>
                <w:sz w:val="18"/>
                <w:szCs w:val="18"/>
                <w:lang w:val="en-GB"/>
              </w:rPr>
            </w:pPr>
            <w:r w:rsidRPr="008139F7">
              <w:rPr>
                <w:sz w:val="18"/>
                <w:szCs w:val="18"/>
              </w:rPr>
              <w:t>Resolution A/RES/1663(XVI)</w:t>
            </w:r>
          </w:p>
        </w:tc>
        <w:tc>
          <w:tcPr>
            <w:tcW w:w="709" w:type="dxa"/>
          </w:tcPr>
          <w:p w14:paraId="67B122B1" w14:textId="77777777" w:rsidR="008139F7" w:rsidRPr="008139F7" w:rsidRDefault="008139F7" w:rsidP="008139F7">
            <w:pPr>
              <w:jc w:val="both"/>
              <w:rPr>
                <w:sz w:val="18"/>
                <w:szCs w:val="18"/>
                <w:lang w:val="en-GB"/>
              </w:rPr>
            </w:pPr>
            <w:r w:rsidRPr="008139F7">
              <w:rPr>
                <w:sz w:val="18"/>
                <w:szCs w:val="18"/>
              </w:rPr>
              <w:t>1961</w:t>
            </w:r>
          </w:p>
        </w:tc>
        <w:tc>
          <w:tcPr>
            <w:tcW w:w="4394" w:type="dxa"/>
          </w:tcPr>
          <w:p w14:paraId="118CD771" w14:textId="77777777" w:rsidR="008139F7" w:rsidRPr="008139F7" w:rsidRDefault="008139F7" w:rsidP="008139F7">
            <w:pPr>
              <w:jc w:val="both"/>
              <w:rPr>
                <w:sz w:val="18"/>
                <w:szCs w:val="18"/>
                <w:lang w:val="en-GB"/>
              </w:rPr>
            </w:pPr>
            <w:r w:rsidRPr="008139F7">
              <w:rPr>
                <w:sz w:val="18"/>
                <w:szCs w:val="18"/>
              </w:rPr>
              <w:t>The question of race conflict in South Africa resulting from the policies of apartheid of the Government of the Repulbic of South Africa</w:t>
            </w:r>
          </w:p>
        </w:tc>
        <w:tc>
          <w:tcPr>
            <w:tcW w:w="1080" w:type="dxa"/>
          </w:tcPr>
          <w:p w14:paraId="6331B62F" w14:textId="77777777" w:rsidR="008139F7" w:rsidRPr="008139F7" w:rsidRDefault="008139F7" w:rsidP="008139F7">
            <w:pPr>
              <w:jc w:val="both"/>
              <w:rPr>
                <w:sz w:val="18"/>
                <w:szCs w:val="18"/>
              </w:rPr>
            </w:pPr>
            <w:r w:rsidRPr="008139F7">
              <w:rPr>
                <w:sz w:val="18"/>
                <w:szCs w:val="18"/>
              </w:rPr>
              <w:t>South Africa</w:t>
            </w:r>
          </w:p>
        </w:tc>
        <w:tc>
          <w:tcPr>
            <w:tcW w:w="1137" w:type="dxa"/>
          </w:tcPr>
          <w:p w14:paraId="05270265" w14:textId="77777777" w:rsidR="008139F7" w:rsidRPr="008139F7" w:rsidRDefault="008139F7" w:rsidP="008139F7">
            <w:pPr>
              <w:jc w:val="both"/>
              <w:rPr>
                <w:sz w:val="18"/>
                <w:szCs w:val="18"/>
                <w:lang w:val="en-GB"/>
              </w:rPr>
            </w:pPr>
            <w:r w:rsidRPr="008139F7">
              <w:rPr>
                <w:sz w:val="18"/>
                <w:szCs w:val="18"/>
              </w:rPr>
              <w:t>black population</w:t>
            </w:r>
          </w:p>
        </w:tc>
      </w:tr>
      <w:tr w:rsidR="008139F7" w:rsidRPr="008139F7" w14:paraId="319BE624" w14:textId="77777777" w:rsidTr="008139F7">
        <w:tc>
          <w:tcPr>
            <w:tcW w:w="1696" w:type="dxa"/>
          </w:tcPr>
          <w:p w14:paraId="6945B35D" w14:textId="77777777" w:rsidR="008139F7" w:rsidRPr="008139F7" w:rsidRDefault="008139F7" w:rsidP="008139F7">
            <w:pPr>
              <w:jc w:val="both"/>
              <w:rPr>
                <w:sz w:val="18"/>
                <w:szCs w:val="18"/>
                <w:lang w:val="en-GB"/>
              </w:rPr>
            </w:pPr>
            <w:r w:rsidRPr="008139F7">
              <w:rPr>
                <w:sz w:val="18"/>
                <w:szCs w:val="18"/>
              </w:rPr>
              <w:t>Resolution A/RES/1746(XVI)</w:t>
            </w:r>
          </w:p>
        </w:tc>
        <w:tc>
          <w:tcPr>
            <w:tcW w:w="709" w:type="dxa"/>
          </w:tcPr>
          <w:p w14:paraId="31FEE8C1" w14:textId="77777777" w:rsidR="008139F7" w:rsidRPr="008139F7" w:rsidRDefault="008139F7" w:rsidP="008139F7">
            <w:pPr>
              <w:jc w:val="both"/>
              <w:rPr>
                <w:sz w:val="18"/>
                <w:szCs w:val="18"/>
                <w:lang w:val="en-GB"/>
              </w:rPr>
            </w:pPr>
            <w:r w:rsidRPr="008139F7">
              <w:rPr>
                <w:sz w:val="18"/>
                <w:szCs w:val="18"/>
              </w:rPr>
              <w:t>1962</w:t>
            </w:r>
          </w:p>
        </w:tc>
        <w:tc>
          <w:tcPr>
            <w:tcW w:w="4394" w:type="dxa"/>
          </w:tcPr>
          <w:p w14:paraId="1B33F228" w14:textId="77777777" w:rsidR="008139F7" w:rsidRPr="008139F7" w:rsidRDefault="008139F7" w:rsidP="008139F7">
            <w:pPr>
              <w:jc w:val="both"/>
              <w:rPr>
                <w:sz w:val="18"/>
                <w:szCs w:val="18"/>
                <w:lang w:val="en-GB"/>
              </w:rPr>
            </w:pPr>
            <w:r w:rsidRPr="008139F7">
              <w:rPr>
                <w:sz w:val="18"/>
                <w:szCs w:val="18"/>
              </w:rPr>
              <w:t>The future of Ruanda-Urundi</w:t>
            </w:r>
          </w:p>
        </w:tc>
        <w:tc>
          <w:tcPr>
            <w:tcW w:w="1080" w:type="dxa"/>
          </w:tcPr>
          <w:p w14:paraId="32DDAB4B" w14:textId="77777777" w:rsidR="008139F7" w:rsidRPr="008139F7" w:rsidRDefault="008139F7" w:rsidP="008139F7">
            <w:pPr>
              <w:jc w:val="both"/>
              <w:rPr>
                <w:sz w:val="18"/>
                <w:szCs w:val="18"/>
              </w:rPr>
            </w:pPr>
            <w:r w:rsidRPr="008139F7">
              <w:rPr>
                <w:sz w:val="18"/>
                <w:szCs w:val="18"/>
              </w:rPr>
              <w:t>Ruanda</w:t>
            </w:r>
          </w:p>
        </w:tc>
        <w:tc>
          <w:tcPr>
            <w:tcW w:w="1137" w:type="dxa"/>
          </w:tcPr>
          <w:p w14:paraId="7D013003" w14:textId="77777777" w:rsidR="008139F7" w:rsidRPr="008139F7" w:rsidRDefault="008139F7" w:rsidP="008139F7">
            <w:pPr>
              <w:jc w:val="both"/>
              <w:rPr>
                <w:sz w:val="18"/>
                <w:szCs w:val="18"/>
                <w:lang w:val="en-GB"/>
              </w:rPr>
            </w:pPr>
            <w:r w:rsidRPr="008139F7">
              <w:rPr>
                <w:sz w:val="18"/>
                <w:szCs w:val="18"/>
              </w:rPr>
              <w:t>Burundi</w:t>
            </w:r>
          </w:p>
        </w:tc>
      </w:tr>
      <w:tr w:rsidR="008139F7" w:rsidRPr="008139F7" w14:paraId="142AF36C" w14:textId="77777777" w:rsidTr="008139F7">
        <w:tc>
          <w:tcPr>
            <w:tcW w:w="1696" w:type="dxa"/>
          </w:tcPr>
          <w:p w14:paraId="44D8C114" w14:textId="77777777" w:rsidR="008139F7" w:rsidRPr="008139F7" w:rsidRDefault="008139F7" w:rsidP="008139F7">
            <w:pPr>
              <w:jc w:val="both"/>
              <w:rPr>
                <w:sz w:val="18"/>
                <w:szCs w:val="18"/>
                <w:lang w:val="en-GB"/>
              </w:rPr>
            </w:pPr>
            <w:r w:rsidRPr="008139F7">
              <w:rPr>
                <w:sz w:val="18"/>
                <w:szCs w:val="18"/>
              </w:rPr>
              <w:t>Resolution 1761</w:t>
            </w:r>
          </w:p>
        </w:tc>
        <w:tc>
          <w:tcPr>
            <w:tcW w:w="709" w:type="dxa"/>
          </w:tcPr>
          <w:p w14:paraId="4A73F97A" w14:textId="77777777" w:rsidR="008139F7" w:rsidRPr="008139F7" w:rsidRDefault="008139F7" w:rsidP="008139F7">
            <w:pPr>
              <w:jc w:val="both"/>
              <w:rPr>
                <w:sz w:val="18"/>
                <w:szCs w:val="18"/>
                <w:lang w:val="en-GB"/>
              </w:rPr>
            </w:pPr>
            <w:r w:rsidRPr="008139F7">
              <w:rPr>
                <w:sz w:val="18"/>
                <w:szCs w:val="18"/>
              </w:rPr>
              <w:t>1962</w:t>
            </w:r>
          </w:p>
        </w:tc>
        <w:tc>
          <w:tcPr>
            <w:tcW w:w="4394" w:type="dxa"/>
          </w:tcPr>
          <w:p w14:paraId="5E3695A9" w14:textId="77777777" w:rsidR="008139F7" w:rsidRPr="008139F7" w:rsidRDefault="008139F7" w:rsidP="008139F7">
            <w:pPr>
              <w:jc w:val="both"/>
              <w:rPr>
                <w:sz w:val="18"/>
                <w:szCs w:val="18"/>
                <w:lang w:val="en-GB"/>
              </w:rPr>
            </w:pPr>
            <w:r w:rsidRPr="008139F7">
              <w:rPr>
                <w:sz w:val="18"/>
                <w:szCs w:val="18"/>
              </w:rPr>
              <w:t>Recommended sanctions against South Africa in response to the governments policy of apartheid.</w:t>
            </w:r>
          </w:p>
        </w:tc>
        <w:tc>
          <w:tcPr>
            <w:tcW w:w="1080" w:type="dxa"/>
          </w:tcPr>
          <w:p w14:paraId="6F185426" w14:textId="77777777" w:rsidR="008139F7" w:rsidRPr="008139F7" w:rsidRDefault="008139F7" w:rsidP="008139F7">
            <w:pPr>
              <w:jc w:val="both"/>
              <w:rPr>
                <w:sz w:val="18"/>
                <w:szCs w:val="18"/>
              </w:rPr>
            </w:pPr>
            <w:r w:rsidRPr="008139F7">
              <w:rPr>
                <w:sz w:val="18"/>
                <w:szCs w:val="18"/>
              </w:rPr>
              <w:t>South Africa</w:t>
            </w:r>
          </w:p>
        </w:tc>
        <w:tc>
          <w:tcPr>
            <w:tcW w:w="1137" w:type="dxa"/>
          </w:tcPr>
          <w:p w14:paraId="13613B41" w14:textId="77777777" w:rsidR="008139F7" w:rsidRPr="008139F7" w:rsidRDefault="008139F7" w:rsidP="008139F7">
            <w:pPr>
              <w:jc w:val="both"/>
              <w:rPr>
                <w:sz w:val="18"/>
                <w:szCs w:val="18"/>
                <w:lang w:val="en-GB"/>
              </w:rPr>
            </w:pPr>
            <w:r w:rsidRPr="008139F7">
              <w:rPr>
                <w:sz w:val="18"/>
                <w:szCs w:val="18"/>
              </w:rPr>
              <w:t>black population</w:t>
            </w:r>
          </w:p>
        </w:tc>
      </w:tr>
      <w:tr w:rsidR="008139F7" w:rsidRPr="008139F7" w14:paraId="44F24257" w14:textId="77777777" w:rsidTr="008139F7">
        <w:tc>
          <w:tcPr>
            <w:tcW w:w="1696" w:type="dxa"/>
          </w:tcPr>
          <w:p w14:paraId="4EC942A9" w14:textId="77777777" w:rsidR="008139F7" w:rsidRPr="008139F7" w:rsidRDefault="008139F7" w:rsidP="008139F7">
            <w:pPr>
              <w:jc w:val="both"/>
              <w:rPr>
                <w:sz w:val="18"/>
                <w:szCs w:val="18"/>
                <w:lang w:val="en-GB"/>
              </w:rPr>
            </w:pPr>
            <w:r w:rsidRPr="008139F7">
              <w:rPr>
                <w:sz w:val="18"/>
                <w:szCs w:val="18"/>
              </w:rPr>
              <w:t>Resolution 1964</w:t>
            </w:r>
          </w:p>
        </w:tc>
        <w:tc>
          <w:tcPr>
            <w:tcW w:w="709" w:type="dxa"/>
          </w:tcPr>
          <w:p w14:paraId="1A0F31BA" w14:textId="77777777" w:rsidR="008139F7" w:rsidRPr="008139F7" w:rsidRDefault="008139F7" w:rsidP="008139F7">
            <w:pPr>
              <w:jc w:val="both"/>
              <w:rPr>
                <w:sz w:val="18"/>
                <w:szCs w:val="18"/>
                <w:lang w:val="en-GB"/>
              </w:rPr>
            </w:pPr>
            <w:r w:rsidRPr="008139F7">
              <w:rPr>
                <w:sz w:val="18"/>
                <w:szCs w:val="18"/>
              </w:rPr>
              <w:t>1963</w:t>
            </w:r>
          </w:p>
        </w:tc>
        <w:tc>
          <w:tcPr>
            <w:tcW w:w="4394" w:type="dxa"/>
          </w:tcPr>
          <w:p w14:paraId="53F3685D" w14:textId="77777777" w:rsidR="008139F7" w:rsidRPr="008139F7" w:rsidRDefault="008139F7" w:rsidP="008139F7">
            <w:pPr>
              <w:jc w:val="both"/>
              <w:rPr>
                <w:sz w:val="18"/>
                <w:szCs w:val="18"/>
                <w:lang w:val="en-GB"/>
              </w:rPr>
            </w:pPr>
            <w:r w:rsidRPr="008139F7">
              <w:rPr>
                <w:sz w:val="18"/>
                <w:szCs w:val="18"/>
              </w:rPr>
              <w:t>The Korean question</w:t>
            </w:r>
          </w:p>
        </w:tc>
        <w:tc>
          <w:tcPr>
            <w:tcW w:w="1080" w:type="dxa"/>
          </w:tcPr>
          <w:p w14:paraId="3BF78FAD" w14:textId="77777777" w:rsidR="008139F7" w:rsidRPr="008139F7" w:rsidRDefault="008139F7" w:rsidP="008139F7">
            <w:pPr>
              <w:jc w:val="both"/>
              <w:rPr>
                <w:sz w:val="18"/>
                <w:szCs w:val="18"/>
              </w:rPr>
            </w:pPr>
            <w:r w:rsidRPr="008139F7">
              <w:rPr>
                <w:sz w:val="18"/>
                <w:szCs w:val="18"/>
              </w:rPr>
              <w:t>N. Korea</w:t>
            </w:r>
          </w:p>
        </w:tc>
        <w:tc>
          <w:tcPr>
            <w:tcW w:w="1137" w:type="dxa"/>
          </w:tcPr>
          <w:p w14:paraId="234FBC29" w14:textId="77777777" w:rsidR="008139F7" w:rsidRPr="008139F7" w:rsidRDefault="008139F7" w:rsidP="008139F7">
            <w:pPr>
              <w:jc w:val="both"/>
              <w:rPr>
                <w:sz w:val="18"/>
                <w:szCs w:val="18"/>
                <w:lang w:val="en-GB"/>
              </w:rPr>
            </w:pPr>
            <w:r w:rsidRPr="008139F7">
              <w:rPr>
                <w:sz w:val="18"/>
                <w:szCs w:val="18"/>
              </w:rPr>
              <w:t>S. Korea</w:t>
            </w:r>
          </w:p>
        </w:tc>
      </w:tr>
      <w:tr w:rsidR="008139F7" w:rsidRPr="008139F7" w14:paraId="0ECFE32E" w14:textId="77777777" w:rsidTr="008139F7">
        <w:tc>
          <w:tcPr>
            <w:tcW w:w="1696" w:type="dxa"/>
          </w:tcPr>
          <w:p w14:paraId="1CE7EE75" w14:textId="77777777" w:rsidR="008139F7" w:rsidRPr="008139F7" w:rsidRDefault="008139F7" w:rsidP="008139F7">
            <w:pPr>
              <w:jc w:val="both"/>
              <w:rPr>
                <w:sz w:val="18"/>
                <w:szCs w:val="18"/>
                <w:lang w:val="en-GB"/>
              </w:rPr>
            </w:pPr>
            <w:r w:rsidRPr="008139F7">
              <w:rPr>
                <w:sz w:val="18"/>
                <w:szCs w:val="18"/>
              </w:rPr>
              <w:t>Resolution 2065</w:t>
            </w:r>
          </w:p>
        </w:tc>
        <w:tc>
          <w:tcPr>
            <w:tcW w:w="709" w:type="dxa"/>
          </w:tcPr>
          <w:p w14:paraId="08B3B2BC" w14:textId="77777777" w:rsidR="008139F7" w:rsidRPr="008139F7" w:rsidRDefault="008139F7" w:rsidP="008139F7">
            <w:pPr>
              <w:jc w:val="both"/>
              <w:rPr>
                <w:sz w:val="18"/>
                <w:szCs w:val="18"/>
                <w:lang w:val="en-GB"/>
              </w:rPr>
            </w:pPr>
            <w:r w:rsidRPr="008139F7">
              <w:rPr>
                <w:sz w:val="18"/>
                <w:szCs w:val="18"/>
              </w:rPr>
              <w:t>1965</w:t>
            </w:r>
          </w:p>
        </w:tc>
        <w:tc>
          <w:tcPr>
            <w:tcW w:w="4394" w:type="dxa"/>
          </w:tcPr>
          <w:p w14:paraId="70DC7A8F" w14:textId="77777777" w:rsidR="008139F7" w:rsidRPr="008139F7" w:rsidRDefault="008139F7" w:rsidP="008139F7">
            <w:pPr>
              <w:jc w:val="both"/>
              <w:rPr>
                <w:sz w:val="18"/>
                <w:szCs w:val="18"/>
                <w:lang w:val="en-GB"/>
              </w:rPr>
            </w:pPr>
            <w:r w:rsidRPr="008139F7">
              <w:rPr>
                <w:sz w:val="18"/>
                <w:szCs w:val="18"/>
              </w:rPr>
              <w:t>Question of the Falkland Islands</w:t>
            </w:r>
          </w:p>
        </w:tc>
        <w:tc>
          <w:tcPr>
            <w:tcW w:w="1080" w:type="dxa"/>
          </w:tcPr>
          <w:p w14:paraId="5556BCDB" w14:textId="77777777" w:rsidR="008139F7" w:rsidRPr="008139F7" w:rsidRDefault="008139F7" w:rsidP="008139F7">
            <w:pPr>
              <w:jc w:val="both"/>
              <w:rPr>
                <w:sz w:val="18"/>
                <w:szCs w:val="18"/>
              </w:rPr>
            </w:pPr>
            <w:r w:rsidRPr="008139F7">
              <w:rPr>
                <w:sz w:val="18"/>
                <w:szCs w:val="18"/>
              </w:rPr>
              <w:t>Argentina</w:t>
            </w:r>
          </w:p>
        </w:tc>
        <w:tc>
          <w:tcPr>
            <w:tcW w:w="1137" w:type="dxa"/>
          </w:tcPr>
          <w:p w14:paraId="7B97EF9A" w14:textId="77777777" w:rsidR="008139F7" w:rsidRPr="008139F7" w:rsidRDefault="008139F7" w:rsidP="008139F7">
            <w:pPr>
              <w:jc w:val="both"/>
              <w:rPr>
                <w:sz w:val="18"/>
                <w:szCs w:val="18"/>
                <w:lang w:val="en-GB"/>
              </w:rPr>
            </w:pPr>
            <w:r w:rsidRPr="008139F7">
              <w:rPr>
                <w:sz w:val="18"/>
                <w:szCs w:val="18"/>
              </w:rPr>
              <w:t>UK</w:t>
            </w:r>
          </w:p>
        </w:tc>
      </w:tr>
      <w:tr w:rsidR="008139F7" w:rsidRPr="008139F7" w14:paraId="7E2E3894" w14:textId="77777777" w:rsidTr="008139F7">
        <w:tc>
          <w:tcPr>
            <w:tcW w:w="1696" w:type="dxa"/>
          </w:tcPr>
          <w:p w14:paraId="584B157B" w14:textId="77777777" w:rsidR="008139F7" w:rsidRPr="008139F7" w:rsidRDefault="008139F7" w:rsidP="008139F7">
            <w:pPr>
              <w:jc w:val="both"/>
              <w:rPr>
                <w:sz w:val="18"/>
                <w:szCs w:val="18"/>
                <w:lang w:val="en-GB"/>
              </w:rPr>
            </w:pPr>
            <w:r w:rsidRPr="008139F7">
              <w:rPr>
                <w:sz w:val="18"/>
                <w:szCs w:val="18"/>
              </w:rPr>
              <w:t>Resolution 2132</w:t>
            </w:r>
          </w:p>
        </w:tc>
        <w:tc>
          <w:tcPr>
            <w:tcW w:w="709" w:type="dxa"/>
          </w:tcPr>
          <w:p w14:paraId="5383EB3F" w14:textId="77777777" w:rsidR="008139F7" w:rsidRPr="008139F7" w:rsidRDefault="008139F7" w:rsidP="008139F7">
            <w:pPr>
              <w:jc w:val="both"/>
              <w:rPr>
                <w:sz w:val="18"/>
                <w:szCs w:val="18"/>
                <w:lang w:val="en-GB"/>
              </w:rPr>
            </w:pPr>
            <w:r w:rsidRPr="008139F7">
              <w:rPr>
                <w:sz w:val="18"/>
                <w:szCs w:val="18"/>
              </w:rPr>
              <w:t>1965</w:t>
            </w:r>
          </w:p>
        </w:tc>
        <w:tc>
          <w:tcPr>
            <w:tcW w:w="4394" w:type="dxa"/>
          </w:tcPr>
          <w:p w14:paraId="06E4A861" w14:textId="77777777" w:rsidR="008139F7" w:rsidRPr="008139F7" w:rsidRDefault="008139F7" w:rsidP="008139F7">
            <w:pPr>
              <w:jc w:val="both"/>
              <w:rPr>
                <w:sz w:val="18"/>
                <w:szCs w:val="18"/>
                <w:lang w:val="en-GB"/>
              </w:rPr>
            </w:pPr>
            <w:r w:rsidRPr="008139F7">
              <w:rPr>
                <w:sz w:val="18"/>
                <w:szCs w:val="18"/>
              </w:rPr>
              <w:t>The Korean question</w:t>
            </w:r>
          </w:p>
        </w:tc>
        <w:tc>
          <w:tcPr>
            <w:tcW w:w="1080" w:type="dxa"/>
          </w:tcPr>
          <w:p w14:paraId="0D1C5893" w14:textId="77777777" w:rsidR="008139F7" w:rsidRPr="008139F7" w:rsidRDefault="008139F7" w:rsidP="008139F7">
            <w:pPr>
              <w:jc w:val="both"/>
              <w:rPr>
                <w:sz w:val="18"/>
                <w:szCs w:val="18"/>
              </w:rPr>
            </w:pPr>
            <w:r w:rsidRPr="008139F7">
              <w:rPr>
                <w:sz w:val="18"/>
                <w:szCs w:val="18"/>
              </w:rPr>
              <w:t>N. Korea</w:t>
            </w:r>
          </w:p>
        </w:tc>
        <w:tc>
          <w:tcPr>
            <w:tcW w:w="1137" w:type="dxa"/>
          </w:tcPr>
          <w:p w14:paraId="137EAFE2" w14:textId="77777777" w:rsidR="008139F7" w:rsidRPr="008139F7" w:rsidRDefault="008139F7" w:rsidP="008139F7">
            <w:pPr>
              <w:jc w:val="both"/>
              <w:rPr>
                <w:sz w:val="18"/>
                <w:szCs w:val="18"/>
                <w:lang w:val="en-GB"/>
              </w:rPr>
            </w:pPr>
            <w:r w:rsidRPr="008139F7">
              <w:rPr>
                <w:sz w:val="18"/>
                <w:szCs w:val="18"/>
              </w:rPr>
              <w:t>S. Korea</w:t>
            </w:r>
          </w:p>
        </w:tc>
      </w:tr>
      <w:tr w:rsidR="008139F7" w:rsidRPr="008139F7" w14:paraId="52361B4F" w14:textId="77777777" w:rsidTr="008139F7">
        <w:tc>
          <w:tcPr>
            <w:tcW w:w="1696" w:type="dxa"/>
          </w:tcPr>
          <w:p w14:paraId="4E3D90E8" w14:textId="77777777" w:rsidR="008139F7" w:rsidRPr="008139F7" w:rsidRDefault="008139F7" w:rsidP="008139F7">
            <w:pPr>
              <w:jc w:val="both"/>
              <w:rPr>
                <w:sz w:val="18"/>
                <w:szCs w:val="18"/>
                <w:lang w:val="en-GB"/>
              </w:rPr>
            </w:pPr>
            <w:r w:rsidRPr="008139F7">
              <w:rPr>
                <w:sz w:val="18"/>
                <w:szCs w:val="18"/>
              </w:rPr>
              <w:t>Resolution 2105</w:t>
            </w:r>
          </w:p>
        </w:tc>
        <w:tc>
          <w:tcPr>
            <w:tcW w:w="709" w:type="dxa"/>
          </w:tcPr>
          <w:p w14:paraId="2AECF9F6" w14:textId="77777777" w:rsidR="008139F7" w:rsidRPr="008139F7" w:rsidRDefault="008139F7" w:rsidP="008139F7">
            <w:pPr>
              <w:jc w:val="both"/>
              <w:rPr>
                <w:sz w:val="18"/>
                <w:szCs w:val="18"/>
                <w:lang w:val="en-GB"/>
              </w:rPr>
            </w:pPr>
            <w:r w:rsidRPr="008139F7">
              <w:rPr>
                <w:sz w:val="18"/>
                <w:szCs w:val="18"/>
              </w:rPr>
              <w:t>1965</w:t>
            </w:r>
          </w:p>
        </w:tc>
        <w:tc>
          <w:tcPr>
            <w:tcW w:w="4394" w:type="dxa"/>
          </w:tcPr>
          <w:p w14:paraId="603E1880" w14:textId="77777777" w:rsidR="008139F7" w:rsidRPr="008139F7" w:rsidRDefault="008139F7" w:rsidP="008139F7">
            <w:pPr>
              <w:jc w:val="both"/>
              <w:rPr>
                <w:sz w:val="18"/>
                <w:szCs w:val="18"/>
                <w:lang w:val="en-GB"/>
              </w:rPr>
            </w:pPr>
            <w:r w:rsidRPr="008139F7">
              <w:rPr>
                <w:sz w:val="18"/>
                <w:szCs w:val="18"/>
              </w:rPr>
              <w:t xml:space="preserve">Implementation of the Declaration on the Granting of Independence to Colonial Countries and Peoples </w:t>
            </w:r>
          </w:p>
        </w:tc>
        <w:tc>
          <w:tcPr>
            <w:tcW w:w="1080" w:type="dxa"/>
          </w:tcPr>
          <w:p w14:paraId="493EC0F0" w14:textId="77777777" w:rsidR="008139F7" w:rsidRPr="008139F7" w:rsidRDefault="008139F7" w:rsidP="008139F7">
            <w:pPr>
              <w:jc w:val="both"/>
              <w:rPr>
                <w:sz w:val="18"/>
                <w:szCs w:val="18"/>
              </w:rPr>
            </w:pPr>
            <w:r w:rsidRPr="008139F7">
              <w:rPr>
                <w:sz w:val="18"/>
                <w:szCs w:val="18"/>
              </w:rPr>
              <w:t>N. Korea</w:t>
            </w:r>
          </w:p>
        </w:tc>
        <w:tc>
          <w:tcPr>
            <w:tcW w:w="1137" w:type="dxa"/>
          </w:tcPr>
          <w:p w14:paraId="077C9A3F" w14:textId="77777777" w:rsidR="008139F7" w:rsidRPr="008139F7" w:rsidRDefault="008139F7" w:rsidP="008139F7">
            <w:pPr>
              <w:jc w:val="both"/>
              <w:rPr>
                <w:sz w:val="18"/>
                <w:szCs w:val="18"/>
                <w:lang w:val="en-GB"/>
              </w:rPr>
            </w:pPr>
            <w:r w:rsidRPr="008139F7">
              <w:rPr>
                <w:sz w:val="18"/>
                <w:szCs w:val="18"/>
              </w:rPr>
              <w:t>S. Korea</w:t>
            </w:r>
          </w:p>
        </w:tc>
      </w:tr>
      <w:tr w:rsidR="008139F7" w:rsidRPr="008139F7" w14:paraId="03069ACC" w14:textId="77777777" w:rsidTr="008139F7">
        <w:tc>
          <w:tcPr>
            <w:tcW w:w="1696" w:type="dxa"/>
          </w:tcPr>
          <w:p w14:paraId="00C276ED" w14:textId="77777777" w:rsidR="008139F7" w:rsidRPr="008139F7" w:rsidRDefault="008139F7" w:rsidP="008139F7">
            <w:pPr>
              <w:jc w:val="both"/>
              <w:rPr>
                <w:sz w:val="18"/>
                <w:szCs w:val="18"/>
                <w:lang w:val="en-GB"/>
              </w:rPr>
            </w:pPr>
            <w:r w:rsidRPr="008139F7">
              <w:rPr>
                <w:sz w:val="18"/>
                <w:szCs w:val="18"/>
              </w:rPr>
              <w:t>Resolution 2079</w:t>
            </w:r>
          </w:p>
        </w:tc>
        <w:tc>
          <w:tcPr>
            <w:tcW w:w="709" w:type="dxa"/>
          </w:tcPr>
          <w:p w14:paraId="3F5911AD" w14:textId="77777777" w:rsidR="008139F7" w:rsidRPr="008139F7" w:rsidRDefault="008139F7" w:rsidP="008139F7">
            <w:pPr>
              <w:jc w:val="both"/>
              <w:rPr>
                <w:sz w:val="18"/>
                <w:szCs w:val="18"/>
                <w:lang w:val="en-GB"/>
              </w:rPr>
            </w:pPr>
            <w:r w:rsidRPr="008139F7">
              <w:rPr>
                <w:sz w:val="18"/>
                <w:szCs w:val="18"/>
              </w:rPr>
              <w:t>1965</w:t>
            </w:r>
          </w:p>
        </w:tc>
        <w:tc>
          <w:tcPr>
            <w:tcW w:w="4394" w:type="dxa"/>
          </w:tcPr>
          <w:p w14:paraId="570800CD" w14:textId="77777777" w:rsidR="008139F7" w:rsidRPr="008139F7" w:rsidRDefault="008139F7" w:rsidP="008139F7">
            <w:pPr>
              <w:jc w:val="both"/>
              <w:rPr>
                <w:sz w:val="18"/>
                <w:szCs w:val="18"/>
                <w:lang w:val="en-GB"/>
              </w:rPr>
            </w:pPr>
            <w:r w:rsidRPr="008139F7">
              <w:rPr>
                <w:sz w:val="18"/>
                <w:szCs w:val="18"/>
              </w:rPr>
              <w:t>Question of Tibet</w:t>
            </w:r>
          </w:p>
        </w:tc>
        <w:tc>
          <w:tcPr>
            <w:tcW w:w="1080" w:type="dxa"/>
          </w:tcPr>
          <w:p w14:paraId="69138D70" w14:textId="77777777" w:rsidR="008139F7" w:rsidRPr="008139F7" w:rsidRDefault="008139F7" w:rsidP="008139F7">
            <w:pPr>
              <w:jc w:val="both"/>
              <w:rPr>
                <w:sz w:val="18"/>
                <w:szCs w:val="18"/>
              </w:rPr>
            </w:pPr>
            <w:r w:rsidRPr="008139F7">
              <w:rPr>
                <w:sz w:val="18"/>
                <w:szCs w:val="18"/>
              </w:rPr>
              <w:t>China</w:t>
            </w:r>
          </w:p>
        </w:tc>
        <w:tc>
          <w:tcPr>
            <w:tcW w:w="1137" w:type="dxa"/>
          </w:tcPr>
          <w:p w14:paraId="2E260124" w14:textId="77777777" w:rsidR="008139F7" w:rsidRPr="008139F7" w:rsidRDefault="008139F7" w:rsidP="008139F7">
            <w:pPr>
              <w:jc w:val="both"/>
              <w:rPr>
                <w:sz w:val="18"/>
                <w:szCs w:val="18"/>
                <w:lang w:val="en-GB"/>
              </w:rPr>
            </w:pPr>
            <w:r w:rsidRPr="008139F7">
              <w:rPr>
                <w:sz w:val="18"/>
                <w:szCs w:val="18"/>
              </w:rPr>
              <w:t>Tibet</w:t>
            </w:r>
          </w:p>
        </w:tc>
      </w:tr>
      <w:tr w:rsidR="008139F7" w:rsidRPr="008139F7" w14:paraId="598B1E20" w14:textId="77777777" w:rsidTr="008139F7">
        <w:tc>
          <w:tcPr>
            <w:tcW w:w="1696" w:type="dxa"/>
          </w:tcPr>
          <w:p w14:paraId="2F6D39FC" w14:textId="77777777" w:rsidR="008139F7" w:rsidRPr="008139F7" w:rsidRDefault="008139F7" w:rsidP="008139F7">
            <w:pPr>
              <w:jc w:val="both"/>
              <w:rPr>
                <w:sz w:val="18"/>
                <w:szCs w:val="18"/>
                <w:lang w:val="en-GB"/>
              </w:rPr>
            </w:pPr>
            <w:r w:rsidRPr="008139F7">
              <w:rPr>
                <w:sz w:val="18"/>
                <w:szCs w:val="18"/>
              </w:rPr>
              <w:t>Resolution 2077</w:t>
            </w:r>
          </w:p>
        </w:tc>
        <w:tc>
          <w:tcPr>
            <w:tcW w:w="709" w:type="dxa"/>
          </w:tcPr>
          <w:p w14:paraId="0C564308" w14:textId="77777777" w:rsidR="008139F7" w:rsidRPr="008139F7" w:rsidRDefault="008139F7" w:rsidP="008139F7">
            <w:pPr>
              <w:jc w:val="both"/>
              <w:rPr>
                <w:sz w:val="18"/>
                <w:szCs w:val="18"/>
                <w:lang w:val="en-GB"/>
              </w:rPr>
            </w:pPr>
            <w:r w:rsidRPr="008139F7">
              <w:rPr>
                <w:sz w:val="18"/>
                <w:szCs w:val="18"/>
              </w:rPr>
              <w:t>1965</w:t>
            </w:r>
          </w:p>
        </w:tc>
        <w:tc>
          <w:tcPr>
            <w:tcW w:w="4394" w:type="dxa"/>
          </w:tcPr>
          <w:p w14:paraId="64564326" w14:textId="77777777" w:rsidR="008139F7" w:rsidRPr="008139F7" w:rsidRDefault="008139F7" w:rsidP="008139F7">
            <w:pPr>
              <w:jc w:val="both"/>
              <w:rPr>
                <w:sz w:val="18"/>
                <w:szCs w:val="18"/>
                <w:lang w:val="en-GB"/>
              </w:rPr>
            </w:pPr>
            <w:r w:rsidRPr="008139F7">
              <w:rPr>
                <w:sz w:val="18"/>
                <w:szCs w:val="18"/>
              </w:rPr>
              <w:t>Question of Cyprus</w:t>
            </w:r>
          </w:p>
        </w:tc>
        <w:tc>
          <w:tcPr>
            <w:tcW w:w="1080" w:type="dxa"/>
          </w:tcPr>
          <w:p w14:paraId="5C5B0050" w14:textId="77777777" w:rsidR="008139F7" w:rsidRPr="008139F7" w:rsidRDefault="008139F7" w:rsidP="008139F7">
            <w:pPr>
              <w:jc w:val="both"/>
              <w:rPr>
                <w:sz w:val="18"/>
                <w:szCs w:val="18"/>
              </w:rPr>
            </w:pPr>
            <w:r w:rsidRPr="008139F7">
              <w:rPr>
                <w:sz w:val="18"/>
                <w:szCs w:val="18"/>
              </w:rPr>
              <w:t>Turkey</w:t>
            </w:r>
          </w:p>
        </w:tc>
        <w:tc>
          <w:tcPr>
            <w:tcW w:w="1137" w:type="dxa"/>
          </w:tcPr>
          <w:p w14:paraId="2A27F267" w14:textId="77777777" w:rsidR="008139F7" w:rsidRPr="008139F7" w:rsidRDefault="008139F7" w:rsidP="008139F7">
            <w:pPr>
              <w:jc w:val="both"/>
              <w:rPr>
                <w:sz w:val="18"/>
                <w:szCs w:val="18"/>
                <w:lang w:val="en-GB"/>
              </w:rPr>
            </w:pPr>
            <w:r w:rsidRPr="008139F7">
              <w:rPr>
                <w:sz w:val="18"/>
                <w:szCs w:val="18"/>
              </w:rPr>
              <w:t>Cyprus</w:t>
            </w:r>
          </w:p>
        </w:tc>
      </w:tr>
      <w:tr w:rsidR="008139F7" w:rsidRPr="008139F7" w14:paraId="050BD1EB" w14:textId="77777777" w:rsidTr="008139F7">
        <w:tc>
          <w:tcPr>
            <w:tcW w:w="1696" w:type="dxa"/>
          </w:tcPr>
          <w:p w14:paraId="490FA11E" w14:textId="77777777" w:rsidR="008139F7" w:rsidRPr="008139F7" w:rsidRDefault="008139F7" w:rsidP="008139F7">
            <w:pPr>
              <w:jc w:val="both"/>
              <w:rPr>
                <w:sz w:val="18"/>
                <w:szCs w:val="18"/>
                <w:lang w:val="en-GB"/>
              </w:rPr>
            </w:pPr>
            <w:r w:rsidRPr="008139F7">
              <w:rPr>
                <w:sz w:val="18"/>
                <w:szCs w:val="18"/>
              </w:rPr>
              <w:t>Resolution 2668</w:t>
            </w:r>
          </w:p>
        </w:tc>
        <w:tc>
          <w:tcPr>
            <w:tcW w:w="709" w:type="dxa"/>
          </w:tcPr>
          <w:p w14:paraId="77A4E086" w14:textId="77777777" w:rsidR="008139F7" w:rsidRPr="008139F7" w:rsidRDefault="008139F7" w:rsidP="008139F7">
            <w:pPr>
              <w:jc w:val="both"/>
              <w:rPr>
                <w:sz w:val="18"/>
                <w:szCs w:val="18"/>
                <w:lang w:val="en-GB"/>
              </w:rPr>
            </w:pPr>
            <w:r w:rsidRPr="008139F7">
              <w:rPr>
                <w:sz w:val="18"/>
                <w:szCs w:val="18"/>
              </w:rPr>
              <w:t>1970</w:t>
            </w:r>
          </w:p>
        </w:tc>
        <w:tc>
          <w:tcPr>
            <w:tcW w:w="4394" w:type="dxa"/>
          </w:tcPr>
          <w:p w14:paraId="0B4672B6" w14:textId="77777777" w:rsidR="008139F7" w:rsidRPr="008139F7" w:rsidRDefault="008139F7" w:rsidP="008139F7">
            <w:pPr>
              <w:jc w:val="both"/>
              <w:rPr>
                <w:sz w:val="18"/>
                <w:szCs w:val="18"/>
                <w:lang w:val="en-GB"/>
              </w:rPr>
            </w:pPr>
            <w:r w:rsidRPr="008139F7">
              <w:rPr>
                <w:sz w:val="18"/>
                <w:szCs w:val="18"/>
              </w:rPr>
              <w:t>Question of Korea</w:t>
            </w:r>
          </w:p>
        </w:tc>
        <w:tc>
          <w:tcPr>
            <w:tcW w:w="1080" w:type="dxa"/>
          </w:tcPr>
          <w:p w14:paraId="28AB77AD" w14:textId="77777777" w:rsidR="008139F7" w:rsidRPr="008139F7" w:rsidRDefault="008139F7" w:rsidP="008139F7">
            <w:pPr>
              <w:jc w:val="both"/>
              <w:rPr>
                <w:sz w:val="18"/>
                <w:szCs w:val="18"/>
              </w:rPr>
            </w:pPr>
            <w:r w:rsidRPr="008139F7">
              <w:rPr>
                <w:sz w:val="18"/>
                <w:szCs w:val="18"/>
              </w:rPr>
              <w:t>N. Korea</w:t>
            </w:r>
          </w:p>
        </w:tc>
        <w:tc>
          <w:tcPr>
            <w:tcW w:w="1137" w:type="dxa"/>
          </w:tcPr>
          <w:p w14:paraId="551AED3B" w14:textId="77777777" w:rsidR="008139F7" w:rsidRPr="008139F7" w:rsidRDefault="008139F7" w:rsidP="008139F7">
            <w:pPr>
              <w:jc w:val="both"/>
              <w:rPr>
                <w:sz w:val="18"/>
                <w:szCs w:val="18"/>
                <w:lang w:val="en-GB"/>
              </w:rPr>
            </w:pPr>
            <w:r w:rsidRPr="008139F7">
              <w:rPr>
                <w:sz w:val="18"/>
                <w:szCs w:val="18"/>
              </w:rPr>
              <w:t>S. Korea</w:t>
            </w:r>
          </w:p>
        </w:tc>
      </w:tr>
      <w:tr w:rsidR="008139F7" w:rsidRPr="008139F7" w14:paraId="26F818B5" w14:textId="77777777" w:rsidTr="008139F7">
        <w:tc>
          <w:tcPr>
            <w:tcW w:w="1696" w:type="dxa"/>
          </w:tcPr>
          <w:p w14:paraId="3180E3E9" w14:textId="77777777" w:rsidR="008139F7" w:rsidRPr="008139F7" w:rsidRDefault="008139F7" w:rsidP="008139F7">
            <w:pPr>
              <w:jc w:val="both"/>
              <w:rPr>
                <w:sz w:val="18"/>
                <w:szCs w:val="18"/>
                <w:lang w:val="en-GB"/>
              </w:rPr>
            </w:pPr>
            <w:r w:rsidRPr="008139F7">
              <w:rPr>
                <w:sz w:val="18"/>
                <w:szCs w:val="18"/>
              </w:rPr>
              <w:t>Resolution 338</w:t>
            </w:r>
          </w:p>
        </w:tc>
        <w:tc>
          <w:tcPr>
            <w:tcW w:w="709" w:type="dxa"/>
          </w:tcPr>
          <w:p w14:paraId="38B43CAF" w14:textId="77777777" w:rsidR="008139F7" w:rsidRPr="008139F7" w:rsidRDefault="008139F7" w:rsidP="008139F7">
            <w:pPr>
              <w:jc w:val="both"/>
              <w:rPr>
                <w:sz w:val="18"/>
                <w:szCs w:val="18"/>
                <w:lang w:val="en-GB"/>
              </w:rPr>
            </w:pPr>
            <w:r w:rsidRPr="008139F7">
              <w:rPr>
                <w:sz w:val="18"/>
                <w:szCs w:val="18"/>
              </w:rPr>
              <w:t>1973</w:t>
            </w:r>
          </w:p>
        </w:tc>
        <w:tc>
          <w:tcPr>
            <w:tcW w:w="4394" w:type="dxa"/>
          </w:tcPr>
          <w:p w14:paraId="7588D3A6" w14:textId="77777777" w:rsidR="008139F7" w:rsidRPr="008139F7" w:rsidRDefault="008139F7" w:rsidP="008139F7">
            <w:pPr>
              <w:jc w:val="both"/>
              <w:rPr>
                <w:sz w:val="18"/>
                <w:szCs w:val="18"/>
                <w:lang w:val="en-GB"/>
              </w:rPr>
            </w:pPr>
            <w:r w:rsidRPr="008139F7">
              <w:rPr>
                <w:sz w:val="18"/>
                <w:szCs w:val="18"/>
              </w:rPr>
              <w:t xml:space="preserve">called for an end to the Yom Kippur (October) War of 1973, in which Israel faced an offensive led by Egypt and Syria. </w:t>
            </w:r>
          </w:p>
        </w:tc>
        <w:tc>
          <w:tcPr>
            <w:tcW w:w="1080" w:type="dxa"/>
          </w:tcPr>
          <w:p w14:paraId="1D2C6B7C" w14:textId="77777777" w:rsidR="008139F7" w:rsidRPr="008139F7" w:rsidRDefault="008139F7" w:rsidP="008139F7">
            <w:pPr>
              <w:jc w:val="both"/>
              <w:rPr>
                <w:sz w:val="18"/>
                <w:szCs w:val="18"/>
              </w:rPr>
            </w:pPr>
            <w:r w:rsidRPr="008139F7">
              <w:rPr>
                <w:sz w:val="18"/>
                <w:szCs w:val="18"/>
              </w:rPr>
              <w:t>Egypt</w:t>
            </w:r>
          </w:p>
        </w:tc>
        <w:tc>
          <w:tcPr>
            <w:tcW w:w="1137" w:type="dxa"/>
          </w:tcPr>
          <w:p w14:paraId="4C244857" w14:textId="77777777" w:rsidR="008139F7" w:rsidRPr="008139F7" w:rsidRDefault="008139F7" w:rsidP="008139F7">
            <w:pPr>
              <w:jc w:val="both"/>
              <w:rPr>
                <w:sz w:val="18"/>
                <w:szCs w:val="18"/>
                <w:lang w:val="en-GB"/>
              </w:rPr>
            </w:pPr>
            <w:r w:rsidRPr="008139F7">
              <w:rPr>
                <w:sz w:val="18"/>
                <w:szCs w:val="18"/>
              </w:rPr>
              <w:t>Israel</w:t>
            </w:r>
          </w:p>
        </w:tc>
      </w:tr>
      <w:tr w:rsidR="008139F7" w:rsidRPr="008139F7" w14:paraId="66EBA1B7" w14:textId="77777777" w:rsidTr="008139F7">
        <w:tc>
          <w:tcPr>
            <w:tcW w:w="1696" w:type="dxa"/>
          </w:tcPr>
          <w:p w14:paraId="16D8AF33" w14:textId="77777777" w:rsidR="008139F7" w:rsidRPr="008139F7" w:rsidRDefault="008139F7" w:rsidP="008139F7">
            <w:pPr>
              <w:jc w:val="both"/>
              <w:rPr>
                <w:sz w:val="18"/>
                <w:szCs w:val="18"/>
                <w:lang w:val="en-GB"/>
              </w:rPr>
            </w:pPr>
            <w:r w:rsidRPr="008139F7">
              <w:rPr>
                <w:sz w:val="18"/>
                <w:szCs w:val="18"/>
              </w:rPr>
              <w:t>Resolution 33/75</w:t>
            </w:r>
          </w:p>
        </w:tc>
        <w:tc>
          <w:tcPr>
            <w:tcW w:w="709" w:type="dxa"/>
          </w:tcPr>
          <w:p w14:paraId="11C5EA08" w14:textId="77777777" w:rsidR="008139F7" w:rsidRPr="008139F7" w:rsidRDefault="008139F7" w:rsidP="008139F7">
            <w:pPr>
              <w:jc w:val="both"/>
              <w:rPr>
                <w:sz w:val="18"/>
                <w:szCs w:val="18"/>
                <w:lang w:val="en-GB"/>
              </w:rPr>
            </w:pPr>
            <w:r w:rsidRPr="008139F7">
              <w:rPr>
                <w:sz w:val="18"/>
                <w:szCs w:val="18"/>
              </w:rPr>
              <w:t>1978</w:t>
            </w:r>
          </w:p>
        </w:tc>
        <w:tc>
          <w:tcPr>
            <w:tcW w:w="4394" w:type="dxa"/>
          </w:tcPr>
          <w:p w14:paraId="70AFF8B7" w14:textId="77777777" w:rsidR="008139F7" w:rsidRPr="008139F7" w:rsidRDefault="008139F7" w:rsidP="008139F7">
            <w:pPr>
              <w:jc w:val="both"/>
              <w:rPr>
                <w:sz w:val="18"/>
                <w:szCs w:val="18"/>
                <w:lang w:val="en-GB"/>
              </w:rPr>
            </w:pPr>
            <w:r w:rsidRPr="008139F7">
              <w:rPr>
                <w:sz w:val="18"/>
                <w:szCs w:val="18"/>
              </w:rPr>
              <w:t>Urges the Security Council to take all necessary measures for ensuring UN decisions on the maintenance of international peace and security.</w:t>
            </w:r>
          </w:p>
        </w:tc>
        <w:tc>
          <w:tcPr>
            <w:tcW w:w="1080" w:type="dxa"/>
          </w:tcPr>
          <w:p w14:paraId="29E56D15" w14:textId="77777777" w:rsidR="008139F7" w:rsidRPr="008139F7" w:rsidRDefault="008139F7" w:rsidP="008139F7">
            <w:pPr>
              <w:jc w:val="both"/>
              <w:rPr>
                <w:sz w:val="18"/>
                <w:szCs w:val="18"/>
              </w:rPr>
            </w:pPr>
            <w:r w:rsidRPr="008139F7">
              <w:rPr>
                <w:sz w:val="18"/>
                <w:szCs w:val="18"/>
              </w:rPr>
              <w:t>Israel</w:t>
            </w:r>
          </w:p>
        </w:tc>
        <w:tc>
          <w:tcPr>
            <w:tcW w:w="1137" w:type="dxa"/>
          </w:tcPr>
          <w:p w14:paraId="619687FB" w14:textId="77777777" w:rsidR="008139F7" w:rsidRPr="008139F7" w:rsidRDefault="008139F7" w:rsidP="008139F7">
            <w:pPr>
              <w:jc w:val="both"/>
              <w:rPr>
                <w:sz w:val="18"/>
                <w:szCs w:val="18"/>
                <w:lang w:val="en-GB"/>
              </w:rPr>
            </w:pPr>
            <w:r w:rsidRPr="008139F7">
              <w:rPr>
                <w:sz w:val="18"/>
                <w:szCs w:val="18"/>
              </w:rPr>
              <w:t>Palestinians</w:t>
            </w:r>
          </w:p>
        </w:tc>
      </w:tr>
      <w:tr w:rsidR="008139F7" w:rsidRPr="008139F7" w14:paraId="46DF1C2B" w14:textId="77777777" w:rsidTr="008139F7">
        <w:tc>
          <w:tcPr>
            <w:tcW w:w="1696" w:type="dxa"/>
          </w:tcPr>
          <w:p w14:paraId="78A7DB25" w14:textId="77777777" w:rsidR="008139F7" w:rsidRPr="008139F7" w:rsidRDefault="008139F7" w:rsidP="008139F7">
            <w:pPr>
              <w:jc w:val="both"/>
              <w:rPr>
                <w:sz w:val="18"/>
                <w:szCs w:val="18"/>
                <w:lang w:val="en-GB"/>
              </w:rPr>
            </w:pPr>
            <w:r w:rsidRPr="008139F7">
              <w:rPr>
                <w:sz w:val="18"/>
                <w:szCs w:val="18"/>
              </w:rPr>
              <w:t>Resolution 34/37</w:t>
            </w:r>
          </w:p>
        </w:tc>
        <w:tc>
          <w:tcPr>
            <w:tcW w:w="709" w:type="dxa"/>
          </w:tcPr>
          <w:p w14:paraId="5A8F0955" w14:textId="77777777" w:rsidR="008139F7" w:rsidRPr="008139F7" w:rsidRDefault="008139F7" w:rsidP="008139F7">
            <w:pPr>
              <w:jc w:val="both"/>
              <w:rPr>
                <w:sz w:val="18"/>
                <w:szCs w:val="18"/>
                <w:lang w:val="en-GB"/>
              </w:rPr>
            </w:pPr>
            <w:r w:rsidRPr="008139F7">
              <w:rPr>
                <w:sz w:val="18"/>
                <w:szCs w:val="18"/>
              </w:rPr>
              <w:t>1979</w:t>
            </w:r>
          </w:p>
        </w:tc>
        <w:tc>
          <w:tcPr>
            <w:tcW w:w="4394" w:type="dxa"/>
          </w:tcPr>
          <w:p w14:paraId="3C65FB7D" w14:textId="77777777" w:rsidR="008139F7" w:rsidRPr="008139F7" w:rsidRDefault="008139F7" w:rsidP="008139F7">
            <w:pPr>
              <w:jc w:val="both"/>
              <w:rPr>
                <w:sz w:val="18"/>
                <w:szCs w:val="18"/>
                <w:lang w:val="en-GB"/>
              </w:rPr>
            </w:pPr>
            <w:r w:rsidRPr="008139F7">
              <w:rPr>
                <w:sz w:val="18"/>
                <w:szCs w:val="18"/>
              </w:rPr>
              <w:t>Deplored Moroccan occupation of Western Sahara and urged to terminate it.</w:t>
            </w:r>
          </w:p>
        </w:tc>
        <w:tc>
          <w:tcPr>
            <w:tcW w:w="1080" w:type="dxa"/>
          </w:tcPr>
          <w:p w14:paraId="2F6DBCAF" w14:textId="77777777" w:rsidR="008139F7" w:rsidRPr="008139F7" w:rsidRDefault="008139F7" w:rsidP="008139F7">
            <w:pPr>
              <w:jc w:val="both"/>
              <w:rPr>
                <w:sz w:val="18"/>
                <w:szCs w:val="18"/>
              </w:rPr>
            </w:pPr>
            <w:r w:rsidRPr="008139F7">
              <w:rPr>
                <w:sz w:val="18"/>
                <w:szCs w:val="18"/>
              </w:rPr>
              <w:t>Morocco</w:t>
            </w:r>
          </w:p>
        </w:tc>
        <w:tc>
          <w:tcPr>
            <w:tcW w:w="1137" w:type="dxa"/>
          </w:tcPr>
          <w:p w14:paraId="1FEC49FC" w14:textId="77777777" w:rsidR="008139F7" w:rsidRPr="008139F7" w:rsidRDefault="008139F7" w:rsidP="008139F7">
            <w:pPr>
              <w:jc w:val="both"/>
              <w:rPr>
                <w:sz w:val="18"/>
                <w:szCs w:val="18"/>
                <w:lang w:val="en-GB"/>
              </w:rPr>
            </w:pPr>
            <w:r w:rsidRPr="008139F7">
              <w:rPr>
                <w:sz w:val="18"/>
                <w:szCs w:val="18"/>
              </w:rPr>
              <w:t>Western Sahara</w:t>
            </w:r>
          </w:p>
        </w:tc>
      </w:tr>
      <w:tr w:rsidR="008139F7" w:rsidRPr="008139F7" w14:paraId="43E0E73E" w14:textId="77777777" w:rsidTr="008139F7">
        <w:tc>
          <w:tcPr>
            <w:tcW w:w="1696" w:type="dxa"/>
          </w:tcPr>
          <w:p w14:paraId="78486C5E" w14:textId="77777777" w:rsidR="008139F7" w:rsidRPr="008139F7" w:rsidRDefault="008139F7" w:rsidP="008139F7">
            <w:pPr>
              <w:jc w:val="both"/>
              <w:rPr>
                <w:sz w:val="18"/>
                <w:szCs w:val="18"/>
                <w:lang w:val="en-GB"/>
              </w:rPr>
            </w:pPr>
            <w:r w:rsidRPr="008139F7">
              <w:rPr>
                <w:sz w:val="18"/>
                <w:szCs w:val="18"/>
              </w:rPr>
              <w:t>Resolution 36/172C</w:t>
            </w:r>
          </w:p>
        </w:tc>
        <w:tc>
          <w:tcPr>
            <w:tcW w:w="709" w:type="dxa"/>
          </w:tcPr>
          <w:p w14:paraId="0D724EAF" w14:textId="77777777" w:rsidR="008139F7" w:rsidRPr="008139F7" w:rsidRDefault="008139F7" w:rsidP="008139F7">
            <w:pPr>
              <w:jc w:val="both"/>
              <w:rPr>
                <w:sz w:val="18"/>
                <w:szCs w:val="18"/>
                <w:lang w:val="en-GB"/>
              </w:rPr>
            </w:pPr>
            <w:r w:rsidRPr="008139F7">
              <w:rPr>
                <w:sz w:val="18"/>
                <w:szCs w:val="18"/>
              </w:rPr>
              <w:t>1981</w:t>
            </w:r>
          </w:p>
        </w:tc>
        <w:tc>
          <w:tcPr>
            <w:tcW w:w="4394" w:type="dxa"/>
          </w:tcPr>
          <w:p w14:paraId="75413EDA" w14:textId="77777777" w:rsidR="008139F7" w:rsidRPr="008139F7" w:rsidRDefault="008139F7" w:rsidP="008139F7">
            <w:pPr>
              <w:jc w:val="both"/>
              <w:rPr>
                <w:sz w:val="18"/>
                <w:szCs w:val="18"/>
                <w:lang w:val="en-GB"/>
              </w:rPr>
            </w:pPr>
            <w:r w:rsidRPr="008139F7">
              <w:rPr>
                <w:sz w:val="18"/>
                <w:szCs w:val="18"/>
              </w:rPr>
              <w:t>Acts of agression by the apartheid regime against Angola and other independent African States</w:t>
            </w:r>
          </w:p>
        </w:tc>
        <w:tc>
          <w:tcPr>
            <w:tcW w:w="1080" w:type="dxa"/>
          </w:tcPr>
          <w:p w14:paraId="631522A3" w14:textId="77777777" w:rsidR="008139F7" w:rsidRPr="008139F7" w:rsidRDefault="008139F7" w:rsidP="008139F7">
            <w:pPr>
              <w:jc w:val="both"/>
              <w:rPr>
                <w:sz w:val="18"/>
                <w:szCs w:val="18"/>
              </w:rPr>
            </w:pPr>
            <w:r w:rsidRPr="008139F7">
              <w:rPr>
                <w:sz w:val="18"/>
                <w:szCs w:val="18"/>
              </w:rPr>
              <w:t>South Africa</w:t>
            </w:r>
          </w:p>
        </w:tc>
        <w:tc>
          <w:tcPr>
            <w:tcW w:w="1137" w:type="dxa"/>
          </w:tcPr>
          <w:p w14:paraId="3CDEA15B" w14:textId="77777777" w:rsidR="008139F7" w:rsidRPr="008139F7" w:rsidRDefault="008139F7" w:rsidP="008139F7">
            <w:pPr>
              <w:jc w:val="both"/>
              <w:rPr>
                <w:sz w:val="18"/>
                <w:szCs w:val="18"/>
                <w:lang w:val="en-GB"/>
              </w:rPr>
            </w:pPr>
            <w:r w:rsidRPr="008139F7">
              <w:rPr>
                <w:sz w:val="18"/>
                <w:szCs w:val="18"/>
              </w:rPr>
              <w:t>Angola</w:t>
            </w:r>
          </w:p>
        </w:tc>
      </w:tr>
      <w:tr w:rsidR="008139F7" w:rsidRPr="008139F7" w14:paraId="7D2B28FC" w14:textId="77777777" w:rsidTr="008139F7">
        <w:tc>
          <w:tcPr>
            <w:tcW w:w="1696" w:type="dxa"/>
          </w:tcPr>
          <w:p w14:paraId="2613FE6E" w14:textId="77777777" w:rsidR="008139F7" w:rsidRPr="008139F7" w:rsidRDefault="008139F7" w:rsidP="008139F7">
            <w:pPr>
              <w:jc w:val="both"/>
              <w:rPr>
                <w:sz w:val="18"/>
                <w:szCs w:val="18"/>
                <w:lang w:val="en-GB"/>
              </w:rPr>
            </w:pPr>
            <w:r w:rsidRPr="008139F7">
              <w:rPr>
                <w:sz w:val="18"/>
                <w:szCs w:val="18"/>
              </w:rPr>
              <w:t>Resolution 37/18</w:t>
            </w:r>
          </w:p>
        </w:tc>
        <w:tc>
          <w:tcPr>
            <w:tcW w:w="709" w:type="dxa"/>
          </w:tcPr>
          <w:p w14:paraId="681491AF" w14:textId="77777777" w:rsidR="008139F7" w:rsidRPr="008139F7" w:rsidRDefault="008139F7" w:rsidP="008139F7">
            <w:pPr>
              <w:jc w:val="both"/>
              <w:rPr>
                <w:sz w:val="18"/>
                <w:szCs w:val="18"/>
                <w:lang w:val="en-GB"/>
              </w:rPr>
            </w:pPr>
            <w:r w:rsidRPr="008139F7">
              <w:rPr>
                <w:sz w:val="18"/>
                <w:szCs w:val="18"/>
              </w:rPr>
              <w:t>1982</w:t>
            </w:r>
          </w:p>
        </w:tc>
        <w:tc>
          <w:tcPr>
            <w:tcW w:w="4394" w:type="dxa"/>
          </w:tcPr>
          <w:p w14:paraId="7825CA9A" w14:textId="77777777" w:rsidR="008139F7" w:rsidRPr="008139F7" w:rsidRDefault="008139F7" w:rsidP="008139F7">
            <w:pPr>
              <w:jc w:val="both"/>
              <w:rPr>
                <w:sz w:val="18"/>
                <w:szCs w:val="18"/>
                <w:lang w:val="en-GB"/>
              </w:rPr>
            </w:pPr>
            <w:r w:rsidRPr="008139F7">
              <w:rPr>
                <w:sz w:val="18"/>
                <w:szCs w:val="18"/>
              </w:rPr>
              <w:t xml:space="preserve">Armed Israeli agression against Iraqi nuclear installations </w:t>
            </w:r>
          </w:p>
        </w:tc>
        <w:tc>
          <w:tcPr>
            <w:tcW w:w="1080" w:type="dxa"/>
          </w:tcPr>
          <w:p w14:paraId="5CDA6297" w14:textId="77777777" w:rsidR="008139F7" w:rsidRPr="008139F7" w:rsidRDefault="008139F7" w:rsidP="008139F7">
            <w:pPr>
              <w:jc w:val="both"/>
              <w:rPr>
                <w:sz w:val="18"/>
                <w:szCs w:val="18"/>
              </w:rPr>
            </w:pPr>
            <w:r w:rsidRPr="008139F7">
              <w:rPr>
                <w:sz w:val="18"/>
                <w:szCs w:val="18"/>
              </w:rPr>
              <w:t>Israel</w:t>
            </w:r>
          </w:p>
        </w:tc>
        <w:tc>
          <w:tcPr>
            <w:tcW w:w="1137" w:type="dxa"/>
          </w:tcPr>
          <w:p w14:paraId="41052361" w14:textId="77777777" w:rsidR="008139F7" w:rsidRPr="008139F7" w:rsidRDefault="008139F7" w:rsidP="008139F7">
            <w:pPr>
              <w:jc w:val="both"/>
              <w:rPr>
                <w:sz w:val="18"/>
                <w:szCs w:val="18"/>
                <w:lang w:val="en-GB"/>
              </w:rPr>
            </w:pPr>
            <w:r w:rsidRPr="008139F7">
              <w:rPr>
                <w:sz w:val="18"/>
                <w:szCs w:val="18"/>
              </w:rPr>
              <w:t>Iraq</w:t>
            </w:r>
          </w:p>
        </w:tc>
      </w:tr>
      <w:tr w:rsidR="008139F7" w:rsidRPr="008139F7" w14:paraId="1F660698" w14:textId="77777777" w:rsidTr="008139F7">
        <w:tc>
          <w:tcPr>
            <w:tcW w:w="1696" w:type="dxa"/>
          </w:tcPr>
          <w:p w14:paraId="7BD04933" w14:textId="77777777" w:rsidR="008139F7" w:rsidRPr="008139F7" w:rsidRDefault="008139F7" w:rsidP="008139F7">
            <w:pPr>
              <w:jc w:val="both"/>
              <w:rPr>
                <w:sz w:val="18"/>
                <w:szCs w:val="18"/>
                <w:lang w:val="en-GB"/>
              </w:rPr>
            </w:pPr>
            <w:r w:rsidRPr="008139F7">
              <w:rPr>
                <w:sz w:val="18"/>
                <w:szCs w:val="18"/>
              </w:rPr>
              <w:t>Resolution A/RES/37/3</w:t>
            </w:r>
          </w:p>
        </w:tc>
        <w:tc>
          <w:tcPr>
            <w:tcW w:w="709" w:type="dxa"/>
          </w:tcPr>
          <w:p w14:paraId="00951AE6" w14:textId="77777777" w:rsidR="008139F7" w:rsidRPr="008139F7" w:rsidRDefault="008139F7" w:rsidP="008139F7">
            <w:pPr>
              <w:jc w:val="both"/>
              <w:rPr>
                <w:sz w:val="18"/>
                <w:szCs w:val="18"/>
                <w:lang w:val="en-GB"/>
              </w:rPr>
            </w:pPr>
            <w:r w:rsidRPr="008139F7">
              <w:rPr>
                <w:sz w:val="18"/>
                <w:szCs w:val="18"/>
              </w:rPr>
              <w:t>1982</w:t>
            </w:r>
          </w:p>
        </w:tc>
        <w:tc>
          <w:tcPr>
            <w:tcW w:w="4394" w:type="dxa"/>
          </w:tcPr>
          <w:p w14:paraId="73359649" w14:textId="77777777" w:rsidR="008139F7" w:rsidRPr="008139F7" w:rsidRDefault="008139F7" w:rsidP="008139F7">
            <w:pPr>
              <w:jc w:val="both"/>
              <w:rPr>
                <w:sz w:val="18"/>
                <w:szCs w:val="18"/>
                <w:lang w:val="en-GB"/>
              </w:rPr>
            </w:pPr>
            <w:r w:rsidRPr="008139F7">
              <w:rPr>
                <w:sz w:val="18"/>
                <w:szCs w:val="18"/>
              </w:rPr>
              <w:t>Consequences of the prolongation of the armed conflict between Iran and Iraq</w:t>
            </w:r>
          </w:p>
        </w:tc>
        <w:tc>
          <w:tcPr>
            <w:tcW w:w="1080" w:type="dxa"/>
          </w:tcPr>
          <w:p w14:paraId="69D35937" w14:textId="77777777" w:rsidR="008139F7" w:rsidRPr="008139F7" w:rsidRDefault="008139F7" w:rsidP="008139F7">
            <w:pPr>
              <w:jc w:val="both"/>
              <w:rPr>
                <w:sz w:val="18"/>
                <w:szCs w:val="18"/>
              </w:rPr>
            </w:pPr>
            <w:r w:rsidRPr="008139F7">
              <w:rPr>
                <w:sz w:val="18"/>
                <w:szCs w:val="18"/>
              </w:rPr>
              <w:t>Iran</w:t>
            </w:r>
          </w:p>
        </w:tc>
        <w:tc>
          <w:tcPr>
            <w:tcW w:w="1137" w:type="dxa"/>
          </w:tcPr>
          <w:p w14:paraId="6C129188" w14:textId="77777777" w:rsidR="008139F7" w:rsidRPr="008139F7" w:rsidRDefault="008139F7" w:rsidP="008139F7">
            <w:pPr>
              <w:jc w:val="both"/>
              <w:rPr>
                <w:sz w:val="18"/>
                <w:szCs w:val="18"/>
                <w:lang w:val="en-GB"/>
              </w:rPr>
            </w:pPr>
            <w:r w:rsidRPr="008139F7">
              <w:rPr>
                <w:sz w:val="18"/>
                <w:szCs w:val="18"/>
              </w:rPr>
              <w:t>Iraq</w:t>
            </w:r>
          </w:p>
        </w:tc>
      </w:tr>
      <w:tr w:rsidR="008139F7" w:rsidRPr="008139F7" w14:paraId="1E08E4F5" w14:textId="77777777" w:rsidTr="008139F7">
        <w:tc>
          <w:tcPr>
            <w:tcW w:w="1696" w:type="dxa"/>
          </w:tcPr>
          <w:p w14:paraId="2817B62F" w14:textId="77777777" w:rsidR="008139F7" w:rsidRPr="008139F7" w:rsidRDefault="008139F7" w:rsidP="008139F7">
            <w:pPr>
              <w:jc w:val="both"/>
              <w:rPr>
                <w:sz w:val="18"/>
                <w:szCs w:val="18"/>
                <w:lang w:val="en-GB"/>
              </w:rPr>
            </w:pPr>
            <w:r w:rsidRPr="008139F7">
              <w:rPr>
                <w:sz w:val="18"/>
                <w:szCs w:val="18"/>
              </w:rPr>
              <w:t>Resolution S/RES/714(1991)</w:t>
            </w:r>
          </w:p>
        </w:tc>
        <w:tc>
          <w:tcPr>
            <w:tcW w:w="709" w:type="dxa"/>
          </w:tcPr>
          <w:p w14:paraId="30B4EF0F" w14:textId="77777777" w:rsidR="008139F7" w:rsidRPr="008139F7" w:rsidRDefault="008139F7" w:rsidP="008139F7">
            <w:pPr>
              <w:jc w:val="both"/>
              <w:rPr>
                <w:sz w:val="18"/>
                <w:szCs w:val="18"/>
                <w:lang w:val="en-GB"/>
              </w:rPr>
            </w:pPr>
            <w:r w:rsidRPr="008139F7">
              <w:rPr>
                <w:sz w:val="18"/>
                <w:szCs w:val="18"/>
              </w:rPr>
              <w:t>1991</w:t>
            </w:r>
          </w:p>
        </w:tc>
        <w:tc>
          <w:tcPr>
            <w:tcW w:w="4394" w:type="dxa"/>
          </w:tcPr>
          <w:p w14:paraId="2843DEF4" w14:textId="77777777" w:rsidR="008139F7" w:rsidRPr="008139F7" w:rsidRDefault="008139F7" w:rsidP="008139F7">
            <w:pPr>
              <w:jc w:val="both"/>
              <w:rPr>
                <w:sz w:val="18"/>
                <w:szCs w:val="18"/>
                <w:lang w:val="en-GB"/>
              </w:rPr>
            </w:pPr>
            <w:r w:rsidRPr="008139F7">
              <w:rPr>
                <w:sz w:val="18"/>
                <w:szCs w:val="18"/>
              </w:rPr>
              <w:t>on peaceful settlement of the armed conflict in El Salvador</w:t>
            </w:r>
          </w:p>
        </w:tc>
        <w:tc>
          <w:tcPr>
            <w:tcW w:w="1080" w:type="dxa"/>
          </w:tcPr>
          <w:p w14:paraId="4ECCFB93" w14:textId="77777777" w:rsidR="008139F7" w:rsidRPr="008139F7" w:rsidRDefault="008139F7" w:rsidP="008139F7">
            <w:pPr>
              <w:jc w:val="both"/>
              <w:rPr>
                <w:sz w:val="18"/>
                <w:szCs w:val="18"/>
              </w:rPr>
            </w:pPr>
            <w:r w:rsidRPr="008139F7">
              <w:rPr>
                <w:sz w:val="18"/>
                <w:szCs w:val="18"/>
              </w:rPr>
              <w:t>El Salvador</w:t>
            </w:r>
          </w:p>
        </w:tc>
        <w:tc>
          <w:tcPr>
            <w:tcW w:w="1137" w:type="dxa"/>
          </w:tcPr>
          <w:p w14:paraId="28DC1470" w14:textId="77777777" w:rsidR="008139F7" w:rsidRPr="008139F7" w:rsidRDefault="008139F7" w:rsidP="008139F7">
            <w:pPr>
              <w:jc w:val="both"/>
              <w:rPr>
                <w:sz w:val="18"/>
                <w:szCs w:val="18"/>
                <w:lang w:val="en-GB"/>
              </w:rPr>
            </w:pPr>
            <w:r w:rsidRPr="008139F7">
              <w:rPr>
                <w:sz w:val="18"/>
                <w:szCs w:val="18"/>
              </w:rPr>
              <w:t>own population</w:t>
            </w:r>
          </w:p>
        </w:tc>
      </w:tr>
      <w:tr w:rsidR="008139F7" w:rsidRPr="008139F7" w14:paraId="15743801" w14:textId="77777777" w:rsidTr="008139F7">
        <w:tc>
          <w:tcPr>
            <w:tcW w:w="1696" w:type="dxa"/>
          </w:tcPr>
          <w:p w14:paraId="56443D6E" w14:textId="77777777" w:rsidR="008139F7" w:rsidRPr="008139F7" w:rsidRDefault="008139F7" w:rsidP="008139F7">
            <w:pPr>
              <w:jc w:val="both"/>
              <w:rPr>
                <w:sz w:val="18"/>
                <w:szCs w:val="18"/>
                <w:lang w:val="en-GB"/>
              </w:rPr>
            </w:pPr>
            <w:r w:rsidRPr="008139F7">
              <w:rPr>
                <w:sz w:val="18"/>
                <w:szCs w:val="18"/>
              </w:rPr>
              <w:t>Resolution 47/121</w:t>
            </w:r>
          </w:p>
        </w:tc>
        <w:tc>
          <w:tcPr>
            <w:tcW w:w="709" w:type="dxa"/>
          </w:tcPr>
          <w:p w14:paraId="12F5882B" w14:textId="77777777" w:rsidR="008139F7" w:rsidRPr="008139F7" w:rsidRDefault="008139F7" w:rsidP="008139F7">
            <w:pPr>
              <w:jc w:val="both"/>
              <w:rPr>
                <w:sz w:val="18"/>
                <w:szCs w:val="18"/>
                <w:lang w:val="en-GB"/>
              </w:rPr>
            </w:pPr>
            <w:r w:rsidRPr="008139F7">
              <w:rPr>
                <w:sz w:val="18"/>
                <w:szCs w:val="18"/>
              </w:rPr>
              <w:t>1993</w:t>
            </w:r>
          </w:p>
        </w:tc>
        <w:tc>
          <w:tcPr>
            <w:tcW w:w="4394" w:type="dxa"/>
          </w:tcPr>
          <w:p w14:paraId="70759FFA" w14:textId="77777777" w:rsidR="008139F7" w:rsidRPr="008139F7" w:rsidRDefault="008139F7" w:rsidP="008139F7">
            <w:pPr>
              <w:jc w:val="both"/>
              <w:rPr>
                <w:sz w:val="18"/>
                <w:szCs w:val="18"/>
                <w:lang w:val="en-GB"/>
              </w:rPr>
            </w:pPr>
            <w:r w:rsidRPr="008139F7">
              <w:rPr>
                <w:sz w:val="18"/>
                <w:szCs w:val="18"/>
              </w:rPr>
              <w:t>condemned ethnic cleansing of the Bosnian Muslims by the Bosnian Serbs as genocide.</w:t>
            </w:r>
          </w:p>
        </w:tc>
        <w:tc>
          <w:tcPr>
            <w:tcW w:w="1080" w:type="dxa"/>
          </w:tcPr>
          <w:p w14:paraId="6B872929" w14:textId="77777777" w:rsidR="008139F7" w:rsidRPr="008139F7" w:rsidRDefault="008139F7" w:rsidP="008139F7">
            <w:pPr>
              <w:jc w:val="both"/>
              <w:rPr>
                <w:sz w:val="18"/>
                <w:szCs w:val="18"/>
              </w:rPr>
            </w:pPr>
            <w:r w:rsidRPr="008139F7">
              <w:rPr>
                <w:sz w:val="18"/>
                <w:szCs w:val="18"/>
              </w:rPr>
              <w:t>Serbia</w:t>
            </w:r>
          </w:p>
        </w:tc>
        <w:tc>
          <w:tcPr>
            <w:tcW w:w="1137" w:type="dxa"/>
          </w:tcPr>
          <w:p w14:paraId="3B43071A" w14:textId="77777777" w:rsidR="008139F7" w:rsidRPr="008139F7" w:rsidRDefault="008139F7" w:rsidP="008139F7">
            <w:pPr>
              <w:jc w:val="both"/>
              <w:rPr>
                <w:sz w:val="18"/>
                <w:szCs w:val="18"/>
                <w:lang w:val="en-GB"/>
              </w:rPr>
            </w:pPr>
            <w:r w:rsidRPr="008139F7">
              <w:rPr>
                <w:sz w:val="18"/>
                <w:szCs w:val="18"/>
              </w:rPr>
              <w:t>Bosnia &amp; Hercegovina</w:t>
            </w:r>
          </w:p>
        </w:tc>
      </w:tr>
      <w:tr w:rsidR="008139F7" w:rsidRPr="008139F7" w14:paraId="34AF73B0" w14:textId="77777777" w:rsidTr="008139F7">
        <w:tc>
          <w:tcPr>
            <w:tcW w:w="1696" w:type="dxa"/>
          </w:tcPr>
          <w:p w14:paraId="269543C0" w14:textId="77777777" w:rsidR="008139F7" w:rsidRPr="008139F7" w:rsidRDefault="008139F7" w:rsidP="008139F7">
            <w:pPr>
              <w:jc w:val="both"/>
              <w:rPr>
                <w:sz w:val="18"/>
                <w:szCs w:val="18"/>
                <w:lang w:val="en-GB"/>
              </w:rPr>
            </w:pPr>
            <w:r w:rsidRPr="008139F7">
              <w:rPr>
                <w:sz w:val="18"/>
                <w:szCs w:val="18"/>
              </w:rPr>
              <w:t>Resolution S/RES/1244</w:t>
            </w:r>
          </w:p>
        </w:tc>
        <w:tc>
          <w:tcPr>
            <w:tcW w:w="709" w:type="dxa"/>
          </w:tcPr>
          <w:p w14:paraId="4754D7DE" w14:textId="77777777" w:rsidR="008139F7" w:rsidRPr="008139F7" w:rsidRDefault="008139F7" w:rsidP="008139F7">
            <w:pPr>
              <w:jc w:val="both"/>
              <w:rPr>
                <w:sz w:val="18"/>
                <w:szCs w:val="18"/>
                <w:lang w:val="en-GB"/>
              </w:rPr>
            </w:pPr>
            <w:r w:rsidRPr="008139F7">
              <w:rPr>
                <w:sz w:val="18"/>
                <w:szCs w:val="18"/>
              </w:rPr>
              <w:t>1999</w:t>
            </w:r>
          </w:p>
        </w:tc>
        <w:tc>
          <w:tcPr>
            <w:tcW w:w="4394" w:type="dxa"/>
          </w:tcPr>
          <w:p w14:paraId="1CEA458E" w14:textId="77777777" w:rsidR="008139F7" w:rsidRPr="008139F7" w:rsidRDefault="008139F7" w:rsidP="008139F7">
            <w:pPr>
              <w:jc w:val="both"/>
              <w:rPr>
                <w:sz w:val="18"/>
                <w:szCs w:val="18"/>
                <w:lang w:val="en-GB"/>
              </w:rPr>
            </w:pPr>
            <w:r w:rsidRPr="008139F7">
              <w:rPr>
                <w:sz w:val="18"/>
                <w:szCs w:val="18"/>
              </w:rPr>
              <w:t>Condemning all acts of violence against the Kosovo population as well as all terrorist acts by any party.</w:t>
            </w:r>
          </w:p>
        </w:tc>
        <w:tc>
          <w:tcPr>
            <w:tcW w:w="1080" w:type="dxa"/>
          </w:tcPr>
          <w:p w14:paraId="627B0D42" w14:textId="77777777" w:rsidR="008139F7" w:rsidRPr="008139F7" w:rsidRDefault="008139F7" w:rsidP="008139F7">
            <w:pPr>
              <w:jc w:val="both"/>
              <w:rPr>
                <w:sz w:val="18"/>
                <w:szCs w:val="18"/>
              </w:rPr>
            </w:pPr>
            <w:r w:rsidRPr="008139F7">
              <w:rPr>
                <w:sz w:val="18"/>
                <w:szCs w:val="18"/>
              </w:rPr>
              <w:t>Serbia</w:t>
            </w:r>
          </w:p>
        </w:tc>
        <w:tc>
          <w:tcPr>
            <w:tcW w:w="1137" w:type="dxa"/>
          </w:tcPr>
          <w:p w14:paraId="25B8916B" w14:textId="77777777" w:rsidR="008139F7" w:rsidRPr="008139F7" w:rsidRDefault="008139F7" w:rsidP="008139F7">
            <w:pPr>
              <w:jc w:val="both"/>
              <w:rPr>
                <w:sz w:val="18"/>
                <w:szCs w:val="18"/>
                <w:lang w:val="en-GB"/>
              </w:rPr>
            </w:pPr>
            <w:r w:rsidRPr="008139F7">
              <w:rPr>
                <w:sz w:val="18"/>
                <w:szCs w:val="18"/>
              </w:rPr>
              <w:t>Kosovo</w:t>
            </w:r>
          </w:p>
        </w:tc>
      </w:tr>
      <w:tr w:rsidR="008139F7" w:rsidRPr="008139F7" w14:paraId="33860B2F" w14:textId="77777777" w:rsidTr="008139F7">
        <w:tc>
          <w:tcPr>
            <w:tcW w:w="1696" w:type="dxa"/>
          </w:tcPr>
          <w:p w14:paraId="49F5FB28" w14:textId="77777777" w:rsidR="008139F7" w:rsidRPr="008139F7" w:rsidRDefault="008139F7" w:rsidP="008139F7">
            <w:pPr>
              <w:jc w:val="both"/>
              <w:rPr>
                <w:sz w:val="18"/>
                <w:szCs w:val="18"/>
                <w:lang w:val="en-GB"/>
              </w:rPr>
            </w:pPr>
            <w:r w:rsidRPr="008139F7">
              <w:rPr>
                <w:sz w:val="18"/>
                <w:szCs w:val="18"/>
              </w:rPr>
              <w:t>Resolution 62/243</w:t>
            </w:r>
          </w:p>
        </w:tc>
        <w:tc>
          <w:tcPr>
            <w:tcW w:w="709" w:type="dxa"/>
          </w:tcPr>
          <w:p w14:paraId="7CB10DA9" w14:textId="77777777" w:rsidR="008139F7" w:rsidRPr="008139F7" w:rsidRDefault="008139F7" w:rsidP="008139F7">
            <w:pPr>
              <w:jc w:val="both"/>
              <w:rPr>
                <w:sz w:val="18"/>
                <w:szCs w:val="18"/>
                <w:lang w:val="en-GB"/>
              </w:rPr>
            </w:pPr>
            <w:r w:rsidRPr="008139F7">
              <w:rPr>
                <w:sz w:val="18"/>
                <w:szCs w:val="18"/>
              </w:rPr>
              <w:t>2006</w:t>
            </w:r>
          </w:p>
        </w:tc>
        <w:tc>
          <w:tcPr>
            <w:tcW w:w="4394" w:type="dxa"/>
          </w:tcPr>
          <w:p w14:paraId="2F660E52" w14:textId="77777777" w:rsidR="008139F7" w:rsidRPr="008139F7" w:rsidRDefault="008139F7" w:rsidP="008139F7">
            <w:pPr>
              <w:jc w:val="both"/>
              <w:rPr>
                <w:sz w:val="18"/>
                <w:szCs w:val="18"/>
                <w:lang w:val="en-GB"/>
              </w:rPr>
            </w:pPr>
            <w:r w:rsidRPr="008139F7">
              <w:rPr>
                <w:sz w:val="18"/>
                <w:szCs w:val="18"/>
              </w:rPr>
              <w:t>sovereignty and territorial integrity" of Azerbaijan, internationally recognized borders, immediate, complete and unconditional withdrawal of Armenians</w:t>
            </w:r>
          </w:p>
        </w:tc>
        <w:tc>
          <w:tcPr>
            <w:tcW w:w="1080" w:type="dxa"/>
          </w:tcPr>
          <w:p w14:paraId="7940386D" w14:textId="77777777" w:rsidR="008139F7" w:rsidRPr="008139F7" w:rsidRDefault="008139F7" w:rsidP="008139F7">
            <w:pPr>
              <w:jc w:val="both"/>
              <w:rPr>
                <w:sz w:val="18"/>
                <w:szCs w:val="18"/>
              </w:rPr>
            </w:pPr>
            <w:r w:rsidRPr="008139F7">
              <w:rPr>
                <w:sz w:val="18"/>
                <w:szCs w:val="18"/>
              </w:rPr>
              <w:t>Armenia</w:t>
            </w:r>
          </w:p>
        </w:tc>
        <w:tc>
          <w:tcPr>
            <w:tcW w:w="1137" w:type="dxa"/>
          </w:tcPr>
          <w:p w14:paraId="2FC1A93B" w14:textId="77777777" w:rsidR="008139F7" w:rsidRPr="008139F7" w:rsidRDefault="008139F7" w:rsidP="008139F7">
            <w:pPr>
              <w:jc w:val="both"/>
              <w:rPr>
                <w:sz w:val="18"/>
                <w:szCs w:val="18"/>
                <w:lang w:val="en-GB"/>
              </w:rPr>
            </w:pPr>
            <w:r w:rsidRPr="008139F7">
              <w:rPr>
                <w:sz w:val="18"/>
                <w:szCs w:val="18"/>
              </w:rPr>
              <w:t>Azerbaijan</w:t>
            </w:r>
          </w:p>
        </w:tc>
      </w:tr>
      <w:tr w:rsidR="008139F7" w:rsidRPr="008139F7" w14:paraId="5862FE38" w14:textId="77777777" w:rsidTr="008139F7">
        <w:tc>
          <w:tcPr>
            <w:tcW w:w="1696" w:type="dxa"/>
          </w:tcPr>
          <w:p w14:paraId="3867E03E" w14:textId="77777777" w:rsidR="008139F7" w:rsidRPr="008139F7" w:rsidRDefault="008139F7" w:rsidP="008139F7">
            <w:pPr>
              <w:jc w:val="both"/>
              <w:rPr>
                <w:sz w:val="18"/>
                <w:szCs w:val="18"/>
                <w:lang w:val="en-GB"/>
              </w:rPr>
            </w:pPr>
            <w:r w:rsidRPr="008139F7">
              <w:rPr>
                <w:sz w:val="18"/>
                <w:szCs w:val="18"/>
              </w:rPr>
              <w:t>Resolution 62/167</w:t>
            </w:r>
          </w:p>
        </w:tc>
        <w:tc>
          <w:tcPr>
            <w:tcW w:w="709" w:type="dxa"/>
          </w:tcPr>
          <w:p w14:paraId="04128005" w14:textId="77777777" w:rsidR="008139F7" w:rsidRPr="008139F7" w:rsidRDefault="008139F7" w:rsidP="008139F7">
            <w:pPr>
              <w:jc w:val="both"/>
              <w:rPr>
                <w:sz w:val="18"/>
                <w:szCs w:val="18"/>
                <w:lang w:val="en-GB"/>
              </w:rPr>
            </w:pPr>
            <w:r w:rsidRPr="008139F7">
              <w:rPr>
                <w:sz w:val="18"/>
                <w:szCs w:val="18"/>
              </w:rPr>
              <w:t>2007</w:t>
            </w:r>
          </w:p>
        </w:tc>
        <w:tc>
          <w:tcPr>
            <w:tcW w:w="4394" w:type="dxa"/>
          </w:tcPr>
          <w:p w14:paraId="54C5FCF5" w14:textId="77777777" w:rsidR="008139F7" w:rsidRPr="008139F7" w:rsidRDefault="008139F7" w:rsidP="008139F7">
            <w:pPr>
              <w:jc w:val="both"/>
              <w:rPr>
                <w:sz w:val="18"/>
                <w:szCs w:val="18"/>
                <w:lang w:val="en-GB"/>
              </w:rPr>
            </w:pPr>
            <w:r w:rsidRPr="008139F7">
              <w:rPr>
                <w:sz w:val="18"/>
                <w:szCs w:val="18"/>
              </w:rPr>
              <w:t>Expressed serious concern about human rights in North Korea.</w:t>
            </w:r>
          </w:p>
        </w:tc>
        <w:tc>
          <w:tcPr>
            <w:tcW w:w="1080" w:type="dxa"/>
          </w:tcPr>
          <w:p w14:paraId="4A86253C" w14:textId="77777777" w:rsidR="008139F7" w:rsidRPr="008139F7" w:rsidRDefault="008139F7" w:rsidP="008139F7">
            <w:pPr>
              <w:jc w:val="both"/>
              <w:rPr>
                <w:sz w:val="18"/>
                <w:szCs w:val="18"/>
              </w:rPr>
            </w:pPr>
            <w:r w:rsidRPr="008139F7">
              <w:rPr>
                <w:sz w:val="18"/>
                <w:szCs w:val="18"/>
              </w:rPr>
              <w:t>N. Korea</w:t>
            </w:r>
          </w:p>
        </w:tc>
        <w:tc>
          <w:tcPr>
            <w:tcW w:w="1137" w:type="dxa"/>
          </w:tcPr>
          <w:p w14:paraId="174F4DA9" w14:textId="77777777" w:rsidR="008139F7" w:rsidRPr="008139F7" w:rsidRDefault="008139F7" w:rsidP="008139F7">
            <w:pPr>
              <w:jc w:val="both"/>
              <w:rPr>
                <w:sz w:val="18"/>
                <w:szCs w:val="18"/>
                <w:lang w:val="en-GB"/>
              </w:rPr>
            </w:pPr>
            <w:r w:rsidRPr="008139F7">
              <w:rPr>
                <w:sz w:val="18"/>
                <w:szCs w:val="18"/>
              </w:rPr>
              <w:t>its own population</w:t>
            </w:r>
          </w:p>
        </w:tc>
      </w:tr>
      <w:tr w:rsidR="008139F7" w:rsidRPr="008139F7" w14:paraId="4C78917F" w14:textId="77777777" w:rsidTr="008139F7">
        <w:tc>
          <w:tcPr>
            <w:tcW w:w="1696" w:type="dxa"/>
          </w:tcPr>
          <w:p w14:paraId="68BFA287" w14:textId="77777777" w:rsidR="008139F7" w:rsidRPr="008139F7" w:rsidRDefault="008139F7" w:rsidP="008139F7">
            <w:pPr>
              <w:jc w:val="both"/>
              <w:rPr>
                <w:sz w:val="18"/>
                <w:szCs w:val="18"/>
                <w:lang w:val="en-GB"/>
              </w:rPr>
            </w:pPr>
            <w:r w:rsidRPr="008139F7">
              <w:rPr>
                <w:sz w:val="18"/>
                <w:szCs w:val="18"/>
              </w:rPr>
              <w:t>Resolution 63/3</w:t>
            </w:r>
          </w:p>
        </w:tc>
        <w:tc>
          <w:tcPr>
            <w:tcW w:w="709" w:type="dxa"/>
          </w:tcPr>
          <w:p w14:paraId="1ACAFC5F" w14:textId="77777777" w:rsidR="008139F7" w:rsidRPr="008139F7" w:rsidRDefault="008139F7" w:rsidP="008139F7">
            <w:pPr>
              <w:jc w:val="both"/>
              <w:rPr>
                <w:sz w:val="18"/>
                <w:szCs w:val="18"/>
                <w:lang w:val="en-GB"/>
              </w:rPr>
            </w:pPr>
            <w:r w:rsidRPr="008139F7">
              <w:rPr>
                <w:sz w:val="18"/>
                <w:szCs w:val="18"/>
              </w:rPr>
              <w:t>2008</w:t>
            </w:r>
          </w:p>
        </w:tc>
        <w:tc>
          <w:tcPr>
            <w:tcW w:w="4394" w:type="dxa"/>
          </w:tcPr>
          <w:p w14:paraId="78408E7E" w14:textId="77777777" w:rsidR="008139F7" w:rsidRPr="008139F7" w:rsidRDefault="008139F7" w:rsidP="008139F7">
            <w:pPr>
              <w:jc w:val="both"/>
              <w:rPr>
                <w:sz w:val="18"/>
                <w:szCs w:val="18"/>
                <w:lang w:val="en-GB"/>
              </w:rPr>
            </w:pPr>
            <w:r w:rsidRPr="008139F7">
              <w:rPr>
                <w:sz w:val="18"/>
                <w:szCs w:val="18"/>
              </w:rPr>
              <w:t>Request for an advisory opinion of the ICJ on whether the unilateral declaration of independence of Kosovo is in accordance with international law</w:t>
            </w:r>
          </w:p>
        </w:tc>
        <w:tc>
          <w:tcPr>
            <w:tcW w:w="1080" w:type="dxa"/>
          </w:tcPr>
          <w:p w14:paraId="5FA76AA3" w14:textId="77777777" w:rsidR="008139F7" w:rsidRPr="008139F7" w:rsidRDefault="008139F7" w:rsidP="008139F7">
            <w:pPr>
              <w:jc w:val="both"/>
              <w:rPr>
                <w:sz w:val="18"/>
                <w:szCs w:val="18"/>
              </w:rPr>
            </w:pPr>
            <w:r w:rsidRPr="008139F7">
              <w:rPr>
                <w:sz w:val="18"/>
                <w:szCs w:val="18"/>
              </w:rPr>
              <w:t>Serbia</w:t>
            </w:r>
          </w:p>
        </w:tc>
        <w:tc>
          <w:tcPr>
            <w:tcW w:w="1137" w:type="dxa"/>
          </w:tcPr>
          <w:p w14:paraId="34B2DA97" w14:textId="77777777" w:rsidR="008139F7" w:rsidRPr="008139F7" w:rsidRDefault="008139F7" w:rsidP="008139F7">
            <w:pPr>
              <w:jc w:val="both"/>
              <w:rPr>
                <w:sz w:val="18"/>
                <w:szCs w:val="18"/>
                <w:lang w:val="en-GB"/>
              </w:rPr>
            </w:pPr>
            <w:r w:rsidRPr="008139F7">
              <w:rPr>
                <w:sz w:val="18"/>
                <w:szCs w:val="18"/>
              </w:rPr>
              <w:t>Kosovo</w:t>
            </w:r>
          </w:p>
        </w:tc>
      </w:tr>
      <w:tr w:rsidR="008139F7" w:rsidRPr="008139F7" w14:paraId="28407774" w14:textId="77777777" w:rsidTr="008139F7">
        <w:tc>
          <w:tcPr>
            <w:tcW w:w="1696" w:type="dxa"/>
          </w:tcPr>
          <w:p w14:paraId="48728948" w14:textId="77777777" w:rsidR="008139F7" w:rsidRPr="008139F7" w:rsidRDefault="008139F7" w:rsidP="008139F7">
            <w:pPr>
              <w:jc w:val="both"/>
              <w:rPr>
                <w:sz w:val="18"/>
                <w:szCs w:val="18"/>
                <w:lang w:val="en-GB"/>
              </w:rPr>
            </w:pPr>
            <w:r w:rsidRPr="008139F7">
              <w:rPr>
                <w:sz w:val="18"/>
                <w:szCs w:val="18"/>
              </w:rPr>
              <w:lastRenderedPageBreak/>
              <w:t>Resolution 62/243</w:t>
            </w:r>
          </w:p>
        </w:tc>
        <w:tc>
          <w:tcPr>
            <w:tcW w:w="709" w:type="dxa"/>
          </w:tcPr>
          <w:p w14:paraId="6D096852" w14:textId="77777777" w:rsidR="008139F7" w:rsidRPr="008139F7" w:rsidRDefault="008139F7" w:rsidP="008139F7">
            <w:pPr>
              <w:jc w:val="both"/>
              <w:rPr>
                <w:sz w:val="18"/>
                <w:szCs w:val="18"/>
                <w:lang w:val="en-GB"/>
              </w:rPr>
            </w:pPr>
            <w:r w:rsidRPr="008139F7">
              <w:rPr>
                <w:sz w:val="18"/>
                <w:szCs w:val="18"/>
              </w:rPr>
              <w:t>2008</w:t>
            </w:r>
          </w:p>
        </w:tc>
        <w:tc>
          <w:tcPr>
            <w:tcW w:w="4394" w:type="dxa"/>
          </w:tcPr>
          <w:p w14:paraId="1CF3F17A" w14:textId="77777777" w:rsidR="008139F7" w:rsidRPr="008139F7" w:rsidRDefault="008139F7" w:rsidP="008139F7">
            <w:pPr>
              <w:jc w:val="both"/>
              <w:rPr>
                <w:sz w:val="18"/>
                <w:szCs w:val="18"/>
                <w:lang w:val="en-GB"/>
              </w:rPr>
            </w:pPr>
            <w:r w:rsidRPr="008139F7">
              <w:rPr>
                <w:sz w:val="18"/>
                <w:szCs w:val="18"/>
              </w:rPr>
              <w:t>The situation in Nagorno-Karabakh.</w:t>
            </w:r>
          </w:p>
        </w:tc>
        <w:tc>
          <w:tcPr>
            <w:tcW w:w="1080" w:type="dxa"/>
          </w:tcPr>
          <w:p w14:paraId="55838726" w14:textId="77777777" w:rsidR="008139F7" w:rsidRPr="008139F7" w:rsidRDefault="008139F7" w:rsidP="008139F7">
            <w:pPr>
              <w:jc w:val="both"/>
              <w:rPr>
                <w:sz w:val="18"/>
                <w:szCs w:val="18"/>
              </w:rPr>
            </w:pPr>
            <w:r w:rsidRPr="008139F7">
              <w:rPr>
                <w:sz w:val="18"/>
                <w:szCs w:val="18"/>
              </w:rPr>
              <w:t>Armenia</w:t>
            </w:r>
          </w:p>
        </w:tc>
        <w:tc>
          <w:tcPr>
            <w:tcW w:w="1137" w:type="dxa"/>
          </w:tcPr>
          <w:p w14:paraId="31E48EA1" w14:textId="77777777" w:rsidR="008139F7" w:rsidRPr="008139F7" w:rsidRDefault="008139F7" w:rsidP="008139F7">
            <w:pPr>
              <w:jc w:val="both"/>
              <w:rPr>
                <w:sz w:val="18"/>
                <w:szCs w:val="18"/>
                <w:lang w:val="en-GB"/>
              </w:rPr>
            </w:pPr>
            <w:r w:rsidRPr="008139F7">
              <w:rPr>
                <w:sz w:val="18"/>
                <w:szCs w:val="18"/>
              </w:rPr>
              <w:t>Azerbaijan</w:t>
            </w:r>
          </w:p>
        </w:tc>
      </w:tr>
      <w:tr w:rsidR="008139F7" w:rsidRPr="008139F7" w14:paraId="5C202D51" w14:textId="77777777" w:rsidTr="008139F7">
        <w:tc>
          <w:tcPr>
            <w:tcW w:w="1696" w:type="dxa"/>
          </w:tcPr>
          <w:p w14:paraId="4C336320" w14:textId="77777777" w:rsidR="008139F7" w:rsidRPr="008139F7" w:rsidRDefault="008139F7" w:rsidP="008139F7">
            <w:pPr>
              <w:jc w:val="both"/>
              <w:rPr>
                <w:sz w:val="18"/>
                <w:szCs w:val="18"/>
                <w:lang w:val="en-GB"/>
              </w:rPr>
            </w:pPr>
            <w:r w:rsidRPr="008139F7">
              <w:rPr>
                <w:sz w:val="18"/>
                <w:szCs w:val="18"/>
              </w:rPr>
              <w:t xml:space="preserve">Resolution 1633 </w:t>
            </w:r>
          </w:p>
        </w:tc>
        <w:tc>
          <w:tcPr>
            <w:tcW w:w="709" w:type="dxa"/>
          </w:tcPr>
          <w:p w14:paraId="6A6E8F20" w14:textId="77777777" w:rsidR="008139F7" w:rsidRPr="008139F7" w:rsidRDefault="008139F7" w:rsidP="008139F7">
            <w:pPr>
              <w:jc w:val="both"/>
              <w:rPr>
                <w:sz w:val="18"/>
                <w:szCs w:val="18"/>
                <w:lang w:val="en-GB"/>
              </w:rPr>
            </w:pPr>
            <w:r w:rsidRPr="008139F7">
              <w:rPr>
                <w:sz w:val="18"/>
                <w:szCs w:val="18"/>
              </w:rPr>
              <w:t>2008</w:t>
            </w:r>
          </w:p>
        </w:tc>
        <w:tc>
          <w:tcPr>
            <w:tcW w:w="4394" w:type="dxa"/>
          </w:tcPr>
          <w:p w14:paraId="2E75A9EC" w14:textId="77777777" w:rsidR="008139F7" w:rsidRPr="008139F7" w:rsidRDefault="008139F7" w:rsidP="008139F7">
            <w:pPr>
              <w:jc w:val="both"/>
              <w:rPr>
                <w:sz w:val="18"/>
                <w:szCs w:val="18"/>
                <w:lang w:val="en-GB"/>
              </w:rPr>
            </w:pPr>
            <w:r w:rsidRPr="008139F7">
              <w:rPr>
                <w:sz w:val="18"/>
                <w:szCs w:val="18"/>
              </w:rPr>
              <w:t>On consequences of the war between Georgia and Russia.</w:t>
            </w:r>
          </w:p>
        </w:tc>
        <w:tc>
          <w:tcPr>
            <w:tcW w:w="1080" w:type="dxa"/>
          </w:tcPr>
          <w:p w14:paraId="7304A0C4" w14:textId="77777777" w:rsidR="008139F7" w:rsidRPr="008139F7" w:rsidRDefault="008139F7" w:rsidP="008139F7">
            <w:pPr>
              <w:jc w:val="both"/>
              <w:rPr>
                <w:sz w:val="18"/>
                <w:szCs w:val="18"/>
              </w:rPr>
            </w:pPr>
            <w:r w:rsidRPr="008139F7">
              <w:rPr>
                <w:sz w:val="18"/>
                <w:szCs w:val="18"/>
              </w:rPr>
              <w:t>Russia</w:t>
            </w:r>
          </w:p>
        </w:tc>
        <w:tc>
          <w:tcPr>
            <w:tcW w:w="1137" w:type="dxa"/>
          </w:tcPr>
          <w:p w14:paraId="13987DD6" w14:textId="77777777" w:rsidR="008139F7" w:rsidRPr="008139F7" w:rsidRDefault="008139F7" w:rsidP="008139F7">
            <w:pPr>
              <w:jc w:val="both"/>
              <w:rPr>
                <w:sz w:val="18"/>
                <w:szCs w:val="18"/>
                <w:lang w:val="en-GB"/>
              </w:rPr>
            </w:pPr>
            <w:r w:rsidRPr="008139F7">
              <w:rPr>
                <w:sz w:val="18"/>
                <w:szCs w:val="18"/>
              </w:rPr>
              <w:t>Georgia</w:t>
            </w:r>
          </w:p>
        </w:tc>
      </w:tr>
      <w:tr w:rsidR="008139F7" w:rsidRPr="008139F7" w14:paraId="2EA409DD" w14:textId="77777777" w:rsidTr="008139F7">
        <w:tc>
          <w:tcPr>
            <w:tcW w:w="1696" w:type="dxa"/>
          </w:tcPr>
          <w:p w14:paraId="59776D91" w14:textId="77777777" w:rsidR="008139F7" w:rsidRPr="008139F7" w:rsidRDefault="008139F7" w:rsidP="008139F7">
            <w:pPr>
              <w:jc w:val="both"/>
              <w:rPr>
                <w:sz w:val="18"/>
                <w:szCs w:val="18"/>
                <w:lang w:val="en-GB"/>
              </w:rPr>
            </w:pPr>
            <w:r w:rsidRPr="008139F7">
              <w:rPr>
                <w:sz w:val="18"/>
                <w:szCs w:val="18"/>
              </w:rPr>
              <w:t>Resolution A/RES/64/10</w:t>
            </w:r>
          </w:p>
        </w:tc>
        <w:tc>
          <w:tcPr>
            <w:tcW w:w="709" w:type="dxa"/>
          </w:tcPr>
          <w:p w14:paraId="55B33827" w14:textId="77777777" w:rsidR="008139F7" w:rsidRPr="008139F7" w:rsidRDefault="008139F7" w:rsidP="008139F7">
            <w:pPr>
              <w:jc w:val="both"/>
              <w:rPr>
                <w:sz w:val="18"/>
                <w:szCs w:val="18"/>
                <w:lang w:val="en-GB"/>
              </w:rPr>
            </w:pPr>
            <w:r w:rsidRPr="008139F7">
              <w:rPr>
                <w:sz w:val="18"/>
                <w:szCs w:val="18"/>
              </w:rPr>
              <w:t>2009</w:t>
            </w:r>
          </w:p>
        </w:tc>
        <w:tc>
          <w:tcPr>
            <w:tcW w:w="4394" w:type="dxa"/>
          </w:tcPr>
          <w:p w14:paraId="577E2042" w14:textId="77777777" w:rsidR="008139F7" w:rsidRPr="008139F7" w:rsidRDefault="008139F7" w:rsidP="008139F7">
            <w:pPr>
              <w:jc w:val="both"/>
              <w:rPr>
                <w:sz w:val="18"/>
                <w:szCs w:val="18"/>
                <w:lang w:val="en-GB"/>
              </w:rPr>
            </w:pPr>
            <w:r w:rsidRPr="008139F7">
              <w:rPr>
                <w:sz w:val="18"/>
                <w:szCs w:val="18"/>
              </w:rPr>
              <w:t>Follow-up to the report of the United Nations Fact-Finding Mission on the Gaza Conflict : resolution</w:t>
            </w:r>
          </w:p>
        </w:tc>
        <w:tc>
          <w:tcPr>
            <w:tcW w:w="1080" w:type="dxa"/>
          </w:tcPr>
          <w:p w14:paraId="1CA879FE" w14:textId="77777777" w:rsidR="008139F7" w:rsidRPr="008139F7" w:rsidRDefault="008139F7" w:rsidP="008139F7">
            <w:pPr>
              <w:jc w:val="both"/>
              <w:rPr>
                <w:sz w:val="18"/>
                <w:szCs w:val="18"/>
              </w:rPr>
            </w:pPr>
            <w:r w:rsidRPr="008139F7">
              <w:rPr>
                <w:sz w:val="18"/>
                <w:szCs w:val="18"/>
              </w:rPr>
              <w:t>Israel</w:t>
            </w:r>
          </w:p>
        </w:tc>
        <w:tc>
          <w:tcPr>
            <w:tcW w:w="1137" w:type="dxa"/>
          </w:tcPr>
          <w:p w14:paraId="065CBBFA" w14:textId="77777777" w:rsidR="008139F7" w:rsidRPr="008139F7" w:rsidRDefault="008139F7" w:rsidP="008139F7">
            <w:pPr>
              <w:jc w:val="both"/>
              <w:rPr>
                <w:sz w:val="18"/>
                <w:szCs w:val="18"/>
                <w:lang w:val="en-GB"/>
              </w:rPr>
            </w:pPr>
            <w:r w:rsidRPr="008139F7">
              <w:rPr>
                <w:sz w:val="18"/>
                <w:szCs w:val="18"/>
              </w:rPr>
              <w:t>Palestine</w:t>
            </w:r>
          </w:p>
        </w:tc>
      </w:tr>
      <w:tr w:rsidR="008139F7" w:rsidRPr="008139F7" w14:paraId="3830A0DA" w14:textId="77777777" w:rsidTr="008139F7">
        <w:tc>
          <w:tcPr>
            <w:tcW w:w="1696" w:type="dxa"/>
          </w:tcPr>
          <w:p w14:paraId="661B24EC" w14:textId="77777777" w:rsidR="008139F7" w:rsidRPr="008139F7" w:rsidRDefault="008139F7" w:rsidP="008139F7">
            <w:pPr>
              <w:jc w:val="both"/>
              <w:rPr>
                <w:sz w:val="18"/>
                <w:szCs w:val="18"/>
                <w:lang w:val="en-GB"/>
              </w:rPr>
            </w:pPr>
            <w:r w:rsidRPr="008139F7">
              <w:rPr>
                <w:sz w:val="18"/>
                <w:szCs w:val="18"/>
              </w:rPr>
              <w:t>Resolution A/RES/64/296</w:t>
            </w:r>
          </w:p>
        </w:tc>
        <w:tc>
          <w:tcPr>
            <w:tcW w:w="709" w:type="dxa"/>
          </w:tcPr>
          <w:p w14:paraId="3A645012" w14:textId="77777777" w:rsidR="008139F7" w:rsidRPr="008139F7" w:rsidRDefault="008139F7" w:rsidP="008139F7">
            <w:pPr>
              <w:jc w:val="both"/>
              <w:rPr>
                <w:sz w:val="18"/>
                <w:szCs w:val="18"/>
                <w:lang w:val="en-GB"/>
              </w:rPr>
            </w:pPr>
            <w:r w:rsidRPr="008139F7">
              <w:rPr>
                <w:sz w:val="18"/>
                <w:szCs w:val="18"/>
              </w:rPr>
              <w:t>2010</w:t>
            </w:r>
          </w:p>
        </w:tc>
        <w:tc>
          <w:tcPr>
            <w:tcW w:w="4394" w:type="dxa"/>
          </w:tcPr>
          <w:p w14:paraId="35609051" w14:textId="77777777" w:rsidR="008139F7" w:rsidRPr="008139F7" w:rsidRDefault="008139F7" w:rsidP="008139F7">
            <w:pPr>
              <w:jc w:val="both"/>
              <w:rPr>
                <w:sz w:val="18"/>
                <w:szCs w:val="18"/>
                <w:lang w:val="en-GB"/>
              </w:rPr>
            </w:pPr>
            <w:r w:rsidRPr="008139F7">
              <w:rPr>
                <w:sz w:val="18"/>
                <w:szCs w:val="18"/>
              </w:rPr>
              <w:t>Status of internally displaced persons and refugees from Abkhazia, Georgia, and the Tskhinvali region/South Ossetia, Georgia </w:t>
            </w:r>
          </w:p>
        </w:tc>
        <w:tc>
          <w:tcPr>
            <w:tcW w:w="1080" w:type="dxa"/>
          </w:tcPr>
          <w:p w14:paraId="548D3BBB" w14:textId="77777777" w:rsidR="008139F7" w:rsidRPr="008139F7" w:rsidRDefault="008139F7" w:rsidP="008139F7">
            <w:pPr>
              <w:jc w:val="both"/>
              <w:rPr>
                <w:sz w:val="18"/>
                <w:szCs w:val="18"/>
              </w:rPr>
            </w:pPr>
            <w:r w:rsidRPr="008139F7">
              <w:rPr>
                <w:sz w:val="18"/>
                <w:szCs w:val="18"/>
              </w:rPr>
              <w:t>Russia</w:t>
            </w:r>
          </w:p>
        </w:tc>
        <w:tc>
          <w:tcPr>
            <w:tcW w:w="1137" w:type="dxa"/>
          </w:tcPr>
          <w:p w14:paraId="493959A3" w14:textId="77777777" w:rsidR="008139F7" w:rsidRPr="008139F7" w:rsidRDefault="008139F7" w:rsidP="008139F7">
            <w:pPr>
              <w:jc w:val="both"/>
              <w:rPr>
                <w:sz w:val="18"/>
                <w:szCs w:val="18"/>
                <w:lang w:val="en-GB"/>
              </w:rPr>
            </w:pPr>
            <w:r w:rsidRPr="008139F7">
              <w:rPr>
                <w:sz w:val="18"/>
                <w:szCs w:val="18"/>
              </w:rPr>
              <w:t>Georgia</w:t>
            </w:r>
          </w:p>
        </w:tc>
      </w:tr>
      <w:tr w:rsidR="008139F7" w:rsidRPr="008139F7" w14:paraId="27D3AF80" w14:textId="77777777" w:rsidTr="008139F7">
        <w:tc>
          <w:tcPr>
            <w:tcW w:w="1696" w:type="dxa"/>
          </w:tcPr>
          <w:p w14:paraId="3C978E7B" w14:textId="77777777" w:rsidR="008139F7" w:rsidRPr="008139F7" w:rsidRDefault="008139F7" w:rsidP="008139F7">
            <w:pPr>
              <w:jc w:val="both"/>
              <w:rPr>
                <w:sz w:val="18"/>
                <w:szCs w:val="18"/>
                <w:lang w:val="en-GB"/>
              </w:rPr>
            </w:pPr>
            <w:r w:rsidRPr="008139F7">
              <w:rPr>
                <w:sz w:val="18"/>
                <w:szCs w:val="18"/>
              </w:rPr>
              <w:t>Resolution 64/298</w:t>
            </w:r>
          </w:p>
        </w:tc>
        <w:tc>
          <w:tcPr>
            <w:tcW w:w="709" w:type="dxa"/>
          </w:tcPr>
          <w:p w14:paraId="1D41E2DF" w14:textId="77777777" w:rsidR="008139F7" w:rsidRPr="008139F7" w:rsidRDefault="008139F7" w:rsidP="008139F7">
            <w:pPr>
              <w:jc w:val="both"/>
              <w:rPr>
                <w:sz w:val="18"/>
                <w:szCs w:val="18"/>
                <w:lang w:val="en-GB"/>
              </w:rPr>
            </w:pPr>
            <w:r w:rsidRPr="008139F7">
              <w:rPr>
                <w:sz w:val="18"/>
                <w:szCs w:val="18"/>
              </w:rPr>
              <w:t>2010</w:t>
            </w:r>
          </w:p>
        </w:tc>
        <w:tc>
          <w:tcPr>
            <w:tcW w:w="4394" w:type="dxa"/>
          </w:tcPr>
          <w:p w14:paraId="03A944DB" w14:textId="77777777" w:rsidR="008139F7" w:rsidRPr="008139F7" w:rsidRDefault="008139F7" w:rsidP="008139F7">
            <w:pPr>
              <w:jc w:val="both"/>
              <w:rPr>
                <w:sz w:val="18"/>
                <w:szCs w:val="18"/>
                <w:lang w:val="en-GB"/>
              </w:rPr>
            </w:pPr>
            <w:r w:rsidRPr="008139F7">
              <w:rPr>
                <w:sz w:val="18"/>
                <w:szCs w:val="18"/>
              </w:rPr>
              <w:t>Request for an advisory opinion of the ICJ on whether the unilateral declaration of independence of Kosovo is in accordance with international law</w:t>
            </w:r>
          </w:p>
        </w:tc>
        <w:tc>
          <w:tcPr>
            <w:tcW w:w="1080" w:type="dxa"/>
          </w:tcPr>
          <w:p w14:paraId="0FC32FBF" w14:textId="77777777" w:rsidR="008139F7" w:rsidRPr="008139F7" w:rsidRDefault="008139F7" w:rsidP="008139F7">
            <w:pPr>
              <w:jc w:val="both"/>
              <w:rPr>
                <w:sz w:val="18"/>
                <w:szCs w:val="18"/>
              </w:rPr>
            </w:pPr>
            <w:r w:rsidRPr="008139F7">
              <w:rPr>
                <w:sz w:val="18"/>
                <w:szCs w:val="18"/>
              </w:rPr>
              <w:t>Serbia</w:t>
            </w:r>
          </w:p>
        </w:tc>
        <w:tc>
          <w:tcPr>
            <w:tcW w:w="1137" w:type="dxa"/>
          </w:tcPr>
          <w:p w14:paraId="4E0B6FFA" w14:textId="77777777" w:rsidR="008139F7" w:rsidRPr="008139F7" w:rsidRDefault="008139F7" w:rsidP="008139F7">
            <w:pPr>
              <w:jc w:val="both"/>
              <w:rPr>
                <w:sz w:val="18"/>
                <w:szCs w:val="18"/>
                <w:lang w:val="en-GB"/>
              </w:rPr>
            </w:pPr>
            <w:r w:rsidRPr="008139F7">
              <w:rPr>
                <w:sz w:val="18"/>
                <w:szCs w:val="18"/>
              </w:rPr>
              <w:t>Kosovo</w:t>
            </w:r>
          </w:p>
        </w:tc>
      </w:tr>
      <w:tr w:rsidR="008139F7" w:rsidRPr="008139F7" w14:paraId="315F3C5C" w14:textId="77777777" w:rsidTr="008139F7">
        <w:tc>
          <w:tcPr>
            <w:tcW w:w="1696" w:type="dxa"/>
          </w:tcPr>
          <w:p w14:paraId="7F0087A1" w14:textId="77777777" w:rsidR="008139F7" w:rsidRPr="008139F7" w:rsidRDefault="008139F7" w:rsidP="008139F7">
            <w:pPr>
              <w:jc w:val="both"/>
              <w:rPr>
                <w:sz w:val="18"/>
                <w:szCs w:val="18"/>
                <w:lang w:val="en-GB"/>
              </w:rPr>
            </w:pPr>
            <w:r w:rsidRPr="008139F7">
              <w:rPr>
                <w:sz w:val="18"/>
                <w:szCs w:val="18"/>
              </w:rPr>
              <w:t>Resolution A/RES/65/287</w:t>
            </w:r>
          </w:p>
        </w:tc>
        <w:tc>
          <w:tcPr>
            <w:tcW w:w="709" w:type="dxa"/>
          </w:tcPr>
          <w:p w14:paraId="52602C4A" w14:textId="77777777" w:rsidR="008139F7" w:rsidRPr="008139F7" w:rsidRDefault="008139F7" w:rsidP="008139F7">
            <w:pPr>
              <w:jc w:val="both"/>
              <w:rPr>
                <w:sz w:val="18"/>
                <w:szCs w:val="18"/>
                <w:lang w:val="en-GB"/>
              </w:rPr>
            </w:pPr>
            <w:r w:rsidRPr="008139F7">
              <w:rPr>
                <w:sz w:val="18"/>
                <w:szCs w:val="18"/>
              </w:rPr>
              <w:t>2011</w:t>
            </w:r>
          </w:p>
        </w:tc>
        <w:tc>
          <w:tcPr>
            <w:tcW w:w="4394" w:type="dxa"/>
          </w:tcPr>
          <w:p w14:paraId="4E8FF603" w14:textId="77777777" w:rsidR="008139F7" w:rsidRPr="008139F7" w:rsidRDefault="008139F7" w:rsidP="008139F7">
            <w:pPr>
              <w:jc w:val="both"/>
              <w:rPr>
                <w:sz w:val="18"/>
                <w:szCs w:val="18"/>
                <w:lang w:val="en-GB"/>
              </w:rPr>
            </w:pPr>
            <w:r w:rsidRPr="008139F7">
              <w:rPr>
                <w:sz w:val="18"/>
                <w:szCs w:val="18"/>
              </w:rPr>
              <w:t>Status of internally displaced persons and refugees from Abkhazia, Georgia, and the Tskhinvali region/South Ossetia, Georgia</w:t>
            </w:r>
          </w:p>
        </w:tc>
        <w:tc>
          <w:tcPr>
            <w:tcW w:w="1080" w:type="dxa"/>
          </w:tcPr>
          <w:p w14:paraId="03DDB6D9" w14:textId="77777777" w:rsidR="008139F7" w:rsidRPr="008139F7" w:rsidRDefault="008139F7" w:rsidP="008139F7">
            <w:pPr>
              <w:jc w:val="both"/>
              <w:rPr>
                <w:sz w:val="18"/>
                <w:szCs w:val="18"/>
              </w:rPr>
            </w:pPr>
            <w:r w:rsidRPr="008139F7">
              <w:rPr>
                <w:sz w:val="18"/>
                <w:szCs w:val="18"/>
              </w:rPr>
              <w:t>Russia</w:t>
            </w:r>
          </w:p>
        </w:tc>
        <w:tc>
          <w:tcPr>
            <w:tcW w:w="1137" w:type="dxa"/>
          </w:tcPr>
          <w:p w14:paraId="6BBC4991" w14:textId="77777777" w:rsidR="008139F7" w:rsidRPr="008139F7" w:rsidRDefault="008139F7" w:rsidP="008139F7">
            <w:pPr>
              <w:jc w:val="both"/>
              <w:rPr>
                <w:sz w:val="18"/>
                <w:szCs w:val="18"/>
                <w:lang w:val="en-GB"/>
              </w:rPr>
            </w:pPr>
            <w:r w:rsidRPr="008139F7">
              <w:rPr>
                <w:sz w:val="18"/>
                <w:szCs w:val="18"/>
              </w:rPr>
              <w:t>Georgia</w:t>
            </w:r>
          </w:p>
        </w:tc>
      </w:tr>
      <w:tr w:rsidR="008139F7" w:rsidRPr="008139F7" w14:paraId="451CCDF5" w14:textId="77777777" w:rsidTr="008139F7">
        <w:tc>
          <w:tcPr>
            <w:tcW w:w="1696" w:type="dxa"/>
          </w:tcPr>
          <w:p w14:paraId="2D9B527D" w14:textId="77777777" w:rsidR="008139F7" w:rsidRPr="008139F7" w:rsidRDefault="008139F7" w:rsidP="008139F7">
            <w:pPr>
              <w:jc w:val="both"/>
              <w:rPr>
                <w:sz w:val="18"/>
                <w:szCs w:val="18"/>
                <w:lang w:val="en-GB"/>
              </w:rPr>
            </w:pPr>
            <w:r w:rsidRPr="008139F7">
              <w:rPr>
                <w:sz w:val="18"/>
                <w:szCs w:val="18"/>
              </w:rPr>
              <w:t>Resolution A/RES/66/253B</w:t>
            </w:r>
          </w:p>
        </w:tc>
        <w:tc>
          <w:tcPr>
            <w:tcW w:w="709" w:type="dxa"/>
          </w:tcPr>
          <w:p w14:paraId="3AB860AC" w14:textId="77777777" w:rsidR="008139F7" w:rsidRPr="008139F7" w:rsidRDefault="008139F7" w:rsidP="008139F7">
            <w:pPr>
              <w:jc w:val="both"/>
              <w:rPr>
                <w:sz w:val="18"/>
                <w:szCs w:val="18"/>
                <w:lang w:val="en-GB"/>
              </w:rPr>
            </w:pPr>
            <w:r w:rsidRPr="008139F7">
              <w:rPr>
                <w:sz w:val="18"/>
                <w:szCs w:val="18"/>
              </w:rPr>
              <w:t>2012</w:t>
            </w:r>
          </w:p>
        </w:tc>
        <w:tc>
          <w:tcPr>
            <w:tcW w:w="4394" w:type="dxa"/>
          </w:tcPr>
          <w:p w14:paraId="4E618977" w14:textId="77777777" w:rsidR="008139F7" w:rsidRPr="008139F7" w:rsidRDefault="008139F7" w:rsidP="008139F7">
            <w:pPr>
              <w:jc w:val="both"/>
              <w:rPr>
                <w:sz w:val="18"/>
                <w:szCs w:val="18"/>
                <w:lang w:val="en-GB"/>
              </w:rPr>
            </w:pPr>
            <w:r w:rsidRPr="008139F7">
              <w:rPr>
                <w:sz w:val="18"/>
                <w:szCs w:val="18"/>
              </w:rPr>
              <w:t>The situation in the Syrian Arab Republic</w:t>
            </w:r>
          </w:p>
        </w:tc>
        <w:tc>
          <w:tcPr>
            <w:tcW w:w="1080" w:type="dxa"/>
          </w:tcPr>
          <w:p w14:paraId="0EE3720D" w14:textId="77777777" w:rsidR="008139F7" w:rsidRPr="008139F7" w:rsidRDefault="008139F7" w:rsidP="008139F7">
            <w:pPr>
              <w:jc w:val="both"/>
              <w:rPr>
                <w:sz w:val="18"/>
                <w:szCs w:val="18"/>
              </w:rPr>
            </w:pPr>
            <w:r w:rsidRPr="008139F7">
              <w:rPr>
                <w:sz w:val="18"/>
                <w:szCs w:val="18"/>
              </w:rPr>
              <w:t>Syria</w:t>
            </w:r>
          </w:p>
        </w:tc>
        <w:tc>
          <w:tcPr>
            <w:tcW w:w="1137" w:type="dxa"/>
          </w:tcPr>
          <w:p w14:paraId="469B0BB4" w14:textId="77777777" w:rsidR="008139F7" w:rsidRPr="008139F7" w:rsidRDefault="008139F7" w:rsidP="008139F7">
            <w:pPr>
              <w:jc w:val="both"/>
              <w:rPr>
                <w:sz w:val="18"/>
                <w:szCs w:val="18"/>
                <w:lang w:val="en-GB"/>
              </w:rPr>
            </w:pPr>
          </w:p>
        </w:tc>
      </w:tr>
      <w:tr w:rsidR="008139F7" w:rsidRPr="008139F7" w14:paraId="2B7BCE35" w14:textId="77777777" w:rsidTr="008139F7">
        <w:tc>
          <w:tcPr>
            <w:tcW w:w="1696" w:type="dxa"/>
          </w:tcPr>
          <w:p w14:paraId="7D161A79" w14:textId="77777777" w:rsidR="008139F7" w:rsidRPr="008139F7" w:rsidRDefault="008139F7" w:rsidP="008139F7">
            <w:pPr>
              <w:jc w:val="both"/>
              <w:rPr>
                <w:sz w:val="18"/>
                <w:szCs w:val="18"/>
                <w:lang w:val="en-GB"/>
              </w:rPr>
            </w:pPr>
            <w:r w:rsidRPr="008139F7">
              <w:rPr>
                <w:sz w:val="18"/>
                <w:szCs w:val="18"/>
              </w:rPr>
              <w:t>Resolution A/RES/66/253A</w:t>
            </w:r>
          </w:p>
        </w:tc>
        <w:tc>
          <w:tcPr>
            <w:tcW w:w="709" w:type="dxa"/>
          </w:tcPr>
          <w:p w14:paraId="5402986E" w14:textId="77777777" w:rsidR="008139F7" w:rsidRPr="008139F7" w:rsidRDefault="008139F7" w:rsidP="008139F7">
            <w:pPr>
              <w:jc w:val="both"/>
              <w:rPr>
                <w:sz w:val="18"/>
                <w:szCs w:val="18"/>
                <w:lang w:val="en-GB"/>
              </w:rPr>
            </w:pPr>
            <w:r w:rsidRPr="008139F7">
              <w:rPr>
                <w:sz w:val="18"/>
                <w:szCs w:val="18"/>
              </w:rPr>
              <w:t>2012</w:t>
            </w:r>
          </w:p>
        </w:tc>
        <w:tc>
          <w:tcPr>
            <w:tcW w:w="4394" w:type="dxa"/>
          </w:tcPr>
          <w:p w14:paraId="029E9333" w14:textId="77777777" w:rsidR="008139F7" w:rsidRPr="008139F7" w:rsidRDefault="008139F7" w:rsidP="008139F7">
            <w:pPr>
              <w:jc w:val="both"/>
              <w:rPr>
                <w:sz w:val="18"/>
                <w:szCs w:val="18"/>
                <w:lang w:val="en-GB"/>
              </w:rPr>
            </w:pPr>
            <w:r w:rsidRPr="008139F7">
              <w:rPr>
                <w:sz w:val="18"/>
                <w:szCs w:val="18"/>
              </w:rPr>
              <w:t>The situation in the Syrian Arab Republic</w:t>
            </w:r>
          </w:p>
        </w:tc>
        <w:tc>
          <w:tcPr>
            <w:tcW w:w="1080" w:type="dxa"/>
          </w:tcPr>
          <w:p w14:paraId="1881B9D6" w14:textId="77777777" w:rsidR="008139F7" w:rsidRPr="008139F7" w:rsidRDefault="008139F7" w:rsidP="008139F7">
            <w:pPr>
              <w:jc w:val="both"/>
              <w:rPr>
                <w:sz w:val="18"/>
                <w:szCs w:val="18"/>
              </w:rPr>
            </w:pPr>
            <w:r w:rsidRPr="008139F7">
              <w:rPr>
                <w:sz w:val="18"/>
                <w:szCs w:val="18"/>
              </w:rPr>
              <w:t>Syria</w:t>
            </w:r>
          </w:p>
        </w:tc>
        <w:tc>
          <w:tcPr>
            <w:tcW w:w="1137" w:type="dxa"/>
          </w:tcPr>
          <w:p w14:paraId="43C303F6" w14:textId="77777777" w:rsidR="008139F7" w:rsidRPr="008139F7" w:rsidRDefault="008139F7" w:rsidP="008139F7">
            <w:pPr>
              <w:jc w:val="both"/>
              <w:rPr>
                <w:sz w:val="18"/>
                <w:szCs w:val="18"/>
                <w:lang w:val="en-GB"/>
              </w:rPr>
            </w:pPr>
            <w:r w:rsidRPr="008139F7">
              <w:rPr>
                <w:sz w:val="18"/>
                <w:szCs w:val="18"/>
              </w:rPr>
              <w:t>own population</w:t>
            </w:r>
          </w:p>
        </w:tc>
      </w:tr>
      <w:tr w:rsidR="008139F7" w:rsidRPr="008139F7" w14:paraId="5FFE3B6B" w14:textId="77777777" w:rsidTr="008139F7">
        <w:tc>
          <w:tcPr>
            <w:tcW w:w="1696" w:type="dxa"/>
          </w:tcPr>
          <w:p w14:paraId="47A298ED" w14:textId="77777777" w:rsidR="008139F7" w:rsidRPr="008139F7" w:rsidRDefault="008139F7" w:rsidP="008139F7">
            <w:pPr>
              <w:jc w:val="both"/>
              <w:rPr>
                <w:sz w:val="18"/>
                <w:szCs w:val="18"/>
                <w:lang w:val="en-GB"/>
              </w:rPr>
            </w:pPr>
            <w:r w:rsidRPr="008139F7">
              <w:rPr>
                <w:sz w:val="18"/>
                <w:szCs w:val="18"/>
              </w:rPr>
              <w:t>Resolution A/RES/67/262</w:t>
            </w:r>
          </w:p>
        </w:tc>
        <w:tc>
          <w:tcPr>
            <w:tcW w:w="709" w:type="dxa"/>
          </w:tcPr>
          <w:p w14:paraId="43D1957D" w14:textId="77777777" w:rsidR="008139F7" w:rsidRPr="008139F7" w:rsidRDefault="008139F7" w:rsidP="008139F7">
            <w:pPr>
              <w:jc w:val="both"/>
              <w:rPr>
                <w:sz w:val="18"/>
                <w:szCs w:val="18"/>
                <w:lang w:val="en-GB"/>
              </w:rPr>
            </w:pPr>
            <w:r w:rsidRPr="008139F7">
              <w:rPr>
                <w:sz w:val="18"/>
                <w:szCs w:val="18"/>
              </w:rPr>
              <w:t>2013</w:t>
            </w:r>
          </w:p>
        </w:tc>
        <w:tc>
          <w:tcPr>
            <w:tcW w:w="4394" w:type="dxa"/>
          </w:tcPr>
          <w:p w14:paraId="5A60AAA2" w14:textId="77777777" w:rsidR="008139F7" w:rsidRPr="008139F7" w:rsidRDefault="008139F7" w:rsidP="008139F7">
            <w:pPr>
              <w:jc w:val="both"/>
              <w:rPr>
                <w:sz w:val="18"/>
                <w:szCs w:val="18"/>
                <w:lang w:val="en-GB"/>
              </w:rPr>
            </w:pPr>
            <w:r w:rsidRPr="008139F7">
              <w:rPr>
                <w:sz w:val="18"/>
                <w:szCs w:val="18"/>
              </w:rPr>
              <w:t>The situation in the Syrian Arab Republic</w:t>
            </w:r>
          </w:p>
        </w:tc>
        <w:tc>
          <w:tcPr>
            <w:tcW w:w="1080" w:type="dxa"/>
          </w:tcPr>
          <w:p w14:paraId="497EFAF8" w14:textId="77777777" w:rsidR="008139F7" w:rsidRPr="008139F7" w:rsidRDefault="008139F7" w:rsidP="008139F7">
            <w:pPr>
              <w:jc w:val="both"/>
              <w:rPr>
                <w:sz w:val="18"/>
                <w:szCs w:val="18"/>
              </w:rPr>
            </w:pPr>
            <w:r w:rsidRPr="008139F7">
              <w:rPr>
                <w:sz w:val="18"/>
                <w:szCs w:val="18"/>
              </w:rPr>
              <w:t>Syria</w:t>
            </w:r>
          </w:p>
        </w:tc>
        <w:tc>
          <w:tcPr>
            <w:tcW w:w="1137" w:type="dxa"/>
          </w:tcPr>
          <w:p w14:paraId="276EC813" w14:textId="77777777" w:rsidR="008139F7" w:rsidRPr="008139F7" w:rsidRDefault="008139F7" w:rsidP="008139F7">
            <w:pPr>
              <w:jc w:val="both"/>
              <w:rPr>
                <w:sz w:val="18"/>
                <w:szCs w:val="18"/>
                <w:lang w:val="en-GB"/>
              </w:rPr>
            </w:pPr>
          </w:p>
        </w:tc>
      </w:tr>
      <w:tr w:rsidR="008139F7" w:rsidRPr="008139F7" w14:paraId="4A38843D" w14:textId="77777777" w:rsidTr="008139F7">
        <w:tc>
          <w:tcPr>
            <w:tcW w:w="1696" w:type="dxa"/>
          </w:tcPr>
          <w:p w14:paraId="373A72C1" w14:textId="77777777" w:rsidR="008139F7" w:rsidRPr="008139F7" w:rsidRDefault="008139F7" w:rsidP="008139F7">
            <w:pPr>
              <w:jc w:val="both"/>
              <w:rPr>
                <w:sz w:val="18"/>
                <w:szCs w:val="18"/>
                <w:lang w:val="en-GB"/>
              </w:rPr>
            </w:pPr>
            <w:r w:rsidRPr="008139F7">
              <w:rPr>
                <w:sz w:val="18"/>
                <w:szCs w:val="18"/>
              </w:rPr>
              <w:t>Resolution 68/262</w:t>
            </w:r>
          </w:p>
        </w:tc>
        <w:tc>
          <w:tcPr>
            <w:tcW w:w="709" w:type="dxa"/>
          </w:tcPr>
          <w:p w14:paraId="58512BC1" w14:textId="77777777" w:rsidR="008139F7" w:rsidRPr="008139F7" w:rsidRDefault="008139F7" w:rsidP="008139F7">
            <w:pPr>
              <w:jc w:val="both"/>
              <w:rPr>
                <w:sz w:val="18"/>
                <w:szCs w:val="18"/>
                <w:lang w:val="en-GB"/>
              </w:rPr>
            </w:pPr>
            <w:r w:rsidRPr="008139F7">
              <w:rPr>
                <w:sz w:val="18"/>
                <w:szCs w:val="18"/>
              </w:rPr>
              <w:t>2014</w:t>
            </w:r>
          </w:p>
        </w:tc>
        <w:tc>
          <w:tcPr>
            <w:tcW w:w="4394" w:type="dxa"/>
          </w:tcPr>
          <w:p w14:paraId="3D087C8E" w14:textId="77777777" w:rsidR="008139F7" w:rsidRPr="008139F7" w:rsidRDefault="008139F7" w:rsidP="008139F7">
            <w:pPr>
              <w:jc w:val="both"/>
              <w:rPr>
                <w:sz w:val="18"/>
                <w:szCs w:val="18"/>
                <w:lang w:val="en-GB"/>
              </w:rPr>
            </w:pPr>
            <w:r w:rsidRPr="008139F7">
              <w:rPr>
                <w:sz w:val="18"/>
                <w:szCs w:val="18"/>
              </w:rPr>
              <w:t>Territorial integrity of Ukraine.</w:t>
            </w:r>
          </w:p>
        </w:tc>
        <w:tc>
          <w:tcPr>
            <w:tcW w:w="1080" w:type="dxa"/>
          </w:tcPr>
          <w:p w14:paraId="099F2D94" w14:textId="77777777" w:rsidR="008139F7" w:rsidRPr="008139F7" w:rsidRDefault="008139F7" w:rsidP="008139F7">
            <w:pPr>
              <w:jc w:val="both"/>
              <w:rPr>
                <w:sz w:val="18"/>
                <w:szCs w:val="18"/>
              </w:rPr>
            </w:pPr>
            <w:r w:rsidRPr="008139F7">
              <w:rPr>
                <w:sz w:val="18"/>
                <w:szCs w:val="18"/>
              </w:rPr>
              <w:t>Russia</w:t>
            </w:r>
          </w:p>
        </w:tc>
        <w:tc>
          <w:tcPr>
            <w:tcW w:w="1137" w:type="dxa"/>
          </w:tcPr>
          <w:p w14:paraId="3AA44003" w14:textId="77777777" w:rsidR="008139F7" w:rsidRPr="008139F7" w:rsidRDefault="008139F7" w:rsidP="008139F7">
            <w:pPr>
              <w:jc w:val="both"/>
              <w:rPr>
                <w:sz w:val="18"/>
                <w:szCs w:val="18"/>
                <w:lang w:val="en-GB"/>
              </w:rPr>
            </w:pPr>
            <w:r w:rsidRPr="008139F7">
              <w:rPr>
                <w:sz w:val="18"/>
                <w:szCs w:val="18"/>
              </w:rPr>
              <w:t>Ukraine</w:t>
            </w:r>
          </w:p>
        </w:tc>
      </w:tr>
      <w:tr w:rsidR="008139F7" w:rsidRPr="008139F7" w14:paraId="7B6569C5" w14:textId="77777777" w:rsidTr="008139F7">
        <w:tc>
          <w:tcPr>
            <w:tcW w:w="1696" w:type="dxa"/>
          </w:tcPr>
          <w:p w14:paraId="7535E722" w14:textId="77777777" w:rsidR="008139F7" w:rsidRPr="008139F7" w:rsidRDefault="008139F7" w:rsidP="008139F7">
            <w:pPr>
              <w:jc w:val="both"/>
              <w:rPr>
                <w:sz w:val="18"/>
                <w:szCs w:val="18"/>
                <w:lang w:val="en-GB"/>
              </w:rPr>
            </w:pPr>
            <w:r w:rsidRPr="008139F7">
              <w:rPr>
                <w:sz w:val="18"/>
                <w:szCs w:val="18"/>
              </w:rPr>
              <w:t>Resolution A/RES/70/265</w:t>
            </w:r>
          </w:p>
        </w:tc>
        <w:tc>
          <w:tcPr>
            <w:tcW w:w="709" w:type="dxa"/>
          </w:tcPr>
          <w:p w14:paraId="2FF0EE6D" w14:textId="77777777" w:rsidR="008139F7" w:rsidRPr="008139F7" w:rsidRDefault="008139F7" w:rsidP="008139F7">
            <w:pPr>
              <w:jc w:val="both"/>
              <w:rPr>
                <w:sz w:val="18"/>
                <w:szCs w:val="18"/>
                <w:lang w:val="en-GB"/>
              </w:rPr>
            </w:pPr>
            <w:r w:rsidRPr="008139F7">
              <w:rPr>
                <w:sz w:val="18"/>
                <w:szCs w:val="18"/>
              </w:rPr>
              <w:t>2016</w:t>
            </w:r>
          </w:p>
        </w:tc>
        <w:tc>
          <w:tcPr>
            <w:tcW w:w="4394" w:type="dxa"/>
          </w:tcPr>
          <w:p w14:paraId="48F794CD" w14:textId="77777777" w:rsidR="008139F7" w:rsidRPr="008139F7" w:rsidRDefault="008139F7" w:rsidP="008139F7">
            <w:pPr>
              <w:jc w:val="both"/>
              <w:rPr>
                <w:sz w:val="18"/>
                <w:szCs w:val="18"/>
                <w:lang w:val="en-GB"/>
              </w:rPr>
            </w:pPr>
            <w:r w:rsidRPr="008139F7">
              <w:rPr>
                <w:sz w:val="18"/>
                <w:szCs w:val="18"/>
              </w:rPr>
              <w:t>Status of internally displaced persons and refugees from Abkhazia, Georgia, and the Tskhinvali region/South Ossetia, Georgia</w:t>
            </w:r>
          </w:p>
        </w:tc>
        <w:tc>
          <w:tcPr>
            <w:tcW w:w="1080" w:type="dxa"/>
          </w:tcPr>
          <w:p w14:paraId="5D146811" w14:textId="77777777" w:rsidR="008139F7" w:rsidRPr="008139F7" w:rsidRDefault="008139F7" w:rsidP="008139F7">
            <w:pPr>
              <w:jc w:val="both"/>
              <w:rPr>
                <w:sz w:val="18"/>
                <w:szCs w:val="18"/>
              </w:rPr>
            </w:pPr>
            <w:r w:rsidRPr="008139F7">
              <w:rPr>
                <w:sz w:val="18"/>
                <w:szCs w:val="18"/>
              </w:rPr>
              <w:t>Russia</w:t>
            </w:r>
          </w:p>
        </w:tc>
        <w:tc>
          <w:tcPr>
            <w:tcW w:w="1137" w:type="dxa"/>
          </w:tcPr>
          <w:p w14:paraId="72E94E15" w14:textId="77777777" w:rsidR="008139F7" w:rsidRPr="008139F7" w:rsidRDefault="008139F7" w:rsidP="008139F7">
            <w:pPr>
              <w:jc w:val="both"/>
              <w:rPr>
                <w:sz w:val="18"/>
                <w:szCs w:val="18"/>
                <w:lang w:val="en-GB"/>
              </w:rPr>
            </w:pPr>
            <w:r w:rsidRPr="008139F7">
              <w:rPr>
                <w:sz w:val="18"/>
                <w:szCs w:val="18"/>
              </w:rPr>
              <w:t>Georgia</w:t>
            </w:r>
          </w:p>
        </w:tc>
      </w:tr>
      <w:tr w:rsidR="008139F7" w:rsidRPr="008139F7" w14:paraId="7B32F834" w14:textId="77777777" w:rsidTr="008139F7">
        <w:tc>
          <w:tcPr>
            <w:tcW w:w="1696" w:type="dxa"/>
          </w:tcPr>
          <w:p w14:paraId="7C97AB5D" w14:textId="77777777" w:rsidR="008139F7" w:rsidRPr="008139F7" w:rsidRDefault="008139F7" w:rsidP="008139F7">
            <w:pPr>
              <w:jc w:val="both"/>
              <w:rPr>
                <w:sz w:val="18"/>
                <w:szCs w:val="18"/>
                <w:lang w:val="en-GB"/>
              </w:rPr>
            </w:pPr>
            <w:r w:rsidRPr="008139F7">
              <w:rPr>
                <w:sz w:val="18"/>
                <w:szCs w:val="18"/>
              </w:rPr>
              <w:t>Resolution A/RES/71/130</w:t>
            </w:r>
          </w:p>
        </w:tc>
        <w:tc>
          <w:tcPr>
            <w:tcW w:w="709" w:type="dxa"/>
          </w:tcPr>
          <w:p w14:paraId="61961847" w14:textId="77777777" w:rsidR="008139F7" w:rsidRPr="008139F7" w:rsidRDefault="008139F7" w:rsidP="008139F7">
            <w:pPr>
              <w:jc w:val="both"/>
              <w:rPr>
                <w:sz w:val="18"/>
                <w:szCs w:val="18"/>
                <w:lang w:val="en-GB"/>
              </w:rPr>
            </w:pPr>
            <w:r w:rsidRPr="008139F7">
              <w:rPr>
                <w:sz w:val="18"/>
                <w:szCs w:val="18"/>
              </w:rPr>
              <w:t>2016</w:t>
            </w:r>
          </w:p>
        </w:tc>
        <w:tc>
          <w:tcPr>
            <w:tcW w:w="4394" w:type="dxa"/>
          </w:tcPr>
          <w:p w14:paraId="562E419F" w14:textId="77777777" w:rsidR="008139F7" w:rsidRPr="008139F7" w:rsidRDefault="008139F7" w:rsidP="008139F7">
            <w:pPr>
              <w:jc w:val="both"/>
              <w:rPr>
                <w:sz w:val="18"/>
                <w:szCs w:val="18"/>
                <w:lang w:val="en-GB"/>
              </w:rPr>
            </w:pPr>
            <w:r w:rsidRPr="008139F7">
              <w:rPr>
                <w:sz w:val="18"/>
                <w:szCs w:val="18"/>
              </w:rPr>
              <w:t>The Situation in the Syrian Arab Republic</w:t>
            </w:r>
          </w:p>
        </w:tc>
        <w:tc>
          <w:tcPr>
            <w:tcW w:w="1080" w:type="dxa"/>
          </w:tcPr>
          <w:p w14:paraId="479844D5" w14:textId="77777777" w:rsidR="008139F7" w:rsidRPr="008139F7" w:rsidRDefault="008139F7" w:rsidP="008139F7">
            <w:pPr>
              <w:jc w:val="both"/>
              <w:rPr>
                <w:sz w:val="18"/>
                <w:szCs w:val="18"/>
              </w:rPr>
            </w:pPr>
            <w:r w:rsidRPr="008139F7">
              <w:rPr>
                <w:sz w:val="18"/>
                <w:szCs w:val="18"/>
              </w:rPr>
              <w:t>Syria</w:t>
            </w:r>
          </w:p>
        </w:tc>
        <w:tc>
          <w:tcPr>
            <w:tcW w:w="1137" w:type="dxa"/>
          </w:tcPr>
          <w:p w14:paraId="37957193" w14:textId="77777777" w:rsidR="008139F7" w:rsidRPr="008139F7" w:rsidRDefault="008139F7" w:rsidP="008139F7">
            <w:pPr>
              <w:jc w:val="both"/>
              <w:rPr>
                <w:sz w:val="18"/>
                <w:szCs w:val="18"/>
                <w:lang w:val="en-GB"/>
              </w:rPr>
            </w:pPr>
            <w:r w:rsidRPr="008139F7">
              <w:rPr>
                <w:sz w:val="18"/>
                <w:szCs w:val="18"/>
              </w:rPr>
              <w:t>own population</w:t>
            </w:r>
          </w:p>
        </w:tc>
      </w:tr>
      <w:tr w:rsidR="008139F7" w:rsidRPr="008139F7" w14:paraId="2D90124F" w14:textId="77777777" w:rsidTr="008139F7">
        <w:tc>
          <w:tcPr>
            <w:tcW w:w="1696" w:type="dxa"/>
          </w:tcPr>
          <w:p w14:paraId="6D68E0FE" w14:textId="77777777" w:rsidR="008139F7" w:rsidRPr="008139F7" w:rsidRDefault="008139F7" w:rsidP="008139F7">
            <w:pPr>
              <w:jc w:val="both"/>
              <w:rPr>
                <w:sz w:val="18"/>
                <w:szCs w:val="18"/>
                <w:lang w:val="en-GB"/>
              </w:rPr>
            </w:pPr>
            <w:r w:rsidRPr="008139F7">
              <w:rPr>
                <w:sz w:val="18"/>
                <w:szCs w:val="18"/>
              </w:rPr>
              <w:t>Resolution A/RES/71/290</w:t>
            </w:r>
          </w:p>
        </w:tc>
        <w:tc>
          <w:tcPr>
            <w:tcW w:w="709" w:type="dxa"/>
          </w:tcPr>
          <w:p w14:paraId="6B8C6516" w14:textId="77777777" w:rsidR="008139F7" w:rsidRPr="008139F7" w:rsidRDefault="008139F7" w:rsidP="008139F7">
            <w:pPr>
              <w:jc w:val="both"/>
              <w:rPr>
                <w:sz w:val="18"/>
                <w:szCs w:val="18"/>
                <w:lang w:val="en-GB"/>
              </w:rPr>
            </w:pPr>
            <w:r w:rsidRPr="008139F7">
              <w:rPr>
                <w:sz w:val="18"/>
                <w:szCs w:val="18"/>
              </w:rPr>
              <w:t>2017</w:t>
            </w:r>
          </w:p>
        </w:tc>
        <w:tc>
          <w:tcPr>
            <w:tcW w:w="4394" w:type="dxa"/>
          </w:tcPr>
          <w:p w14:paraId="040EDDBB" w14:textId="77777777" w:rsidR="008139F7" w:rsidRPr="008139F7" w:rsidRDefault="008139F7" w:rsidP="008139F7">
            <w:pPr>
              <w:jc w:val="both"/>
              <w:rPr>
                <w:sz w:val="18"/>
                <w:szCs w:val="18"/>
                <w:lang w:val="en-GB"/>
              </w:rPr>
            </w:pPr>
            <w:r w:rsidRPr="008139F7">
              <w:rPr>
                <w:sz w:val="18"/>
                <w:szCs w:val="18"/>
              </w:rPr>
              <w:t>Status of internally displaced persons and refugees from Abkhazia, Georgia, and the Tskhinvali region/South Ossetia, Georgia</w:t>
            </w:r>
          </w:p>
        </w:tc>
        <w:tc>
          <w:tcPr>
            <w:tcW w:w="1080" w:type="dxa"/>
          </w:tcPr>
          <w:p w14:paraId="495CEF3A" w14:textId="77777777" w:rsidR="008139F7" w:rsidRPr="008139F7" w:rsidRDefault="008139F7" w:rsidP="008139F7">
            <w:pPr>
              <w:jc w:val="both"/>
              <w:rPr>
                <w:sz w:val="18"/>
                <w:szCs w:val="18"/>
              </w:rPr>
            </w:pPr>
            <w:r w:rsidRPr="008139F7">
              <w:rPr>
                <w:sz w:val="18"/>
                <w:szCs w:val="18"/>
              </w:rPr>
              <w:t>Russia</w:t>
            </w:r>
          </w:p>
        </w:tc>
        <w:tc>
          <w:tcPr>
            <w:tcW w:w="1137" w:type="dxa"/>
          </w:tcPr>
          <w:p w14:paraId="0D5268ED" w14:textId="77777777" w:rsidR="008139F7" w:rsidRPr="008139F7" w:rsidRDefault="008139F7" w:rsidP="008139F7">
            <w:pPr>
              <w:jc w:val="both"/>
              <w:rPr>
                <w:sz w:val="18"/>
                <w:szCs w:val="18"/>
                <w:lang w:val="en-GB"/>
              </w:rPr>
            </w:pPr>
            <w:r w:rsidRPr="008139F7">
              <w:rPr>
                <w:sz w:val="18"/>
                <w:szCs w:val="18"/>
              </w:rPr>
              <w:t>Georgia</w:t>
            </w:r>
          </w:p>
        </w:tc>
      </w:tr>
      <w:tr w:rsidR="008139F7" w:rsidRPr="008139F7" w14:paraId="3C2FF416" w14:textId="77777777" w:rsidTr="008139F7">
        <w:tc>
          <w:tcPr>
            <w:tcW w:w="1696" w:type="dxa"/>
          </w:tcPr>
          <w:p w14:paraId="0B1B1BBF" w14:textId="77777777" w:rsidR="008139F7" w:rsidRPr="008139F7" w:rsidRDefault="008139F7" w:rsidP="008139F7">
            <w:pPr>
              <w:jc w:val="both"/>
              <w:rPr>
                <w:sz w:val="18"/>
                <w:szCs w:val="18"/>
                <w:lang w:val="en-GB"/>
              </w:rPr>
            </w:pPr>
            <w:r w:rsidRPr="008139F7">
              <w:rPr>
                <w:sz w:val="18"/>
                <w:szCs w:val="18"/>
              </w:rPr>
              <w:t>Resolution ES-10/19</w:t>
            </w:r>
          </w:p>
        </w:tc>
        <w:tc>
          <w:tcPr>
            <w:tcW w:w="709" w:type="dxa"/>
          </w:tcPr>
          <w:p w14:paraId="2A0426F6" w14:textId="77777777" w:rsidR="008139F7" w:rsidRPr="008139F7" w:rsidRDefault="008139F7" w:rsidP="008139F7">
            <w:pPr>
              <w:jc w:val="both"/>
              <w:rPr>
                <w:sz w:val="18"/>
                <w:szCs w:val="18"/>
                <w:lang w:val="en-GB"/>
              </w:rPr>
            </w:pPr>
            <w:r w:rsidRPr="008139F7">
              <w:rPr>
                <w:sz w:val="18"/>
                <w:szCs w:val="18"/>
              </w:rPr>
              <w:t>2017</w:t>
            </w:r>
          </w:p>
        </w:tc>
        <w:tc>
          <w:tcPr>
            <w:tcW w:w="4394" w:type="dxa"/>
          </w:tcPr>
          <w:p w14:paraId="7C576429" w14:textId="77777777" w:rsidR="008139F7" w:rsidRPr="008139F7" w:rsidRDefault="008139F7" w:rsidP="008139F7">
            <w:pPr>
              <w:jc w:val="both"/>
              <w:rPr>
                <w:sz w:val="18"/>
                <w:szCs w:val="18"/>
                <w:lang w:val="en-GB"/>
              </w:rPr>
            </w:pPr>
            <w:r w:rsidRPr="008139F7">
              <w:rPr>
                <w:sz w:val="18"/>
                <w:szCs w:val="18"/>
              </w:rPr>
              <w:t>Status of Jerusalem</w:t>
            </w:r>
          </w:p>
        </w:tc>
        <w:tc>
          <w:tcPr>
            <w:tcW w:w="1080" w:type="dxa"/>
          </w:tcPr>
          <w:p w14:paraId="3FAA6CF5" w14:textId="77777777" w:rsidR="008139F7" w:rsidRPr="008139F7" w:rsidRDefault="008139F7" w:rsidP="008139F7">
            <w:pPr>
              <w:jc w:val="both"/>
              <w:rPr>
                <w:sz w:val="18"/>
                <w:szCs w:val="18"/>
              </w:rPr>
            </w:pPr>
            <w:r w:rsidRPr="008139F7">
              <w:rPr>
                <w:sz w:val="18"/>
                <w:szCs w:val="18"/>
              </w:rPr>
              <w:t>Israel</w:t>
            </w:r>
          </w:p>
        </w:tc>
        <w:tc>
          <w:tcPr>
            <w:tcW w:w="1137" w:type="dxa"/>
          </w:tcPr>
          <w:p w14:paraId="0822DAC9" w14:textId="77777777" w:rsidR="008139F7" w:rsidRPr="008139F7" w:rsidRDefault="008139F7" w:rsidP="008139F7">
            <w:pPr>
              <w:jc w:val="both"/>
              <w:rPr>
                <w:sz w:val="18"/>
                <w:szCs w:val="18"/>
                <w:lang w:val="en-GB"/>
              </w:rPr>
            </w:pPr>
            <w:r w:rsidRPr="008139F7">
              <w:rPr>
                <w:sz w:val="18"/>
                <w:szCs w:val="18"/>
              </w:rPr>
              <w:t>Palestine</w:t>
            </w:r>
          </w:p>
        </w:tc>
      </w:tr>
      <w:tr w:rsidR="008139F7" w:rsidRPr="008139F7" w14:paraId="4F6546D2" w14:textId="77777777" w:rsidTr="008139F7">
        <w:tc>
          <w:tcPr>
            <w:tcW w:w="1696" w:type="dxa"/>
          </w:tcPr>
          <w:p w14:paraId="16B3CA22" w14:textId="77777777" w:rsidR="008139F7" w:rsidRPr="008139F7" w:rsidRDefault="008139F7" w:rsidP="008139F7">
            <w:pPr>
              <w:jc w:val="both"/>
              <w:rPr>
                <w:sz w:val="18"/>
                <w:szCs w:val="18"/>
                <w:lang w:val="en-GB"/>
              </w:rPr>
            </w:pPr>
            <w:r w:rsidRPr="008139F7">
              <w:rPr>
                <w:sz w:val="18"/>
                <w:szCs w:val="18"/>
              </w:rPr>
              <w:t>Resolution 73/263</w:t>
            </w:r>
          </w:p>
        </w:tc>
        <w:tc>
          <w:tcPr>
            <w:tcW w:w="709" w:type="dxa"/>
          </w:tcPr>
          <w:p w14:paraId="0A5E4189" w14:textId="77777777" w:rsidR="008139F7" w:rsidRPr="008139F7" w:rsidRDefault="008139F7" w:rsidP="008139F7">
            <w:pPr>
              <w:jc w:val="both"/>
              <w:rPr>
                <w:sz w:val="18"/>
                <w:szCs w:val="18"/>
                <w:lang w:val="en-GB"/>
              </w:rPr>
            </w:pPr>
            <w:r w:rsidRPr="008139F7">
              <w:rPr>
                <w:sz w:val="18"/>
                <w:szCs w:val="18"/>
              </w:rPr>
              <w:t>2018</w:t>
            </w:r>
          </w:p>
        </w:tc>
        <w:tc>
          <w:tcPr>
            <w:tcW w:w="4394" w:type="dxa"/>
          </w:tcPr>
          <w:p w14:paraId="5D04EDAC" w14:textId="77777777" w:rsidR="008139F7" w:rsidRPr="008139F7" w:rsidRDefault="008139F7" w:rsidP="008139F7">
            <w:pPr>
              <w:jc w:val="both"/>
              <w:rPr>
                <w:sz w:val="18"/>
                <w:szCs w:val="18"/>
                <w:lang w:val="en-GB"/>
              </w:rPr>
            </w:pPr>
            <w:r w:rsidRPr="008139F7">
              <w:rPr>
                <w:sz w:val="18"/>
                <w:szCs w:val="18"/>
              </w:rPr>
              <w:t>Situation of human rights in the Autonomous Republic of Crimea and the city of Sevastopol, Ukraine.</w:t>
            </w:r>
          </w:p>
        </w:tc>
        <w:tc>
          <w:tcPr>
            <w:tcW w:w="1080" w:type="dxa"/>
          </w:tcPr>
          <w:p w14:paraId="211ED593" w14:textId="77777777" w:rsidR="008139F7" w:rsidRPr="008139F7" w:rsidRDefault="008139F7" w:rsidP="008139F7">
            <w:pPr>
              <w:jc w:val="both"/>
              <w:rPr>
                <w:sz w:val="18"/>
                <w:szCs w:val="18"/>
              </w:rPr>
            </w:pPr>
            <w:r w:rsidRPr="008139F7">
              <w:rPr>
                <w:sz w:val="18"/>
                <w:szCs w:val="18"/>
              </w:rPr>
              <w:t>Russia</w:t>
            </w:r>
          </w:p>
        </w:tc>
        <w:tc>
          <w:tcPr>
            <w:tcW w:w="1137" w:type="dxa"/>
          </w:tcPr>
          <w:p w14:paraId="36F42612" w14:textId="77777777" w:rsidR="008139F7" w:rsidRPr="008139F7" w:rsidRDefault="008139F7" w:rsidP="008139F7">
            <w:pPr>
              <w:jc w:val="both"/>
              <w:rPr>
                <w:sz w:val="18"/>
                <w:szCs w:val="18"/>
                <w:lang w:val="en-GB"/>
              </w:rPr>
            </w:pPr>
            <w:r w:rsidRPr="008139F7">
              <w:rPr>
                <w:sz w:val="18"/>
                <w:szCs w:val="18"/>
              </w:rPr>
              <w:t>Ukraine</w:t>
            </w:r>
          </w:p>
        </w:tc>
      </w:tr>
      <w:tr w:rsidR="008139F7" w:rsidRPr="008139F7" w14:paraId="0A64C369" w14:textId="77777777" w:rsidTr="008139F7">
        <w:tc>
          <w:tcPr>
            <w:tcW w:w="1696" w:type="dxa"/>
          </w:tcPr>
          <w:p w14:paraId="7B5ACEA9" w14:textId="77777777" w:rsidR="008139F7" w:rsidRPr="008139F7" w:rsidRDefault="008139F7" w:rsidP="008139F7">
            <w:pPr>
              <w:jc w:val="both"/>
              <w:rPr>
                <w:sz w:val="18"/>
                <w:szCs w:val="18"/>
                <w:lang w:val="en-GB"/>
              </w:rPr>
            </w:pPr>
            <w:r w:rsidRPr="008139F7">
              <w:rPr>
                <w:sz w:val="18"/>
                <w:szCs w:val="18"/>
              </w:rPr>
              <w:t>Resolution 72/191</w:t>
            </w:r>
          </w:p>
        </w:tc>
        <w:tc>
          <w:tcPr>
            <w:tcW w:w="709" w:type="dxa"/>
          </w:tcPr>
          <w:p w14:paraId="65B72A92" w14:textId="77777777" w:rsidR="008139F7" w:rsidRPr="008139F7" w:rsidRDefault="008139F7" w:rsidP="008139F7">
            <w:pPr>
              <w:jc w:val="both"/>
              <w:rPr>
                <w:sz w:val="18"/>
                <w:szCs w:val="18"/>
                <w:lang w:val="en-GB"/>
              </w:rPr>
            </w:pPr>
            <w:r w:rsidRPr="008139F7">
              <w:rPr>
                <w:sz w:val="18"/>
                <w:szCs w:val="18"/>
              </w:rPr>
              <w:t>2018</w:t>
            </w:r>
          </w:p>
        </w:tc>
        <w:tc>
          <w:tcPr>
            <w:tcW w:w="4394" w:type="dxa"/>
          </w:tcPr>
          <w:p w14:paraId="3EE90293" w14:textId="77777777" w:rsidR="008139F7" w:rsidRPr="008139F7" w:rsidRDefault="008139F7" w:rsidP="008139F7">
            <w:pPr>
              <w:jc w:val="both"/>
              <w:rPr>
                <w:sz w:val="18"/>
                <w:szCs w:val="18"/>
                <w:lang w:val="en-GB"/>
              </w:rPr>
            </w:pPr>
            <w:r w:rsidRPr="008139F7">
              <w:rPr>
                <w:sz w:val="18"/>
                <w:szCs w:val="18"/>
              </w:rPr>
              <w:t>Situation of Human Rights in the Syrian Arab Republic.</w:t>
            </w:r>
          </w:p>
        </w:tc>
        <w:tc>
          <w:tcPr>
            <w:tcW w:w="1080" w:type="dxa"/>
          </w:tcPr>
          <w:p w14:paraId="0C148B96" w14:textId="77777777" w:rsidR="008139F7" w:rsidRPr="008139F7" w:rsidRDefault="008139F7" w:rsidP="008139F7">
            <w:pPr>
              <w:jc w:val="both"/>
              <w:rPr>
                <w:sz w:val="18"/>
                <w:szCs w:val="18"/>
              </w:rPr>
            </w:pPr>
            <w:r w:rsidRPr="008139F7">
              <w:rPr>
                <w:sz w:val="18"/>
                <w:szCs w:val="18"/>
              </w:rPr>
              <w:t>Syria</w:t>
            </w:r>
          </w:p>
        </w:tc>
        <w:tc>
          <w:tcPr>
            <w:tcW w:w="1137" w:type="dxa"/>
          </w:tcPr>
          <w:p w14:paraId="0B3BA63A" w14:textId="77777777" w:rsidR="008139F7" w:rsidRPr="008139F7" w:rsidRDefault="008139F7" w:rsidP="008139F7">
            <w:pPr>
              <w:jc w:val="both"/>
              <w:rPr>
                <w:sz w:val="18"/>
                <w:szCs w:val="18"/>
                <w:lang w:val="en-GB"/>
              </w:rPr>
            </w:pPr>
            <w:r w:rsidRPr="008139F7">
              <w:rPr>
                <w:sz w:val="18"/>
                <w:szCs w:val="18"/>
              </w:rPr>
              <w:t>own population</w:t>
            </w:r>
          </w:p>
        </w:tc>
      </w:tr>
      <w:tr w:rsidR="008139F7" w:rsidRPr="008139F7" w14:paraId="00B31AAD" w14:textId="77777777" w:rsidTr="008139F7">
        <w:tc>
          <w:tcPr>
            <w:tcW w:w="1696" w:type="dxa"/>
          </w:tcPr>
          <w:p w14:paraId="56A9396F" w14:textId="77777777" w:rsidR="008139F7" w:rsidRPr="008139F7" w:rsidRDefault="008139F7" w:rsidP="008139F7">
            <w:pPr>
              <w:jc w:val="both"/>
              <w:rPr>
                <w:sz w:val="18"/>
                <w:szCs w:val="18"/>
                <w:lang w:val="en-GB"/>
              </w:rPr>
            </w:pPr>
            <w:r w:rsidRPr="008139F7">
              <w:rPr>
                <w:sz w:val="18"/>
                <w:szCs w:val="18"/>
              </w:rPr>
              <w:t>Resolution A/RES/72/282</w:t>
            </w:r>
          </w:p>
        </w:tc>
        <w:tc>
          <w:tcPr>
            <w:tcW w:w="709" w:type="dxa"/>
          </w:tcPr>
          <w:p w14:paraId="350D2A32" w14:textId="77777777" w:rsidR="008139F7" w:rsidRPr="008139F7" w:rsidRDefault="008139F7" w:rsidP="008139F7">
            <w:pPr>
              <w:jc w:val="both"/>
              <w:rPr>
                <w:sz w:val="18"/>
                <w:szCs w:val="18"/>
                <w:lang w:val="en-GB"/>
              </w:rPr>
            </w:pPr>
            <w:r w:rsidRPr="008139F7">
              <w:rPr>
                <w:sz w:val="18"/>
                <w:szCs w:val="18"/>
              </w:rPr>
              <w:t>2018</w:t>
            </w:r>
          </w:p>
        </w:tc>
        <w:tc>
          <w:tcPr>
            <w:tcW w:w="4394" w:type="dxa"/>
          </w:tcPr>
          <w:p w14:paraId="551895F5" w14:textId="77777777" w:rsidR="008139F7" w:rsidRPr="008139F7" w:rsidRDefault="008139F7" w:rsidP="008139F7">
            <w:pPr>
              <w:jc w:val="both"/>
              <w:rPr>
                <w:sz w:val="18"/>
                <w:szCs w:val="18"/>
                <w:lang w:val="en-GB"/>
              </w:rPr>
            </w:pPr>
            <w:r w:rsidRPr="008139F7">
              <w:rPr>
                <w:sz w:val="18"/>
                <w:szCs w:val="18"/>
              </w:rPr>
              <w:t>Complete and unconditional withdrawal of foreign military forces from the territory of the Republic of Moldova</w:t>
            </w:r>
          </w:p>
        </w:tc>
        <w:tc>
          <w:tcPr>
            <w:tcW w:w="1080" w:type="dxa"/>
          </w:tcPr>
          <w:p w14:paraId="2B3DB105" w14:textId="77777777" w:rsidR="008139F7" w:rsidRPr="008139F7" w:rsidRDefault="008139F7" w:rsidP="008139F7">
            <w:pPr>
              <w:jc w:val="both"/>
              <w:rPr>
                <w:sz w:val="18"/>
                <w:szCs w:val="18"/>
              </w:rPr>
            </w:pPr>
            <w:r w:rsidRPr="008139F7">
              <w:rPr>
                <w:sz w:val="18"/>
                <w:szCs w:val="18"/>
              </w:rPr>
              <w:t>Russia</w:t>
            </w:r>
          </w:p>
        </w:tc>
        <w:tc>
          <w:tcPr>
            <w:tcW w:w="1137" w:type="dxa"/>
          </w:tcPr>
          <w:p w14:paraId="78BCDE8F" w14:textId="77777777" w:rsidR="008139F7" w:rsidRPr="008139F7" w:rsidRDefault="008139F7" w:rsidP="008139F7">
            <w:pPr>
              <w:jc w:val="both"/>
              <w:rPr>
                <w:sz w:val="18"/>
                <w:szCs w:val="18"/>
                <w:lang w:val="en-GB"/>
              </w:rPr>
            </w:pPr>
            <w:r w:rsidRPr="008139F7">
              <w:rPr>
                <w:sz w:val="18"/>
                <w:szCs w:val="18"/>
              </w:rPr>
              <w:t>Moldova</w:t>
            </w:r>
          </w:p>
        </w:tc>
      </w:tr>
      <w:tr w:rsidR="008139F7" w:rsidRPr="008139F7" w14:paraId="2AB4C288" w14:textId="77777777" w:rsidTr="008139F7">
        <w:tc>
          <w:tcPr>
            <w:tcW w:w="1696" w:type="dxa"/>
          </w:tcPr>
          <w:p w14:paraId="721302BC" w14:textId="77777777" w:rsidR="008139F7" w:rsidRPr="008139F7" w:rsidRDefault="008139F7" w:rsidP="008139F7">
            <w:pPr>
              <w:jc w:val="both"/>
              <w:rPr>
                <w:sz w:val="18"/>
                <w:szCs w:val="18"/>
                <w:lang w:val="en-GB"/>
              </w:rPr>
            </w:pPr>
            <w:r w:rsidRPr="008139F7">
              <w:rPr>
                <w:sz w:val="18"/>
                <w:szCs w:val="18"/>
              </w:rPr>
              <w:t>Resolution A/RES/73/194</w:t>
            </w:r>
          </w:p>
        </w:tc>
        <w:tc>
          <w:tcPr>
            <w:tcW w:w="709" w:type="dxa"/>
          </w:tcPr>
          <w:p w14:paraId="5E5CE6B9" w14:textId="77777777" w:rsidR="008139F7" w:rsidRPr="008139F7" w:rsidRDefault="008139F7" w:rsidP="008139F7">
            <w:pPr>
              <w:jc w:val="both"/>
              <w:rPr>
                <w:sz w:val="18"/>
                <w:szCs w:val="18"/>
                <w:lang w:val="en-GB"/>
              </w:rPr>
            </w:pPr>
            <w:r w:rsidRPr="008139F7">
              <w:rPr>
                <w:sz w:val="18"/>
                <w:szCs w:val="18"/>
              </w:rPr>
              <w:t>2018</w:t>
            </w:r>
          </w:p>
        </w:tc>
        <w:tc>
          <w:tcPr>
            <w:tcW w:w="4394" w:type="dxa"/>
          </w:tcPr>
          <w:p w14:paraId="2D0C3953" w14:textId="77777777" w:rsidR="008139F7" w:rsidRPr="008139F7" w:rsidRDefault="008139F7" w:rsidP="008139F7">
            <w:pPr>
              <w:jc w:val="both"/>
              <w:rPr>
                <w:sz w:val="18"/>
                <w:szCs w:val="18"/>
                <w:lang w:val="en-GB"/>
              </w:rPr>
            </w:pPr>
            <w:r w:rsidRPr="008139F7">
              <w:rPr>
                <w:sz w:val="18"/>
                <w:szCs w:val="18"/>
              </w:rPr>
              <w:t>Problem of the militarization of the Autonomous Republic of Crimea and the city of Sevastopol, Ukraine, as well as parts of the Black Sea and the Sea of Azov</w:t>
            </w:r>
          </w:p>
        </w:tc>
        <w:tc>
          <w:tcPr>
            <w:tcW w:w="1080" w:type="dxa"/>
          </w:tcPr>
          <w:p w14:paraId="48FFF121" w14:textId="77777777" w:rsidR="008139F7" w:rsidRPr="008139F7" w:rsidRDefault="008139F7" w:rsidP="008139F7">
            <w:pPr>
              <w:jc w:val="both"/>
              <w:rPr>
                <w:sz w:val="18"/>
                <w:szCs w:val="18"/>
              </w:rPr>
            </w:pPr>
            <w:r w:rsidRPr="008139F7">
              <w:rPr>
                <w:sz w:val="18"/>
                <w:szCs w:val="18"/>
              </w:rPr>
              <w:t>Russia</w:t>
            </w:r>
          </w:p>
        </w:tc>
        <w:tc>
          <w:tcPr>
            <w:tcW w:w="1137" w:type="dxa"/>
          </w:tcPr>
          <w:p w14:paraId="1DD25FDF" w14:textId="77777777" w:rsidR="008139F7" w:rsidRPr="008139F7" w:rsidRDefault="008139F7" w:rsidP="008139F7">
            <w:pPr>
              <w:jc w:val="both"/>
              <w:rPr>
                <w:sz w:val="18"/>
                <w:szCs w:val="18"/>
                <w:lang w:val="en-GB"/>
              </w:rPr>
            </w:pPr>
            <w:r w:rsidRPr="008139F7">
              <w:rPr>
                <w:sz w:val="18"/>
                <w:szCs w:val="18"/>
              </w:rPr>
              <w:t>Ukraine</w:t>
            </w:r>
          </w:p>
        </w:tc>
      </w:tr>
      <w:tr w:rsidR="008139F7" w:rsidRPr="008139F7" w14:paraId="29FAC1B7" w14:textId="77777777" w:rsidTr="008139F7">
        <w:tc>
          <w:tcPr>
            <w:tcW w:w="1696" w:type="dxa"/>
          </w:tcPr>
          <w:p w14:paraId="7397B10C" w14:textId="77777777" w:rsidR="008139F7" w:rsidRPr="008139F7" w:rsidRDefault="008139F7" w:rsidP="008139F7">
            <w:pPr>
              <w:jc w:val="both"/>
              <w:rPr>
                <w:sz w:val="18"/>
                <w:szCs w:val="18"/>
                <w:lang w:val="en-GB"/>
              </w:rPr>
            </w:pPr>
            <w:r w:rsidRPr="008139F7">
              <w:rPr>
                <w:sz w:val="18"/>
                <w:szCs w:val="18"/>
              </w:rPr>
              <w:t>Resolution ES-10/L.23</w:t>
            </w:r>
          </w:p>
        </w:tc>
        <w:tc>
          <w:tcPr>
            <w:tcW w:w="709" w:type="dxa"/>
          </w:tcPr>
          <w:p w14:paraId="1D700ACE" w14:textId="77777777" w:rsidR="008139F7" w:rsidRPr="008139F7" w:rsidRDefault="008139F7" w:rsidP="008139F7">
            <w:pPr>
              <w:jc w:val="both"/>
              <w:rPr>
                <w:sz w:val="18"/>
                <w:szCs w:val="18"/>
                <w:lang w:val="en-GB"/>
              </w:rPr>
            </w:pPr>
            <w:r w:rsidRPr="008139F7">
              <w:rPr>
                <w:sz w:val="18"/>
                <w:szCs w:val="18"/>
              </w:rPr>
              <w:t>2018</w:t>
            </w:r>
          </w:p>
        </w:tc>
        <w:tc>
          <w:tcPr>
            <w:tcW w:w="4394" w:type="dxa"/>
          </w:tcPr>
          <w:p w14:paraId="6E5B349C" w14:textId="77777777" w:rsidR="008139F7" w:rsidRPr="008139F7" w:rsidRDefault="008139F7" w:rsidP="008139F7">
            <w:pPr>
              <w:jc w:val="both"/>
              <w:rPr>
                <w:sz w:val="18"/>
                <w:szCs w:val="18"/>
                <w:lang w:val="en-GB"/>
              </w:rPr>
            </w:pPr>
            <w:r w:rsidRPr="008139F7">
              <w:rPr>
                <w:sz w:val="18"/>
                <w:szCs w:val="18"/>
              </w:rPr>
              <w:t>llegal Israeli actions in Occupied E Jerusalem and the rest of the Occupied Palestinian Territory" and "Protection of the Palestinian civilian population</w:t>
            </w:r>
          </w:p>
        </w:tc>
        <w:tc>
          <w:tcPr>
            <w:tcW w:w="1080" w:type="dxa"/>
          </w:tcPr>
          <w:p w14:paraId="3BFE3238" w14:textId="77777777" w:rsidR="008139F7" w:rsidRPr="008139F7" w:rsidRDefault="008139F7" w:rsidP="008139F7">
            <w:pPr>
              <w:jc w:val="both"/>
              <w:rPr>
                <w:sz w:val="18"/>
                <w:szCs w:val="18"/>
              </w:rPr>
            </w:pPr>
            <w:r w:rsidRPr="008139F7">
              <w:rPr>
                <w:sz w:val="18"/>
                <w:szCs w:val="18"/>
              </w:rPr>
              <w:t>Israel</w:t>
            </w:r>
          </w:p>
        </w:tc>
        <w:tc>
          <w:tcPr>
            <w:tcW w:w="1137" w:type="dxa"/>
          </w:tcPr>
          <w:p w14:paraId="21D95767" w14:textId="77777777" w:rsidR="008139F7" w:rsidRPr="008139F7" w:rsidRDefault="008139F7" w:rsidP="008139F7">
            <w:pPr>
              <w:jc w:val="both"/>
              <w:rPr>
                <w:sz w:val="18"/>
                <w:szCs w:val="18"/>
                <w:lang w:val="en-GB"/>
              </w:rPr>
            </w:pPr>
            <w:r w:rsidRPr="008139F7">
              <w:rPr>
                <w:sz w:val="18"/>
                <w:szCs w:val="18"/>
              </w:rPr>
              <w:t>Palestine</w:t>
            </w:r>
          </w:p>
        </w:tc>
      </w:tr>
      <w:tr w:rsidR="008139F7" w:rsidRPr="008139F7" w14:paraId="28BAAB3B" w14:textId="77777777" w:rsidTr="008139F7">
        <w:tc>
          <w:tcPr>
            <w:tcW w:w="1696" w:type="dxa"/>
          </w:tcPr>
          <w:p w14:paraId="13E66545" w14:textId="77777777" w:rsidR="008139F7" w:rsidRPr="008139F7" w:rsidRDefault="008139F7" w:rsidP="008139F7">
            <w:pPr>
              <w:jc w:val="both"/>
              <w:rPr>
                <w:sz w:val="18"/>
                <w:szCs w:val="18"/>
                <w:lang w:val="en-GB"/>
              </w:rPr>
            </w:pPr>
            <w:r w:rsidRPr="008139F7">
              <w:rPr>
                <w:sz w:val="18"/>
                <w:szCs w:val="18"/>
              </w:rPr>
              <w:t>Resolution 75/287</w:t>
            </w:r>
          </w:p>
        </w:tc>
        <w:tc>
          <w:tcPr>
            <w:tcW w:w="709" w:type="dxa"/>
          </w:tcPr>
          <w:p w14:paraId="08C7CF1A" w14:textId="77777777" w:rsidR="008139F7" w:rsidRPr="008139F7" w:rsidRDefault="008139F7" w:rsidP="008139F7">
            <w:pPr>
              <w:jc w:val="both"/>
              <w:rPr>
                <w:sz w:val="18"/>
                <w:szCs w:val="18"/>
                <w:lang w:val="en-GB"/>
              </w:rPr>
            </w:pPr>
            <w:r w:rsidRPr="008139F7">
              <w:rPr>
                <w:sz w:val="18"/>
                <w:szCs w:val="18"/>
              </w:rPr>
              <w:t>2021</w:t>
            </w:r>
          </w:p>
        </w:tc>
        <w:tc>
          <w:tcPr>
            <w:tcW w:w="4394" w:type="dxa"/>
          </w:tcPr>
          <w:p w14:paraId="7460D369" w14:textId="77777777" w:rsidR="008139F7" w:rsidRPr="008139F7" w:rsidRDefault="008139F7" w:rsidP="008139F7">
            <w:pPr>
              <w:jc w:val="both"/>
              <w:rPr>
                <w:sz w:val="18"/>
                <w:szCs w:val="18"/>
                <w:lang w:val="en-GB"/>
              </w:rPr>
            </w:pPr>
            <w:r w:rsidRPr="008139F7">
              <w:rPr>
                <w:sz w:val="18"/>
                <w:szCs w:val="18"/>
              </w:rPr>
              <w:t xml:space="preserve">The situation in Myanmar </w:t>
            </w:r>
          </w:p>
        </w:tc>
        <w:tc>
          <w:tcPr>
            <w:tcW w:w="1080" w:type="dxa"/>
          </w:tcPr>
          <w:p w14:paraId="419B6179" w14:textId="77777777" w:rsidR="008139F7" w:rsidRPr="008139F7" w:rsidRDefault="008139F7" w:rsidP="008139F7">
            <w:pPr>
              <w:jc w:val="both"/>
              <w:rPr>
                <w:sz w:val="18"/>
                <w:szCs w:val="18"/>
              </w:rPr>
            </w:pPr>
            <w:r w:rsidRPr="008139F7">
              <w:rPr>
                <w:sz w:val="18"/>
                <w:szCs w:val="18"/>
              </w:rPr>
              <w:t>Myanmar</w:t>
            </w:r>
          </w:p>
        </w:tc>
        <w:tc>
          <w:tcPr>
            <w:tcW w:w="1137" w:type="dxa"/>
          </w:tcPr>
          <w:p w14:paraId="00F74264" w14:textId="77777777" w:rsidR="008139F7" w:rsidRPr="008139F7" w:rsidRDefault="008139F7" w:rsidP="008139F7">
            <w:pPr>
              <w:jc w:val="both"/>
              <w:rPr>
                <w:sz w:val="18"/>
                <w:szCs w:val="18"/>
                <w:lang w:val="en-GB"/>
              </w:rPr>
            </w:pPr>
            <w:r w:rsidRPr="008139F7">
              <w:rPr>
                <w:sz w:val="18"/>
                <w:szCs w:val="18"/>
              </w:rPr>
              <w:t>own population</w:t>
            </w:r>
          </w:p>
        </w:tc>
      </w:tr>
      <w:tr w:rsidR="008139F7" w:rsidRPr="008139F7" w14:paraId="4C04F381" w14:textId="77777777" w:rsidTr="008139F7">
        <w:tc>
          <w:tcPr>
            <w:tcW w:w="1696" w:type="dxa"/>
          </w:tcPr>
          <w:p w14:paraId="1C47B30E" w14:textId="77777777" w:rsidR="008139F7" w:rsidRPr="008139F7" w:rsidRDefault="008139F7" w:rsidP="008139F7">
            <w:pPr>
              <w:jc w:val="both"/>
              <w:rPr>
                <w:sz w:val="18"/>
                <w:szCs w:val="18"/>
                <w:lang w:val="en-GB"/>
              </w:rPr>
            </w:pPr>
            <w:r w:rsidRPr="008139F7">
              <w:rPr>
                <w:sz w:val="18"/>
                <w:szCs w:val="18"/>
              </w:rPr>
              <w:t>Resolution 76/70</w:t>
            </w:r>
          </w:p>
        </w:tc>
        <w:tc>
          <w:tcPr>
            <w:tcW w:w="709" w:type="dxa"/>
          </w:tcPr>
          <w:p w14:paraId="05ACDD0B" w14:textId="77777777" w:rsidR="008139F7" w:rsidRPr="008139F7" w:rsidRDefault="008139F7" w:rsidP="008139F7">
            <w:pPr>
              <w:jc w:val="both"/>
              <w:rPr>
                <w:sz w:val="18"/>
                <w:szCs w:val="18"/>
                <w:lang w:val="en-GB"/>
              </w:rPr>
            </w:pPr>
            <w:r w:rsidRPr="008139F7">
              <w:rPr>
                <w:sz w:val="18"/>
                <w:szCs w:val="18"/>
              </w:rPr>
              <w:t>2021</w:t>
            </w:r>
          </w:p>
        </w:tc>
        <w:tc>
          <w:tcPr>
            <w:tcW w:w="4394" w:type="dxa"/>
          </w:tcPr>
          <w:p w14:paraId="53A8ACA0" w14:textId="77777777" w:rsidR="008139F7" w:rsidRPr="008139F7" w:rsidRDefault="008139F7" w:rsidP="008139F7">
            <w:pPr>
              <w:jc w:val="both"/>
              <w:rPr>
                <w:sz w:val="18"/>
                <w:szCs w:val="18"/>
                <w:lang w:val="en-GB"/>
              </w:rPr>
            </w:pPr>
            <w:r w:rsidRPr="008139F7">
              <w:rPr>
                <w:sz w:val="18"/>
                <w:szCs w:val="18"/>
              </w:rPr>
              <w:t>Problem of the militarization of the Autonomous Republic of Crimea and the city of Sevastopol, Ukraine, as well as parts of the Black Sea and the Sea of Azov</w:t>
            </w:r>
          </w:p>
        </w:tc>
        <w:tc>
          <w:tcPr>
            <w:tcW w:w="1080" w:type="dxa"/>
          </w:tcPr>
          <w:p w14:paraId="08F34C1C" w14:textId="77777777" w:rsidR="008139F7" w:rsidRPr="008139F7" w:rsidRDefault="008139F7" w:rsidP="008139F7">
            <w:pPr>
              <w:jc w:val="both"/>
              <w:rPr>
                <w:sz w:val="18"/>
                <w:szCs w:val="18"/>
              </w:rPr>
            </w:pPr>
            <w:r w:rsidRPr="008139F7">
              <w:rPr>
                <w:sz w:val="18"/>
                <w:szCs w:val="18"/>
              </w:rPr>
              <w:t>Russia</w:t>
            </w:r>
          </w:p>
        </w:tc>
        <w:tc>
          <w:tcPr>
            <w:tcW w:w="1137" w:type="dxa"/>
          </w:tcPr>
          <w:p w14:paraId="78BB7F06" w14:textId="77777777" w:rsidR="008139F7" w:rsidRPr="008139F7" w:rsidRDefault="008139F7" w:rsidP="008139F7">
            <w:pPr>
              <w:jc w:val="both"/>
              <w:rPr>
                <w:sz w:val="18"/>
                <w:szCs w:val="18"/>
                <w:lang w:val="en-GB"/>
              </w:rPr>
            </w:pPr>
            <w:r w:rsidRPr="008139F7">
              <w:rPr>
                <w:sz w:val="18"/>
                <w:szCs w:val="18"/>
              </w:rPr>
              <w:t>Ukraine</w:t>
            </w:r>
          </w:p>
        </w:tc>
      </w:tr>
      <w:tr w:rsidR="008139F7" w:rsidRPr="008139F7" w14:paraId="132E4908" w14:textId="77777777" w:rsidTr="008139F7">
        <w:tc>
          <w:tcPr>
            <w:tcW w:w="1696" w:type="dxa"/>
          </w:tcPr>
          <w:p w14:paraId="74FE6C1C" w14:textId="77777777" w:rsidR="008139F7" w:rsidRPr="008139F7" w:rsidRDefault="008139F7" w:rsidP="008139F7">
            <w:pPr>
              <w:jc w:val="both"/>
              <w:rPr>
                <w:sz w:val="18"/>
                <w:szCs w:val="18"/>
                <w:lang w:val="en-GB"/>
              </w:rPr>
            </w:pPr>
            <w:r w:rsidRPr="008139F7">
              <w:rPr>
                <w:sz w:val="18"/>
                <w:szCs w:val="18"/>
              </w:rPr>
              <w:t>Resolution ES-11/1</w:t>
            </w:r>
          </w:p>
        </w:tc>
        <w:tc>
          <w:tcPr>
            <w:tcW w:w="709" w:type="dxa"/>
          </w:tcPr>
          <w:p w14:paraId="5F865C9D" w14:textId="77777777" w:rsidR="008139F7" w:rsidRPr="008139F7" w:rsidRDefault="008139F7" w:rsidP="008139F7">
            <w:pPr>
              <w:jc w:val="both"/>
              <w:rPr>
                <w:sz w:val="18"/>
                <w:szCs w:val="18"/>
                <w:lang w:val="en-GB"/>
              </w:rPr>
            </w:pPr>
            <w:r w:rsidRPr="008139F7">
              <w:rPr>
                <w:sz w:val="18"/>
                <w:szCs w:val="18"/>
              </w:rPr>
              <w:t>2022</w:t>
            </w:r>
          </w:p>
        </w:tc>
        <w:tc>
          <w:tcPr>
            <w:tcW w:w="4394" w:type="dxa"/>
          </w:tcPr>
          <w:p w14:paraId="409BE959" w14:textId="77777777" w:rsidR="008139F7" w:rsidRPr="008139F7" w:rsidRDefault="008139F7" w:rsidP="008139F7">
            <w:pPr>
              <w:jc w:val="both"/>
              <w:rPr>
                <w:sz w:val="18"/>
                <w:szCs w:val="18"/>
                <w:lang w:val="en-GB"/>
              </w:rPr>
            </w:pPr>
            <w:r w:rsidRPr="008139F7">
              <w:rPr>
                <w:sz w:val="18"/>
                <w:szCs w:val="18"/>
              </w:rPr>
              <w:t xml:space="preserve"> Aggression against Ukraine</w:t>
            </w:r>
          </w:p>
        </w:tc>
        <w:tc>
          <w:tcPr>
            <w:tcW w:w="1080" w:type="dxa"/>
          </w:tcPr>
          <w:p w14:paraId="3853CDE7" w14:textId="77777777" w:rsidR="008139F7" w:rsidRPr="008139F7" w:rsidRDefault="008139F7" w:rsidP="008139F7">
            <w:pPr>
              <w:jc w:val="both"/>
              <w:rPr>
                <w:sz w:val="18"/>
                <w:szCs w:val="18"/>
              </w:rPr>
            </w:pPr>
            <w:r w:rsidRPr="008139F7">
              <w:rPr>
                <w:sz w:val="18"/>
                <w:szCs w:val="18"/>
              </w:rPr>
              <w:t>Russia</w:t>
            </w:r>
          </w:p>
        </w:tc>
        <w:tc>
          <w:tcPr>
            <w:tcW w:w="1137" w:type="dxa"/>
          </w:tcPr>
          <w:p w14:paraId="020EF734" w14:textId="77777777" w:rsidR="008139F7" w:rsidRPr="008139F7" w:rsidRDefault="008139F7" w:rsidP="008139F7">
            <w:pPr>
              <w:jc w:val="both"/>
              <w:rPr>
                <w:sz w:val="18"/>
                <w:szCs w:val="18"/>
                <w:lang w:val="en-GB"/>
              </w:rPr>
            </w:pPr>
            <w:r w:rsidRPr="008139F7">
              <w:rPr>
                <w:sz w:val="18"/>
                <w:szCs w:val="18"/>
              </w:rPr>
              <w:t>Ukraine</w:t>
            </w:r>
          </w:p>
        </w:tc>
      </w:tr>
      <w:tr w:rsidR="008139F7" w:rsidRPr="008139F7" w14:paraId="41E87931" w14:textId="77777777" w:rsidTr="008139F7">
        <w:tc>
          <w:tcPr>
            <w:tcW w:w="1696" w:type="dxa"/>
          </w:tcPr>
          <w:p w14:paraId="71B461CA" w14:textId="77777777" w:rsidR="008139F7" w:rsidRPr="008139F7" w:rsidRDefault="008139F7" w:rsidP="008139F7">
            <w:pPr>
              <w:jc w:val="both"/>
              <w:rPr>
                <w:sz w:val="18"/>
                <w:szCs w:val="18"/>
                <w:lang w:val="en-GB"/>
              </w:rPr>
            </w:pPr>
            <w:r w:rsidRPr="008139F7">
              <w:rPr>
                <w:sz w:val="18"/>
                <w:szCs w:val="18"/>
              </w:rPr>
              <w:t>Resolution ES-11/2</w:t>
            </w:r>
          </w:p>
        </w:tc>
        <w:tc>
          <w:tcPr>
            <w:tcW w:w="709" w:type="dxa"/>
          </w:tcPr>
          <w:p w14:paraId="301887D5" w14:textId="77777777" w:rsidR="008139F7" w:rsidRPr="008139F7" w:rsidRDefault="008139F7" w:rsidP="008139F7">
            <w:pPr>
              <w:jc w:val="both"/>
              <w:rPr>
                <w:sz w:val="18"/>
                <w:szCs w:val="18"/>
                <w:lang w:val="en-GB"/>
              </w:rPr>
            </w:pPr>
            <w:r w:rsidRPr="008139F7">
              <w:rPr>
                <w:sz w:val="18"/>
                <w:szCs w:val="18"/>
              </w:rPr>
              <w:t>2022</w:t>
            </w:r>
          </w:p>
        </w:tc>
        <w:tc>
          <w:tcPr>
            <w:tcW w:w="4394" w:type="dxa"/>
          </w:tcPr>
          <w:p w14:paraId="381FBD30" w14:textId="77777777" w:rsidR="008139F7" w:rsidRPr="008139F7" w:rsidRDefault="008139F7" w:rsidP="008139F7">
            <w:pPr>
              <w:jc w:val="both"/>
              <w:rPr>
                <w:sz w:val="18"/>
                <w:szCs w:val="18"/>
                <w:lang w:val="en-GB"/>
              </w:rPr>
            </w:pPr>
            <w:r w:rsidRPr="008139F7">
              <w:rPr>
                <w:sz w:val="18"/>
                <w:szCs w:val="18"/>
              </w:rPr>
              <w:t xml:space="preserve"> Humanitarian consequences of the aggression against Ukraine</w:t>
            </w:r>
          </w:p>
        </w:tc>
        <w:tc>
          <w:tcPr>
            <w:tcW w:w="1080" w:type="dxa"/>
          </w:tcPr>
          <w:p w14:paraId="34A9A6DE" w14:textId="77777777" w:rsidR="008139F7" w:rsidRPr="008139F7" w:rsidRDefault="008139F7" w:rsidP="008139F7">
            <w:pPr>
              <w:jc w:val="both"/>
              <w:rPr>
                <w:sz w:val="18"/>
                <w:szCs w:val="18"/>
              </w:rPr>
            </w:pPr>
            <w:r w:rsidRPr="008139F7">
              <w:rPr>
                <w:sz w:val="18"/>
                <w:szCs w:val="18"/>
              </w:rPr>
              <w:t>Russia</w:t>
            </w:r>
          </w:p>
        </w:tc>
        <w:tc>
          <w:tcPr>
            <w:tcW w:w="1137" w:type="dxa"/>
          </w:tcPr>
          <w:p w14:paraId="6B73509D" w14:textId="77777777" w:rsidR="008139F7" w:rsidRPr="008139F7" w:rsidRDefault="008139F7" w:rsidP="008139F7">
            <w:pPr>
              <w:jc w:val="both"/>
              <w:rPr>
                <w:sz w:val="18"/>
                <w:szCs w:val="18"/>
                <w:lang w:val="en-GB"/>
              </w:rPr>
            </w:pPr>
            <w:r w:rsidRPr="008139F7">
              <w:rPr>
                <w:sz w:val="18"/>
                <w:szCs w:val="18"/>
              </w:rPr>
              <w:t>Ukraine</w:t>
            </w:r>
          </w:p>
        </w:tc>
      </w:tr>
      <w:tr w:rsidR="008139F7" w:rsidRPr="008139F7" w14:paraId="0A67E515" w14:textId="77777777" w:rsidTr="008139F7">
        <w:tc>
          <w:tcPr>
            <w:tcW w:w="1696" w:type="dxa"/>
          </w:tcPr>
          <w:p w14:paraId="0E7E24D8" w14:textId="77777777" w:rsidR="008139F7" w:rsidRPr="008139F7" w:rsidRDefault="008139F7" w:rsidP="008139F7">
            <w:pPr>
              <w:jc w:val="both"/>
              <w:rPr>
                <w:sz w:val="18"/>
                <w:szCs w:val="18"/>
                <w:lang w:val="en-GB"/>
              </w:rPr>
            </w:pPr>
            <w:r w:rsidRPr="008139F7">
              <w:rPr>
                <w:sz w:val="18"/>
                <w:szCs w:val="18"/>
              </w:rPr>
              <w:t>Resolution ES-11/3</w:t>
            </w:r>
          </w:p>
        </w:tc>
        <w:tc>
          <w:tcPr>
            <w:tcW w:w="709" w:type="dxa"/>
          </w:tcPr>
          <w:p w14:paraId="1858365B" w14:textId="77777777" w:rsidR="008139F7" w:rsidRPr="008139F7" w:rsidRDefault="008139F7" w:rsidP="008139F7">
            <w:pPr>
              <w:jc w:val="both"/>
              <w:rPr>
                <w:sz w:val="18"/>
                <w:szCs w:val="18"/>
                <w:lang w:val="en-GB"/>
              </w:rPr>
            </w:pPr>
            <w:r w:rsidRPr="008139F7">
              <w:rPr>
                <w:sz w:val="18"/>
                <w:szCs w:val="18"/>
              </w:rPr>
              <w:t>2022</w:t>
            </w:r>
          </w:p>
        </w:tc>
        <w:tc>
          <w:tcPr>
            <w:tcW w:w="4394" w:type="dxa"/>
          </w:tcPr>
          <w:p w14:paraId="0B2A0A44" w14:textId="77777777" w:rsidR="008139F7" w:rsidRPr="008139F7" w:rsidRDefault="008139F7" w:rsidP="008139F7">
            <w:pPr>
              <w:jc w:val="both"/>
              <w:rPr>
                <w:sz w:val="18"/>
                <w:szCs w:val="18"/>
                <w:lang w:val="en-GB"/>
              </w:rPr>
            </w:pPr>
            <w:r w:rsidRPr="008139F7">
              <w:rPr>
                <w:sz w:val="18"/>
                <w:szCs w:val="18"/>
              </w:rPr>
              <w:t xml:space="preserve"> Suspension of the rights of membership of the Russian Federation in the Human Rights Council</w:t>
            </w:r>
          </w:p>
        </w:tc>
        <w:tc>
          <w:tcPr>
            <w:tcW w:w="1080" w:type="dxa"/>
          </w:tcPr>
          <w:p w14:paraId="66D897EF" w14:textId="77777777" w:rsidR="008139F7" w:rsidRPr="008139F7" w:rsidRDefault="008139F7" w:rsidP="008139F7">
            <w:pPr>
              <w:jc w:val="both"/>
              <w:rPr>
                <w:sz w:val="18"/>
                <w:szCs w:val="18"/>
              </w:rPr>
            </w:pPr>
            <w:r w:rsidRPr="008139F7">
              <w:rPr>
                <w:sz w:val="18"/>
                <w:szCs w:val="18"/>
              </w:rPr>
              <w:t>Russia</w:t>
            </w:r>
          </w:p>
        </w:tc>
        <w:tc>
          <w:tcPr>
            <w:tcW w:w="1137" w:type="dxa"/>
          </w:tcPr>
          <w:p w14:paraId="1E49A5BC" w14:textId="77777777" w:rsidR="008139F7" w:rsidRPr="008139F7" w:rsidRDefault="008139F7" w:rsidP="008139F7">
            <w:pPr>
              <w:jc w:val="both"/>
              <w:rPr>
                <w:sz w:val="18"/>
                <w:szCs w:val="18"/>
                <w:lang w:val="en-GB"/>
              </w:rPr>
            </w:pPr>
            <w:r w:rsidRPr="008139F7">
              <w:rPr>
                <w:sz w:val="18"/>
                <w:szCs w:val="18"/>
              </w:rPr>
              <w:t>Ukraine</w:t>
            </w:r>
          </w:p>
        </w:tc>
      </w:tr>
      <w:tr w:rsidR="008139F7" w:rsidRPr="008139F7" w14:paraId="13727542" w14:textId="77777777" w:rsidTr="008139F7">
        <w:tc>
          <w:tcPr>
            <w:tcW w:w="1696" w:type="dxa"/>
          </w:tcPr>
          <w:p w14:paraId="4ECC0A8E" w14:textId="77777777" w:rsidR="008139F7" w:rsidRPr="008139F7" w:rsidRDefault="008139F7" w:rsidP="008139F7">
            <w:pPr>
              <w:jc w:val="both"/>
              <w:rPr>
                <w:sz w:val="18"/>
                <w:szCs w:val="18"/>
                <w:lang w:val="en-GB"/>
              </w:rPr>
            </w:pPr>
            <w:r w:rsidRPr="008139F7">
              <w:rPr>
                <w:sz w:val="18"/>
                <w:szCs w:val="18"/>
              </w:rPr>
              <w:t>Resolution 76/262</w:t>
            </w:r>
          </w:p>
        </w:tc>
        <w:tc>
          <w:tcPr>
            <w:tcW w:w="709" w:type="dxa"/>
          </w:tcPr>
          <w:p w14:paraId="04BDBEB5" w14:textId="77777777" w:rsidR="008139F7" w:rsidRPr="008139F7" w:rsidRDefault="008139F7" w:rsidP="008139F7">
            <w:pPr>
              <w:jc w:val="both"/>
              <w:rPr>
                <w:sz w:val="18"/>
                <w:szCs w:val="18"/>
                <w:lang w:val="en-GB"/>
              </w:rPr>
            </w:pPr>
            <w:r w:rsidRPr="008139F7">
              <w:rPr>
                <w:sz w:val="18"/>
                <w:szCs w:val="18"/>
              </w:rPr>
              <w:t>2022</w:t>
            </w:r>
          </w:p>
        </w:tc>
        <w:tc>
          <w:tcPr>
            <w:tcW w:w="4394" w:type="dxa"/>
          </w:tcPr>
          <w:p w14:paraId="7E49E66A" w14:textId="77777777" w:rsidR="008139F7" w:rsidRPr="008139F7" w:rsidRDefault="008139F7" w:rsidP="008139F7">
            <w:pPr>
              <w:jc w:val="both"/>
              <w:rPr>
                <w:sz w:val="18"/>
                <w:szCs w:val="18"/>
                <w:lang w:val="en-GB"/>
              </w:rPr>
            </w:pPr>
            <w:r w:rsidRPr="008139F7">
              <w:rPr>
                <w:sz w:val="18"/>
                <w:szCs w:val="18"/>
              </w:rPr>
              <w:t>Standing mandate for a General Assembly debate when a veto is cast in the Security Council</w:t>
            </w:r>
          </w:p>
        </w:tc>
        <w:tc>
          <w:tcPr>
            <w:tcW w:w="1080" w:type="dxa"/>
          </w:tcPr>
          <w:p w14:paraId="74196757" w14:textId="77777777" w:rsidR="008139F7" w:rsidRPr="008139F7" w:rsidRDefault="008139F7" w:rsidP="008139F7">
            <w:pPr>
              <w:jc w:val="both"/>
              <w:rPr>
                <w:sz w:val="18"/>
                <w:szCs w:val="18"/>
              </w:rPr>
            </w:pPr>
            <w:r w:rsidRPr="008139F7">
              <w:rPr>
                <w:sz w:val="18"/>
                <w:szCs w:val="18"/>
              </w:rPr>
              <w:t>Russia</w:t>
            </w:r>
          </w:p>
        </w:tc>
        <w:tc>
          <w:tcPr>
            <w:tcW w:w="1137" w:type="dxa"/>
          </w:tcPr>
          <w:p w14:paraId="0D9E781C" w14:textId="77777777" w:rsidR="008139F7" w:rsidRPr="008139F7" w:rsidRDefault="008139F7" w:rsidP="008139F7">
            <w:pPr>
              <w:jc w:val="both"/>
              <w:rPr>
                <w:sz w:val="18"/>
                <w:szCs w:val="18"/>
                <w:lang w:val="en-GB"/>
              </w:rPr>
            </w:pPr>
            <w:r w:rsidRPr="008139F7">
              <w:rPr>
                <w:sz w:val="18"/>
                <w:szCs w:val="18"/>
              </w:rPr>
              <w:t>Ukraine</w:t>
            </w:r>
          </w:p>
        </w:tc>
      </w:tr>
      <w:tr w:rsidR="008139F7" w:rsidRPr="008139F7" w14:paraId="4E421C28" w14:textId="77777777" w:rsidTr="008139F7">
        <w:tc>
          <w:tcPr>
            <w:tcW w:w="1696" w:type="dxa"/>
          </w:tcPr>
          <w:p w14:paraId="29092976" w14:textId="77777777" w:rsidR="008139F7" w:rsidRPr="008139F7" w:rsidRDefault="008139F7" w:rsidP="008139F7">
            <w:pPr>
              <w:jc w:val="both"/>
              <w:rPr>
                <w:sz w:val="18"/>
                <w:szCs w:val="18"/>
                <w:lang w:val="en-GB"/>
              </w:rPr>
            </w:pPr>
            <w:r w:rsidRPr="008139F7">
              <w:rPr>
                <w:sz w:val="18"/>
                <w:szCs w:val="18"/>
              </w:rPr>
              <w:t>Resolution A/RES/77/208</w:t>
            </w:r>
          </w:p>
        </w:tc>
        <w:tc>
          <w:tcPr>
            <w:tcW w:w="709" w:type="dxa"/>
          </w:tcPr>
          <w:p w14:paraId="5F886E74" w14:textId="77777777" w:rsidR="008139F7" w:rsidRPr="008139F7" w:rsidRDefault="008139F7" w:rsidP="008139F7">
            <w:pPr>
              <w:jc w:val="both"/>
              <w:rPr>
                <w:sz w:val="18"/>
                <w:szCs w:val="18"/>
                <w:lang w:val="en-GB"/>
              </w:rPr>
            </w:pPr>
            <w:r w:rsidRPr="008139F7">
              <w:rPr>
                <w:sz w:val="18"/>
                <w:szCs w:val="18"/>
              </w:rPr>
              <w:t>2022</w:t>
            </w:r>
          </w:p>
        </w:tc>
        <w:tc>
          <w:tcPr>
            <w:tcW w:w="4394" w:type="dxa"/>
          </w:tcPr>
          <w:p w14:paraId="10024923" w14:textId="77777777" w:rsidR="008139F7" w:rsidRPr="008139F7" w:rsidRDefault="008139F7" w:rsidP="008139F7">
            <w:pPr>
              <w:jc w:val="both"/>
              <w:rPr>
                <w:sz w:val="18"/>
                <w:szCs w:val="18"/>
                <w:lang w:val="en-GB"/>
              </w:rPr>
            </w:pPr>
            <w:r w:rsidRPr="008139F7">
              <w:rPr>
                <w:sz w:val="18"/>
                <w:szCs w:val="18"/>
              </w:rPr>
              <w:t xml:space="preserve">The right of the Palestinian people to self-determination </w:t>
            </w:r>
          </w:p>
        </w:tc>
        <w:tc>
          <w:tcPr>
            <w:tcW w:w="1080" w:type="dxa"/>
          </w:tcPr>
          <w:p w14:paraId="42BC73E5" w14:textId="77777777" w:rsidR="008139F7" w:rsidRPr="008139F7" w:rsidRDefault="008139F7" w:rsidP="008139F7">
            <w:pPr>
              <w:jc w:val="both"/>
              <w:rPr>
                <w:sz w:val="18"/>
                <w:szCs w:val="18"/>
              </w:rPr>
            </w:pPr>
            <w:r w:rsidRPr="008139F7">
              <w:rPr>
                <w:sz w:val="18"/>
                <w:szCs w:val="18"/>
              </w:rPr>
              <w:t>Israel</w:t>
            </w:r>
          </w:p>
        </w:tc>
        <w:tc>
          <w:tcPr>
            <w:tcW w:w="1137" w:type="dxa"/>
          </w:tcPr>
          <w:p w14:paraId="52B6EA2A" w14:textId="77777777" w:rsidR="008139F7" w:rsidRPr="008139F7" w:rsidRDefault="008139F7" w:rsidP="008139F7">
            <w:pPr>
              <w:jc w:val="both"/>
              <w:rPr>
                <w:sz w:val="18"/>
                <w:szCs w:val="18"/>
                <w:lang w:val="en-GB"/>
              </w:rPr>
            </w:pPr>
            <w:r w:rsidRPr="008139F7">
              <w:rPr>
                <w:sz w:val="18"/>
                <w:szCs w:val="18"/>
              </w:rPr>
              <w:t>Palestine</w:t>
            </w:r>
          </w:p>
        </w:tc>
      </w:tr>
      <w:tr w:rsidR="008139F7" w:rsidRPr="008139F7" w14:paraId="1A349324" w14:textId="77777777" w:rsidTr="008139F7">
        <w:tc>
          <w:tcPr>
            <w:tcW w:w="1696" w:type="dxa"/>
          </w:tcPr>
          <w:p w14:paraId="593F0EA2" w14:textId="77777777" w:rsidR="008139F7" w:rsidRPr="008139F7" w:rsidRDefault="008139F7" w:rsidP="008139F7">
            <w:pPr>
              <w:jc w:val="both"/>
              <w:rPr>
                <w:sz w:val="18"/>
                <w:szCs w:val="18"/>
                <w:lang w:val="en-GB"/>
              </w:rPr>
            </w:pPr>
            <w:r w:rsidRPr="008139F7">
              <w:rPr>
                <w:sz w:val="18"/>
                <w:szCs w:val="18"/>
              </w:rPr>
              <w:t>Resolution A/RES/77/228</w:t>
            </w:r>
          </w:p>
        </w:tc>
        <w:tc>
          <w:tcPr>
            <w:tcW w:w="709" w:type="dxa"/>
          </w:tcPr>
          <w:p w14:paraId="63215077" w14:textId="77777777" w:rsidR="008139F7" w:rsidRPr="008139F7" w:rsidRDefault="008139F7" w:rsidP="008139F7">
            <w:pPr>
              <w:jc w:val="both"/>
              <w:rPr>
                <w:sz w:val="18"/>
                <w:szCs w:val="18"/>
                <w:lang w:val="en-GB"/>
              </w:rPr>
            </w:pPr>
            <w:r w:rsidRPr="008139F7">
              <w:rPr>
                <w:sz w:val="18"/>
                <w:szCs w:val="18"/>
              </w:rPr>
              <w:t>2022</w:t>
            </w:r>
          </w:p>
        </w:tc>
        <w:tc>
          <w:tcPr>
            <w:tcW w:w="4394" w:type="dxa"/>
          </w:tcPr>
          <w:p w14:paraId="1018C97D" w14:textId="77777777" w:rsidR="008139F7" w:rsidRPr="008139F7" w:rsidRDefault="008139F7" w:rsidP="008139F7">
            <w:pPr>
              <w:jc w:val="both"/>
              <w:rPr>
                <w:sz w:val="18"/>
                <w:szCs w:val="18"/>
                <w:lang w:val="en-GB"/>
              </w:rPr>
            </w:pPr>
            <w:r w:rsidRPr="008139F7">
              <w:rPr>
                <w:sz w:val="18"/>
                <w:szCs w:val="18"/>
              </w:rPr>
              <w:t>Situation of human rights in the Islamic Republic of Iran</w:t>
            </w:r>
          </w:p>
        </w:tc>
        <w:tc>
          <w:tcPr>
            <w:tcW w:w="1080" w:type="dxa"/>
          </w:tcPr>
          <w:p w14:paraId="21F6753D" w14:textId="77777777" w:rsidR="008139F7" w:rsidRPr="008139F7" w:rsidRDefault="008139F7" w:rsidP="008139F7">
            <w:pPr>
              <w:jc w:val="both"/>
              <w:rPr>
                <w:sz w:val="18"/>
                <w:szCs w:val="18"/>
              </w:rPr>
            </w:pPr>
            <w:r w:rsidRPr="008139F7">
              <w:rPr>
                <w:sz w:val="18"/>
                <w:szCs w:val="18"/>
              </w:rPr>
              <w:t>Iran</w:t>
            </w:r>
          </w:p>
        </w:tc>
        <w:tc>
          <w:tcPr>
            <w:tcW w:w="1137" w:type="dxa"/>
          </w:tcPr>
          <w:p w14:paraId="06FC5AD0" w14:textId="77777777" w:rsidR="008139F7" w:rsidRPr="008139F7" w:rsidRDefault="008139F7" w:rsidP="008139F7">
            <w:pPr>
              <w:jc w:val="both"/>
              <w:rPr>
                <w:sz w:val="18"/>
                <w:szCs w:val="18"/>
                <w:lang w:val="en-GB"/>
              </w:rPr>
            </w:pPr>
            <w:r w:rsidRPr="008139F7">
              <w:rPr>
                <w:sz w:val="18"/>
                <w:szCs w:val="18"/>
              </w:rPr>
              <w:t>own population</w:t>
            </w:r>
          </w:p>
        </w:tc>
      </w:tr>
      <w:tr w:rsidR="008139F7" w:rsidRPr="008139F7" w14:paraId="3C90A6D3" w14:textId="77777777" w:rsidTr="008139F7">
        <w:tc>
          <w:tcPr>
            <w:tcW w:w="1696" w:type="dxa"/>
          </w:tcPr>
          <w:p w14:paraId="6DFD7AAE" w14:textId="77777777" w:rsidR="008139F7" w:rsidRPr="008139F7" w:rsidRDefault="008139F7" w:rsidP="008139F7">
            <w:pPr>
              <w:jc w:val="both"/>
              <w:rPr>
                <w:sz w:val="18"/>
                <w:szCs w:val="18"/>
                <w:lang w:val="en-GB"/>
              </w:rPr>
            </w:pPr>
            <w:r w:rsidRPr="008139F7">
              <w:rPr>
                <w:sz w:val="18"/>
                <w:szCs w:val="18"/>
              </w:rPr>
              <w:t>Resolution A/RES/77/230</w:t>
            </w:r>
          </w:p>
        </w:tc>
        <w:tc>
          <w:tcPr>
            <w:tcW w:w="709" w:type="dxa"/>
          </w:tcPr>
          <w:p w14:paraId="305864AA" w14:textId="77777777" w:rsidR="008139F7" w:rsidRPr="008139F7" w:rsidRDefault="008139F7" w:rsidP="008139F7">
            <w:pPr>
              <w:jc w:val="both"/>
              <w:rPr>
                <w:sz w:val="18"/>
                <w:szCs w:val="18"/>
                <w:lang w:val="en-GB"/>
              </w:rPr>
            </w:pPr>
            <w:r w:rsidRPr="008139F7">
              <w:rPr>
                <w:sz w:val="18"/>
                <w:szCs w:val="18"/>
              </w:rPr>
              <w:t>2022</w:t>
            </w:r>
          </w:p>
        </w:tc>
        <w:tc>
          <w:tcPr>
            <w:tcW w:w="4394" w:type="dxa"/>
          </w:tcPr>
          <w:p w14:paraId="4A1AA68C" w14:textId="77777777" w:rsidR="008139F7" w:rsidRPr="008139F7" w:rsidRDefault="008139F7" w:rsidP="008139F7">
            <w:pPr>
              <w:jc w:val="both"/>
              <w:rPr>
                <w:sz w:val="18"/>
                <w:szCs w:val="18"/>
                <w:lang w:val="en-GB"/>
              </w:rPr>
            </w:pPr>
            <w:r w:rsidRPr="008139F7">
              <w:rPr>
                <w:sz w:val="18"/>
                <w:szCs w:val="18"/>
              </w:rPr>
              <w:t xml:space="preserve">Situation of human rights in the Syrian Arab Republic </w:t>
            </w:r>
          </w:p>
        </w:tc>
        <w:tc>
          <w:tcPr>
            <w:tcW w:w="1080" w:type="dxa"/>
          </w:tcPr>
          <w:p w14:paraId="7B742C10" w14:textId="77777777" w:rsidR="008139F7" w:rsidRPr="008139F7" w:rsidRDefault="008139F7" w:rsidP="008139F7">
            <w:pPr>
              <w:jc w:val="both"/>
              <w:rPr>
                <w:sz w:val="18"/>
                <w:szCs w:val="18"/>
              </w:rPr>
            </w:pPr>
            <w:r w:rsidRPr="008139F7">
              <w:rPr>
                <w:sz w:val="18"/>
                <w:szCs w:val="18"/>
              </w:rPr>
              <w:t>Syria</w:t>
            </w:r>
          </w:p>
        </w:tc>
        <w:tc>
          <w:tcPr>
            <w:tcW w:w="1137" w:type="dxa"/>
          </w:tcPr>
          <w:p w14:paraId="32CB4E89" w14:textId="77777777" w:rsidR="008139F7" w:rsidRPr="008139F7" w:rsidRDefault="008139F7" w:rsidP="008139F7">
            <w:pPr>
              <w:jc w:val="both"/>
              <w:rPr>
                <w:sz w:val="18"/>
                <w:szCs w:val="18"/>
                <w:lang w:val="en-GB"/>
              </w:rPr>
            </w:pPr>
            <w:r w:rsidRPr="008139F7">
              <w:rPr>
                <w:sz w:val="18"/>
                <w:szCs w:val="18"/>
              </w:rPr>
              <w:t>own population</w:t>
            </w:r>
          </w:p>
        </w:tc>
      </w:tr>
      <w:tr w:rsidR="008139F7" w:rsidRPr="008139F7" w14:paraId="2D0793E2" w14:textId="77777777" w:rsidTr="008139F7">
        <w:tc>
          <w:tcPr>
            <w:tcW w:w="1696" w:type="dxa"/>
          </w:tcPr>
          <w:p w14:paraId="145CCA51" w14:textId="77777777" w:rsidR="008139F7" w:rsidRPr="008139F7" w:rsidRDefault="008139F7" w:rsidP="008139F7">
            <w:pPr>
              <w:jc w:val="both"/>
              <w:rPr>
                <w:sz w:val="18"/>
                <w:szCs w:val="18"/>
                <w:lang w:val="en-GB"/>
              </w:rPr>
            </w:pPr>
            <w:r w:rsidRPr="008139F7">
              <w:rPr>
                <w:sz w:val="18"/>
                <w:szCs w:val="18"/>
              </w:rPr>
              <w:t>Resolution A/RES/77/247</w:t>
            </w:r>
          </w:p>
        </w:tc>
        <w:tc>
          <w:tcPr>
            <w:tcW w:w="709" w:type="dxa"/>
          </w:tcPr>
          <w:p w14:paraId="46CA3AD9" w14:textId="77777777" w:rsidR="008139F7" w:rsidRPr="008139F7" w:rsidRDefault="008139F7" w:rsidP="008139F7">
            <w:pPr>
              <w:jc w:val="both"/>
              <w:rPr>
                <w:sz w:val="18"/>
                <w:szCs w:val="18"/>
                <w:lang w:val="en-GB"/>
              </w:rPr>
            </w:pPr>
            <w:r w:rsidRPr="008139F7">
              <w:rPr>
                <w:sz w:val="18"/>
                <w:szCs w:val="18"/>
              </w:rPr>
              <w:t>2022</w:t>
            </w:r>
          </w:p>
        </w:tc>
        <w:tc>
          <w:tcPr>
            <w:tcW w:w="4394" w:type="dxa"/>
          </w:tcPr>
          <w:p w14:paraId="5740843A" w14:textId="77777777" w:rsidR="008139F7" w:rsidRPr="008139F7" w:rsidRDefault="008139F7" w:rsidP="008139F7">
            <w:pPr>
              <w:jc w:val="both"/>
              <w:rPr>
                <w:sz w:val="18"/>
                <w:szCs w:val="18"/>
                <w:lang w:val="en-GB"/>
              </w:rPr>
            </w:pPr>
            <w:r w:rsidRPr="008139F7">
              <w:rPr>
                <w:sz w:val="18"/>
                <w:szCs w:val="18"/>
              </w:rPr>
              <w:t>Israeli practices affecting the human rights of the Palestinian people in the Occupied Palestinian Territory, including East Jerusalem</w:t>
            </w:r>
          </w:p>
        </w:tc>
        <w:tc>
          <w:tcPr>
            <w:tcW w:w="1080" w:type="dxa"/>
          </w:tcPr>
          <w:p w14:paraId="611D8667" w14:textId="77777777" w:rsidR="008139F7" w:rsidRPr="008139F7" w:rsidRDefault="008139F7" w:rsidP="008139F7">
            <w:pPr>
              <w:jc w:val="both"/>
              <w:rPr>
                <w:sz w:val="18"/>
                <w:szCs w:val="18"/>
              </w:rPr>
            </w:pPr>
            <w:r w:rsidRPr="008139F7">
              <w:rPr>
                <w:sz w:val="18"/>
                <w:szCs w:val="18"/>
              </w:rPr>
              <w:t>Israel</w:t>
            </w:r>
          </w:p>
        </w:tc>
        <w:tc>
          <w:tcPr>
            <w:tcW w:w="1137" w:type="dxa"/>
          </w:tcPr>
          <w:p w14:paraId="44B9F562" w14:textId="77777777" w:rsidR="008139F7" w:rsidRPr="008139F7" w:rsidRDefault="008139F7" w:rsidP="008139F7">
            <w:pPr>
              <w:jc w:val="both"/>
              <w:rPr>
                <w:sz w:val="18"/>
                <w:szCs w:val="18"/>
                <w:lang w:val="en-GB"/>
              </w:rPr>
            </w:pPr>
            <w:r w:rsidRPr="008139F7">
              <w:rPr>
                <w:sz w:val="18"/>
                <w:szCs w:val="18"/>
              </w:rPr>
              <w:t>Palestine</w:t>
            </w:r>
          </w:p>
        </w:tc>
      </w:tr>
      <w:tr w:rsidR="008139F7" w:rsidRPr="008139F7" w14:paraId="3EF6F0BE" w14:textId="77777777" w:rsidTr="008139F7">
        <w:tc>
          <w:tcPr>
            <w:tcW w:w="1696" w:type="dxa"/>
          </w:tcPr>
          <w:p w14:paraId="16C1126E" w14:textId="77777777" w:rsidR="008139F7" w:rsidRPr="008139F7" w:rsidRDefault="008139F7" w:rsidP="008139F7">
            <w:pPr>
              <w:jc w:val="both"/>
              <w:rPr>
                <w:sz w:val="18"/>
                <w:szCs w:val="18"/>
                <w:lang w:val="en-GB"/>
              </w:rPr>
            </w:pPr>
            <w:r w:rsidRPr="008139F7">
              <w:rPr>
                <w:sz w:val="18"/>
                <w:szCs w:val="18"/>
              </w:rPr>
              <w:lastRenderedPageBreak/>
              <w:t>Resolution A/RES/77/208</w:t>
            </w:r>
          </w:p>
        </w:tc>
        <w:tc>
          <w:tcPr>
            <w:tcW w:w="709" w:type="dxa"/>
          </w:tcPr>
          <w:p w14:paraId="07ECCAD3" w14:textId="77777777" w:rsidR="008139F7" w:rsidRPr="008139F7" w:rsidRDefault="008139F7" w:rsidP="008139F7">
            <w:pPr>
              <w:jc w:val="both"/>
              <w:rPr>
                <w:sz w:val="18"/>
                <w:szCs w:val="18"/>
                <w:lang w:val="en-GB"/>
              </w:rPr>
            </w:pPr>
            <w:r w:rsidRPr="008139F7">
              <w:rPr>
                <w:sz w:val="18"/>
                <w:szCs w:val="18"/>
              </w:rPr>
              <w:t>2022</w:t>
            </w:r>
          </w:p>
        </w:tc>
        <w:tc>
          <w:tcPr>
            <w:tcW w:w="4394" w:type="dxa"/>
          </w:tcPr>
          <w:p w14:paraId="222DB15C" w14:textId="77777777" w:rsidR="008139F7" w:rsidRPr="008139F7" w:rsidRDefault="008139F7" w:rsidP="008139F7">
            <w:pPr>
              <w:jc w:val="both"/>
              <w:rPr>
                <w:sz w:val="18"/>
                <w:szCs w:val="18"/>
                <w:lang w:val="en-GB"/>
              </w:rPr>
            </w:pPr>
            <w:r w:rsidRPr="008139F7">
              <w:rPr>
                <w:sz w:val="18"/>
                <w:szCs w:val="18"/>
              </w:rPr>
              <w:t xml:space="preserve">The right of the Palestinian people to self-determination </w:t>
            </w:r>
          </w:p>
        </w:tc>
        <w:tc>
          <w:tcPr>
            <w:tcW w:w="1080" w:type="dxa"/>
          </w:tcPr>
          <w:p w14:paraId="4DF9CC72" w14:textId="77777777" w:rsidR="008139F7" w:rsidRPr="008139F7" w:rsidRDefault="008139F7" w:rsidP="008139F7">
            <w:pPr>
              <w:jc w:val="both"/>
              <w:rPr>
                <w:sz w:val="18"/>
                <w:szCs w:val="18"/>
              </w:rPr>
            </w:pPr>
            <w:r w:rsidRPr="008139F7">
              <w:rPr>
                <w:sz w:val="18"/>
                <w:szCs w:val="18"/>
              </w:rPr>
              <w:t>Israel</w:t>
            </w:r>
          </w:p>
        </w:tc>
        <w:tc>
          <w:tcPr>
            <w:tcW w:w="1137" w:type="dxa"/>
          </w:tcPr>
          <w:p w14:paraId="032509D5" w14:textId="77777777" w:rsidR="008139F7" w:rsidRPr="008139F7" w:rsidRDefault="008139F7" w:rsidP="008139F7">
            <w:pPr>
              <w:jc w:val="both"/>
              <w:rPr>
                <w:sz w:val="18"/>
                <w:szCs w:val="18"/>
                <w:lang w:val="en-GB"/>
              </w:rPr>
            </w:pPr>
            <w:r w:rsidRPr="008139F7">
              <w:rPr>
                <w:sz w:val="18"/>
                <w:szCs w:val="18"/>
              </w:rPr>
              <w:t>Palestine</w:t>
            </w:r>
          </w:p>
        </w:tc>
      </w:tr>
      <w:tr w:rsidR="008139F7" w:rsidRPr="008139F7" w14:paraId="74AB997B" w14:textId="77777777" w:rsidTr="008139F7">
        <w:tc>
          <w:tcPr>
            <w:tcW w:w="1696" w:type="dxa"/>
          </w:tcPr>
          <w:p w14:paraId="227E83FE" w14:textId="77777777" w:rsidR="008139F7" w:rsidRPr="008139F7" w:rsidRDefault="008139F7" w:rsidP="008139F7">
            <w:pPr>
              <w:jc w:val="both"/>
              <w:rPr>
                <w:sz w:val="18"/>
                <w:szCs w:val="18"/>
                <w:lang w:val="en-GB"/>
              </w:rPr>
            </w:pPr>
            <w:r w:rsidRPr="008139F7">
              <w:rPr>
                <w:sz w:val="18"/>
                <w:szCs w:val="18"/>
              </w:rPr>
              <w:t>Resolution ES‑11/1</w:t>
            </w:r>
          </w:p>
        </w:tc>
        <w:tc>
          <w:tcPr>
            <w:tcW w:w="709" w:type="dxa"/>
          </w:tcPr>
          <w:p w14:paraId="6A9A5F05" w14:textId="77777777" w:rsidR="008139F7" w:rsidRPr="008139F7" w:rsidRDefault="008139F7" w:rsidP="008139F7">
            <w:pPr>
              <w:jc w:val="both"/>
              <w:rPr>
                <w:sz w:val="18"/>
                <w:szCs w:val="18"/>
                <w:lang w:val="en-GB"/>
              </w:rPr>
            </w:pPr>
            <w:r w:rsidRPr="008139F7">
              <w:rPr>
                <w:sz w:val="18"/>
                <w:szCs w:val="18"/>
              </w:rPr>
              <w:t>2022</w:t>
            </w:r>
          </w:p>
        </w:tc>
        <w:tc>
          <w:tcPr>
            <w:tcW w:w="4394" w:type="dxa"/>
          </w:tcPr>
          <w:p w14:paraId="3F3C220D" w14:textId="77777777" w:rsidR="008139F7" w:rsidRPr="008139F7" w:rsidRDefault="008139F7" w:rsidP="008139F7">
            <w:pPr>
              <w:jc w:val="both"/>
              <w:rPr>
                <w:sz w:val="18"/>
                <w:szCs w:val="18"/>
                <w:lang w:val="en-GB"/>
              </w:rPr>
            </w:pPr>
            <w:r w:rsidRPr="008139F7">
              <w:rPr>
                <w:sz w:val="18"/>
                <w:szCs w:val="18"/>
              </w:rPr>
              <w:t>Aggresion against Ukraine</w:t>
            </w:r>
          </w:p>
        </w:tc>
        <w:tc>
          <w:tcPr>
            <w:tcW w:w="1080" w:type="dxa"/>
          </w:tcPr>
          <w:p w14:paraId="00F32165" w14:textId="77777777" w:rsidR="008139F7" w:rsidRPr="008139F7" w:rsidRDefault="008139F7" w:rsidP="008139F7">
            <w:pPr>
              <w:jc w:val="both"/>
              <w:rPr>
                <w:sz w:val="18"/>
                <w:szCs w:val="18"/>
              </w:rPr>
            </w:pPr>
            <w:r w:rsidRPr="008139F7">
              <w:rPr>
                <w:sz w:val="18"/>
                <w:szCs w:val="18"/>
              </w:rPr>
              <w:t>Russia</w:t>
            </w:r>
          </w:p>
        </w:tc>
        <w:tc>
          <w:tcPr>
            <w:tcW w:w="1137" w:type="dxa"/>
          </w:tcPr>
          <w:p w14:paraId="0A54DCE9" w14:textId="77777777" w:rsidR="008139F7" w:rsidRPr="008139F7" w:rsidRDefault="008139F7" w:rsidP="008139F7">
            <w:pPr>
              <w:jc w:val="both"/>
              <w:rPr>
                <w:sz w:val="18"/>
                <w:szCs w:val="18"/>
                <w:lang w:val="en-GB"/>
              </w:rPr>
            </w:pPr>
            <w:r w:rsidRPr="008139F7">
              <w:rPr>
                <w:sz w:val="18"/>
                <w:szCs w:val="18"/>
              </w:rPr>
              <w:t>Ukraine</w:t>
            </w:r>
          </w:p>
        </w:tc>
      </w:tr>
      <w:tr w:rsidR="008139F7" w:rsidRPr="008139F7" w14:paraId="6D144654" w14:textId="77777777" w:rsidTr="008139F7">
        <w:tc>
          <w:tcPr>
            <w:tcW w:w="1696" w:type="dxa"/>
          </w:tcPr>
          <w:p w14:paraId="762BE9EC" w14:textId="77777777" w:rsidR="008139F7" w:rsidRPr="008139F7" w:rsidRDefault="008139F7" w:rsidP="008139F7">
            <w:pPr>
              <w:jc w:val="both"/>
              <w:rPr>
                <w:sz w:val="18"/>
                <w:szCs w:val="18"/>
                <w:lang w:val="en-GB"/>
              </w:rPr>
            </w:pPr>
            <w:r w:rsidRPr="008139F7">
              <w:rPr>
                <w:sz w:val="18"/>
                <w:szCs w:val="18"/>
              </w:rPr>
              <w:t>Resolution A/RES/77/125</w:t>
            </w:r>
          </w:p>
        </w:tc>
        <w:tc>
          <w:tcPr>
            <w:tcW w:w="709" w:type="dxa"/>
          </w:tcPr>
          <w:p w14:paraId="0DB9EA10" w14:textId="77777777" w:rsidR="008139F7" w:rsidRPr="008139F7" w:rsidRDefault="008139F7" w:rsidP="008139F7">
            <w:pPr>
              <w:jc w:val="both"/>
              <w:rPr>
                <w:sz w:val="18"/>
                <w:szCs w:val="18"/>
                <w:lang w:val="en-GB"/>
              </w:rPr>
            </w:pPr>
            <w:r w:rsidRPr="008139F7">
              <w:rPr>
                <w:sz w:val="18"/>
                <w:szCs w:val="18"/>
              </w:rPr>
              <w:t>2022</w:t>
            </w:r>
          </w:p>
        </w:tc>
        <w:tc>
          <w:tcPr>
            <w:tcW w:w="4394" w:type="dxa"/>
          </w:tcPr>
          <w:p w14:paraId="30552DDF" w14:textId="77777777" w:rsidR="008139F7" w:rsidRPr="008139F7" w:rsidRDefault="008139F7" w:rsidP="008139F7">
            <w:pPr>
              <w:jc w:val="both"/>
              <w:rPr>
                <w:sz w:val="18"/>
                <w:szCs w:val="18"/>
                <w:lang w:val="en-GB"/>
              </w:rPr>
            </w:pPr>
            <w:r w:rsidRPr="008139F7">
              <w:rPr>
                <w:sz w:val="18"/>
                <w:szCs w:val="18"/>
              </w:rPr>
              <w:t xml:space="preserve">The occupied Syrian Golan </w:t>
            </w:r>
          </w:p>
        </w:tc>
        <w:tc>
          <w:tcPr>
            <w:tcW w:w="1080" w:type="dxa"/>
          </w:tcPr>
          <w:p w14:paraId="4ECD977B" w14:textId="77777777" w:rsidR="008139F7" w:rsidRPr="008139F7" w:rsidRDefault="008139F7" w:rsidP="008139F7">
            <w:pPr>
              <w:jc w:val="both"/>
              <w:rPr>
                <w:sz w:val="18"/>
                <w:szCs w:val="18"/>
              </w:rPr>
            </w:pPr>
            <w:r w:rsidRPr="008139F7">
              <w:rPr>
                <w:sz w:val="18"/>
                <w:szCs w:val="18"/>
              </w:rPr>
              <w:t>Israel</w:t>
            </w:r>
          </w:p>
        </w:tc>
        <w:tc>
          <w:tcPr>
            <w:tcW w:w="1137" w:type="dxa"/>
          </w:tcPr>
          <w:p w14:paraId="403930DC" w14:textId="77777777" w:rsidR="008139F7" w:rsidRPr="008139F7" w:rsidRDefault="008139F7" w:rsidP="008139F7">
            <w:pPr>
              <w:jc w:val="both"/>
              <w:rPr>
                <w:sz w:val="18"/>
                <w:szCs w:val="18"/>
                <w:lang w:val="en-GB"/>
              </w:rPr>
            </w:pPr>
            <w:r w:rsidRPr="008139F7">
              <w:rPr>
                <w:sz w:val="18"/>
                <w:szCs w:val="18"/>
              </w:rPr>
              <w:t>Siria</w:t>
            </w:r>
          </w:p>
        </w:tc>
      </w:tr>
      <w:tr w:rsidR="008139F7" w:rsidRPr="008139F7" w14:paraId="312064F4" w14:textId="77777777" w:rsidTr="008139F7">
        <w:tc>
          <w:tcPr>
            <w:tcW w:w="1696" w:type="dxa"/>
          </w:tcPr>
          <w:p w14:paraId="3DDAFFA0" w14:textId="77777777" w:rsidR="008139F7" w:rsidRPr="008139F7" w:rsidRDefault="008139F7" w:rsidP="008139F7">
            <w:pPr>
              <w:jc w:val="both"/>
              <w:rPr>
                <w:sz w:val="18"/>
                <w:szCs w:val="18"/>
                <w:lang w:val="en-GB"/>
              </w:rPr>
            </w:pPr>
            <w:r w:rsidRPr="008139F7">
              <w:rPr>
                <w:sz w:val="18"/>
                <w:szCs w:val="18"/>
              </w:rPr>
              <w:t>Resolution ES-11/4</w:t>
            </w:r>
          </w:p>
        </w:tc>
        <w:tc>
          <w:tcPr>
            <w:tcW w:w="709" w:type="dxa"/>
          </w:tcPr>
          <w:p w14:paraId="158D6163" w14:textId="77777777" w:rsidR="008139F7" w:rsidRPr="008139F7" w:rsidRDefault="008139F7" w:rsidP="008139F7">
            <w:pPr>
              <w:jc w:val="both"/>
              <w:rPr>
                <w:sz w:val="18"/>
                <w:szCs w:val="18"/>
                <w:lang w:val="en-GB"/>
              </w:rPr>
            </w:pPr>
            <w:r w:rsidRPr="008139F7">
              <w:rPr>
                <w:sz w:val="18"/>
                <w:szCs w:val="18"/>
              </w:rPr>
              <w:t>2022</w:t>
            </w:r>
          </w:p>
        </w:tc>
        <w:tc>
          <w:tcPr>
            <w:tcW w:w="4394" w:type="dxa"/>
          </w:tcPr>
          <w:p w14:paraId="6BDDD8A5" w14:textId="77777777" w:rsidR="008139F7" w:rsidRPr="008139F7" w:rsidRDefault="008139F7" w:rsidP="008139F7">
            <w:pPr>
              <w:jc w:val="both"/>
              <w:rPr>
                <w:sz w:val="18"/>
                <w:szCs w:val="18"/>
                <w:lang w:val="en-GB"/>
              </w:rPr>
            </w:pPr>
            <w:r w:rsidRPr="008139F7">
              <w:rPr>
                <w:sz w:val="18"/>
                <w:szCs w:val="18"/>
              </w:rPr>
              <w:t>Territorial integrity of Ukraine: defending the principles of the Charter of the United Nations</w:t>
            </w:r>
          </w:p>
        </w:tc>
        <w:tc>
          <w:tcPr>
            <w:tcW w:w="1080" w:type="dxa"/>
          </w:tcPr>
          <w:p w14:paraId="38CD2F4C" w14:textId="77777777" w:rsidR="008139F7" w:rsidRPr="008139F7" w:rsidRDefault="008139F7" w:rsidP="008139F7">
            <w:pPr>
              <w:jc w:val="both"/>
              <w:rPr>
                <w:sz w:val="18"/>
                <w:szCs w:val="18"/>
              </w:rPr>
            </w:pPr>
            <w:r w:rsidRPr="008139F7">
              <w:rPr>
                <w:sz w:val="18"/>
                <w:szCs w:val="18"/>
              </w:rPr>
              <w:t>Russia</w:t>
            </w:r>
          </w:p>
        </w:tc>
        <w:tc>
          <w:tcPr>
            <w:tcW w:w="1137" w:type="dxa"/>
          </w:tcPr>
          <w:p w14:paraId="329C4C1B" w14:textId="77777777" w:rsidR="008139F7" w:rsidRPr="008139F7" w:rsidRDefault="008139F7" w:rsidP="008139F7">
            <w:pPr>
              <w:jc w:val="both"/>
              <w:rPr>
                <w:sz w:val="18"/>
                <w:szCs w:val="18"/>
                <w:lang w:val="en-GB"/>
              </w:rPr>
            </w:pPr>
            <w:r w:rsidRPr="008139F7">
              <w:rPr>
                <w:sz w:val="18"/>
                <w:szCs w:val="18"/>
              </w:rPr>
              <w:t>Ukraine</w:t>
            </w:r>
          </w:p>
        </w:tc>
      </w:tr>
      <w:tr w:rsidR="008139F7" w:rsidRPr="008139F7" w14:paraId="6089165F" w14:textId="77777777" w:rsidTr="008139F7">
        <w:tc>
          <w:tcPr>
            <w:tcW w:w="1696" w:type="dxa"/>
            <w:tcBorders>
              <w:bottom w:val="double" w:sz="4" w:space="0" w:color="auto"/>
            </w:tcBorders>
          </w:tcPr>
          <w:p w14:paraId="42CDA082" w14:textId="77777777" w:rsidR="008139F7" w:rsidRPr="008139F7" w:rsidRDefault="008139F7" w:rsidP="008139F7">
            <w:pPr>
              <w:jc w:val="both"/>
              <w:rPr>
                <w:sz w:val="18"/>
                <w:szCs w:val="18"/>
                <w:lang w:val="en-GB"/>
              </w:rPr>
            </w:pPr>
            <w:r w:rsidRPr="008139F7">
              <w:rPr>
                <w:sz w:val="18"/>
                <w:szCs w:val="18"/>
              </w:rPr>
              <w:t>Resolution A/RES/ES-11/6</w:t>
            </w:r>
          </w:p>
        </w:tc>
        <w:tc>
          <w:tcPr>
            <w:tcW w:w="709" w:type="dxa"/>
            <w:tcBorders>
              <w:bottom w:val="double" w:sz="4" w:space="0" w:color="auto"/>
            </w:tcBorders>
          </w:tcPr>
          <w:p w14:paraId="65937A15" w14:textId="77777777" w:rsidR="008139F7" w:rsidRPr="008139F7" w:rsidRDefault="008139F7" w:rsidP="008139F7">
            <w:pPr>
              <w:jc w:val="both"/>
              <w:rPr>
                <w:sz w:val="18"/>
                <w:szCs w:val="18"/>
                <w:lang w:val="en-GB"/>
              </w:rPr>
            </w:pPr>
            <w:r w:rsidRPr="008139F7">
              <w:rPr>
                <w:sz w:val="18"/>
                <w:szCs w:val="18"/>
              </w:rPr>
              <w:t>2023</w:t>
            </w:r>
          </w:p>
        </w:tc>
        <w:tc>
          <w:tcPr>
            <w:tcW w:w="4394" w:type="dxa"/>
            <w:tcBorders>
              <w:bottom w:val="double" w:sz="4" w:space="0" w:color="auto"/>
            </w:tcBorders>
          </w:tcPr>
          <w:p w14:paraId="65BF762E" w14:textId="77777777" w:rsidR="008139F7" w:rsidRPr="008139F7" w:rsidRDefault="008139F7" w:rsidP="008139F7">
            <w:pPr>
              <w:jc w:val="both"/>
              <w:rPr>
                <w:sz w:val="18"/>
                <w:szCs w:val="18"/>
                <w:lang w:val="en-GB"/>
              </w:rPr>
            </w:pPr>
            <w:r w:rsidRPr="008139F7">
              <w:rPr>
                <w:sz w:val="18"/>
                <w:szCs w:val="18"/>
              </w:rPr>
              <w:t>Principles of the Charter of the United Nations underlying a comprehensive, just and lasting peace in Ukraine</w:t>
            </w:r>
          </w:p>
        </w:tc>
        <w:tc>
          <w:tcPr>
            <w:tcW w:w="1080" w:type="dxa"/>
            <w:tcBorders>
              <w:bottom w:val="double" w:sz="4" w:space="0" w:color="auto"/>
            </w:tcBorders>
          </w:tcPr>
          <w:p w14:paraId="7D25BAE4" w14:textId="77777777" w:rsidR="008139F7" w:rsidRPr="008139F7" w:rsidRDefault="008139F7" w:rsidP="008139F7">
            <w:pPr>
              <w:jc w:val="both"/>
              <w:rPr>
                <w:sz w:val="18"/>
                <w:szCs w:val="18"/>
              </w:rPr>
            </w:pPr>
            <w:r w:rsidRPr="008139F7">
              <w:rPr>
                <w:sz w:val="18"/>
                <w:szCs w:val="18"/>
              </w:rPr>
              <w:t>Russia</w:t>
            </w:r>
          </w:p>
        </w:tc>
        <w:tc>
          <w:tcPr>
            <w:tcW w:w="1137" w:type="dxa"/>
            <w:tcBorders>
              <w:bottom w:val="double" w:sz="4" w:space="0" w:color="auto"/>
            </w:tcBorders>
          </w:tcPr>
          <w:p w14:paraId="2B7FCA85" w14:textId="77777777" w:rsidR="008139F7" w:rsidRPr="008139F7" w:rsidRDefault="008139F7" w:rsidP="008139F7">
            <w:pPr>
              <w:jc w:val="both"/>
              <w:rPr>
                <w:sz w:val="18"/>
                <w:szCs w:val="18"/>
                <w:lang w:val="en-GB"/>
              </w:rPr>
            </w:pPr>
            <w:r w:rsidRPr="008139F7">
              <w:rPr>
                <w:sz w:val="18"/>
                <w:szCs w:val="18"/>
              </w:rPr>
              <w:t>Ukraine</w:t>
            </w:r>
          </w:p>
        </w:tc>
      </w:tr>
    </w:tbl>
    <w:p w14:paraId="603D1DC9" w14:textId="3D1F68EF" w:rsidR="008139F7" w:rsidRDefault="008139F7" w:rsidP="008139F7">
      <w:pPr>
        <w:spacing w:after="0" w:line="240" w:lineRule="auto"/>
        <w:jc w:val="both"/>
        <w:rPr>
          <w:lang w:val="en-GB"/>
        </w:rPr>
      </w:pPr>
    </w:p>
    <w:p w14:paraId="2E8CF9F0" w14:textId="77777777" w:rsidR="00E01316" w:rsidRDefault="00E01316">
      <w:pPr>
        <w:rPr>
          <w:b/>
          <w:bCs/>
          <w:sz w:val="24"/>
          <w:szCs w:val="20"/>
          <w:lang w:val="en-GB"/>
        </w:rPr>
      </w:pPr>
      <w:r>
        <w:rPr>
          <w:b/>
          <w:bCs/>
          <w:sz w:val="24"/>
          <w:szCs w:val="20"/>
          <w:lang w:val="en-GB"/>
        </w:rPr>
        <w:br w:type="page"/>
      </w:r>
    </w:p>
    <w:p w14:paraId="49A45BF2" w14:textId="461F0198" w:rsidR="008139F7" w:rsidRPr="008139F7" w:rsidRDefault="008139F7" w:rsidP="008139F7">
      <w:pPr>
        <w:spacing w:after="0" w:line="240" w:lineRule="auto"/>
        <w:jc w:val="both"/>
        <w:rPr>
          <w:sz w:val="24"/>
          <w:szCs w:val="20"/>
          <w:lang w:val="en-GB"/>
        </w:rPr>
      </w:pPr>
      <w:r w:rsidRPr="008139F7">
        <w:rPr>
          <w:b/>
          <w:bCs/>
          <w:sz w:val="24"/>
          <w:szCs w:val="20"/>
          <w:lang w:val="en-GB"/>
        </w:rPr>
        <w:lastRenderedPageBreak/>
        <w:t>Figure 1</w:t>
      </w:r>
      <w:r w:rsidRPr="008139F7">
        <w:rPr>
          <w:sz w:val="24"/>
          <w:szCs w:val="20"/>
          <w:lang w:val="en-GB"/>
        </w:rPr>
        <w:t>: Frequency distribution of the violation of international law by the aggressor countries, 1946-2023</w:t>
      </w:r>
    </w:p>
    <w:p w14:paraId="41682616" w14:textId="77777777" w:rsidR="008139F7" w:rsidRPr="008139F7" w:rsidRDefault="008139F7" w:rsidP="008139F7">
      <w:pPr>
        <w:spacing w:after="0" w:line="240" w:lineRule="auto"/>
        <w:jc w:val="both"/>
        <w:rPr>
          <w:lang w:val="en-GB"/>
        </w:rPr>
      </w:pPr>
      <w:r w:rsidRPr="008139F7">
        <w:rPr>
          <w:noProof/>
          <w:lang w:val="en-GB"/>
        </w:rPr>
        <w:drawing>
          <wp:inline distT="0" distB="0" distL="0" distR="0" wp14:anchorId="5389E54B" wp14:editId="097667AE">
            <wp:extent cx="5692140" cy="341553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2656" cy="3421846"/>
                    </a:xfrm>
                    <a:prstGeom prst="rect">
                      <a:avLst/>
                    </a:prstGeom>
                    <a:noFill/>
                    <a:ln>
                      <a:noFill/>
                    </a:ln>
                  </pic:spPr>
                </pic:pic>
              </a:graphicData>
            </a:graphic>
          </wp:inline>
        </w:drawing>
      </w:r>
    </w:p>
    <w:p w14:paraId="6C7A6966" w14:textId="77777777" w:rsidR="008139F7" w:rsidRPr="00E01316" w:rsidRDefault="008139F7" w:rsidP="008139F7">
      <w:pPr>
        <w:spacing w:after="0" w:line="240" w:lineRule="auto"/>
        <w:jc w:val="both"/>
        <w:rPr>
          <w:sz w:val="24"/>
          <w:szCs w:val="24"/>
          <w:lang w:val="en-GB"/>
        </w:rPr>
      </w:pPr>
    </w:p>
    <w:p w14:paraId="217D512B" w14:textId="1E743DFA" w:rsidR="008139F7" w:rsidRPr="00E01316" w:rsidRDefault="008139F7" w:rsidP="008139F7">
      <w:pPr>
        <w:spacing w:after="0" w:line="240" w:lineRule="auto"/>
        <w:jc w:val="both"/>
        <w:rPr>
          <w:sz w:val="24"/>
          <w:szCs w:val="24"/>
          <w:lang w:val="en-GB"/>
        </w:rPr>
      </w:pPr>
      <w:r w:rsidRPr="00E01316">
        <w:rPr>
          <w:sz w:val="24"/>
          <w:szCs w:val="24"/>
          <w:lang w:val="en-GB"/>
        </w:rPr>
        <w:t>The descriptive evidence reveals distinct geographical and temporal patterns. Figure 1 plots the frequency distribution of aggressor countries, showing that Russia, Israel, and North Korea appear most frequently as violators of international law. Figure 2 illustrates the distribution of victims, indicating that approximately fifteen percent of all resolutions concern Ukraine, thirteen percent concern South Korea, and eleven percent relate to an aggressor’s own population, typically in the context of internal repression or civil conflict. Across all resolutions, roughly sixty-two percent of the recorded votes support the resolution condemning the violation, confirming that the majority of UN member states systematically endorse the enforcement of international legal norms. The estimated compliance ideal-point variable is positive on average, signifying a general tendency toward compliance, although it exhibits substantial variance across countries and periods.</w:t>
      </w:r>
    </w:p>
    <w:p w14:paraId="5F9FAF18" w14:textId="77777777" w:rsidR="008139F7" w:rsidRPr="008139F7" w:rsidRDefault="008139F7" w:rsidP="008139F7">
      <w:pPr>
        <w:spacing w:after="0" w:line="240" w:lineRule="auto"/>
        <w:jc w:val="both"/>
        <w:rPr>
          <w:lang w:val="en-GB"/>
        </w:rPr>
      </w:pPr>
    </w:p>
    <w:p w14:paraId="212959AB" w14:textId="77777777" w:rsidR="00E01316" w:rsidRDefault="00E01316">
      <w:pPr>
        <w:rPr>
          <w:b/>
          <w:bCs/>
          <w:sz w:val="24"/>
          <w:szCs w:val="24"/>
          <w:lang w:val="en-GB"/>
        </w:rPr>
      </w:pPr>
      <w:r>
        <w:rPr>
          <w:b/>
          <w:bCs/>
          <w:sz w:val="24"/>
          <w:szCs w:val="24"/>
          <w:lang w:val="en-GB"/>
        </w:rPr>
        <w:br w:type="page"/>
      </w:r>
    </w:p>
    <w:p w14:paraId="7CC9D9C5" w14:textId="715D3E3B" w:rsidR="008139F7" w:rsidRPr="008139F7" w:rsidRDefault="008139F7" w:rsidP="008139F7">
      <w:pPr>
        <w:spacing w:after="0" w:line="240" w:lineRule="auto"/>
        <w:jc w:val="both"/>
        <w:rPr>
          <w:sz w:val="24"/>
          <w:szCs w:val="24"/>
          <w:lang w:val="en-GB"/>
        </w:rPr>
      </w:pPr>
      <w:r w:rsidRPr="008139F7">
        <w:rPr>
          <w:b/>
          <w:bCs/>
          <w:sz w:val="24"/>
          <w:szCs w:val="24"/>
          <w:lang w:val="en-GB"/>
        </w:rPr>
        <w:lastRenderedPageBreak/>
        <w:t>Figure 2</w:t>
      </w:r>
      <w:r w:rsidRPr="008139F7">
        <w:rPr>
          <w:sz w:val="24"/>
          <w:szCs w:val="24"/>
          <w:lang w:val="en-GB"/>
        </w:rPr>
        <w:t>: Frequency distribution of violation of international law by the victim, 1946-2023</w:t>
      </w:r>
    </w:p>
    <w:p w14:paraId="66B45CA4" w14:textId="77777777" w:rsidR="008139F7" w:rsidRPr="008139F7" w:rsidRDefault="008139F7" w:rsidP="008139F7">
      <w:pPr>
        <w:spacing w:after="0" w:line="240" w:lineRule="auto"/>
        <w:jc w:val="both"/>
        <w:rPr>
          <w:lang w:val="en-GB"/>
        </w:rPr>
      </w:pPr>
      <w:r w:rsidRPr="008139F7">
        <w:rPr>
          <w:noProof/>
          <w:lang w:val="en-GB"/>
        </w:rPr>
        <w:drawing>
          <wp:inline distT="0" distB="0" distL="0" distR="0" wp14:anchorId="3052E602" wp14:editId="774E99D0">
            <wp:extent cx="5731510" cy="343916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033E5AA3" w14:textId="77777777" w:rsidR="008139F7" w:rsidRDefault="008139F7" w:rsidP="008139F7">
      <w:pPr>
        <w:spacing w:after="0" w:line="240" w:lineRule="auto"/>
        <w:jc w:val="both"/>
        <w:rPr>
          <w:lang w:val="en-GB"/>
        </w:rPr>
      </w:pPr>
    </w:p>
    <w:p w14:paraId="2825517C" w14:textId="77777777" w:rsidR="008D6037" w:rsidRDefault="008139F7" w:rsidP="008139F7">
      <w:pPr>
        <w:spacing w:after="0" w:line="240" w:lineRule="auto"/>
        <w:jc w:val="both"/>
        <w:rPr>
          <w:sz w:val="24"/>
          <w:szCs w:val="24"/>
          <w:lang w:val="en-GB"/>
        </w:rPr>
      </w:pPr>
      <w:r w:rsidRPr="00E01316">
        <w:rPr>
          <w:sz w:val="24"/>
          <w:szCs w:val="24"/>
          <w:lang w:val="en-GB"/>
        </w:rPr>
        <w:t xml:space="preserve">The average governance-distance measure between UN members and aggressor states is negative, implying that, on average, national governance structures are more similar to those of violators than to the idealized benchmark of full legal compliance. This asymmetry underscores the structural tension between states’ formal commitments to international law and their practical affinities with the institutional environments of violators. Descriptive statistics summarized in Table 2 confirm this pattern. The mean share of votes in favor of resolutions is 0.62, while the mean of the compliance ideal-point variable is 0.59. The average governance distance equals </w:t>
      </w:r>
      <w:r w:rsidR="00BF50FA">
        <w:rPr>
          <w:rFonts w:ascii="Times New Roman" w:hAnsi="Times New Roman" w:cs="Times New Roman"/>
          <w:sz w:val="24"/>
          <w:szCs w:val="24"/>
          <w:lang w:val="en-GB"/>
        </w:rPr>
        <w:t>-</w:t>
      </w:r>
      <w:r w:rsidRPr="00E01316">
        <w:rPr>
          <w:sz w:val="24"/>
          <w:szCs w:val="24"/>
          <w:lang w:val="en-GB"/>
        </w:rPr>
        <w:t xml:space="preserve">1.22 with a standard deviation of 2.48, indicating wide heterogeneity in institutional proximity to violators. </w:t>
      </w:r>
    </w:p>
    <w:p w14:paraId="1CC5F627" w14:textId="77777777" w:rsidR="008D6037" w:rsidRDefault="008D6037" w:rsidP="008139F7">
      <w:pPr>
        <w:spacing w:after="0" w:line="240" w:lineRule="auto"/>
        <w:jc w:val="both"/>
        <w:rPr>
          <w:sz w:val="24"/>
          <w:szCs w:val="24"/>
          <w:lang w:val="en-GB"/>
        </w:rPr>
      </w:pPr>
    </w:p>
    <w:p w14:paraId="7D98222F" w14:textId="77777777" w:rsidR="008D6037" w:rsidRDefault="008139F7" w:rsidP="008139F7">
      <w:pPr>
        <w:spacing w:after="0" w:line="240" w:lineRule="auto"/>
        <w:jc w:val="both"/>
        <w:rPr>
          <w:sz w:val="24"/>
          <w:szCs w:val="24"/>
          <w:lang w:val="en-GB"/>
        </w:rPr>
      </w:pPr>
      <w:r w:rsidRPr="00E01316">
        <w:rPr>
          <w:sz w:val="24"/>
          <w:szCs w:val="24"/>
          <w:lang w:val="en-GB"/>
        </w:rPr>
        <w:t xml:space="preserve">Structural covariates used for robustness analyses further characterize the sample include real GDP per capita is approximately 9,912 USD with large cross-country dispersion, mean population size is 3.5 million with substantial right-skewness, and the frequency of coups d’état is relatively low at 0.04 per year. The average urbanization rate equals </w:t>
      </w:r>
      <w:r w:rsidR="003F7064" w:rsidRPr="00E01316">
        <w:rPr>
          <w:sz w:val="24"/>
          <w:szCs w:val="24"/>
          <w:lang w:val="en-GB"/>
        </w:rPr>
        <w:t>33%</w:t>
      </w:r>
      <w:r w:rsidRPr="00E01316">
        <w:rPr>
          <w:sz w:val="24"/>
          <w:szCs w:val="24"/>
          <w:lang w:val="en-GB"/>
        </w:rPr>
        <w:t xml:space="preserve">, while an indicator for internal armed conflict is positive in about fourteen percent of observations. </w:t>
      </w:r>
    </w:p>
    <w:p w14:paraId="33410C90" w14:textId="77777777" w:rsidR="008D6037" w:rsidRDefault="008D6037" w:rsidP="008139F7">
      <w:pPr>
        <w:spacing w:after="0" w:line="240" w:lineRule="auto"/>
        <w:jc w:val="both"/>
        <w:rPr>
          <w:sz w:val="24"/>
          <w:szCs w:val="24"/>
          <w:lang w:val="en-GB"/>
        </w:rPr>
      </w:pPr>
    </w:p>
    <w:p w14:paraId="0AA32901" w14:textId="1CCC83F4" w:rsidR="008139F7" w:rsidRPr="00E01316" w:rsidRDefault="008139F7" w:rsidP="008139F7">
      <w:pPr>
        <w:spacing w:after="0" w:line="240" w:lineRule="auto"/>
        <w:jc w:val="both"/>
        <w:rPr>
          <w:sz w:val="24"/>
          <w:szCs w:val="24"/>
          <w:lang w:val="en-GB"/>
        </w:rPr>
      </w:pPr>
      <w:r w:rsidRPr="00E01316">
        <w:rPr>
          <w:sz w:val="24"/>
          <w:szCs w:val="24"/>
          <w:lang w:val="en-GB"/>
        </w:rPr>
        <w:t>Together</w:t>
      </w:r>
      <w:r w:rsidR="008D6037">
        <w:rPr>
          <w:sz w:val="24"/>
          <w:szCs w:val="24"/>
          <w:lang w:val="en-GB"/>
        </w:rPr>
        <w:t>,</w:t>
      </w:r>
      <w:r w:rsidRPr="00E01316">
        <w:rPr>
          <w:sz w:val="24"/>
          <w:szCs w:val="24"/>
          <w:lang w:val="en-GB"/>
        </w:rPr>
        <w:t xml:space="preserve"> these statistics depict a diverse international sample spanning the full spectrum of economic development, demographic size, and political stability.</w:t>
      </w:r>
      <w:r w:rsidR="00BF50FA">
        <w:rPr>
          <w:sz w:val="24"/>
          <w:szCs w:val="24"/>
          <w:lang w:val="en-GB"/>
        </w:rPr>
        <w:t xml:space="preserve"> </w:t>
      </w:r>
      <w:r w:rsidRPr="00E01316">
        <w:rPr>
          <w:sz w:val="24"/>
          <w:szCs w:val="24"/>
          <w:lang w:val="en-GB"/>
        </w:rPr>
        <w:t xml:space="preserve">Overall, the </w:t>
      </w:r>
      <w:r w:rsidR="003F7064" w:rsidRPr="00E01316">
        <w:rPr>
          <w:sz w:val="24"/>
          <w:szCs w:val="24"/>
          <w:lang w:val="en-GB"/>
        </w:rPr>
        <w:t>control variables</w:t>
      </w:r>
      <w:r w:rsidRPr="00E01316">
        <w:rPr>
          <w:sz w:val="24"/>
          <w:szCs w:val="24"/>
          <w:lang w:val="en-GB"/>
        </w:rPr>
        <w:t xml:space="preserve"> </w:t>
      </w:r>
      <w:r w:rsidR="008D6037">
        <w:rPr>
          <w:sz w:val="24"/>
          <w:szCs w:val="24"/>
          <w:lang w:val="en-GB"/>
        </w:rPr>
        <w:t>exhibit</w:t>
      </w:r>
      <w:r w:rsidRPr="00E01316">
        <w:rPr>
          <w:sz w:val="24"/>
          <w:szCs w:val="24"/>
          <w:lang w:val="en-GB"/>
        </w:rPr>
        <w:t xml:space="preserve"> rich variation across both time and countries, providing an empirical foundation well suited for the estimation of dynamic compliance equilibria. The combination of institutional-distance measures, latent ideal points, and high-frequency voting data offers a novel and granular lens through which to examine how governments balance strategic alignment with normative commitment in their observable support for international law.</w:t>
      </w:r>
    </w:p>
    <w:p w14:paraId="0FCDE590" w14:textId="3624F07E" w:rsidR="00BF50FA" w:rsidRDefault="00BF50FA">
      <w:pPr>
        <w:rPr>
          <w:lang w:val="en-GB"/>
        </w:rPr>
      </w:pPr>
      <w:r>
        <w:rPr>
          <w:lang w:val="en-GB"/>
        </w:rPr>
        <w:br w:type="page"/>
      </w:r>
    </w:p>
    <w:p w14:paraId="6A630C98" w14:textId="1B1C3349" w:rsidR="00BF50FA" w:rsidRPr="00BF50FA" w:rsidRDefault="00BF50FA" w:rsidP="00BF50FA">
      <w:pPr>
        <w:spacing w:after="0"/>
        <w:rPr>
          <w:sz w:val="20"/>
          <w:szCs w:val="16"/>
          <w:lang w:val="en-GB"/>
        </w:rPr>
      </w:pPr>
      <w:r w:rsidRPr="00BF50FA">
        <w:rPr>
          <w:b/>
          <w:bCs/>
          <w:sz w:val="20"/>
          <w:szCs w:val="16"/>
          <w:lang w:val="en-GB"/>
        </w:rPr>
        <w:lastRenderedPageBreak/>
        <w:t xml:space="preserve">Table </w:t>
      </w:r>
      <w:r w:rsidR="006A33C0">
        <w:rPr>
          <w:b/>
          <w:bCs/>
          <w:sz w:val="20"/>
          <w:szCs w:val="16"/>
          <w:lang w:val="en-GB"/>
        </w:rPr>
        <w:t>2</w:t>
      </w:r>
      <w:r w:rsidRPr="00BF50FA">
        <w:rPr>
          <w:sz w:val="20"/>
          <w:szCs w:val="16"/>
          <w:lang w:val="en-GB"/>
        </w:rPr>
        <w:t>: Descriptive Statistics</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417"/>
        <w:gridCol w:w="1046"/>
        <w:gridCol w:w="1096"/>
        <w:gridCol w:w="1160"/>
        <w:gridCol w:w="1041"/>
      </w:tblGrid>
      <w:tr w:rsidR="00BF50FA" w:rsidRPr="00BF50FA" w14:paraId="359F5FB7" w14:textId="77777777" w:rsidTr="007C7FCB">
        <w:tc>
          <w:tcPr>
            <w:tcW w:w="3256" w:type="dxa"/>
            <w:tcBorders>
              <w:top w:val="double" w:sz="4" w:space="0" w:color="auto"/>
              <w:bottom w:val="single" w:sz="4" w:space="0" w:color="auto"/>
            </w:tcBorders>
          </w:tcPr>
          <w:p w14:paraId="74E701B4" w14:textId="77777777" w:rsidR="00BF50FA" w:rsidRPr="00BF50FA" w:rsidRDefault="00BF50FA" w:rsidP="007C7FCB">
            <w:pPr>
              <w:rPr>
                <w:sz w:val="20"/>
                <w:szCs w:val="16"/>
                <w:lang w:val="en-GB"/>
              </w:rPr>
            </w:pPr>
          </w:p>
        </w:tc>
        <w:tc>
          <w:tcPr>
            <w:tcW w:w="1417" w:type="dxa"/>
            <w:tcBorders>
              <w:top w:val="double" w:sz="4" w:space="0" w:color="auto"/>
              <w:bottom w:val="single" w:sz="4" w:space="0" w:color="auto"/>
            </w:tcBorders>
          </w:tcPr>
          <w:p w14:paraId="5D39491B" w14:textId="77777777" w:rsidR="00BF50FA" w:rsidRPr="00BF50FA" w:rsidRDefault="00BF50FA" w:rsidP="007C7FCB">
            <w:pPr>
              <w:jc w:val="center"/>
              <w:rPr>
                <w:sz w:val="20"/>
                <w:szCs w:val="16"/>
                <w:lang w:val="en-GB"/>
              </w:rPr>
            </w:pPr>
            <w:r w:rsidRPr="00BF50FA">
              <w:rPr>
                <w:sz w:val="20"/>
                <w:szCs w:val="16"/>
                <w:lang w:val="en-GB"/>
              </w:rPr>
              <w:t># paired matched obs</w:t>
            </w:r>
          </w:p>
        </w:tc>
        <w:tc>
          <w:tcPr>
            <w:tcW w:w="1046" w:type="dxa"/>
            <w:tcBorders>
              <w:top w:val="double" w:sz="4" w:space="0" w:color="auto"/>
              <w:bottom w:val="single" w:sz="4" w:space="0" w:color="auto"/>
            </w:tcBorders>
          </w:tcPr>
          <w:p w14:paraId="79B66E3E" w14:textId="77777777" w:rsidR="00BF50FA" w:rsidRPr="00BF50FA" w:rsidRDefault="00BF50FA" w:rsidP="007C7FCB">
            <w:pPr>
              <w:jc w:val="center"/>
              <w:rPr>
                <w:sz w:val="20"/>
                <w:szCs w:val="16"/>
                <w:lang w:val="en-GB"/>
              </w:rPr>
            </w:pPr>
            <w:r w:rsidRPr="00BF50FA">
              <w:rPr>
                <w:sz w:val="20"/>
                <w:szCs w:val="16"/>
                <w:lang w:val="en-GB"/>
              </w:rPr>
              <w:t>Mean</w:t>
            </w:r>
          </w:p>
        </w:tc>
        <w:tc>
          <w:tcPr>
            <w:tcW w:w="1096" w:type="dxa"/>
            <w:tcBorders>
              <w:top w:val="double" w:sz="4" w:space="0" w:color="auto"/>
              <w:bottom w:val="single" w:sz="4" w:space="0" w:color="auto"/>
            </w:tcBorders>
          </w:tcPr>
          <w:p w14:paraId="66B02DC4" w14:textId="77777777" w:rsidR="00BF50FA" w:rsidRPr="00BF50FA" w:rsidRDefault="00BF50FA" w:rsidP="007C7FCB">
            <w:pPr>
              <w:jc w:val="center"/>
              <w:rPr>
                <w:sz w:val="20"/>
                <w:szCs w:val="16"/>
                <w:lang w:val="en-GB"/>
              </w:rPr>
            </w:pPr>
            <w:r w:rsidRPr="00BF50FA">
              <w:rPr>
                <w:sz w:val="20"/>
                <w:szCs w:val="16"/>
                <w:lang w:val="en-GB"/>
              </w:rPr>
              <w:t>Std</w:t>
            </w:r>
          </w:p>
        </w:tc>
        <w:tc>
          <w:tcPr>
            <w:tcW w:w="1160" w:type="dxa"/>
            <w:tcBorders>
              <w:top w:val="double" w:sz="4" w:space="0" w:color="auto"/>
              <w:bottom w:val="single" w:sz="4" w:space="0" w:color="auto"/>
            </w:tcBorders>
          </w:tcPr>
          <w:p w14:paraId="0FD8B21D" w14:textId="77777777" w:rsidR="00BF50FA" w:rsidRPr="00BF50FA" w:rsidRDefault="00BF50FA" w:rsidP="007C7FCB">
            <w:pPr>
              <w:jc w:val="center"/>
              <w:rPr>
                <w:sz w:val="20"/>
                <w:szCs w:val="16"/>
                <w:lang w:val="en-GB"/>
              </w:rPr>
            </w:pPr>
            <w:r w:rsidRPr="00BF50FA">
              <w:rPr>
                <w:sz w:val="20"/>
                <w:szCs w:val="16"/>
                <w:lang w:val="en-GB"/>
              </w:rPr>
              <w:t>Min</w:t>
            </w:r>
          </w:p>
        </w:tc>
        <w:tc>
          <w:tcPr>
            <w:tcW w:w="1041" w:type="dxa"/>
            <w:tcBorders>
              <w:top w:val="double" w:sz="4" w:space="0" w:color="auto"/>
              <w:bottom w:val="single" w:sz="4" w:space="0" w:color="auto"/>
            </w:tcBorders>
          </w:tcPr>
          <w:p w14:paraId="0735CA52" w14:textId="77777777" w:rsidR="00BF50FA" w:rsidRPr="00BF50FA" w:rsidRDefault="00BF50FA" w:rsidP="007C7FCB">
            <w:pPr>
              <w:jc w:val="center"/>
              <w:rPr>
                <w:sz w:val="20"/>
                <w:szCs w:val="16"/>
                <w:lang w:val="en-GB"/>
              </w:rPr>
            </w:pPr>
            <w:r w:rsidRPr="00BF50FA">
              <w:rPr>
                <w:sz w:val="20"/>
                <w:szCs w:val="16"/>
                <w:lang w:val="en-GB"/>
              </w:rPr>
              <w:t>Max</w:t>
            </w:r>
          </w:p>
        </w:tc>
      </w:tr>
      <w:tr w:rsidR="00BF50FA" w:rsidRPr="00BF50FA" w14:paraId="16AE089C" w14:textId="77777777" w:rsidTr="007C7FCB">
        <w:tc>
          <w:tcPr>
            <w:tcW w:w="9016" w:type="dxa"/>
            <w:gridSpan w:val="6"/>
            <w:tcBorders>
              <w:bottom w:val="single" w:sz="4" w:space="0" w:color="auto"/>
            </w:tcBorders>
          </w:tcPr>
          <w:p w14:paraId="3E27C499" w14:textId="77777777" w:rsidR="00BF50FA" w:rsidRPr="00BF50FA" w:rsidRDefault="00BF50FA" w:rsidP="007C7FCB">
            <w:pPr>
              <w:rPr>
                <w:sz w:val="20"/>
                <w:szCs w:val="16"/>
                <w:lang w:val="en-GB"/>
              </w:rPr>
            </w:pPr>
            <w:r w:rsidRPr="00BF50FA">
              <w:rPr>
                <w:sz w:val="20"/>
                <w:szCs w:val="16"/>
                <w:lang w:val="en-GB"/>
              </w:rPr>
              <w:t>Panel A: Outcomes</w:t>
            </w:r>
          </w:p>
        </w:tc>
      </w:tr>
      <w:tr w:rsidR="00BF50FA" w:rsidRPr="00BF50FA" w14:paraId="0398C37A" w14:textId="77777777" w:rsidTr="007C7FCB">
        <w:tc>
          <w:tcPr>
            <w:tcW w:w="3256" w:type="dxa"/>
            <w:tcBorders>
              <w:top w:val="single" w:sz="4" w:space="0" w:color="auto"/>
            </w:tcBorders>
          </w:tcPr>
          <w:p w14:paraId="2D8D1925" w14:textId="77777777" w:rsidR="00BF50FA" w:rsidRPr="00BF50FA" w:rsidRDefault="00BF50FA" w:rsidP="007C7FCB">
            <w:pPr>
              <w:jc w:val="right"/>
              <w:rPr>
                <w:sz w:val="20"/>
                <w:szCs w:val="16"/>
                <w:lang w:val="en-GB"/>
              </w:rPr>
            </w:pPr>
            <w:r w:rsidRPr="00BF50FA">
              <w:rPr>
                <w:sz w:val="20"/>
                <w:szCs w:val="16"/>
                <w:lang w:val="en-GB"/>
              </w:rPr>
              <w:t>Vote in favor of the resolution</w:t>
            </w:r>
          </w:p>
        </w:tc>
        <w:tc>
          <w:tcPr>
            <w:tcW w:w="1417" w:type="dxa"/>
            <w:tcBorders>
              <w:top w:val="single" w:sz="4" w:space="0" w:color="auto"/>
            </w:tcBorders>
          </w:tcPr>
          <w:p w14:paraId="190A7D6E" w14:textId="77777777" w:rsidR="00BF50FA" w:rsidRPr="00BF50FA" w:rsidRDefault="00BF50FA" w:rsidP="007C7FCB">
            <w:pPr>
              <w:jc w:val="center"/>
              <w:rPr>
                <w:sz w:val="20"/>
                <w:szCs w:val="16"/>
                <w:lang w:val="en-GB"/>
              </w:rPr>
            </w:pPr>
            <w:r w:rsidRPr="00BF50FA">
              <w:rPr>
                <w:sz w:val="20"/>
                <w:szCs w:val="16"/>
                <w:lang w:val="en-GB"/>
              </w:rPr>
              <w:t>23,425</w:t>
            </w:r>
          </w:p>
        </w:tc>
        <w:tc>
          <w:tcPr>
            <w:tcW w:w="1046" w:type="dxa"/>
            <w:tcBorders>
              <w:top w:val="single" w:sz="4" w:space="0" w:color="auto"/>
            </w:tcBorders>
          </w:tcPr>
          <w:p w14:paraId="427AA866" w14:textId="77777777" w:rsidR="00BF50FA" w:rsidRPr="00BF50FA" w:rsidRDefault="00BF50FA" w:rsidP="007C7FCB">
            <w:pPr>
              <w:jc w:val="center"/>
              <w:rPr>
                <w:sz w:val="20"/>
                <w:szCs w:val="16"/>
                <w:lang w:val="en-GB"/>
              </w:rPr>
            </w:pPr>
            <w:r w:rsidRPr="00BF50FA">
              <w:rPr>
                <w:sz w:val="20"/>
                <w:szCs w:val="16"/>
                <w:lang w:val="en-GB"/>
              </w:rPr>
              <w:t>0.621</w:t>
            </w:r>
          </w:p>
        </w:tc>
        <w:tc>
          <w:tcPr>
            <w:tcW w:w="1096" w:type="dxa"/>
            <w:tcBorders>
              <w:top w:val="single" w:sz="4" w:space="0" w:color="auto"/>
            </w:tcBorders>
          </w:tcPr>
          <w:p w14:paraId="769B16CF" w14:textId="77777777" w:rsidR="00BF50FA" w:rsidRPr="00BF50FA" w:rsidRDefault="00BF50FA" w:rsidP="007C7FCB">
            <w:pPr>
              <w:jc w:val="center"/>
              <w:rPr>
                <w:sz w:val="20"/>
                <w:szCs w:val="16"/>
                <w:lang w:val="en-GB"/>
              </w:rPr>
            </w:pPr>
            <w:r w:rsidRPr="00BF50FA">
              <w:rPr>
                <w:sz w:val="20"/>
                <w:szCs w:val="16"/>
                <w:lang w:val="en-GB"/>
              </w:rPr>
              <w:t>0.484</w:t>
            </w:r>
          </w:p>
        </w:tc>
        <w:tc>
          <w:tcPr>
            <w:tcW w:w="1160" w:type="dxa"/>
            <w:tcBorders>
              <w:top w:val="single" w:sz="4" w:space="0" w:color="auto"/>
            </w:tcBorders>
          </w:tcPr>
          <w:p w14:paraId="36C70786" w14:textId="77777777" w:rsidR="00BF50FA" w:rsidRPr="00BF50FA" w:rsidRDefault="00BF50FA" w:rsidP="007C7FCB">
            <w:pPr>
              <w:jc w:val="center"/>
              <w:rPr>
                <w:sz w:val="20"/>
                <w:szCs w:val="16"/>
                <w:lang w:val="en-GB"/>
              </w:rPr>
            </w:pPr>
            <w:r w:rsidRPr="00BF50FA">
              <w:rPr>
                <w:sz w:val="20"/>
                <w:szCs w:val="16"/>
                <w:lang w:val="en-GB"/>
              </w:rPr>
              <w:t>0</w:t>
            </w:r>
          </w:p>
        </w:tc>
        <w:tc>
          <w:tcPr>
            <w:tcW w:w="1041" w:type="dxa"/>
            <w:tcBorders>
              <w:top w:val="single" w:sz="4" w:space="0" w:color="auto"/>
            </w:tcBorders>
          </w:tcPr>
          <w:p w14:paraId="0C787121" w14:textId="77777777" w:rsidR="00BF50FA" w:rsidRPr="00BF50FA" w:rsidRDefault="00BF50FA" w:rsidP="007C7FCB">
            <w:pPr>
              <w:jc w:val="center"/>
              <w:rPr>
                <w:sz w:val="20"/>
                <w:szCs w:val="16"/>
                <w:lang w:val="en-GB"/>
              </w:rPr>
            </w:pPr>
            <w:r w:rsidRPr="00BF50FA">
              <w:rPr>
                <w:sz w:val="20"/>
                <w:szCs w:val="16"/>
                <w:lang w:val="en-GB"/>
              </w:rPr>
              <w:t>1</w:t>
            </w:r>
          </w:p>
        </w:tc>
      </w:tr>
      <w:tr w:rsidR="00BF50FA" w:rsidRPr="00BF50FA" w14:paraId="1DEFDFB7" w14:textId="77777777" w:rsidTr="007C7FCB">
        <w:tc>
          <w:tcPr>
            <w:tcW w:w="3256" w:type="dxa"/>
            <w:tcBorders>
              <w:bottom w:val="single" w:sz="4" w:space="0" w:color="auto"/>
            </w:tcBorders>
          </w:tcPr>
          <w:p w14:paraId="168FD38C" w14:textId="77777777" w:rsidR="00BF50FA" w:rsidRPr="00BF50FA" w:rsidRDefault="00BF50FA" w:rsidP="007C7FCB">
            <w:pPr>
              <w:jc w:val="right"/>
              <w:rPr>
                <w:sz w:val="20"/>
                <w:szCs w:val="16"/>
                <w:lang w:val="en-GB"/>
              </w:rPr>
            </w:pPr>
            <w:r w:rsidRPr="00BF50FA">
              <w:rPr>
                <w:sz w:val="20"/>
                <w:szCs w:val="16"/>
                <w:lang w:val="en-GB"/>
              </w:rPr>
              <w:t>Vote ideal point</w:t>
            </w:r>
          </w:p>
        </w:tc>
        <w:tc>
          <w:tcPr>
            <w:tcW w:w="1417" w:type="dxa"/>
            <w:tcBorders>
              <w:bottom w:val="single" w:sz="4" w:space="0" w:color="auto"/>
            </w:tcBorders>
          </w:tcPr>
          <w:p w14:paraId="26B36C7D" w14:textId="77777777" w:rsidR="00BF50FA" w:rsidRPr="00BF50FA" w:rsidRDefault="00BF50FA" w:rsidP="007C7FCB">
            <w:pPr>
              <w:jc w:val="center"/>
              <w:rPr>
                <w:sz w:val="20"/>
                <w:szCs w:val="16"/>
                <w:lang w:val="en-GB"/>
              </w:rPr>
            </w:pPr>
            <w:r w:rsidRPr="00BF50FA">
              <w:rPr>
                <w:sz w:val="20"/>
                <w:szCs w:val="16"/>
                <w:lang w:val="en-GB"/>
              </w:rPr>
              <w:t>19,736</w:t>
            </w:r>
          </w:p>
        </w:tc>
        <w:tc>
          <w:tcPr>
            <w:tcW w:w="1046" w:type="dxa"/>
            <w:tcBorders>
              <w:bottom w:val="single" w:sz="4" w:space="0" w:color="auto"/>
            </w:tcBorders>
          </w:tcPr>
          <w:p w14:paraId="4C55CDF4" w14:textId="77777777" w:rsidR="00BF50FA" w:rsidRPr="00BF50FA" w:rsidRDefault="00BF50FA" w:rsidP="007C7FCB">
            <w:pPr>
              <w:jc w:val="center"/>
              <w:rPr>
                <w:sz w:val="20"/>
                <w:szCs w:val="16"/>
                <w:lang w:val="en-GB"/>
              </w:rPr>
            </w:pPr>
            <w:r w:rsidRPr="00BF50FA">
              <w:rPr>
                <w:sz w:val="20"/>
                <w:szCs w:val="16"/>
                <w:lang w:val="en-GB"/>
              </w:rPr>
              <w:t>0.589</w:t>
            </w:r>
          </w:p>
        </w:tc>
        <w:tc>
          <w:tcPr>
            <w:tcW w:w="1096" w:type="dxa"/>
            <w:tcBorders>
              <w:bottom w:val="single" w:sz="4" w:space="0" w:color="auto"/>
            </w:tcBorders>
          </w:tcPr>
          <w:p w14:paraId="12CADB9E" w14:textId="77777777" w:rsidR="00BF50FA" w:rsidRPr="00BF50FA" w:rsidRDefault="00BF50FA" w:rsidP="007C7FCB">
            <w:pPr>
              <w:jc w:val="center"/>
              <w:rPr>
                <w:sz w:val="20"/>
                <w:szCs w:val="16"/>
                <w:lang w:val="en-GB"/>
              </w:rPr>
            </w:pPr>
            <w:r w:rsidRPr="00BF50FA">
              <w:rPr>
                <w:sz w:val="20"/>
                <w:szCs w:val="16"/>
                <w:lang w:val="en-GB"/>
              </w:rPr>
              <w:t>0.526</w:t>
            </w:r>
          </w:p>
        </w:tc>
        <w:tc>
          <w:tcPr>
            <w:tcW w:w="1160" w:type="dxa"/>
            <w:tcBorders>
              <w:bottom w:val="single" w:sz="4" w:space="0" w:color="auto"/>
            </w:tcBorders>
          </w:tcPr>
          <w:p w14:paraId="0B57E4F0" w14:textId="77777777" w:rsidR="00BF50FA" w:rsidRPr="00BF50FA" w:rsidRDefault="00BF50FA" w:rsidP="007C7FCB">
            <w:pPr>
              <w:jc w:val="center"/>
              <w:rPr>
                <w:sz w:val="20"/>
                <w:szCs w:val="16"/>
                <w:lang w:val="en-GB"/>
              </w:rPr>
            </w:pPr>
            <w:r w:rsidRPr="00BF50FA">
              <w:rPr>
                <w:sz w:val="20"/>
                <w:szCs w:val="16"/>
                <w:lang w:val="en-GB"/>
              </w:rPr>
              <w:t>-0.870</w:t>
            </w:r>
          </w:p>
        </w:tc>
        <w:tc>
          <w:tcPr>
            <w:tcW w:w="1041" w:type="dxa"/>
            <w:tcBorders>
              <w:bottom w:val="single" w:sz="4" w:space="0" w:color="auto"/>
            </w:tcBorders>
          </w:tcPr>
          <w:p w14:paraId="45F688EE" w14:textId="77777777" w:rsidR="00BF50FA" w:rsidRPr="00BF50FA" w:rsidRDefault="00BF50FA" w:rsidP="007C7FCB">
            <w:pPr>
              <w:jc w:val="center"/>
              <w:rPr>
                <w:sz w:val="20"/>
                <w:szCs w:val="16"/>
                <w:lang w:val="en-GB"/>
              </w:rPr>
            </w:pPr>
            <w:r w:rsidRPr="00BF50FA">
              <w:rPr>
                <w:sz w:val="20"/>
                <w:szCs w:val="16"/>
                <w:lang w:val="en-GB"/>
              </w:rPr>
              <w:t>1.473</w:t>
            </w:r>
          </w:p>
        </w:tc>
      </w:tr>
      <w:tr w:rsidR="00BF50FA" w:rsidRPr="00BF50FA" w14:paraId="68E770B3" w14:textId="77777777" w:rsidTr="007C7FCB">
        <w:tc>
          <w:tcPr>
            <w:tcW w:w="9016" w:type="dxa"/>
            <w:gridSpan w:val="6"/>
            <w:tcBorders>
              <w:top w:val="single" w:sz="4" w:space="0" w:color="auto"/>
              <w:bottom w:val="single" w:sz="4" w:space="0" w:color="auto"/>
            </w:tcBorders>
          </w:tcPr>
          <w:p w14:paraId="16662D60" w14:textId="77777777" w:rsidR="00BF50FA" w:rsidRPr="00BF50FA" w:rsidRDefault="00BF50FA" w:rsidP="007C7FCB">
            <w:pPr>
              <w:rPr>
                <w:sz w:val="20"/>
                <w:szCs w:val="16"/>
                <w:lang w:val="en-GB"/>
              </w:rPr>
            </w:pPr>
            <w:r w:rsidRPr="00BF50FA">
              <w:rPr>
                <w:sz w:val="20"/>
                <w:szCs w:val="16"/>
                <w:lang w:val="en-GB"/>
              </w:rPr>
              <w:t>Panel B: Key treatment variable of interest</w:t>
            </w:r>
          </w:p>
        </w:tc>
      </w:tr>
      <w:tr w:rsidR="00BF50FA" w:rsidRPr="00BF50FA" w14:paraId="2CA9A84C" w14:textId="77777777" w:rsidTr="007C7FCB">
        <w:tc>
          <w:tcPr>
            <w:tcW w:w="3256" w:type="dxa"/>
            <w:tcBorders>
              <w:top w:val="single" w:sz="4" w:space="0" w:color="auto"/>
              <w:bottom w:val="single" w:sz="4" w:space="0" w:color="auto"/>
            </w:tcBorders>
          </w:tcPr>
          <w:p w14:paraId="11DB5F0B" w14:textId="77777777" w:rsidR="00BF50FA" w:rsidRPr="00BF50FA" w:rsidRDefault="00BF50FA" w:rsidP="007C7FCB">
            <w:pPr>
              <w:jc w:val="right"/>
              <w:rPr>
                <w:sz w:val="20"/>
                <w:szCs w:val="16"/>
                <w:lang w:val="en-GB"/>
              </w:rPr>
            </w:pPr>
            <w:r w:rsidRPr="00BF50FA">
              <w:rPr>
                <w:sz w:val="20"/>
                <w:szCs w:val="16"/>
                <w:lang w:val="en-GB"/>
              </w:rPr>
              <w:t>Governance quality distance (member vs. aggressor)</w:t>
            </w:r>
          </w:p>
        </w:tc>
        <w:tc>
          <w:tcPr>
            <w:tcW w:w="1417" w:type="dxa"/>
            <w:tcBorders>
              <w:top w:val="single" w:sz="4" w:space="0" w:color="auto"/>
              <w:bottom w:val="single" w:sz="4" w:space="0" w:color="auto"/>
            </w:tcBorders>
          </w:tcPr>
          <w:p w14:paraId="27D9DE92" w14:textId="77777777" w:rsidR="00BF50FA" w:rsidRPr="00BF50FA" w:rsidRDefault="00BF50FA" w:rsidP="007C7FCB">
            <w:pPr>
              <w:jc w:val="center"/>
              <w:rPr>
                <w:sz w:val="20"/>
                <w:szCs w:val="16"/>
                <w:lang w:val="en-GB"/>
              </w:rPr>
            </w:pPr>
            <w:r w:rsidRPr="00BF50FA">
              <w:rPr>
                <w:sz w:val="20"/>
                <w:szCs w:val="16"/>
                <w:lang w:val="en-GB"/>
              </w:rPr>
              <w:t>18,021</w:t>
            </w:r>
          </w:p>
        </w:tc>
        <w:tc>
          <w:tcPr>
            <w:tcW w:w="1046" w:type="dxa"/>
            <w:tcBorders>
              <w:top w:val="single" w:sz="4" w:space="0" w:color="auto"/>
              <w:bottom w:val="single" w:sz="4" w:space="0" w:color="auto"/>
            </w:tcBorders>
          </w:tcPr>
          <w:p w14:paraId="6C3C5C01" w14:textId="77777777" w:rsidR="00BF50FA" w:rsidRPr="00BF50FA" w:rsidRDefault="00BF50FA" w:rsidP="007C7FCB">
            <w:pPr>
              <w:jc w:val="center"/>
              <w:rPr>
                <w:sz w:val="20"/>
                <w:szCs w:val="16"/>
                <w:lang w:val="en-GB"/>
              </w:rPr>
            </w:pPr>
            <w:r w:rsidRPr="00BF50FA">
              <w:rPr>
                <w:sz w:val="20"/>
                <w:szCs w:val="16"/>
                <w:lang w:val="en-GB"/>
              </w:rPr>
              <w:t>-1.223</w:t>
            </w:r>
          </w:p>
        </w:tc>
        <w:tc>
          <w:tcPr>
            <w:tcW w:w="1096" w:type="dxa"/>
            <w:tcBorders>
              <w:top w:val="single" w:sz="4" w:space="0" w:color="auto"/>
              <w:bottom w:val="single" w:sz="4" w:space="0" w:color="auto"/>
            </w:tcBorders>
          </w:tcPr>
          <w:p w14:paraId="62A291D1" w14:textId="77777777" w:rsidR="00BF50FA" w:rsidRPr="00BF50FA" w:rsidRDefault="00BF50FA" w:rsidP="007C7FCB">
            <w:pPr>
              <w:jc w:val="center"/>
              <w:rPr>
                <w:sz w:val="20"/>
                <w:szCs w:val="16"/>
                <w:lang w:val="en-GB"/>
              </w:rPr>
            </w:pPr>
            <w:r w:rsidRPr="00BF50FA">
              <w:rPr>
                <w:sz w:val="20"/>
                <w:szCs w:val="16"/>
                <w:lang w:val="en-GB"/>
              </w:rPr>
              <w:t>2.484</w:t>
            </w:r>
          </w:p>
        </w:tc>
        <w:tc>
          <w:tcPr>
            <w:tcW w:w="1160" w:type="dxa"/>
            <w:tcBorders>
              <w:top w:val="single" w:sz="4" w:space="0" w:color="auto"/>
              <w:bottom w:val="single" w:sz="4" w:space="0" w:color="auto"/>
            </w:tcBorders>
          </w:tcPr>
          <w:p w14:paraId="11C0D7B8" w14:textId="77777777" w:rsidR="00BF50FA" w:rsidRPr="00BF50FA" w:rsidRDefault="00BF50FA" w:rsidP="007C7FCB">
            <w:pPr>
              <w:jc w:val="center"/>
              <w:rPr>
                <w:sz w:val="20"/>
                <w:szCs w:val="16"/>
                <w:lang w:val="en-GB"/>
              </w:rPr>
            </w:pPr>
            <w:r w:rsidRPr="00BF50FA">
              <w:rPr>
                <w:sz w:val="20"/>
                <w:szCs w:val="16"/>
                <w:lang w:val="en-GB"/>
              </w:rPr>
              <w:t>-5.021</w:t>
            </w:r>
          </w:p>
        </w:tc>
        <w:tc>
          <w:tcPr>
            <w:tcW w:w="1041" w:type="dxa"/>
            <w:tcBorders>
              <w:top w:val="single" w:sz="4" w:space="0" w:color="auto"/>
              <w:bottom w:val="single" w:sz="4" w:space="0" w:color="auto"/>
            </w:tcBorders>
          </w:tcPr>
          <w:p w14:paraId="2E206AB0" w14:textId="77777777" w:rsidR="00BF50FA" w:rsidRPr="00BF50FA" w:rsidRDefault="00BF50FA" w:rsidP="007C7FCB">
            <w:pPr>
              <w:jc w:val="center"/>
              <w:rPr>
                <w:sz w:val="20"/>
                <w:szCs w:val="16"/>
                <w:lang w:val="en-GB"/>
              </w:rPr>
            </w:pPr>
            <w:r w:rsidRPr="00BF50FA">
              <w:rPr>
                <w:sz w:val="20"/>
                <w:szCs w:val="16"/>
                <w:lang w:val="en-GB"/>
              </w:rPr>
              <w:t>7.413</w:t>
            </w:r>
          </w:p>
        </w:tc>
      </w:tr>
      <w:tr w:rsidR="00BF50FA" w:rsidRPr="00BF50FA" w14:paraId="33B05B8C" w14:textId="77777777" w:rsidTr="007C7FCB">
        <w:tc>
          <w:tcPr>
            <w:tcW w:w="9016" w:type="dxa"/>
            <w:gridSpan w:val="6"/>
            <w:tcBorders>
              <w:top w:val="single" w:sz="4" w:space="0" w:color="auto"/>
              <w:bottom w:val="single" w:sz="4" w:space="0" w:color="auto"/>
            </w:tcBorders>
          </w:tcPr>
          <w:p w14:paraId="03AA3498" w14:textId="77777777" w:rsidR="00BF50FA" w:rsidRPr="00BF50FA" w:rsidRDefault="00BF50FA" w:rsidP="007C7FCB">
            <w:pPr>
              <w:rPr>
                <w:sz w:val="20"/>
                <w:szCs w:val="16"/>
                <w:lang w:val="en-GB"/>
              </w:rPr>
            </w:pPr>
            <w:r w:rsidRPr="00BF50FA">
              <w:rPr>
                <w:sz w:val="20"/>
                <w:szCs w:val="16"/>
                <w:lang w:val="en-GB"/>
              </w:rPr>
              <w:t>Panel B: Structural covariates</w:t>
            </w:r>
          </w:p>
        </w:tc>
      </w:tr>
      <w:tr w:rsidR="00BF50FA" w:rsidRPr="00BF50FA" w14:paraId="7D54EB20" w14:textId="77777777" w:rsidTr="007C7FCB">
        <w:tc>
          <w:tcPr>
            <w:tcW w:w="3256" w:type="dxa"/>
            <w:tcBorders>
              <w:top w:val="single" w:sz="4" w:space="0" w:color="auto"/>
            </w:tcBorders>
          </w:tcPr>
          <w:p w14:paraId="0FB4E9C5" w14:textId="77777777" w:rsidR="00BF50FA" w:rsidRPr="00BF50FA" w:rsidRDefault="00BF50FA" w:rsidP="007C7FCB">
            <w:pPr>
              <w:jc w:val="right"/>
              <w:rPr>
                <w:sz w:val="20"/>
                <w:szCs w:val="16"/>
                <w:lang w:val="en-GB"/>
              </w:rPr>
            </w:pPr>
            <w:r w:rsidRPr="00BF50FA">
              <w:rPr>
                <w:sz w:val="20"/>
                <w:szCs w:val="16"/>
                <w:lang w:val="en-GB"/>
              </w:rPr>
              <w:t>GDP per capita</w:t>
            </w:r>
          </w:p>
        </w:tc>
        <w:tc>
          <w:tcPr>
            <w:tcW w:w="1417" w:type="dxa"/>
            <w:tcBorders>
              <w:top w:val="single" w:sz="4" w:space="0" w:color="auto"/>
            </w:tcBorders>
          </w:tcPr>
          <w:p w14:paraId="2A78F13A" w14:textId="77777777" w:rsidR="00BF50FA" w:rsidRPr="00BF50FA" w:rsidRDefault="00BF50FA" w:rsidP="007C7FCB">
            <w:pPr>
              <w:jc w:val="center"/>
              <w:rPr>
                <w:sz w:val="20"/>
                <w:szCs w:val="16"/>
                <w:lang w:val="en-GB"/>
              </w:rPr>
            </w:pPr>
            <w:r w:rsidRPr="00BF50FA">
              <w:rPr>
                <w:sz w:val="20"/>
                <w:szCs w:val="16"/>
                <w:lang w:val="en-GB"/>
              </w:rPr>
              <w:t>17,444</w:t>
            </w:r>
          </w:p>
        </w:tc>
        <w:tc>
          <w:tcPr>
            <w:tcW w:w="1046" w:type="dxa"/>
            <w:tcBorders>
              <w:top w:val="single" w:sz="4" w:space="0" w:color="auto"/>
            </w:tcBorders>
          </w:tcPr>
          <w:p w14:paraId="7CCAFC8F" w14:textId="77777777" w:rsidR="00BF50FA" w:rsidRPr="00BF50FA" w:rsidRDefault="00BF50FA" w:rsidP="007C7FCB">
            <w:pPr>
              <w:jc w:val="center"/>
              <w:rPr>
                <w:sz w:val="20"/>
                <w:szCs w:val="16"/>
                <w:lang w:val="en-GB"/>
              </w:rPr>
            </w:pPr>
            <w:r w:rsidRPr="00BF50FA">
              <w:rPr>
                <w:sz w:val="20"/>
                <w:szCs w:val="16"/>
                <w:lang w:val="en-GB"/>
              </w:rPr>
              <w:t>9911.88</w:t>
            </w:r>
          </w:p>
        </w:tc>
        <w:tc>
          <w:tcPr>
            <w:tcW w:w="1096" w:type="dxa"/>
            <w:tcBorders>
              <w:top w:val="single" w:sz="4" w:space="0" w:color="auto"/>
            </w:tcBorders>
          </w:tcPr>
          <w:p w14:paraId="1247E686" w14:textId="77777777" w:rsidR="00BF50FA" w:rsidRPr="00BF50FA" w:rsidRDefault="00BF50FA" w:rsidP="007C7FCB">
            <w:pPr>
              <w:jc w:val="center"/>
              <w:rPr>
                <w:sz w:val="20"/>
                <w:szCs w:val="16"/>
                <w:lang w:val="en-GB"/>
              </w:rPr>
            </w:pPr>
            <w:r w:rsidRPr="00BF50FA">
              <w:rPr>
                <w:sz w:val="20"/>
                <w:szCs w:val="16"/>
                <w:lang w:val="en-GB"/>
              </w:rPr>
              <w:t>12554.02</w:t>
            </w:r>
          </w:p>
        </w:tc>
        <w:tc>
          <w:tcPr>
            <w:tcW w:w="1160" w:type="dxa"/>
            <w:tcBorders>
              <w:top w:val="single" w:sz="4" w:space="0" w:color="auto"/>
            </w:tcBorders>
          </w:tcPr>
          <w:p w14:paraId="6B635DCC" w14:textId="77777777" w:rsidR="00BF50FA" w:rsidRPr="00BF50FA" w:rsidRDefault="00BF50FA" w:rsidP="007C7FCB">
            <w:pPr>
              <w:jc w:val="center"/>
              <w:rPr>
                <w:sz w:val="20"/>
                <w:szCs w:val="16"/>
                <w:lang w:val="en-GB"/>
              </w:rPr>
            </w:pPr>
            <w:r w:rsidRPr="00BF50FA">
              <w:rPr>
                <w:sz w:val="20"/>
                <w:szCs w:val="16"/>
                <w:lang w:val="en-GB"/>
              </w:rPr>
              <w:t>2860</w:t>
            </w:r>
          </w:p>
        </w:tc>
        <w:tc>
          <w:tcPr>
            <w:tcW w:w="1041" w:type="dxa"/>
            <w:tcBorders>
              <w:top w:val="single" w:sz="4" w:space="0" w:color="auto"/>
            </w:tcBorders>
          </w:tcPr>
          <w:p w14:paraId="5E124103" w14:textId="77777777" w:rsidR="00BF50FA" w:rsidRPr="00BF50FA" w:rsidRDefault="00BF50FA" w:rsidP="007C7FCB">
            <w:pPr>
              <w:jc w:val="center"/>
              <w:rPr>
                <w:sz w:val="20"/>
                <w:szCs w:val="16"/>
                <w:lang w:val="en-GB"/>
              </w:rPr>
            </w:pPr>
            <w:r w:rsidRPr="00BF50FA">
              <w:rPr>
                <w:sz w:val="20"/>
                <w:szCs w:val="16"/>
                <w:lang w:val="en-GB"/>
              </w:rPr>
              <w:t>111851</w:t>
            </w:r>
          </w:p>
        </w:tc>
      </w:tr>
      <w:tr w:rsidR="00BF50FA" w:rsidRPr="00BF50FA" w14:paraId="14F46DC9" w14:textId="77777777" w:rsidTr="007C7FCB">
        <w:tc>
          <w:tcPr>
            <w:tcW w:w="3256" w:type="dxa"/>
          </w:tcPr>
          <w:p w14:paraId="3DCD1F10" w14:textId="77777777" w:rsidR="00BF50FA" w:rsidRPr="00BF50FA" w:rsidRDefault="00BF50FA" w:rsidP="007C7FCB">
            <w:pPr>
              <w:jc w:val="right"/>
              <w:rPr>
                <w:sz w:val="20"/>
                <w:szCs w:val="16"/>
                <w:lang w:val="en-GB"/>
              </w:rPr>
            </w:pPr>
            <w:r w:rsidRPr="00BF50FA">
              <w:rPr>
                <w:sz w:val="20"/>
                <w:szCs w:val="16"/>
                <w:lang w:val="en-GB"/>
              </w:rPr>
              <w:t>Population size</w:t>
            </w:r>
          </w:p>
        </w:tc>
        <w:tc>
          <w:tcPr>
            <w:tcW w:w="1417" w:type="dxa"/>
          </w:tcPr>
          <w:p w14:paraId="012D8D25" w14:textId="77777777" w:rsidR="00BF50FA" w:rsidRPr="00BF50FA" w:rsidRDefault="00BF50FA" w:rsidP="007C7FCB">
            <w:pPr>
              <w:jc w:val="center"/>
              <w:rPr>
                <w:sz w:val="20"/>
                <w:szCs w:val="16"/>
                <w:lang w:val="en-GB"/>
              </w:rPr>
            </w:pPr>
            <w:r w:rsidRPr="00BF50FA">
              <w:rPr>
                <w:sz w:val="20"/>
                <w:szCs w:val="16"/>
                <w:lang w:val="en-GB"/>
              </w:rPr>
              <w:t>17,444</w:t>
            </w:r>
          </w:p>
        </w:tc>
        <w:tc>
          <w:tcPr>
            <w:tcW w:w="1046" w:type="dxa"/>
          </w:tcPr>
          <w:p w14:paraId="4B8C803C" w14:textId="77777777" w:rsidR="00BF50FA" w:rsidRPr="00BF50FA" w:rsidRDefault="00BF50FA" w:rsidP="007C7FCB">
            <w:pPr>
              <w:jc w:val="center"/>
              <w:rPr>
                <w:sz w:val="20"/>
                <w:szCs w:val="16"/>
                <w:lang w:val="en-GB"/>
              </w:rPr>
            </w:pPr>
            <w:r w:rsidRPr="00BF50FA">
              <w:rPr>
                <w:sz w:val="20"/>
                <w:szCs w:val="16"/>
                <w:lang w:val="en-GB"/>
              </w:rPr>
              <w:t>3554.84</w:t>
            </w:r>
          </w:p>
        </w:tc>
        <w:tc>
          <w:tcPr>
            <w:tcW w:w="1096" w:type="dxa"/>
          </w:tcPr>
          <w:p w14:paraId="682055B0" w14:textId="77777777" w:rsidR="00BF50FA" w:rsidRPr="00BF50FA" w:rsidRDefault="00BF50FA" w:rsidP="007C7FCB">
            <w:pPr>
              <w:jc w:val="center"/>
              <w:rPr>
                <w:sz w:val="20"/>
                <w:szCs w:val="16"/>
                <w:lang w:val="en-GB"/>
              </w:rPr>
            </w:pPr>
            <w:r w:rsidRPr="00BF50FA">
              <w:rPr>
                <w:sz w:val="20"/>
                <w:szCs w:val="16"/>
                <w:lang w:val="en-GB"/>
              </w:rPr>
              <w:t>12.302.59</w:t>
            </w:r>
          </w:p>
        </w:tc>
        <w:tc>
          <w:tcPr>
            <w:tcW w:w="1160" w:type="dxa"/>
          </w:tcPr>
          <w:p w14:paraId="3B8428B7" w14:textId="77777777" w:rsidR="00BF50FA" w:rsidRPr="00BF50FA" w:rsidRDefault="00BF50FA" w:rsidP="007C7FCB">
            <w:pPr>
              <w:jc w:val="center"/>
              <w:rPr>
                <w:sz w:val="20"/>
                <w:szCs w:val="16"/>
                <w:lang w:val="en-GB"/>
              </w:rPr>
            </w:pPr>
            <w:r w:rsidRPr="00BF50FA">
              <w:rPr>
                <w:sz w:val="20"/>
                <w:szCs w:val="16"/>
                <w:lang w:val="en-GB"/>
              </w:rPr>
              <w:t>6.798</w:t>
            </w:r>
          </w:p>
        </w:tc>
        <w:tc>
          <w:tcPr>
            <w:tcW w:w="1041" w:type="dxa"/>
          </w:tcPr>
          <w:p w14:paraId="581ABDE9" w14:textId="77777777" w:rsidR="00BF50FA" w:rsidRPr="00BF50FA" w:rsidRDefault="00BF50FA" w:rsidP="007C7FCB">
            <w:pPr>
              <w:jc w:val="center"/>
              <w:rPr>
                <w:sz w:val="20"/>
                <w:szCs w:val="16"/>
                <w:lang w:val="en-GB"/>
              </w:rPr>
            </w:pPr>
            <w:r w:rsidRPr="00BF50FA">
              <w:rPr>
                <w:sz w:val="20"/>
                <w:szCs w:val="16"/>
                <w:lang w:val="en-GB"/>
              </w:rPr>
              <w:t>147614.2</w:t>
            </w:r>
          </w:p>
        </w:tc>
      </w:tr>
      <w:tr w:rsidR="00BF50FA" w:rsidRPr="00BF50FA" w14:paraId="39FFCDA0" w14:textId="77777777" w:rsidTr="007C7FCB">
        <w:tc>
          <w:tcPr>
            <w:tcW w:w="3256" w:type="dxa"/>
          </w:tcPr>
          <w:p w14:paraId="00247F35" w14:textId="77777777" w:rsidR="00BF50FA" w:rsidRPr="00BF50FA" w:rsidRDefault="00BF50FA" w:rsidP="007C7FCB">
            <w:pPr>
              <w:jc w:val="right"/>
              <w:rPr>
                <w:sz w:val="20"/>
                <w:szCs w:val="16"/>
                <w:lang w:val="en-GB"/>
              </w:rPr>
            </w:pPr>
            <w:r w:rsidRPr="00BF50FA">
              <w:rPr>
                <w:sz w:val="20"/>
                <w:szCs w:val="16"/>
                <w:lang w:val="en-GB"/>
              </w:rPr>
              <w:t>Coup d’etat</w:t>
            </w:r>
          </w:p>
        </w:tc>
        <w:tc>
          <w:tcPr>
            <w:tcW w:w="1417" w:type="dxa"/>
          </w:tcPr>
          <w:p w14:paraId="1330B6CD" w14:textId="77777777" w:rsidR="00BF50FA" w:rsidRPr="00BF50FA" w:rsidRDefault="00BF50FA" w:rsidP="007C7FCB">
            <w:pPr>
              <w:jc w:val="center"/>
              <w:rPr>
                <w:sz w:val="20"/>
                <w:szCs w:val="16"/>
                <w:lang w:val="en-GB"/>
              </w:rPr>
            </w:pPr>
            <w:r w:rsidRPr="00BF50FA">
              <w:rPr>
                <w:sz w:val="20"/>
                <w:szCs w:val="16"/>
                <w:lang w:val="en-GB"/>
              </w:rPr>
              <w:t>14,079</w:t>
            </w:r>
          </w:p>
        </w:tc>
        <w:tc>
          <w:tcPr>
            <w:tcW w:w="1046" w:type="dxa"/>
          </w:tcPr>
          <w:p w14:paraId="4EE17FD5" w14:textId="77777777" w:rsidR="00BF50FA" w:rsidRPr="00BF50FA" w:rsidRDefault="00BF50FA" w:rsidP="007C7FCB">
            <w:pPr>
              <w:jc w:val="center"/>
              <w:rPr>
                <w:sz w:val="20"/>
                <w:szCs w:val="16"/>
                <w:lang w:val="en-GB"/>
              </w:rPr>
            </w:pPr>
            <w:r w:rsidRPr="00BF50FA">
              <w:rPr>
                <w:sz w:val="20"/>
                <w:szCs w:val="16"/>
                <w:lang w:val="en-GB"/>
              </w:rPr>
              <w:t>0.043</w:t>
            </w:r>
          </w:p>
        </w:tc>
        <w:tc>
          <w:tcPr>
            <w:tcW w:w="1096" w:type="dxa"/>
          </w:tcPr>
          <w:p w14:paraId="3BF200C7" w14:textId="77777777" w:rsidR="00BF50FA" w:rsidRPr="00BF50FA" w:rsidRDefault="00BF50FA" w:rsidP="007C7FCB">
            <w:pPr>
              <w:jc w:val="center"/>
              <w:rPr>
                <w:sz w:val="20"/>
                <w:szCs w:val="16"/>
                <w:lang w:val="en-GB"/>
              </w:rPr>
            </w:pPr>
            <w:r w:rsidRPr="00BF50FA">
              <w:rPr>
                <w:sz w:val="20"/>
                <w:szCs w:val="16"/>
                <w:lang w:val="en-GB"/>
              </w:rPr>
              <w:t>0.223</w:t>
            </w:r>
          </w:p>
        </w:tc>
        <w:tc>
          <w:tcPr>
            <w:tcW w:w="1160" w:type="dxa"/>
          </w:tcPr>
          <w:p w14:paraId="4E149BA6" w14:textId="77777777" w:rsidR="00BF50FA" w:rsidRPr="00BF50FA" w:rsidRDefault="00BF50FA" w:rsidP="007C7FCB">
            <w:pPr>
              <w:jc w:val="center"/>
              <w:rPr>
                <w:sz w:val="20"/>
                <w:szCs w:val="16"/>
                <w:lang w:val="en-GB"/>
              </w:rPr>
            </w:pPr>
            <w:r w:rsidRPr="00BF50FA">
              <w:rPr>
                <w:sz w:val="20"/>
                <w:szCs w:val="16"/>
                <w:lang w:val="en-GB"/>
              </w:rPr>
              <w:t>0</w:t>
            </w:r>
          </w:p>
        </w:tc>
        <w:tc>
          <w:tcPr>
            <w:tcW w:w="1041" w:type="dxa"/>
          </w:tcPr>
          <w:p w14:paraId="07A4027B" w14:textId="77777777" w:rsidR="00BF50FA" w:rsidRPr="00BF50FA" w:rsidRDefault="00BF50FA" w:rsidP="007C7FCB">
            <w:pPr>
              <w:jc w:val="center"/>
              <w:rPr>
                <w:sz w:val="20"/>
                <w:szCs w:val="16"/>
                <w:lang w:val="en-GB"/>
              </w:rPr>
            </w:pPr>
            <w:r w:rsidRPr="00BF50FA">
              <w:rPr>
                <w:sz w:val="20"/>
                <w:szCs w:val="16"/>
                <w:lang w:val="en-GB"/>
              </w:rPr>
              <w:t>3</w:t>
            </w:r>
          </w:p>
        </w:tc>
      </w:tr>
      <w:tr w:rsidR="00BF50FA" w:rsidRPr="00BF50FA" w14:paraId="547CD8B0" w14:textId="77777777" w:rsidTr="007C7FCB">
        <w:tc>
          <w:tcPr>
            <w:tcW w:w="3256" w:type="dxa"/>
          </w:tcPr>
          <w:p w14:paraId="25803BA8" w14:textId="77777777" w:rsidR="00BF50FA" w:rsidRPr="00BF50FA" w:rsidRDefault="00BF50FA" w:rsidP="007C7FCB">
            <w:pPr>
              <w:jc w:val="right"/>
              <w:rPr>
                <w:sz w:val="20"/>
                <w:szCs w:val="16"/>
                <w:lang w:val="en-GB"/>
              </w:rPr>
            </w:pPr>
            <w:r w:rsidRPr="00BF50FA">
              <w:rPr>
                <w:sz w:val="20"/>
                <w:szCs w:val="16"/>
                <w:lang w:val="en-GB"/>
              </w:rPr>
              <w:t>Urbanization rate</w:t>
            </w:r>
          </w:p>
        </w:tc>
        <w:tc>
          <w:tcPr>
            <w:tcW w:w="1417" w:type="dxa"/>
          </w:tcPr>
          <w:p w14:paraId="437D6F47" w14:textId="77777777" w:rsidR="00BF50FA" w:rsidRPr="00BF50FA" w:rsidRDefault="00BF50FA" w:rsidP="007C7FCB">
            <w:pPr>
              <w:jc w:val="center"/>
              <w:rPr>
                <w:sz w:val="20"/>
                <w:szCs w:val="16"/>
                <w:lang w:val="en-GB"/>
              </w:rPr>
            </w:pPr>
            <w:r w:rsidRPr="00BF50FA">
              <w:rPr>
                <w:sz w:val="20"/>
                <w:szCs w:val="16"/>
                <w:lang w:val="en-GB"/>
              </w:rPr>
              <w:t>10,597</w:t>
            </w:r>
          </w:p>
        </w:tc>
        <w:tc>
          <w:tcPr>
            <w:tcW w:w="1046" w:type="dxa"/>
          </w:tcPr>
          <w:p w14:paraId="3E22C911" w14:textId="77777777" w:rsidR="00BF50FA" w:rsidRPr="00BF50FA" w:rsidRDefault="00BF50FA" w:rsidP="007C7FCB">
            <w:pPr>
              <w:jc w:val="center"/>
              <w:rPr>
                <w:sz w:val="20"/>
                <w:szCs w:val="16"/>
                <w:lang w:val="en-GB"/>
              </w:rPr>
            </w:pPr>
            <w:r w:rsidRPr="00BF50FA">
              <w:rPr>
                <w:sz w:val="20"/>
                <w:szCs w:val="16"/>
                <w:lang w:val="en-GB"/>
              </w:rPr>
              <w:t>0.328</w:t>
            </w:r>
          </w:p>
        </w:tc>
        <w:tc>
          <w:tcPr>
            <w:tcW w:w="1096" w:type="dxa"/>
          </w:tcPr>
          <w:p w14:paraId="57885596" w14:textId="77777777" w:rsidR="00BF50FA" w:rsidRPr="00BF50FA" w:rsidRDefault="00BF50FA" w:rsidP="007C7FCB">
            <w:pPr>
              <w:jc w:val="center"/>
              <w:rPr>
                <w:sz w:val="20"/>
                <w:szCs w:val="16"/>
                <w:lang w:val="en-GB"/>
              </w:rPr>
            </w:pPr>
            <w:r w:rsidRPr="00BF50FA">
              <w:rPr>
                <w:sz w:val="20"/>
                <w:szCs w:val="16"/>
                <w:lang w:val="en-GB"/>
              </w:rPr>
              <w:t>0.201</w:t>
            </w:r>
          </w:p>
        </w:tc>
        <w:tc>
          <w:tcPr>
            <w:tcW w:w="1160" w:type="dxa"/>
          </w:tcPr>
          <w:p w14:paraId="24482F1D" w14:textId="77777777" w:rsidR="00BF50FA" w:rsidRPr="00BF50FA" w:rsidRDefault="00BF50FA" w:rsidP="007C7FCB">
            <w:pPr>
              <w:jc w:val="center"/>
              <w:rPr>
                <w:sz w:val="20"/>
                <w:szCs w:val="16"/>
                <w:lang w:val="en-GB"/>
              </w:rPr>
            </w:pPr>
            <w:r w:rsidRPr="00BF50FA">
              <w:rPr>
                <w:sz w:val="20"/>
                <w:szCs w:val="16"/>
                <w:lang w:val="en-GB"/>
              </w:rPr>
              <w:t>0.034</w:t>
            </w:r>
          </w:p>
        </w:tc>
        <w:tc>
          <w:tcPr>
            <w:tcW w:w="1041" w:type="dxa"/>
          </w:tcPr>
          <w:p w14:paraId="00443A4A" w14:textId="77777777" w:rsidR="00BF50FA" w:rsidRPr="00BF50FA" w:rsidRDefault="00BF50FA" w:rsidP="007C7FCB">
            <w:pPr>
              <w:jc w:val="center"/>
              <w:rPr>
                <w:sz w:val="20"/>
                <w:szCs w:val="16"/>
                <w:lang w:val="en-GB"/>
              </w:rPr>
            </w:pPr>
            <w:r w:rsidRPr="00BF50FA">
              <w:rPr>
                <w:sz w:val="20"/>
                <w:szCs w:val="16"/>
                <w:lang w:val="en-GB"/>
              </w:rPr>
              <w:t>1.487</w:t>
            </w:r>
          </w:p>
        </w:tc>
      </w:tr>
      <w:tr w:rsidR="00BF50FA" w:rsidRPr="00BF50FA" w14:paraId="2C2D09F6" w14:textId="77777777" w:rsidTr="007C7FCB">
        <w:tc>
          <w:tcPr>
            <w:tcW w:w="3256" w:type="dxa"/>
            <w:tcBorders>
              <w:bottom w:val="double" w:sz="4" w:space="0" w:color="auto"/>
            </w:tcBorders>
          </w:tcPr>
          <w:p w14:paraId="5491AD6E" w14:textId="77777777" w:rsidR="00BF50FA" w:rsidRPr="00BF50FA" w:rsidRDefault="00BF50FA" w:rsidP="007C7FCB">
            <w:pPr>
              <w:jc w:val="right"/>
              <w:rPr>
                <w:sz w:val="20"/>
                <w:szCs w:val="16"/>
                <w:lang w:val="en-GB"/>
              </w:rPr>
            </w:pPr>
            <w:r w:rsidRPr="00BF50FA">
              <w:rPr>
                <w:sz w:val="20"/>
                <w:szCs w:val="16"/>
                <w:lang w:val="en-GB"/>
              </w:rPr>
              <w:t>Civil war</w:t>
            </w:r>
          </w:p>
        </w:tc>
        <w:tc>
          <w:tcPr>
            <w:tcW w:w="1417" w:type="dxa"/>
            <w:tcBorders>
              <w:bottom w:val="double" w:sz="4" w:space="0" w:color="auto"/>
            </w:tcBorders>
          </w:tcPr>
          <w:p w14:paraId="73B746D9" w14:textId="77777777" w:rsidR="00BF50FA" w:rsidRPr="00BF50FA" w:rsidRDefault="00BF50FA" w:rsidP="007C7FCB">
            <w:pPr>
              <w:jc w:val="center"/>
              <w:rPr>
                <w:sz w:val="20"/>
                <w:szCs w:val="16"/>
                <w:lang w:val="en-GB"/>
              </w:rPr>
            </w:pPr>
            <w:r w:rsidRPr="00BF50FA">
              <w:rPr>
                <w:sz w:val="20"/>
                <w:szCs w:val="16"/>
                <w:lang w:val="en-GB"/>
              </w:rPr>
              <w:t>11,114</w:t>
            </w:r>
          </w:p>
        </w:tc>
        <w:tc>
          <w:tcPr>
            <w:tcW w:w="1046" w:type="dxa"/>
            <w:tcBorders>
              <w:bottom w:val="double" w:sz="4" w:space="0" w:color="auto"/>
            </w:tcBorders>
          </w:tcPr>
          <w:p w14:paraId="5925F6A1" w14:textId="77777777" w:rsidR="00BF50FA" w:rsidRPr="00BF50FA" w:rsidRDefault="00BF50FA" w:rsidP="007C7FCB">
            <w:pPr>
              <w:jc w:val="center"/>
              <w:rPr>
                <w:sz w:val="20"/>
                <w:szCs w:val="16"/>
                <w:lang w:val="en-GB"/>
              </w:rPr>
            </w:pPr>
            <w:r w:rsidRPr="00BF50FA">
              <w:rPr>
                <w:sz w:val="20"/>
                <w:szCs w:val="16"/>
                <w:lang w:val="en-GB"/>
              </w:rPr>
              <w:t>0.139</w:t>
            </w:r>
          </w:p>
        </w:tc>
        <w:tc>
          <w:tcPr>
            <w:tcW w:w="1096" w:type="dxa"/>
            <w:tcBorders>
              <w:bottom w:val="double" w:sz="4" w:space="0" w:color="auto"/>
            </w:tcBorders>
          </w:tcPr>
          <w:p w14:paraId="20736BD0" w14:textId="77777777" w:rsidR="00BF50FA" w:rsidRPr="00BF50FA" w:rsidRDefault="00BF50FA" w:rsidP="007C7FCB">
            <w:pPr>
              <w:jc w:val="center"/>
              <w:rPr>
                <w:sz w:val="20"/>
                <w:szCs w:val="16"/>
                <w:lang w:val="en-GB"/>
              </w:rPr>
            </w:pPr>
            <w:r w:rsidRPr="00BF50FA">
              <w:rPr>
                <w:sz w:val="20"/>
                <w:szCs w:val="16"/>
                <w:lang w:val="en-GB"/>
              </w:rPr>
              <w:t>0.346</w:t>
            </w:r>
          </w:p>
        </w:tc>
        <w:tc>
          <w:tcPr>
            <w:tcW w:w="1160" w:type="dxa"/>
            <w:tcBorders>
              <w:bottom w:val="double" w:sz="4" w:space="0" w:color="auto"/>
            </w:tcBorders>
          </w:tcPr>
          <w:p w14:paraId="06FBBE91" w14:textId="77777777" w:rsidR="00BF50FA" w:rsidRPr="00BF50FA" w:rsidRDefault="00BF50FA" w:rsidP="007C7FCB">
            <w:pPr>
              <w:jc w:val="center"/>
              <w:rPr>
                <w:sz w:val="20"/>
                <w:szCs w:val="16"/>
                <w:lang w:val="en-GB"/>
              </w:rPr>
            </w:pPr>
            <w:r w:rsidRPr="00BF50FA">
              <w:rPr>
                <w:sz w:val="20"/>
                <w:szCs w:val="16"/>
                <w:lang w:val="en-GB"/>
              </w:rPr>
              <w:t>0</w:t>
            </w:r>
          </w:p>
        </w:tc>
        <w:tc>
          <w:tcPr>
            <w:tcW w:w="1041" w:type="dxa"/>
            <w:tcBorders>
              <w:bottom w:val="double" w:sz="4" w:space="0" w:color="auto"/>
            </w:tcBorders>
          </w:tcPr>
          <w:p w14:paraId="02CA7667" w14:textId="77777777" w:rsidR="00BF50FA" w:rsidRPr="00BF50FA" w:rsidRDefault="00BF50FA" w:rsidP="007C7FCB">
            <w:pPr>
              <w:jc w:val="center"/>
              <w:rPr>
                <w:sz w:val="20"/>
                <w:szCs w:val="16"/>
                <w:lang w:val="en-GB"/>
              </w:rPr>
            </w:pPr>
            <w:r w:rsidRPr="00BF50FA">
              <w:rPr>
                <w:sz w:val="20"/>
                <w:szCs w:val="16"/>
                <w:lang w:val="en-GB"/>
              </w:rPr>
              <w:t>1</w:t>
            </w:r>
          </w:p>
        </w:tc>
      </w:tr>
    </w:tbl>
    <w:p w14:paraId="422AE731" w14:textId="77777777" w:rsidR="008139F7" w:rsidRDefault="008139F7" w:rsidP="008139F7">
      <w:pPr>
        <w:spacing w:after="0" w:line="240" w:lineRule="auto"/>
        <w:jc w:val="both"/>
        <w:rPr>
          <w:lang w:val="en-GB"/>
        </w:rPr>
      </w:pPr>
    </w:p>
    <w:p w14:paraId="53A62642" w14:textId="7180EAEC" w:rsidR="008139F7" w:rsidRPr="00563C09" w:rsidRDefault="003F7064" w:rsidP="00563C09">
      <w:pPr>
        <w:pStyle w:val="Naslov1"/>
        <w:numPr>
          <w:ilvl w:val="0"/>
          <w:numId w:val="2"/>
        </w:numPr>
        <w:tabs>
          <w:tab w:val="num" w:pos="720"/>
        </w:tabs>
        <w:rPr>
          <w:rFonts w:asciiTheme="majorBidi" w:hAnsiTheme="majorBidi"/>
          <w:color w:val="auto"/>
          <w:lang w:val="en-US"/>
        </w:rPr>
      </w:pPr>
      <w:bookmarkStart w:id="6" w:name="_Toc212314890"/>
      <w:r w:rsidRPr="00563C09">
        <w:rPr>
          <w:rFonts w:asciiTheme="majorBidi" w:hAnsiTheme="majorBidi"/>
          <w:color w:val="auto"/>
          <w:lang w:val="en-US"/>
        </w:rPr>
        <w:t>Results</w:t>
      </w:r>
      <w:bookmarkEnd w:id="6"/>
    </w:p>
    <w:p w14:paraId="3EA18CAF" w14:textId="569EFA0D" w:rsidR="003F7064" w:rsidRDefault="003F7064" w:rsidP="008139F7">
      <w:pPr>
        <w:spacing w:after="0" w:line="240" w:lineRule="auto"/>
        <w:jc w:val="both"/>
        <w:rPr>
          <w:lang w:val="en-GB"/>
        </w:rPr>
      </w:pPr>
    </w:p>
    <w:p w14:paraId="2BEBB4D1" w14:textId="5373808C" w:rsidR="003F7064" w:rsidRPr="00A04731" w:rsidRDefault="00E01316" w:rsidP="00A04731">
      <w:pPr>
        <w:pStyle w:val="Naslov2"/>
        <w:ind w:firstLine="360"/>
        <w:rPr>
          <w:lang w:val="en-GB"/>
        </w:rPr>
      </w:pPr>
      <w:r w:rsidRPr="00A04731">
        <w:rPr>
          <w:lang w:val="en-GB"/>
        </w:rPr>
        <w:tab/>
      </w:r>
      <w:bookmarkStart w:id="7" w:name="_Toc212314891"/>
      <w:r w:rsidR="00563C09" w:rsidRPr="00A04731">
        <w:rPr>
          <w:lang w:val="en-GB"/>
        </w:rPr>
        <w:t>4</w:t>
      </w:r>
      <w:r w:rsidR="00372793" w:rsidRPr="00A04731">
        <w:rPr>
          <w:lang w:val="en-GB"/>
        </w:rPr>
        <w:t>.1</w:t>
      </w:r>
      <w:r w:rsidR="00A04731">
        <w:rPr>
          <w:lang w:val="en-GB"/>
        </w:rPr>
        <w:tab/>
      </w:r>
      <w:r w:rsidRPr="00A04731">
        <w:rPr>
          <w:lang w:val="en-GB"/>
        </w:rPr>
        <w:t>Baseline</w:t>
      </w:r>
      <w:r w:rsidR="00372793" w:rsidRPr="00A04731">
        <w:rPr>
          <w:lang w:val="en-GB"/>
        </w:rPr>
        <w:t xml:space="preserve"> model estimates</w:t>
      </w:r>
      <w:bookmarkEnd w:id="7"/>
    </w:p>
    <w:p w14:paraId="7FB24B6A" w14:textId="76040BFA" w:rsidR="00E01316" w:rsidRDefault="00E01316" w:rsidP="008139F7">
      <w:pPr>
        <w:spacing w:after="0" w:line="240" w:lineRule="auto"/>
        <w:jc w:val="both"/>
        <w:rPr>
          <w:lang w:val="en-GB"/>
        </w:rPr>
      </w:pPr>
    </w:p>
    <w:p w14:paraId="36AEC385" w14:textId="1FC5C7C8" w:rsidR="00E01316" w:rsidRPr="00E01316" w:rsidRDefault="00E01316" w:rsidP="00E01316">
      <w:pPr>
        <w:spacing w:after="0" w:line="240" w:lineRule="auto"/>
        <w:jc w:val="both"/>
        <w:rPr>
          <w:sz w:val="24"/>
          <w:szCs w:val="24"/>
          <w:lang w:val="en-GB"/>
        </w:rPr>
      </w:pPr>
      <w:r w:rsidRPr="00E01316">
        <w:rPr>
          <w:sz w:val="24"/>
          <w:szCs w:val="24"/>
          <w:lang w:val="en-GB"/>
        </w:rPr>
        <w:t xml:space="preserve">Table </w:t>
      </w:r>
      <w:r w:rsidR="006A33C0">
        <w:rPr>
          <w:sz w:val="24"/>
          <w:szCs w:val="24"/>
          <w:lang w:val="en-GB"/>
        </w:rPr>
        <w:t>3</w:t>
      </w:r>
      <w:r w:rsidRPr="00E01316">
        <w:rPr>
          <w:sz w:val="24"/>
          <w:szCs w:val="24"/>
          <w:lang w:val="en-GB"/>
        </w:rPr>
        <w:t xml:space="preserve"> presents the baseline linear probability estimates linking institutional proximity to violators of international law with the probability of compliance, defined as a vote in favor of the corresponding United Nations General Assembly (UNGA) resolution. Columns (1), (3), and (5) include progressively richer sets of unobserved effects, country and time fixed effects, to mitigate potential omitted-variable bias arising from persistent heterogeneity in institutional and geopolitical characteristics. Columns (2), (4), and (6) employ the high-dimensional fixed-effects estimator proposed by Correia et al. (2016), which allows for the simultaneous inclusion of country-, year-, and resolution-fixed effects. This specification captures nuanced spatio-temporal heterogeneity, accounting for resolution-specific idiosyncrasies or global shocks that might influence voting patterns.</w:t>
      </w:r>
    </w:p>
    <w:p w14:paraId="698F933D" w14:textId="77777777" w:rsidR="00E01316" w:rsidRPr="00E01316" w:rsidRDefault="00E01316" w:rsidP="00E01316">
      <w:pPr>
        <w:spacing w:after="0" w:line="240" w:lineRule="auto"/>
        <w:jc w:val="both"/>
        <w:rPr>
          <w:sz w:val="24"/>
          <w:szCs w:val="24"/>
          <w:lang w:val="en-GB"/>
        </w:rPr>
      </w:pPr>
    </w:p>
    <w:p w14:paraId="144C7A5F" w14:textId="7D79B22D" w:rsidR="00E01316" w:rsidRDefault="00E01316" w:rsidP="00E01316">
      <w:pPr>
        <w:spacing w:after="0" w:line="240" w:lineRule="auto"/>
        <w:jc w:val="both"/>
        <w:rPr>
          <w:sz w:val="24"/>
          <w:szCs w:val="24"/>
          <w:lang w:val="en-GB"/>
        </w:rPr>
      </w:pPr>
      <w:r w:rsidRPr="00E01316">
        <w:rPr>
          <w:sz w:val="24"/>
          <w:szCs w:val="24"/>
          <w:lang w:val="en-GB"/>
        </w:rPr>
        <w:t xml:space="preserve">The results confirm the theoretical expectations. In the baseline specification, an increase in institutional distance from the violator is associated with a 4.5 percentage point rise in the probability of voting in favor of the </w:t>
      </w:r>
      <w:r>
        <w:rPr>
          <w:sz w:val="24"/>
          <w:szCs w:val="24"/>
          <w:lang w:val="en-GB"/>
        </w:rPr>
        <w:t xml:space="preserve">general assembly </w:t>
      </w:r>
      <w:r w:rsidRPr="00E01316">
        <w:rPr>
          <w:sz w:val="24"/>
          <w:szCs w:val="24"/>
          <w:lang w:val="en-GB"/>
        </w:rPr>
        <w:t>resolution, indicating greater compliance with international law and lower tolerance for violations. The inclusion of time-fixed effects in column (3) slightly reduces the coefficient to 3.8 percentage points, reflecting the influence of common temporal shocks such as global crises or shifts in international norms. When the model is further extended to include interaction fixed effects at the country</w:t>
      </w:r>
      <w:r w:rsidR="00674EEA">
        <w:rPr>
          <w:sz w:val="24"/>
          <w:szCs w:val="24"/>
          <w:lang w:val="en-GB"/>
        </w:rPr>
        <w:t>-</w:t>
      </w:r>
      <w:r w:rsidRPr="00E01316">
        <w:rPr>
          <w:sz w:val="24"/>
          <w:szCs w:val="24"/>
          <w:lang w:val="en-GB"/>
        </w:rPr>
        <w:t xml:space="preserve">year level, the coefficient remains positive and statistically significant, though its magnitude declines to 2.1 percentage points. This reduction </w:t>
      </w:r>
      <w:r>
        <w:rPr>
          <w:sz w:val="24"/>
          <w:szCs w:val="24"/>
          <w:lang w:val="en-GB"/>
        </w:rPr>
        <w:t>highlights</w:t>
      </w:r>
      <w:r w:rsidRPr="00E01316">
        <w:rPr>
          <w:sz w:val="24"/>
          <w:szCs w:val="24"/>
          <w:lang w:val="en-GB"/>
        </w:rPr>
        <w:t xml:space="preserve"> the role of unobserved time-varying factors</w:t>
      </w:r>
      <w:r>
        <w:rPr>
          <w:sz w:val="24"/>
          <w:szCs w:val="24"/>
          <w:lang w:val="en-GB"/>
        </w:rPr>
        <w:t xml:space="preserve">, </w:t>
      </w:r>
      <w:r w:rsidRPr="00E01316">
        <w:rPr>
          <w:sz w:val="24"/>
          <w:szCs w:val="24"/>
          <w:lang w:val="en-GB"/>
        </w:rPr>
        <w:t>such as temporary alliances, diplomatic rhetoric, or external pressure</w:t>
      </w:r>
      <w:r>
        <w:rPr>
          <w:sz w:val="24"/>
          <w:szCs w:val="24"/>
          <w:lang w:val="en-GB"/>
        </w:rPr>
        <w:t xml:space="preserve">, </w:t>
      </w:r>
      <w:r w:rsidRPr="00E01316">
        <w:rPr>
          <w:sz w:val="24"/>
          <w:szCs w:val="24"/>
          <w:lang w:val="en-GB"/>
        </w:rPr>
        <w:t>that may jointly affect voting behavior. The persistence of statistical significance, however, suggests that the underlying relationship between governance distance and compliance is robust. In substantive terms, countries that are institutionally more dissimilar to the violators of international law exhibit systematically higher probabilities of casting votes consistent with international legal norms.</w:t>
      </w:r>
    </w:p>
    <w:p w14:paraId="2D5E702F" w14:textId="1B027EBD" w:rsidR="00E01316" w:rsidRDefault="00E01316" w:rsidP="00E01316">
      <w:pPr>
        <w:spacing w:after="0" w:line="240" w:lineRule="auto"/>
        <w:jc w:val="both"/>
        <w:rPr>
          <w:sz w:val="24"/>
          <w:szCs w:val="24"/>
          <w:lang w:val="en-GB"/>
        </w:rPr>
      </w:pPr>
    </w:p>
    <w:p w14:paraId="0FA10284" w14:textId="4011F0B8" w:rsidR="00E01316" w:rsidRPr="00E01316" w:rsidRDefault="00E01316" w:rsidP="00E01316">
      <w:pPr>
        <w:spacing w:after="0" w:line="240" w:lineRule="auto"/>
        <w:jc w:val="both"/>
        <w:rPr>
          <w:sz w:val="24"/>
          <w:szCs w:val="24"/>
          <w:lang w:val="en-GB"/>
        </w:rPr>
      </w:pPr>
      <w:r w:rsidRPr="006A33C0">
        <w:rPr>
          <w:b/>
          <w:bCs/>
          <w:sz w:val="24"/>
          <w:szCs w:val="24"/>
          <w:lang w:val="en-GB"/>
        </w:rPr>
        <w:lastRenderedPageBreak/>
        <w:t xml:space="preserve">Table </w:t>
      </w:r>
      <w:r w:rsidR="006A33C0" w:rsidRPr="006A33C0">
        <w:rPr>
          <w:b/>
          <w:bCs/>
          <w:sz w:val="24"/>
          <w:szCs w:val="24"/>
          <w:lang w:val="en-GB"/>
        </w:rPr>
        <w:t>3</w:t>
      </w:r>
      <w:r w:rsidRPr="00E01316">
        <w:rPr>
          <w:sz w:val="24"/>
          <w:szCs w:val="24"/>
          <w:lang w:val="en-GB"/>
        </w:rPr>
        <w:t>: Linear Probability Estimates of the Institutional Proximity to Violator on Compliance with International Law, 1946-2023</w:t>
      </w:r>
    </w:p>
    <w:tbl>
      <w:tblPr>
        <w:tblStyle w:val="Tabelamrea"/>
        <w:tblW w:w="0" w:type="auto"/>
        <w:tblLook w:val="04A0" w:firstRow="1" w:lastRow="0" w:firstColumn="1" w:lastColumn="0" w:noHBand="0" w:noVBand="1"/>
      </w:tblPr>
      <w:tblGrid>
        <w:gridCol w:w="2263"/>
        <w:gridCol w:w="1134"/>
        <w:gridCol w:w="1276"/>
        <w:gridCol w:w="991"/>
        <w:gridCol w:w="1135"/>
        <w:gridCol w:w="1088"/>
        <w:gridCol w:w="1129"/>
      </w:tblGrid>
      <w:tr w:rsidR="00E01316" w:rsidRPr="00E01316" w14:paraId="07D4870C" w14:textId="77777777" w:rsidTr="006A33C0">
        <w:tc>
          <w:tcPr>
            <w:tcW w:w="2263" w:type="dxa"/>
            <w:tcBorders>
              <w:top w:val="double" w:sz="4" w:space="0" w:color="auto"/>
              <w:left w:val="nil"/>
              <w:bottom w:val="nil"/>
              <w:right w:val="nil"/>
            </w:tcBorders>
          </w:tcPr>
          <w:p w14:paraId="2EEA4D55" w14:textId="77777777" w:rsidR="00E01316" w:rsidRPr="00E01316" w:rsidRDefault="00E01316" w:rsidP="00E01316">
            <w:pPr>
              <w:jc w:val="both"/>
              <w:rPr>
                <w:sz w:val="18"/>
                <w:szCs w:val="18"/>
                <w:lang w:val="en-GB"/>
              </w:rPr>
            </w:pPr>
          </w:p>
        </w:tc>
        <w:tc>
          <w:tcPr>
            <w:tcW w:w="1134" w:type="dxa"/>
            <w:tcBorders>
              <w:top w:val="double" w:sz="4" w:space="0" w:color="auto"/>
              <w:left w:val="nil"/>
              <w:bottom w:val="single" w:sz="4" w:space="0" w:color="auto"/>
              <w:right w:val="nil"/>
            </w:tcBorders>
          </w:tcPr>
          <w:p w14:paraId="6DA58560" w14:textId="77777777" w:rsidR="00E01316" w:rsidRPr="00E01316" w:rsidRDefault="00E01316" w:rsidP="002B186A">
            <w:pPr>
              <w:jc w:val="center"/>
              <w:rPr>
                <w:sz w:val="18"/>
                <w:szCs w:val="18"/>
                <w:lang w:val="en-GB"/>
              </w:rPr>
            </w:pPr>
            <w:r w:rsidRPr="00E01316">
              <w:rPr>
                <w:sz w:val="18"/>
                <w:szCs w:val="18"/>
                <w:lang w:val="en-GB"/>
              </w:rPr>
              <w:t>(1)</w:t>
            </w:r>
          </w:p>
        </w:tc>
        <w:tc>
          <w:tcPr>
            <w:tcW w:w="1276" w:type="dxa"/>
            <w:tcBorders>
              <w:top w:val="double" w:sz="4" w:space="0" w:color="auto"/>
              <w:left w:val="nil"/>
              <w:bottom w:val="single" w:sz="4" w:space="0" w:color="auto"/>
              <w:right w:val="nil"/>
            </w:tcBorders>
          </w:tcPr>
          <w:p w14:paraId="01FAA95E" w14:textId="77777777" w:rsidR="00E01316" w:rsidRPr="00E01316" w:rsidRDefault="00E01316" w:rsidP="002B186A">
            <w:pPr>
              <w:jc w:val="center"/>
              <w:rPr>
                <w:sz w:val="18"/>
                <w:szCs w:val="18"/>
                <w:lang w:val="en-GB"/>
              </w:rPr>
            </w:pPr>
            <w:r w:rsidRPr="00E01316">
              <w:rPr>
                <w:sz w:val="18"/>
                <w:szCs w:val="18"/>
                <w:lang w:val="en-GB"/>
              </w:rPr>
              <w:t>(2)</w:t>
            </w:r>
          </w:p>
        </w:tc>
        <w:tc>
          <w:tcPr>
            <w:tcW w:w="991" w:type="dxa"/>
            <w:tcBorders>
              <w:top w:val="double" w:sz="4" w:space="0" w:color="auto"/>
              <w:left w:val="nil"/>
              <w:bottom w:val="single" w:sz="4" w:space="0" w:color="auto"/>
              <w:right w:val="nil"/>
            </w:tcBorders>
          </w:tcPr>
          <w:p w14:paraId="0840276F" w14:textId="77777777" w:rsidR="00E01316" w:rsidRPr="00E01316" w:rsidRDefault="00E01316" w:rsidP="002B186A">
            <w:pPr>
              <w:jc w:val="center"/>
              <w:rPr>
                <w:sz w:val="18"/>
                <w:szCs w:val="18"/>
                <w:lang w:val="en-GB"/>
              </w:rPr>
            </w:pPr>
            <w:r w:rsidRPr="00E01316">
              <w:rPr>
                <w:sz w:val="18"/>
                <w:szCs w:val="18"/>
                <w:lang w:val="en-GB"/>
              </w:rPr>
              <w:t>(3)</w:t>
            </w:r>
          </w:p>
        </w:tc>
        <w:tc>
          <w:tcPr>
            <w:tcW w:w="1135" w:type="dxa"/>
            <w:tcBorders>
              <w:top w:val="double" w:sz="4" w:space="0" w:color="auto"/>
              <w:left w:val="nil"/>
              <w:bottom w:val="single" w:sz="4" w:space="0" w:color="auto"/>
              <w:right w:val="nil"/>
            </w:tcBorders>
          </w:tcPr>
          <w:p w14:paraId="20358E37" w14:textId="77777777" w:rsidR="00E01316" w:rsidRPr="00E01316" w:rsidRDefault="00E01316" w:rsidP="002B186A">
            <w:pPr>
              <w:jc w:val="center"/>
              <w:rPr>
                <w:sz w:val="18"/>
                <w:szCs w:val="18"/>
                <w:lang w:val="en-GB"/>
              </w:rPr>
            </w:pPr>
            <w:r w:rsidRPr="00E01316">
              <w:rPr>
                <w:sz w:val="18"/>
                <w:szCs w:val="18"/>
                <w:lang w:val="en-GB"/>
              </w:rPr>
              <w:t>(4)</w:t>
            </w:r>
          </w:p>
        </w:tc>
        <w:tc>
          <w:tcPr>
            <w:tcW w:w="1088" w:type="dxa"/>
            <w:tcBorders>
              <w:top w:val="double" w:sz="4" w:space="0" w:color="auto"/>
              <w:left w:val="nil"/>
              <w:bottom w:val="single" w:sz="4" w:space="0" w:color="auto"/>
              <w:right w:val="nil"/>
            </w:tcBorders>
          </w:tcPr>
          <w:p w14:paraId="419DA9FD" w14:textId="77777777" w:rsidR="00E01316" w:rsidRPr="00E01316" w:rsidRDefault="00E01316" w:rsidP="002B186A">
            <w:pPr>
              <w:jc w:val="center"/>
              <w:rPr>
                <w:sz w:val="18"/>
                <w:szCs w:val="18"/>
                <w:lang w:val="en-GB"/>
              </w:rPr>
            </w:pPr>
            <w:r w:rsidRPr="00E01316">
              <w:rPr>
                <w:sz w:val="18"/>
                <w:szCs w:val="18"/>
                <w:lang w:val="en-GB"/>
              </w:rPr>
              <w:t>(5)</w:t>
            </w:r>
          </w:p>
        </w:tc>
        <w:tc>
          <w:tcPr>
            <w:tcW w:w="1129" w:type="dxa"/>
            <w:tcBorders>
              <w:top w:val="double" w:sz="4" w:space="0" w:color="auto"/>
              <w:left w:val="nil"/>
              <w:bottom w:val="single" w:sz="4" w:space="0" w:color="auto"/>
              <w:right w:val="nil"/>
            </w:tcBorders>
          </w:tcPr>
          <w:p w14:paraId="588F2D95" w14:textId="77777777" w:rsidR="00E01316" w:rsidRPr="00E01316" w:rsidRDefault="00E01316" w:rsidP="002B186A">
            <w:pPr>
              <w:jc w:val="center"/>
              <w:rPr>
                <w:sz w:val="18"/>
                <w:szCs w:val="18"/>
                <w:lang w:val="en-GB"/>
              </w:rPr>
            </w:pPr>
            <w:r w:rsidRPr="00E01316">
              <w:rPr>
                <w:sz w:val="18"/>
                <w:szCs w:val="18"/>
                <w:lang w:val="en-GB"/>
              </w:rPr>
              <w:t>(6)</w:t>
            </w:r>
          </w:p>
        </w:tc>
      </w:tr>
      <w:tr w:rsidR="00E01316" w:rsidRPr="00E01316" w14:paraId="49F65201" w14:textId="77777777" w:rsidTr="006A33C0">
        <w:tc>
          <w:tcPr>
            <w:tcW w:w="2263" w:type="dxa"/>
            <w:tcBorders>
              <w:top w:val="nil"/>
              <w:left w:val="nil"/>
              <w:bottom w:val="nil"/>
              <w:right w:val="nil"/>
            </w:tcBorders>
          </w:tcPr>
          <w:p w14:paraId="7F4D89A2" w14:textId="77777777" w:rsidR="00E01316" w:rsidRPr="00E01316" w:rsidRDefault="00E01316" w:rsidP="00E01316">
            <w:pPr>
              <w:jc w:val="both"/>
              <w:rPr>
                <w:sz w:val="18"/>
                <w:szCs w:val="18"/>
                <w:lang w:val="en-GB"/>
              </w:rPr>
            </w:pPr>
          </w:p>
        </w:tc>
        <w:tc>
          <w:tcPr>
            <w:tcW w:w="1134" w:type="dxa"/>
            <w:tcBorders>
              <w:top w:val="single" w:sz="4" w:space="0" w:color="auto"/>
              <w:left w:val="nil"/>
              <w:bottom w:val="single" w:sz="4" w:space="0" w:color="auto"/>
              <w:right w:val="nil"/>
            </w:tcBorders>
          </w:tcPr>
          <w:p w14:paraId="5CA6077B" w14:textId="77777777" w:rsidR="00E01316" w:rsidRPr="00E01316" w:rsidRDefault="00E01316" w:rsidP="002B186A">
            <w:pPr>
              <w:jc w:val="center"/>
              <w:rPr>
                <w:sz w:val="18"/>
                <w:szCs w:val="18"/>
                <w:lang w:val="en-GB"/>
              </w:rPr>
            </w:pPr>
            <w:r w:rsidRPr="00E01316">
              <w:rPr>
                <w:sz w:val="18"/>
                <w:szCs w:val="18"/>
                <w:lang w:val="en-GB"/>
              </w:rPr>
              <w:t>LPM</w:t>
            </w:r>
          </w:p>
        </w:tc>
        <w:tc>
          <w:tcPr>
            <w:tcW w:w="1276" w:type="dxa"/>
            <w:tcBorders>
              <w:top w:val="single" w:sz="4" w:space="0" w:color="auto"/>
              <w:left w:val="nil"/>
              <w:bottom w:val="single" w:sz="4" w:space="0" w:color="auto"/>
              <w:right w:val="nil"/>
            </w:tcBorders>
          </w:tcPr>
          <w:p w14:paraId="6879EECB" w14:textId="77777777" w:rsidR="00E01316" w:rsidRPr="00E01316" w:rsidRDefault="00E01316" w:rsidP="002B186A">
            <w:pPr>
              <w:jc w:val="center"/>
              <w:rPr>
                <w:sz w:val="18"/>
                <w:szCs w:val="18"/>
                <w:lang w:val="en-GB"/>
              </w:rPr>
            </w:pPr>
            <w:r w:rsidRPr="00E01316">
              <w:rPr>
                <w:sz w:val="18"/>
                <w:szCs w:val="18"/>
                <w:lang w:val="en-GB"/>
              </w:rPr>
              <w:t>High-Dimensional Fixed Effect</w:t>
            </w:r>
          </w:p>
        </w:tc>
        <w:tc>
          <w:tcPr>
            <w:tcW w:w="991" w:type="dxa"/>
            <w:tcBorders>
              <w:top w:val="single" w:sz="4" w:space="0" w:color="auto"/>
              <w:left w:val="nil"/>
              <w:bottom w:val="single" w:sz="4" w:space="0" w:color="auto"/>
              <w:right w:val="nil"/>
            </w:tcBorders>
          </w:tcPr>
          <w:p w14:paraId="28CADE47" w14:textId="77777777" w:rsidR="00E01316" w:rsidRPr="00E01316" w:rsidRDefault="00E01316" w:rsidP="002B186A">
            <w:pPr>
              <w:jc w:val="center"/>
              <w:rPr>
                <w:sz w:val="18"/>
                <w:szCs w:val="18"/>
                <w:lang w:val="en-GB"/>
              </w:rPr>
            </w:pPr>
            <w:r w:rsidRPr="00E01316">
              <w:rPr>
                <w:sz w:val="18"/>
                <w:szCs w:val="18"/>
                <w:lang w:val="en-GB"/>
              </w:rPr>
              <w:t>LPM</w:t>
            </w:r>
          </w:p>
        </w:tc>
        <w:tc>
          <w:tcPr>
            <w:tcW w:w="1135" w:type="dxa"/>
            <w:tcBorders>
              <w:top w:val="single" w:sz="4" w:space="0" w:color="auto"/>
              <w:left w:val="nil"/>
              <w:bottom w:val="single" w:sz="4" w:space="0" w:color="auto"/>
              <w:right w:val="nil"/>
            </w:tcBorders>
          </w:tcPr>
          <w:p w14:paraId="09BE1F4A" w14:textId="77777777" w:rsidR="00E01316" w:rsidRPr="00E01316" w:rsidRDefault="00E01316" w:rsidP="002B186A">
            <w:pPr>
              <w:jc w:val="center"/>
              <w:rPr>
                <w:sz w:val="18"/>
                <w:szCs w:val="18"/>
                <w:lang w:val="en-GB"/>
              </w:rPr>
            </w:pPr>
            <w:r w:rsidRPr="00E01316">
              <w:rPr>
                <w:sz w:val="18"/>
                <w:szCs w:val="18"/>
                <w:lang w:val="en-GB"/>
              </w:rPr>
              <w:t>High-Dimensional Fixed Effect</w:t>
            </w:r>
          </w:p>
        </w:tc>
        <w:tc>
          <w:tcPr>
            <w:tcW w:w="1088" w:type="dxa"/>
            <w:tcBorders>
              <w:top w:val="single" w:sz="4" w:space="0" w:color="auto"/>
              <w:left w:val="nil"/>
              <w:bottom w:val="single" w:sz="4" w:space="0" w:color="auto"/>
              <w:right w:val="nil"/>
            </w:tcBorders>
          </w:tcPr>
          <w:p w14:paraId="5DC31706" w14:textId="77777777" w:rsidR="00E01316" w:rsidRPr="00E01316" w:rsidRDefault="00E01316" w:rsidP="002B186A">
            <w:pPr>
              <w:jc w:val="center"/>
              <w:rPr>
                <w:sz w:val="18"/>
                <w:szCs w:val="18"/>
                <w:lang w:val="en-GB"/>
              </w:rPr>
            </w:pPr>
            <w:r w:rsidRPr="00E01316">
              <w:rPr>
                <w:sz w:val="18"/>
                <w:szCs w:val="18"/>
                <w:lang w:val="en-GB"/>
              </w:rPr>
              <w:t>LPM</w:t>
            </w:r>
          </w:p>
        </w:tc>
        <w:tc>
          <w:tcPr>
            <w:tcW w:w="1129" w:type="dxa"/>
            <w:tcBorders>
              <w:top w:val="single" w:sz="4" w:space="0" w:color="auto"/>
              <w:left w:val="nil"/>
              <w:bottom w:val="single" w:sz="4" w:space="0" w:color="auto"/>
              <w:right w:val="nil"/>
            </w:tcBorders>
          </w:tcPr>
          <w:p w14:paraId="2057236A" w14:textId="77777777" w:rsidR="00E01316" w:rsidRPr="00E01316" w:rsidRDefault="00E01316" w:rsidP="002B186A">
            <w:pPr>
              <w:jc w:val="center"/>
              <w:rPr>
                <w:sz w:val="18"/>
                <w:szCs w:val="18"/>
                <w:lang w:val="en-GB"/>
              </w:rPr>
            </w:pPr>
            <w:r w:rsidRPr="00E01316">
              <w:rPr>
                <w:sz w:val="18"/>
                <w:szCs w:val="18"/>
                <w:lang w:val="en-GB"/>
              </w:rPr>
              <w:t>High-Dimensional Fixed Effect</w:t>
            </w:r>
          </w:p>
        </w:tc>
      </w:tr>
      <w:tr w:rsidR="00E01316" w:rsidRPr="00E01316" w14:paraId="55B210CC" w14:textId="77777777" w:rsidTr="006A33C0">
        <w:tc>
          <w:tcPr>
            <w:tcW w:w="2263" w:type="dxa"/>
            <w:tcBorders>
              <w:top w:val="nil"/>
              <w:left w:val="nil"/>
              <w:bottom w:val="nil"/>
              <w:right w:val="nil"/>
            </w:tcBorders>
          </w:tcPr>
          <w:p w14:paraId="09B4C88F" w14:textId="0A12AA2C" w:rsidR="00E01316" w:rsidRPr="00E01316" w:rsidRDefault="00E01316" w:rsidP="002B186A">
            <w:pPr>
              <w:jc w:val="right"/>
              <w:rPr>
                <w:sz w:val="18"/>
                <w:szCs w:val="18"/>
                <w:lang w:val="en-GB"/>
              </w:rPr>
            </w:pPr>
            <w:r w:rsidRPr="00E01316">
              <w:rPr>
                <w:sz w:val="18"/>
                <w:szCs w:val="18"/>
                <w:lang w:val="en-GB"/>
              </w:rPr>
              <w:t>Governance Distance</w:t>
            </w:r>
          </w:p>
        </w:tc>
        <w:tc>
          <w:tcPr>
            <w:tcW w:w="1134" w:type="dxa"/>
            <w:tcBorders>
              <w:top w:val="single" w:sz="4" w:space="0" w:color="auto"/>
              <w:left w:val="nil"/>
              <w:bottom w:val="single" w:sz="4" w:space="0" w:color="auto"/>
              <w:right w:val="nil"/>
            </w:tcBorders>
          </w:tcPr>
          <w:p w14:paraId="777EC168" w14:textId="77777777" w:rsidR="00E01316" w:rsidRPr="00E01316" w:rsidRDefault="00E01316" w:rsidP="002B186A">
            <w:pPr>
              <w:jc w:val="center"/>
              <w:rPr>
                <w:sz w:val="18"/>
                <w:szCs w:val="18"/>
                <w:lang w:val="en-GB"/>
              </w:rPr>
            </w:pPr>
            <w:r w:rsidRPr="00E01316">
              <w:rPr>
                <w:sz w:val="18"/>
                <w:szCs w:val="18"/>
                <w:lang w:val="en-GB"/>
              </w:rPr>
              <w:t>0.045***</w:t>
            </w:r>
          </w:p>
          <w:p w14:paraId="54CE9A1B" w14:textId="77777777" w:rsidR="00E01316" w:rsidRPr="00E01316" w:rsidRDefault="00E01316" w:rsidP="002B186A">
            <w:pPr>
              <w:jc w:val="center"/>
              <w:rPr>
                <w:sz w:val="18"/>
                <w:szCs w:val="18"/>
                <w:lang w:val="en-GB"/>
              </w:rPr>
            </w:pPr>
            <w:r w:rsidRPr="00E01316">
              <w:rPr>
                <w:sz w:val="18"/>
                <w:szCs w:val="18"/>
                <w:lang w:val="en-GB"/>
              </w:rPr>
              <w:t>(0.005)</w:t>
            </w:r>
          </w:p>
        </w:tc>
        <w:tc>
          <w:tcPr>
            <w:tcW w:w="1276" w:type="dxa"/>
            <w:tcBorders>
              <w:top w:val="single" w:sz="4" w:space="0" w:color="auto"/>
              <w:left w:val="nil"/>
              <w:bottom w:val="single" w:sz="4" w:space="0" w:color="auto"/>
              <w:right w:val="nil"/>
            </w:tcBorders>
          </w:tcPr>
          <w:p w14:paraId="14FAEA3C" w14:textId="77777777" w:rsidR="00E01316" w:rsidRPr="00E01316" w:rsidRDefault="00E01316" w:rsidP="002B186A">
            <w:pPr>
              <w:jc w:val="center"/>
              <w:rPr>
                <w:sz w:val="18"/>
                <w:szCs w:val="18"/>
                <w:lang w:val="en-GB"/>
              </w:rPr>
            </w:pPr>
            <w:r w:rsidRPr="00E01316">
              <w:rPr>
                <w:sz w:val="18"/>
                <w:szCs w:val="18"/>
                <w:lang w:val="en-GB"/>
              </w:rPr>
              <w:t>0.018*</w:t>
            </w:r>
          </w:p>
          <w:p w14:paraId="78F8ACE7" w14:textId="77777777" w:rsidR="00E01316" w:rsidRPr="00E01316" w:rsidRDefault="00E01316" w:rsidP="002B186A">
            <w:pPr>
              <w:jc w:val="center"/>
              <w:rPr>
                <w:sz w:val="18"/>
                <w:szCs w:val="18"/>
                <w:lang w:val="en-GB"/>
              </w:rPr>
            </w:pPr>
            <w:r w:rsidRPr="00E01316">
              <w:rPr>
                <w:sz w:val="18"/>
                <w:szCs w:val="18"/>
                <w:lang w:val="en-GB"/>
              </w:rPr>
              <w:t>(0.013)</w:t>
            </w:r>
          </w:p>
        </w:tc>
        <w:tc>
          <w:tcPr>
            <w:tcW w:w="991" w:type="dxa"/>
            <w:tcBorders>
              <w:top w:val="single" w:sz="4" w:space="0" w:color="auto"/>
              <w:left w:val="nil"/>
              <w:bottom w:val="single" w:sz="4" w:space="0" w:color="auto"/>
              <w:right w:val="nil"/>
            </w:tcBorders>
          </w:tcPr>
          <w:p w14:paraId="770E0117" w14:textId="77777777" w:rsidR="00E01316" w:rsidRPr="00E01316" w:rsidRDefault="00E01316" w:rsidP="002B186A">
            <w:pPr>
              <w:jc w:val="center"/>
              <w:rPr>
                <w:sz w:val="18"/>
                <w:szCs w:val="18"/>
                <w:lang w:val="en-GB"/>
              </w:rPr>
            </w:pPr>
            <w:r w:rsidRPr="00E01316">
              <w:rPr>
                <w:sz w:val="18"/>
                <w:szCs w:val="18"/>
                <w:lang w:val="en-GB"/>
              </w:rPr>
              <w:t>0.038***</w:t>
            </w:r>
          </w:p>
          <w:p w14:paraId="6F4CD433" w14:textId="77777777" w:rsidR="00E01316" w:rsidRPr="00E01316" w:rsidRDefault="00E01316" w:rsidP="002B186A">
            <w:pPr>
              <w:jc w:val="center"/>
              <w:rPr>
                <w:sz w:val="18"/>
                <w:szCs w:val="18"/>
                <w:lang w:val="en-GB"/>
              </w:rPr>
            </w:pPr>
            <w:r w:rsidRPr="00E01316">
              <w:rPr>
                <w:sz w:val="18"/>
                <w:szCs w:val="18"/>
                <w:lang w:val="en-GB"/>
              </w:rPr>
              <w:t>(0.0123)</w:t>
            </w:r>
          </w:p>
        </w:tc>
        <w:tc>
          <w:tcPr>
            <w:tcW w:w="1135" w:type="dxa"/>
            <w:tcBorders>
              <w:top w:val="single" w:sz="4" w:space="0" w:color="auto"/>
              <w:left w:val="nil"/>
              <w:bottom w:val="single" w:sz="4" w:space="0" w:color="auto"/>
              <w:right w:val="nil"/>
            </w:tcBorders>
          </w:tcPr>
          <w:p w14:paraId="7175AAAD" w14:textId="77777777" w:rsidR="00E01316" w:rsidRPr="00E01316" w:rsidRDefault="00E01316" w:rsidP="002B186A">
            <w:pPr>
              <w:jc w:val="center"/>
              <w:rPr>
                <w:sz w:val="18"/>
                <w:szCs w:val="18"/>
                <w:lang w:val="en-GB"/>
              </w:rPr>
            </w:pPr>
            <w:r w:rsidRPr="00E01316">
              <w:rPr>
                <w:sz w:val="18"/>
                <w:szCs w:val="18"/>
                <w:lang w:val="en-GB"/>
              </w:rPr>
              <w:t>0.042***</w:t>
            </w:r>
          </w:p>
          <w:p w14:paraId="4A219C51" w14:textId="77777777" w:rsidR="00E01316" w:rsidRPr="00E01316" w:rsidRDefault="00E01316" w:rsidP="002B186A">
            <w:pPr>
              <w:jc w:val="center"/>
              <w:rPr>
                <w:sz w:val="18"/>
                <w:szCs w:val="18"/>
                <w:lang w:val="en-GB"/>
              </w:rPr>
            </w:pPr>
            <w:r w:rsidRPr="00E01316">
              <w:rPr>
                <w:sz w:val="18"/>
                <w:szCs w:val="18"/>
                <w:lang w:val="en-GB"/>
              </w:rPr>
              <w:t>(0.013)</w:t>
            </w:r>
          </w:p>
        </w:tc>
        <w:tc>
          <w:tcPr>
            <w:tcW w:w="1088" w:type="dxa"/>
            <w:tcBorders>
              <w:top w:val="single" w:sz="4" w:space="0" w:color="auto"/>
              <w:left w:val="nil"/>
              <w:bottom w:val="single" w:sz="4" w:space="0" w:color="auto"/>
              <w:right w:val="nil"/>
            </w:tcBorders>
          </w:tcPr>
          <w:p w14:paraId="0676B7CE" w14:textId="77777777" w:rsidR="00E01316" w:rsidRPr="00E01316" w:rsidRDefault="00E01316" w:rsidP="002B186A">
            <w:pPr>
              <w:jc w:val="center"/>
              <w:rPr>
                <w:sz w:val="18"/>
                <w:szCs w:val="18"/>
                <w:lang w:val="en-GB"/>
              </w:rPr>
            </w:pPr>
            <w:r w:rsidRPr="00E01316">
              <w:rPr>
                <w:sz w:val="18"/>
                <w:szCs w:val="18"/>
                <w:lang w:val="en-GB"/>
              </w:rPr>
              <w:t>0.041***</w:t>
            </w:r>
          </w:p>
          <w:p w14:paraId="13760E4A" w14:textId="77777777" w:rsidR="00E01316" w:rsidRPr="00E01316" w:rsidRDefault="00E01316" w:rsidP="002B186A">
            <w:pPr>
              <w:jc w:val="center"/>
              <w:rPr>
                <w:sz w:val="18"/>
                <w:szCs w:val="18"/>
                <w:lang w:val="en-GB"/>
              </w:rPr>
            </w:pPr>
            <w:r w:rsidRPr="00E01316">
              <w:rPr>
                <w:sz w:val="18"/>
                <w:szCs w:val="18"/>
                <w:lang w:val="en-GB"/>
              </w:rPr>
              <w:t>(0.006)</w:t>
            </w:r>
          </w:p>
        </w:tc>
        <w:tc>
          <w:tcPr>
            <w:tcW w:w="1129" w:type="dxa"/>
            <w:tcBorders>
              <w:top w:val="single" w:sz="4" w:space="0" w:color="auto"/>
              <w:left w:val="nil"/>
              <w:bottom w:val="single" w:sz="4" w:space="0" w:color="auto"/>
              <w:right w:val="nil"/>
            </w:tcBorders>
          </w:tcPr>
          <w:p w14:paraId="330EE60E" w14:textId="77777777" w:rsidR="00E01316" w:rsidRPr="00E01316" w:rsidRDefault="00E01316" w:rsidP="002B186A">
            <w:pPr>
              <w:jc w:val="center"/>
              <w:rPr>
                <w:sz w:val="18"/>
                <w:szCs w:val="18"/>
                <w:lang w:val="en-GB"/>
              </w:rPr>
            </w:pPr>
            <w:r w:rsidRPr="00E01316">
              <w:rPr>
                <w:sz w:val="18"/>
                <w:szCs w:val="18"/>
                <w:lang w:val="en-GB"/>
              </w:rPr>
              <w:t>0.021***</w:t>
            </w:r>
          </w:p>
          <w:p w14:paraId="5D9C7143" w14:textId="77777777" w:rsidR="00E01316" w:rsidRPr="00E01316" w:rsidRDefault="00E01316" w:rsidP="002B186A">
            <w:pPr>
              <w:jc w:val="center"/>
              <w:rPr>
                <w:sz w:val="18"/>
                <w:szCs w:val="18"/>
                <w:lang w:val="en-GB"/>
              </w:rPr>
            </w:pPr>
            <w:r w:rsidRPr="00E01316">
              <w:rPr>
                <w:sz w:val="18"/>
                <w:szCs w:val="18"/>
                <w:lang w:val="en-GB"/>
              </w:rPr>
              <w:t>(0.008)</w:t>
            </w:r>
          </w:p>
        </w:tc>
      </w:tr>
      <w:tr w:rsidR="00E01316" w:rsidRPr="00E01316" w14:paraId="0A931131" w14:textId="77777777" w:rsidTr="006A33C0">
        <w:tc>
          <w:tcPr>
            <w:tcW w:w="2263" w:type="dxa"/>
            <w:tcBorders>
              <w:top w:val="nil"/>
              <w:left w:val="nil"/>
              <w:bottom w:val="nil"/>
              <w:right w:val="nil"/>
            </w:tcBorders>
          </w:tcPr>
          <w:p w14:paraId="2B3B4CCF" w14:textId="77777777" w:rsidR="00E01316" w:rsidRPr="00E01316" w:rsidRDefault="00E01316" w:rsidP="00E01316">
            <w:pPr>
              <w:jc w:val="both"/>
              <w:rPr>
                <w:sz w:val="18"/>
                <w:szCs w:val="18"/>
                <w:lang w:val="en-GB"/>
              </w:rPr>
            </w:pPr>
          </w:p>
        </w:tc>
        <w:tc>
          <w:tcPr>
            <w:tcW w:w="1134" w:type="dxa"/>
            <w:tcBorders>
              <w:top w:val="single" w:sz="4" w:space="0" w:color="auto"/>
              <w:left w:val="nil"/>
              <w:bottom w:val="nil"/>
              <w:right w:val="nil"/>
            </w:tcBorders>
          </w:tcPr>
          <w:p w14:paraId="1CFE6DDA" w14:textId="77777777" w:rsidR="00E01316" w:rsidRPr="00E01316" w:rsidRDefault="00E01316" w:rsidP="00E01316">
            <w:pPr>
              <w:jc w:val="both"/>
              <w:rPr>
                <w:sz w:val="18"/>
                <w:szCs w:val="18"/>
                <w:lang w:val="en-GB"/>
              </w:rPr>
            </w:pPr>
          </w:p>
        </w:tc>
        <w:tc>
          <w:tcPr>
            <w:tcW w:w="1276" w:type="dxa"/>
            <w:tcBorders>
              <w:top w:val="single" w:sz="4" w:space="0" w:color="auto"/>
              <w:left w:val="nil"/>
              <w:bottom w:val="nil"/>
              <w:right w:val="nil"/>
            </w:tcBorders>
          </w:tcPr>
          <w:p w14:paraId="67C91710" w14:textId="77777777" w:rsidR="00E01316" w:rsidRPr="00E01316" w:rsidRDefault="00E01316" w:rsidP="00E01316">
            <w:pPr>
              <w:jc w:val="both"/>
              <w:rPr>
                <w:sz w:val="18"/>
                <w:szCs w:val="18"/>
                <w:lang w:val="en-GB"/>
              </w:rPr>
            </w:pPr>
          </w:p>
        </w:tc>
        <w:tc>
          <w:tcPr>
            <w:tcW w:w="991" w:type="dxa"/>
            <w:tcBorders>
              <w:top w:val="single" w:sz="4" w:space="0" w:color="auto"/>
              <w:left w:val="nil"/>
              <w:bottom w:val="nil"/>
              <w:right w:val="nil"/>
            </w:tcBorders>
          </w:tcPr>
          <w:p w14:paraId="2886BCF8" w14:textId="77777777" w:rsidR="00E01316" w:rsidRPr="00E01316" w:rsidRDefault="00E01316" w:rsidP="00E01316">
            <w:pPr>
              <w:jc w:val="both"/>
              <w:rPr>
                <w:sz w:val="18"/>
                <w:szCs w:val="18"/>
                <w:lang w:val="en-GB"/>
              </w:rPr>
            </w:pPr>
          </w:p>
        </w:tc>
        <w:tc>
          <w:tcPr>
            <w:tcW w:w="1135" w:type="dxa"/>
            <w:tcBorders>
              <w:top w:val="single" w:sz="4" w:space="0" w:color="auto"/>
              <w:left w:val="nil"/>
              <w:bottom w:val="nil"/>
              <w:right w:val="nil"/>
            </w:tcBorders>
          </w:tcPr>
          <w:p w14:paraId="540C4F1C" w14:textId="77777777" w:rsidR="00E01316" w:rsidRPr="00E01316" w:rsidRDefault="00E01316" w:rsidP="00E01316">
            <w:pPr>
              <w:jc w:val="both"/>
              <w:rPr>
                <w:sz w:val="18"/>
                <w:szCs w:val="18"/>
                <w:lang w:val="en-GB"/>
              </w:rPr>
            </w:pPr>
          </w:p>
        </w:tc>
        <w:tc>
          <w:tcPr>
            <w:tcW w:w="1088" w:type="dxa"/>
            <w:tcBorders>
              <w:top w:val="single" w:sz="4" w:space="0" w:color="auto"/>
              <w:left w:val="nil"/>
              <w:bottom w:val="nil"/>
              <w:right w:val="nil"/>
            </w:tcBorders>
          </w:tcPr>
          <w:p w14:paraId="7743B6EA" w14:textId="77777777" w:rsidR="00E01316" w:rsidRPr="00E01316" w:rsidRDefault="00E01316" w:rsidP="00E01316">
            <w:pPr>
              <w:jc w:val="both"/>
              <w:rPr>
                <w:sz w:val="18"/>
                <w:szCs w:val="18"/>
                <w:lang w:val="en-GB"/>
              </w:rPr>
            </w:pPr>
          </w:p>
        </w:tc>
        <w:tc>
          <w:tcPr>
            <w:tcW w:w="1129" w:type="dxa"/>
            <w:tcBorders>
              <w:top w:val="single" w:sz="4" w:space="0" w:color="auto"/>
              <w:left w:val="nil"/>
              <w:bottom w:val="nil"/>
              <w:right w:val="nil"/>
            </w:tcBorders>
          </w:tcPr>
          <w:p w14:paraId="7BCD35BA" w14:textId="77777777" w:rsidR="00E01316" w:rsidRPr="00E01316" w:rsidRDefault="00E01316" w:rsidP="00E01316">
            <w:pPr>
              <w:jc w:val="both"/>
              <w:rPr>
                <w:sz w:val="18"/>
                <w:szCs w:val="18"/>
                <w:lang w:val="en-GB"/>
              </w:rPr>
            </w:pPr>
          </w:p>
        </w:tc>
      </w:tr>
      <w:tr w:rsidR="00E01316" w:rsidRPr="00E01316" w14:paraId="1D481F2A" w14:textId="77777777" w:rsidTr="006A33C0">
        <w:tc>
          <w:tcPr>
            <w:tcW w:w="2263" w:type="dxa"/>
            <w:tcBorders>
              <w:top w:val="nil"/>
              <w:left w:val="nil"/>
              <w:bottom w:val="nil"/>
              <w:right w:val="nil"/>
            </w:tcBorders>
          </w:tcPr>
          <w:p w14:paraId="47073893" w14:textId="77777777" w:rsidR="00E01316" w:rsidRPr="00E01316" w:rsidRDefault="00E01316" w:rsidP="00E01316">
            <w:pPr>
              <w:jc w:val="right"/>
              <w:rPr>
                <w:sz w:val="18"/>
                <w:szCs w:val="18"/>
                <w:lang w:val="en-GB"/>
              </w:rPr>
            </w:pPr>
            <w:r w:rsidRPr="00E01316">
              <w:rPr>
                <w:sz w:val="18"/>
                <w:szCs w:val="18"/>
                <w:lang w:val="en-GB"/>
              </w:rPr>
              <w:t>Covariates</w:t>
            </w:r>
          </w:p>
        </w:tc>
        <w:tc>
          <w:tcPr>
            <w:tcW w:w="1134" w:type="dxa"/>
            <w:tcBorders>
              <w:top w:val="nil"/>
              <w:left w:val="nil"/>
              <w:bottom w:val="nil"/>
              <w:right w:val="nil"/>
            </w:tcBorders>
          </w:tcPr>
          <w:p w14:paraId="7B124CF2" w14:textId="77777777" w:rsidR="00E01316" w:rsidRPr="00E01316" w:rsidRDefault="00E01316" w:rsidP="00E01316">
            <w:pPr>
              <w:jc w:val="center"/>
              <w:rPr>
                <w:sz w:val="18"/>
                <w:szCs w:val="18"/>
                <w:lang w:val="en-GB"/>
              </w:rPr>
            </w:pPr>
            <w:r w:rsidRPr="00E01316">
              <w:rPr>
                <w:sz w:val="18"/>
                <w:szCs w:val="18"/>
                <w:lang w:val="en-GB"/>
              </w:rPr>
              <w:t>YES</w:t>
            </w:r>
          </w:p>
        </w:tc>
        <w:tc>
          <w:tcPr>
            <w:tcW w:w="1276" w:type="dxa"/>
            <w:tcBorders>
              <w:top w:val="nil"/>
              <w:left w:val="nil"/>
              <w:bottom w:val="nil"/>
              <w:right w:val="nil"/>
            </w:tcBorders>
          </w:tcPr>
          <w:p w14:paraId="081ECF30" w14:textId="77777777" w:rsidR="00E01316" w:rsidRPr="00E01316" w:rsidRDefault="00E01316" w:rsidP="00E01316">
            <w:pPr>
              <w:jc w:val="center"/>
              <w:rPr>
                <w:sz w:val="18"/>
                <w:szCs w:val="18"/>
                <w:lang w:val="en-GB"/>
              </w:rPr>
            </w:pPr>
            <w:r w:rsidRPr="00E01316">
              <w:rPr>
                <w:sz w:val="18"/>
                <w:szCs w:val="18"/>
                <w:lang w:val="en-GB"/>
              </w:rPr>
              <w:t>NO</w:t>
            </w:r>
          </w:p>
        </w:tc>
        <w:tc>
          <w:tcPr>
            <w:tcW w:w="991" w:type="dxa"/>
            <w:tcBorders>
              <w:top w:val="nil"/>
              <w:left w:val="nil"/>
              <w:bottom w:val="nil"/>
              <w:right w:val="nil"/>
            </w:tcBorders>
          </w:tcPr>
          <w:p w14:paraId="20FF0DE0" w14:textId="77777777" w:rsidR="00E01316" w:rsidRPr="00E01316" w:rsidRDefault="00E01316" w:rsidP="00E01316">
            <w:pPr>
              <w:jc w:val="center"/>
              <w:rPr>
                <w:sz w:val="18"/>
                <w:szCs w:val="18"/>
                <w:lang w:val="en-GB"/>
              </w:rPr>
            </w:pPr>
            <w:r w:rsidRPr="00E01316">
              <w:rPr>
                <w:sz w:val="18"/>
                <w:szCs w:val="18"/>
                <w:lang w:val="en-GB"/>
              </w:rPr>
              <w:t>YES</w:t>
            </w:r>
          </w:p>
        </w:tc>
        <w:tc>
          <w:tcPr>
            <w:tcW w:w="1135" w:type="dxa"/>
            <w:tcBorders>
              <w:top w:val="nil"/>
              <w:left w:val="nil"/>
              <w:bottom w:val="nil"/>
              <w:right w:val="nil"/>
            </w:tcBorders>
          </w:tcPr>
          <w:p w14:paraId="73C40F02" w14:textId="77777777" w:rsidR="00E01316" w:rsidRPr="00E01316" w:rsidRDefault="00E01316" w:rsidP="00E01316">
            <w:pPr>
              <w:jc w:val="center"/>
              <w:rPr>
                <w:sz w:val="18"/>
                <w:szCs w:val="18"/>
                <w:lang w:val="en-GB"/>
              </w:rPr>
            </w:pPr>
            <w:r w:rsidRPr="00E01316">
              <w:rPr>
                <w:sz w:val="18"/>
                <w:szCs w:val="18"/>
                <w:lang w:val="en-GB"/>
              </w:rPr>
              <w:t>YES</w:t>
            </w:r>
          </w:p>
        </w:tc>
        <w:tc>
          <w:tcPr>
            <w:tcW w:w="1088" w:type="dxa"/>
            <w:tcBorders>
              <w:top w:val="nil"/>
              <w:left w:val="nil"/>
              <w:bottom w:val="nil"/>
              <w:right w:val="nil"/>
            </w:tcBorders>
          </w:tcPr>
          <w:p w14:paraId="4380A840" w14:textId="77777777" w:rsidR="00E01316" w:rsidRPr="00E01316" w:rsidRDefault="00E01316" w:rsidP="00E01316">
            <w:pPr>
              <w:jc w:val="center"/>
              <w:rPr>
                <w:sz w:val="18"/>
                <w:szCs w:val="18"/>
                <w:lang w:val="en-GB"/>
              </w:rPr>
            </w:pPr>
            <w:r w:rsidRPr="00E01316">
              <w:rPr>
                <w:sz w:val="18"/>
                <w:szCs w:val="18"/>
                <w:lang w:val="en-GB"/>
              </w:rPr>
              <w:t>YES</w:t>
            </w:r>
          </w:p>
        </w:tc>
        <w:tc>
          <w:tcPr>
            <w:tcW w:w="1129" w:type="dxa"/>
            <w:tcBorders>
              <w:top w:val="nil"/>
              <w:left w:val="nil"/>
              <w:bottom w:val="nil"/>
              <w:right w:val="nil"/>
            </w:tcBorders>
          </w:tcPr>
          <w:p w14:paraId="39C38813" w14:textId="77777777" w:rsidR="00E01316" w:rsidRPr="00E01316" w:rsidRDefault="00E01316" w:rsidP="00E01316">
            <w:pPr>
              <w:jc w:val="center"/>
              <w:rPr>
                <w:sz w:val="18"/>
                <w:szCs w:val="18"/>
                <w:lang w:val="en-GB"/>
              </w:rPr>
            </w:pPr>
            <w:r w:rsidRPr="00E01316">
              <w:rPr>
                <w:sz w:val="18"/>
                <w:szCs w:val="18"/>
                <w:lang w:val="en-GB"/>
              </w:rPr>
              <w:t>YES</w:t>
            </w:r>
          </w:p>
        </w:tc>
      </w:tr>
      <w:tr w:rsidR="005F7D68" w:rsidRPr="00E01316" w14:paraId="1DC8023D" w14:textId="77777777" w:rsidTr="006A33C0">
        <w:tc>
          <w:tcPr>
            <w:tcW w:w="2263" w:type="dxa"/>
            <w:tcBorders>
              <w:top w:val="nil"/>
              <w:left w:val="nil"/>
              <w:bottom w:val="nil"/>
              <w:right w:val="nil"/>
            </w:tcBorders>
          </w:tcPr>
          <w:p w14:paraId="72E05510" w14:textId="77777777" w:rsidR="005F7D68" w:rsidRPr="00E01316" w:rsidRDefault="005F7D68" w:rsidP="005F7D68">
            <w:pPr>
              <w:jc w:val="right"/>
              <w:rPr>
                <w:sz w:val="18"/>
                <w:szCs w:val="18"/>
                <w:lang w:val="en-GB"/>
              </w:rPr>
            </w:pPr>
            <w:r w:rsidRPr="00E01316">
              <w:rPr>
                <w:sz w:val="18"/>
                <w:szCs w:val="18"/>
                <w:lang w:val="en-GB"/>
              </w:rPr>
              <w:t>Country-Fixed Effects</w:t>
            </w:r>
          </w:p>
          <w:p w14:paraId="232C399B" w14:textId="77777777" w:rsidR="005F7D68" w:rsidRPr="00E01316" w:rsidRDefault="005F7D68" w:rsidP="005F7D68">
            <w:pPr>
              <w:jc w:val="right"/>
              <w:rPr>
                <w:sz w:val="18"/>
                <w:szCs w:val="18"/>
                <w:lang w:val="en-GB"/>
              </w:rPr>
            </w:pPr>
            <w:r w:rsidRPr="00E01316">
              <w:rPr>
                <w:sz w:val="18"/>
                <w:szCs w:val="18"/>
                <w:lang w:val="en-GB"/>
              </w:rPr>
              <w:t>(p-value)</w:t>
            </w:r>
          </w:p>
        </w:tc>
        <w:tc>
          <w:tcPr>
            <w:tcW w:w="1134" w:type="dxa"/>
            <w:tcBorders>
              <w:top w:val="nil"/>
              <w:left w:val="nil"/>
              <w:bottom w:val="nil"/>
              <w:right w:val="nil"/>
            </w:tcBorders>
          </w:tcPr>
          <w:p w14:paraId="30A3CAFF" w14:textId="77777777" w:rsidR="005F7D68" w:rsidRDefault="005F7D68" w:rsidP="005F7D68">
            <w:pPr>
              <w:jc w:val="center"/>
              <w:rPr>
                <w:sz w:val="18"/>
                <w:szCs w:val="18"/>
                <w:lang w:val="en-GB"/>
              </w:rPr>
            </w:pPr>
            <w:r>
              <w:rPr>
                <w:sz w:val="18"/>
                <w:szCs w:val="18"/>
                <w:lang w:val="en-GB"/>
              </w:rPr>
              <w:t>YES</w:t>
            </w:r>
          </w:p>
          <w:p w14:paraId="72AAAD46" w14:textId="16AF6C56" w:rsidR="005F7D68" w:rsidRPr="00E01316" w:rsidRDefault="005F7D68" w:rsidP="005F7D68">
            <w:pPr>
              <w:jc w:val="center"/>
              <w:rPr>
                <w:sz w:val="18"/>
                <w:szCs w:val="18"/>
                <w:lang w:val="en-GB"/>
              </w:rPr>
            </w:pPr>
            <w:r>
              <w:rPr>
                <w:sz w:val="18"/>
                <w:szCs w:val="18"/>
                <w:lang w:val="en-GB"/>
              </w:rPr>
              <w:t>(0.000)</w:t>
            </w:r>
          </w:p>
        </w:tc>
        <w:tc>
          <w:tcPr>
            <w:tcW w:w="1276" w:type="dxa"/>
            <w:tcBorders>
              <w:top w:val="nil"/>
              <w:left w:val="nil"/>
              <w:bottom w:val="nil"/>
              <w:right w:val="nil"/>
            </w:tcBorders>
          </w:tcPr>
          <w:p w14:paraId="7E6F20C2" w14:textId="77777777" w:rsidR="005F7D68" w:rsidRDefault="005F7D68" w:rsidP="005F7D68">
            <w:pPr>
              <w:jc w:val="center"/>
              <w:rPr>
                <w:sz w:val="18"/>
                <w:szCs w:val="18"/>
                <w:lang w:val="en-GB"/>
              </w:rPr>
            </w:pPr>
            <w:r>
              <w:rPr>
                <w:sz w:val="18"/>
                <w:szCs w:val="18"/>
                <w:lang w:val="en-GB"/>
              </w:rPr>
              <w:t>YES</w:t>
            </w:r>
          </w:p>
          <w:p w14:paraId="18C63897" w14:textId="0848A69F" w:rsidR="005F7D68" w:rsidRPr="00E01316" w:rsidRDefault="005F7D68" w:rsidP="005F7D68">
            <w:pPr>
              <w:jc w:val="center"/>
              <w:rPr>
                <w:sz w:val="18"/>
                <w:szCs w:val="18"/>
                <w:lang w:val="en-GB"/>
              </w:rPr>
            </w:pPr>
            <w:r>
              <w:rPr>
                <w:sz w:val="18"/>
                <w:szCs w:val="18"/>
                <w:lang w:val="en-GB"/>
              </w:rPr>
              <w:t>(0.000)</w:t>
            </w:r>
          </w:p>
        </w:tc>
        <w:tc>
          <w:tcPr>
            <w:tcW w:w="991" w:type="dxa"/>
            <w:tcBorders>
              <w:top w:val="nil"/>
              <w:left w:val="nil"/>
              <w:bottom w:val="nil"/>
              <w:right w:val="nil"/>
            </w:tcBorders>
          </w:tcPr>
          <w:p w14:paraId="6B8D693B" w14:textId="77777777" w:rsidR="005F7D68" w:rsidRDefault="005F7D68" w:rsidP="005F7D68">
            <w:pPr>
              <w:jc w:val="center"/>
              <w:rPr>
                <w:sz w:val="18"/>
                <w:szCs w:val="18"/>
                <w:lang w:val="en-GB"/>
              </w:rPr>
            </w:pPr>
            <w:r>
              <w:rPr>
                <w:sz w:val="18"/>
                <w:szCs w:val="18"/>
                <w:lang w:val="en-GB"/>
              </w:rPr>
              <w:t>YES</w:t>
            </w:r>
          </w:p>
          <w:p w14:paraId="0775AA89" w14:textId="2B0AF42C" w:rsidR="005F7D68" w:rsidRPr="00E01316" w:rsidRDefault="005F7D68" w:rsidP="005F7D68">
            <w:pPr>
              <w:jc w:val="center"/>
              <w:rPr>
                <w:sz w:val="18"/>
                <w:szCs w:val="18"/>
                <w:lang w:val="en-GB"/>
              </w:rPr>
            </w:pPr>
            <w:r>
              <w:rPr>
                <w:sz w:val="18"/>
                <w:szCs w:val="18"/>
                <w:lang w:val="en-GB"/>
              </w:rPr>
              <w:t>(0.000)</w:t>
            </w:r>
          </w:p>
        </w:tc>
        <w:tc>
          <w:tcPr>
            <w:tcW w:w="1135" w:type="dxa"/>
            <w:tcBorders>
              <w:top w:val="nil"/>
              <w:left w:val="nil"/>
              <w:bottom w:val="nil"/>
              <w:right w:val="nil"/>
            </w:tcBorders>
          </w:tcPr>
          <w:p w14:paraId="3D8741F4" w14:textId="77777777" w:rsidR="005F7D68" w:rsidRDefault="005F7D68" w:rsidP="005F7D68">
            <w:pPr>
              <w:jc w:val="center"/>
              <w:rPr>
                <w:sz w:val="18"/>
                <w:szCs w:val="18"/>
                <w:lang w:val="en-GB"/>
              </w:rPr>
            </w:pPr>
            <w:r>
              <w:rPr>
                <w:sz w:val="18"/>
                <w:szCs w:val="18"/>
                <w:lang w:val="en-GB"/>
              </w:rPr>
              <w:t>YES</w:t>
            </w:r>
          </w:p>
          <w:p w14:paraId="481C0DA8" w14:textId="08F9EFA8" w:rsidR="005F7D68" w:rsidRPr="00E01316" w:rsidRDefault="005F7D68" w:rsidP="005F7D68">
            <w:pPr>
              <w:jc w:val="center"/>
              <w:rPr>
                <w:sz w:val="18"/>
                <w:szCs w:val="18"/>
                <w:lang w:val="en-GB"/>
              </w:rPr>
            </w:pPr>
            <w:r>
              <w:rPr>
                <w:sz w:val="18"/>
                <w:szCs w:val="18"/>
                <w:lang w:val="en-GB"/>
              </w:rPr>
              <w:t>(0.000)</w:t>
            </w:r>
          </w:p>
        </w:tc>
        <w:tc>
          <w:tcPr>
            <w:tcW w:w="1088" w:type="dxa"/>
            <w:tcBorders>
              <w:top w:val="nil"/>
              <w:left w:val="nil"/>
              <w:bottom w:val="nil"/>
              <w:right w:val="nil"/>
            </w:tcBorders>
          </w:tcPr>
          <w:p w14:paraId="2C6B4763" w14:textId="77777777" w:rsidR="005F7D68" w:rsidRDefault="005F7D68" w:rsidP="005F7D68">
            <w:pPr>
              <w:jc w:val="center"/>
              <w:rPr>
                <w:sz w:val="18"/>
                <w:szCs w:val="18"/>
                <w:lang w:val="en-GB"/>
              </w:rPr>
            </w:pPr>
            <w:r>
              <w:rPr>
                <w:sz w:val="18"/>
                <w:szCs w:val="18"/>
                <w:lang w:val="en-GB"/>
              </w:rPr>
              <w:t>YES</w:t>
            </w:r>
          </w:p>
          <w:p w14:paraId="7744AF3C" w14:textId="2A9E5C03" w:rsidR="005F7D68" w:rsidRPr="00E01316" w:rsidRDefault="005F7D68" w:rsidP="005F7D68">
            <w:pPr>
              <w:jc w:val="center"/>
              <w:rPr>
                <w:sz w:val="18"/>
                <w:szCs w:val="18"/>
                <w:lang w:val="en-GB"/>
              </w:rPr>
            </w:pPr>
            <w:r>
              <w:rPr>
                <w:sz w:val="18"/>
                <w:szCs w:val="18"/>
                <w:lang w:val="en-GB"/>
              </w:rPr>
              <w:t>(0.000)</w:t>
            </w:r>
          </w:p>
        </w:tc>
        <w:tc>
          <w:tcPr>
            <w:tcW w:w="1129" w:type="dxa"/>
            <w:tcBorders>
              <w:top w:val="nil"/>
              <w:left w:val="nil"/>
              <w:bottom w:val="nil"/>
              <w:right w:val="nil"/>
            </w:tcBorders>
          </w:tcPr>
          <w:p w14:paraId="67930D8D" w14:textId="77777777" w:rsidR="005F7D68" w:rsidRDefault="005F7D68" w:rsidP="005F7D68">
            <w:pPr>
              <w:jc w:val="center"/>
              <w:rPr>
                <w:sz w:val="18"/>
                <w:szCs w:val="18"/>
                <w:lang w:val="en-GB"/>
              </w:rPr>
            </w:pPr>
            <w:r>
              <w:rPr>
                <w:sz w:val="18"/>
                <w:szCs w:val="18"/>
                <w:lang w:val="en-GB"/>
              </w:rPr>
              <w:t>YES</w:t>
            </w:r>
          </w:p>
          <w:p w14:paraId="21037C65" w14:textId="0F7BCE4A" w:rsidR="005F7D68" w:rsidRPr="00E01316" w:rsidRDefault="005F7D68" w:rsidP="005F7D68">
            <w:pPr>
              <w:jc w:val="center"/>
              <w:rPr>
                <w:sz w:val="18"/>
                <w:szCs w:val="18"/>
                <w:lang w:val="en-GB"/>
              </w:rPr>
            </w:pPr>
            <w:r>
              <w:rPr>
                <w:sz w:val="18"/>
                <w:szCs w:val="18"/>
                <w:lang w:val="en-GB"/>
              </w:rPr>
              <w:t>(0.000)</w:t>
            </w:r>
          </w:p>
        </w:tc>
      </w:tr>
      <w:tr w:rsidR="005F7D68" w:rsidRPr="00E01316" w14:paraId="45942739" w14:textId="77777777" w:rsidTr="006A33C0">
        <w:tc>
          <w:tcPr>
            <w:tcW w:w="2263" w:type="dxa"/>
            <w:tcBorders>
              <w:top w:val="nil"/>
              <w:left w:val="nil"/>
              <w:bottom w:val="nil"/>
              <w:right w:val="nil"/>
            </w:tcBorders>
          </w:tcPr>
          <w:p w14:paraId="1D0AA5F2" w14:textId="77777777" w:rsidR="005F7D68" w:rsidRPr="00E01316" w:rsidRDefault="005F7D68" w:rsidP="005F7D68">
            <w:pPr>
              <w:jc w:val="right"/>
              <w:rPr>
                <w:sz w:val="18"/>
                <w:szCs w:val="18"/>
                <w:lang w:val="en-GB"/>
              </w:rPr>
            </w:pPr>
            <w:r w:rsidRPr="00E01316">
              <w:rPr>
                <w:sz w:val="18"/>
                <w:szCs w:val="18"/>
                <w:lang w:val="en-GB"/>
              </w:rPr>
              <w:t>Time-Fixed Effects</w:t>
            </w:r>
          </w:p>
          <w:p w14:paraId="3C8CE8D7" w14:textId="77777777" w:rsidR="005F7D68" w:rsidRPr="00E01316" w:rsidRDefault="005F7D68" w:rsidP="005F7D68">
            <w:pPr>
              <w:jc w:val="right"/>
              <w:rPr>
                <w:sz w:val="18"/>
                <w:szCs w:val="18"/>
                <w:lang w:val="en-GB"/>
              </w:rPr>
            </w:pPr>
            <w:r w:rsidRPr="00E01316">
              <w:rPr>
                <w:sz w:val="18"/>
                <w:szCs w:val="18"/>
                <w:lang w:val="en-GB"/>
              </w:rPr>
              <w:t>(p-value)</w:t>
            </w:r>
          </w:p>
        </w:tc>
        <w:tc>
          <w:tcPr>
            <w:tcW w:w="1134" w:type="dxa"/>
            <w:tcBorders>
              <w:top w:val="nil"/>
              <w:left w:val="nil"/>
              <w:bottom w:val="nil"/>
              <w:right w:val="nil"/>
            </w:tcBorders>
          </w:tcPr>
          <w:p w14:paraId="04CD553A" w14:textId="77777777" w:rsidR="005F7D68" w:rsidRPr="00E01316" w:rsidRDefault="005F7D68" w:rsidP="005F7D68">
            <w:pPr>
              <w:jc w:val="center"/>
              <w:rPr>
                <w:sz w:val="18"/>
                <w:szCs w:val="18"/>
                <w:lang w:val="en-GB"/>
              </w:rPr>
            </w:pPr>
            <w:r w:rsidRPr="00E01316">
              <w:rPr>
                <w:sz w:val="18"/>
                <w:szCs w:val="18"/>
                <w:lang w:val="en-GB"/>
              </w:rPr>
              <w:t>NO</w:t>
            </w:r>
          </w:p>
        </w:tc>
        <w:tc>
          <w:tcPr>
            <w:tcW w:w="1276" w:type="dxa"/>
            <w:tcBorders>
              <w:top w:val="nil"/>
              <w:left w:val="nil"/>
              <w:bottom w:val="nil"/>
              <w:right w:val="nil"/>
            </w:tcBorders>
          </w:tcPr>
          <w:p w14:paraId="43E633BD" w14:textId="77777777" w:rsidR="005F7D68" w:rsidRDefault="005F7D68" w:rsidP="005F7D68">
            <w:pPr>
              <w:jc w:val="center"/>
              <w:rPr>
                <w:sz w:val="18"/>
                <w:szCs w:val="18"/>
                <w:lang w:val="en-GB"/>
              </w:rPr>
            </w:pPr>
            <w:r>
              <w:rPr>
                <w:sz w:val="18"/>
                <w:szCs w:val="18"/>
                <w:lang w:val="en-GB"/>
              </w:rPr>
              <w:t>YES</w:t>
            </w:r>
          </w:p>
          <w:p w14:paraId="544B52BC" w14:textId="715BB7B1" w:rsidR="005F7D68" w:rsidRPr="00E01316" w:rsidRDefault="005F7D68" w:rsidP="005F7D68">
            <w:pPr>
              <w:jc w:val="center"/>
              <w:rPr>
                <w:sz w:val="18"/>
                <w:szCs w:val="18"/>
                <w:lang w:val="en-GB"/>
              </w:rPr>
            </w:pPr>
            <w:r>
              <w:rPr>
                <w:sz w:val="18"/>
                <w:szCs w:val="18"/>
                <w:lang w:val="en-GB"/>
              </w:rPr>
              <w:t>(0.000)</w:t>
            </w:r>
          </w:p>
        </w:tc>
        <w:tc>
          <w:tcPr>
            <w:tcW w:w="991" w:type="dxa"/>
            <w:tcBorders>
              <w:top w:val="nil"/>
              <w:left w:val="nil"/>
              <w:bottom w:val="nil"/>
              <w:right w:val="nil"/>
            </w:tcBorders>
          </w:tcPr>
          <w:p w14:paraId="7AEB4721" w14:textId="77777777" w:rsidR="005F7D68" w:rsidRDefault="005F7D68" w:rsidP="005F7D68">
            <w:pPr>
              <w:jc w:val="center"/>
              <w:rPr>
                <w:sz w:val="18"/>
                <w:szCs w:val="18"/>
                <w:lang w:val="en-GB"/>
              </w:rPr>
            </w:pPr>
            <w:r>
              <w:rPr>
                <w:sz w:val="18"/>
                <w:szCs w:val="18"/>
                <w:lang w:val="en-GB"/>
              </w:rPr>
              <w:t>YES</w:t>
            </w:r>
          </w:p>
          <w:p w14:paraId="68B1C6C5" w14:textId="2F14C06A" w:rsidR="005F7D68" w:rsidRPr="00E01316" w:rsidRDefault="005F7D68" w:rsidP="005F7D68">
            <w:pPr>
              <w:jc w:val="center"/>
              <w:rPr>
                <w:sz w:val="18"/>
                <w:szCs w:val="18"/>
                <w:lang w:val="en-GB"/>
              </w:rPr>
            </w:pPr>
            <w:r>
              <w:rPr>
                <w:sz w:val="18"/>
                <w:szCs w:val="18"/>
                <w:lang w:val="en-GB"/>
              </w:rPr>
              <w:t>(0.000)</w:t>
            </w:r>
          </w:p>
        </w:tc>
        <w:tc>
          <w:tcPr>
            <w:tcW w:w="1135" w:type="dxa"/>
            <w:tcBorders>
              <w:top w:val="nil"/>
              <w:left w:val="nil"/>
              <w:bottom w:val="nil"/>
              <w:right w:val="nil"/>
            </w:tcBorders>
          </w:tcPr>
          <w:p w14:paraId="3F32CE63" w14:textId="77777777" w:rsidR="005F7D68" w:rsidRDefault="005F7D68" w:rsidP="005F7D68">
            <w:pPr>
              <w:jc w:val="center"/>
              <w:rPr>
                <w:sz w:val="18"/>
                <w:szCs w:val="18"/>
                <w:lang w:val="en-GB"/>
              </w:rPr>
            </w:pPr>
            <w:r>
              <w:rPr>
                <w:sz w:val="18"/>
                <w:szCs w:val="18"/>
                <w:lang w:val="en-GB"/>
              </w:rPr>
              <w:t>YES</w:t>
            </w:r>
          </w:p>
          <w:p w14:paraId="0723508E" w14:textId="1B24820F" w:rsidR="005F7D68" w:rsidRPr="00E01316" w:rsidRDefault="005F7D68" w:rsidP="005F7D68">
            <w:pPr>
              <w:jc w:val="center"/>
              <w:rPr>
                <w:sz w:val="18"/>
                <w:szCs w:val="18"/>
                <w:lang w:val="en-GB"/>
              </w:rPr>
            </w:pPr>
            <w:r>
              <w:rPr>
                <w:sz w:val="18"/>
                <w:szCs w:val="18"/>
                <w:lang w:val="en-GB"/>
              </w:rPr>
              <w:t>(0.000)</w:t>
            </w:r>
          </w:p>
        </w:tc>
        <w:tc>
          <w:tcPr>
            <w:tcW w:w="1088" w:type="dxa"/>
            <w:tcBorders>
              <w:top w:val="nil"/>
              <w:left w:val="nil"/>
              <w:bottom w:val="nil"/>
              <w:right w:val="nil"/>
            </w:tcBorders>
          </w:tcPr>
          <w:p w14:paraId="6D3C0315" w14:textId="77777777" w:rsidR="005F7D68" w:rsidRDefault="005F7D68" w:rsidP="005F7D68">
            <w:pPr>
              <w:jc w:val="center"/>
              <w:rPr>
                <w:sz w:val="18"/>
                <w:szCs w:val="18"/>
                <w:lang w:val="en-GB"/>
              </w:rPr>
            </w:pPr>
            <w:r>
              <w:rPr>
                <w:sz w:val="18"/>
                <w:szCs w:val="18"/>
                <w:lang w:val="en-GB"/>
              </w:rPr>
              <w:t>YES</w:t>
            </w:r>
          </w:p>
          <w:p w14:paraId="70D61B05" w14:textId="324F1E7D" w:rsidR="005F7D68" w:rsidRPr="00E01316" w:rsidRDefault="005F7D68" w:rsidP="005F7D68">
            <w:pPr>
              <w:jc w:val="center"/>
              <w:rPr>
                <w:sz w:val="18"/>
                <w:szCs w:val="18"/>
                <w:lang w:val="en-GB"/>
              </w:rPr>
            </w:pPr>
            <w:r>
              <w:rPr>
                <w:sz w:val="18"/>
                <w:szCs w:val="18"/>
                <w:lang w:val="en-GB"/>
              </w:rPr>
              <w:t>(0.000)</w:t>
            </w:r>
          </w:p>
        </w:tc>
        <w:tc>
          <w:tcPr>
            <w:tcW w:w="1129" w:type="dxa"/>
            <w:tcBorders>
              <w:top w:val="nil"/>
              <w:left w:val="nil"/>
              <w:bottom w:val="nil"/>
              <w:right w:val="nil"/>
            </w:tcBorders>
          </w:tcPr>
          <w:p w14:paraId="6C7FCB22" w14:textId="77777777" w:rsidR="005F7D68" w:rsidRDefault="005F7D68" w:rsidP="005F7D68">
            <w:pPr>
              <w:jc w:val="center"/>
              <w:rPr>
                <w:sz w:val="18"/>
                <w:szCs w:val="18"/>
                <w:lang w:val="en-GB"/>
              </w:rPr>
            </w:pPr>
            <w:r>
              <w:rPr>
                <w:sz w:val="18"/>
                <w:szCs w:val="18"/>
                <w:lang w:val="en-GB"/>
              </w:rPr>
              <w:t>YES</w:t>
            </w:r>
          </w:p>
          <w:p w14:paraId="60D77AF0" w14:textId="7DA0C56B" w:rsidR="005F7D68" w:rsidRPr="00E01316" w:rsidRDefault="005F7D68" w:rsidP="005F7D68">
            <w:pPr>
              <w:jc w:val="center"/>
              <w:rPr>
                <w:sz w:val="18"/>
                <w:szCs w:val="18"/>
                <w:lang w:val="en-GB"/>
              </w:rPr>
            </w:pPr>
            <w:r>
              <w:rPr>
                <w:sz w:val="18"/>
                <w:szCs w:val="18"/>
                <w:lang w:val="en-GB"/>
              </w:rPr>
              <w:t>(0.000)</w:t>
            </w:r>
          </w:p>
        </w:tc>
      </w:tr>
      <w:tr w:rsidR="005F7D68" w:rsidRPr="00E01316" w14:paraId="143C2A25" w14:textId="77777777" w:rsidTr="006A33C0">
        <w:tc>
          <w:tcPr>
            <w:tcW w:w="2263" w:type="dxa"/>
            <w:tcBorders>
              <w:top w:val="nil"/>
              <w:left w:val="nil"/>
              <w:bottom w:val="nil"/>
              <w:right w:val="nil"/>
            </w:tcBorders>
          </w:tcPr>
          <w:p w14:paraId="236A80B2" w14:textId="77777777" w:rsidR="005F7D68" w:rsidRDefault="005F7D68" w:rsidP="005F7D68">
            <w:pPr>
              <w:jc w:val="right"/>
              <w:rPr>
                <w:sz w:val="18"/>
                <w:szCs w:val="18"/>
                <w:lang w:val="en-GB"/>
              </w:rPr>
            </w:pPr>
            <w:r>
              <w:rPr>
                <w:sz w:val="18"/>
                <w:szCs w:val="18"/>
                <w:lang w:val="en-GB"/>
              </w:rPr>
              <w:t>Resolution-Fixed Effects</w:t>
            </w:r>
          </w:p>
          <w:p w14:paraId="0366F0C4" w14:textId="27478A29" w:rsidR="005F7D68" w:rsidRPr="00E01316" w:rsidRDefault="005F7D68" w:rsidP="005F7D68">
            <w:pPr>
              <w:jc w:val="right"/>
              <w:rPr>
                <w:sz w:val="18"/>
                <w:szCs w:val="18"/>
                <w:lang w:val="en-GB"/>
              </w:rPr>
            </w:pPr>
            <w:r>
              <w:rPr>
                <w:sz w:val="18"/>
                <w:szCs w:val="18"/>
                <w:lang w:val="en-GB"/>
              </w:rPr>
              <w:t>(p-value)</w:t>
            </w:r>
          </w:p>
        </w:tc>
        <w:tc>
          <w:tcPr>
            <w:tcW w:w="1134" w:type="dxa"/>
            <w:tcBorders>
              <w:top w:val="nil"/>
              <w:left w:val="nil"/>
              <w:bottom w:val="nil"/>
              <w:right w:val="nil"/>
            </w:tcBorders>
          </w:tcPr>
          <w:p w14:paraId="1F2F3A4A" w14:textId="5F01D2CA" w:rsidR="005F7D68" w:rsidRPr="00E01316" w:rsidRDefault="005F7D68" w:rsidP="005F7D68">
            <w:pPr>
              <w:jc w:val="center"/>
              <w:rPr>
                <w:sz w:val="18"/>
                <w:szCs w:val="18"/>
                <w:lang w:val="en-GB"/>
              </w:rPr>
            </w:pPr>
            <w:r>
              <w:rPr>
                <w:sz w:val="18"/>
                <w:szCs w:val="18"/>
                <w:lang w:val="en-GB"/>
              </w:rPr>
              <w:t>NO</w:t>
            </w:r>
          </w:p>
        </w:tc>
        <w:tc>
          <w:tcPr>
            <w:tcW w:w="1276" w:type="dxa"/>
            <w:tcBorders>
              <w:top w:val="nil"/>
              <w:left w:val="nil"/>
              <w:bottom w:val="nil"/>
              <w:right w:val="nil"/>
            </w:tcBorders>
          </w:tcPr>
          <w:p w14:paraId="525B049B" w14:textId="77777777" w:rsidR="005F7D68" w:rsidRDefault="005F7D68" w:rsidP="005F7D68">
            <w:pPr>
              <w:jc w:val="center"/>
              <w:rPr>
                <w:sz w:val="18"/>
                <w:szCs w:val="18"/>
                <w:lang w:val="en-GB"/>
              </w:rPr>
            </w:pPr>
            <w:r>
              <w:rPr>
                <w:sz w:val="18"/>
                <w:szCs w:val="18"/>
                <w:lang w:val="en-GB"/>
              </w:rPr>
              <w:t>YES</w:t>
            </w:r>
          </w:p>
          <w:p w14:paraId="71DBED5D" w14:textId="4A3523AF" w:rsidR="005F7D68" w:rsidRPr="00E01316" w:rsidRDefault="005F7D68" w:rsidP="005F7D68">
            <w:pPr>
              <w:jc w:val="center"/>
              <w:rPr>
                <w:sz w:val="18"/>
                <w:szCs w:val="18"/>
                <w:lang w:val="en-GB"/>
              </w:rPr>
            </w:pPr>
            <w:r>
              <w:rPr>
                <w:sz w:val="18"/>
                <w:szCs w:val="18"/>
                <w:lang w:val="en-GB"/>
              </w:rPr>
              <w:t>(0.000)</w:t>
            </w:r>
          </w:p>
        </w:tc>
        <w:tc>
          <w:tcPr>
            <w:tcW w:w="991" w:type="dxa"/>
            <w:tcBorders>
              <w:top w:val="nil"/>
              <w:left w:val="nil"/>
              <w:bottom w:val="nil"/>
              <w:right w:val="nil"/>
            </w:tcBorders>
          </w:tcPr>
          <w:p w14:paraId="1D2E09BD" w14:textId="58991E92" w:rsidR="005F7D68" w:rsidRPr="00E01316" w:rsidRDefault="005F7D68" w:rsidP="005F7D68">
            <w:pPr>
              <w:jc w:val="center"/>
              <w:rPr>
                <w:sz w:val="18"/>
                <w:szCs w:val="18"/>
                <w:lang w:val="en-GB"/>
              </w:rPr>
            </w:pPr>
            <w:r>
              <w:rPr>
                <w:sz w:val="18"/>
                <w:szCs w:val="18"/>
                <w:lang w:val="en-GB"/>
              </w:rPr>
              <w:t>NO</w:t>
            </w:r>
          </w:p>
        </w:tc>
        <w:tc>
          <w:tcPr>
            <w:tcW w:w="1135" w:type="dxa"/>
            <w:tcBorders>
              <w:top w:val="nil"/>
              <w:left w:val="nil"/>
              <w:bottom w:val="nil"/>
              <w:right w:val="nil"/>
            </w:tcBorders>
          </w:tcPr>
          <w:p w14:paraId="0536BC9B" w14:textId="77777777" w:rsidR="005F7D68" w:rsidRDefault="005F7D68" w:rsidP="005F7D68">
            <w:pPr>
              <w:jc w:val="center"/>
              <w:rPr>
                <w:sz w:val="18"/>
                <w:szCs w:val="18"/>
                <w:lang w:val="en-GB"/>
              </w:rPr>
            </w:pPr>
            <w:r>
              <w:rPr>
                <w:sz w:val="18"/>
                <w:szCs w:val="18"/>
                <w:lang w:val="en-GB"/>
              </w:rPr>
              <w:t>YES</w:t>
            </w:r>
          </w:p>
          <w:p w14:paraId="0A38625E" w14:textId="1FEE3990" w:rsidR="005F7D68" w:rsidRPr="00E01316" w:rsidRDefault="005F7D68" w:rsidP="005F7D68">
            <w:pPr>
              <w:jc w:val="center"/>
              <w:rPr>
                <w:sz w:val="18"/>
                <w:szCs w:val="18"/>
                <w:lang w:val="en-GB"/>
              </w:rPr>
            </w:pPr>
            <w:r>
              <w:rPr>
                <w:sz w:val="18"/>
                <w:szCs w:val="18"/>
                <w:lang w:val="en-GB"/>
              </w:rPr>
              <w:t>(0.000)</w:t>
            </w:r>
          </w:p>
        </w:tc>
        <w:tc>
          <w:tcPr>
            <w:tcW w:w="1088" w:type="dxa"/>
            <w:tcBorders>
              <w:top w:val="nil"/>
              <w:left w:val="nil"/>
              <w:bottom w:val="nil"/>
              <w:right w:val="nil"/>
            </w:tcBorders>
          </w:tcPr>
          <w:p w14:paraId="3022674C" w14:textId="11230615" w:rsidR="005F7D68" w:rsidRPr="00E01316" w:rsidRDefault="005F7D68" w:rsidP="005F7D68">
            <w:pPr>
              <w:jc w:val="center"/>
              <w:rPr>
                <w:sz w:val="18"/>
                <w:szCs w:val="18"/>
                <w:lang w:val="en-GB"/>
              </w:rPr>
            </w:pPr>
            <w:r>
              <w:rPr>
                <w:sz w:val="18"/>
                <w:szCs w:val="18"/>
                <w:lang w:val="en-GB"/>
              </w:rPr>
              <w:t>NO</w:t>
            </w:r>
          </w:p>
        </w:tc>
        <w:tc>
          <w:tcPr>
            <w:tcW w:w="1129" w:type="dxa"/>
            <w:tcBorders>
              <w:top w:val="nil"/>
              <w:left w:val="nil"/>
              <w:bottom w:val="nil"/>
              <w:right w:val="nil"/>
            </w:tcBorders>
          </w:tcPr>
          <w:p w14:paraId="07AD1306" w14:textId="77777777" w:rsidR="005F7D68" w:rsidRDefault="005F7D68" w:rsidP="005F7D68">
            <w:pPr>
              <w:jc w:val="center"/>
              <w:rPr>
                <w:sz w:val="18"/>
                <w:szCs w:val="18"/>
                <w:lang w:val="en-GB"/>
              </w:rPr>
            </w:pPr>
            <w:r>
              <w:rPr>
                <w:sz w:val="18"/>
                <w:szCs w:val="18"/>
                <w:lang w:val="en-GB"/>
              </w:rPr>
              <w:t>YES</w:t>
            </w:r>
          </w:p>
          <w:p w14:paraId="32E19C76" w14:textId="15BF73EC" w:rsidR="005F7D68" w:rsidRPr="00E01316" w:rsidRDefault="005F7D68" w:rsidP="005F7D68">
            <w:pPr>
              <w:jc w:val="center"/>
              <w:rPr>
                <w:sz w:val="18"/>
                <w:szCs w:val="18"/>
                <w:lang w:val="en-GB"/>
              </w:rPr>
            </w:pPr>
            <w:r>
              <w:rPr>
                <w:sz w:val="18"/>
                <w:szCs w:val="18"/>
                <w:lang w:val="en-GB"/>
              </w:rPr>
              <w:t>(0.000)</w:t>
            </w:r>
          </w:p>
        </w:tc>
      </w:tr>
      <w:tr w:rsidR="005F7D68" w:rsidRPr="00E01316" w14:paraId="3827BB9C" w14:textId="77777777" w:rsidTr="006A33C0">
        <w:tc>
          <w:tcPr>
            <w:tcW w:w="2263" w:type="dxa"/>
            <w:tcBorders>
              <w:top w:val="nil"/>
              <w:left w:val="nil"/>
              <w:bottom w:val="nil"/>
              <w:right w:val="nil"/>
            </w:tcBorders>
          </w:tcPr>
          <w:p w14:paraId="5FB18DF9" w14:textId="77777777" w:rsidR="005F7D68" w:rsidRPr="00E01316" w:rsidRDefault="005F7D68" w:rsidP="005F7D68">
            <w:pPr>
              <w:jc w:val="right"/>
              <w:rPr>
                <w:sz w:val="18"/>
                <w:szCs w:val="18"/>
                <w:lang w:val="en-GB"/>
              </w:rPr>
            </w:pPr>
            <w:r w:rsidRPr="00E01316">
              <w:rPr>
                <w:sz w:val="18"/>
                <w:szCs w:val="18"/>
                <w:lang w:val="en-GB"/>
              </w:rPr>
              <w:t>Country-Year Fixed Effects</w:t>
            </w:r>
          </w:p>
          <w:p w14:paraId="39A0623F" w14:textId="77777777" w:rsidR="005F7D68" w:rsidRPr="00E01316" w:rsidRDefault="005F7D68" w:rsidP="005F7D68">
            <w:pPr>
              <w:jc w:val="right"/>
              <w:rPr>
                <w:sz w:val="18"/>
                <w:szCs w:val="18"/>
                <w:lang w:val="en-GB"/>
              </w:rPr>
            </w:pPr>
            <w:r w:rsidRPr="00E01316">
              <w:rPr>
                <w:sz w:val="18"/>
                <w:szCs w:val="18"/>
                <w:lang w:val="en-GB"/>
              </w:rPr>
              <w:t>(p-value)</w:t>
            </w:r>
          </w:p>
        </w:tc>
        <w:tc>
          <w:tcPr>
            <w:tcW w:w="1134" w:type="dxa"/>
            <w:tcBorders>
              <w:top w:val="nil"/>
              <w:left w:val="nil"/>
              <w:bottom w:val="nil"/>
              <w:right w:val="nil"/>
            </w:tcBorders>
          </w:tcPr>
          <w:p w14:paraId="58E5EE17" w14:textId="77777777" w:rsidR="005F7D68" w:rsidRPr="00E01316" w:rsidRDefault="005F7D68" w:rsidP="005F7D68">
            <w:pPr>
              <w:jc w:val="center"/>
              <w:rPr>
                <w:sz w:val="18"/>
                <w:szCs w:val="18"/>
                <w:lang w:val="en-GB"/>
              </w:rPr>
            </w:pPr>
            <w:r w:rsidRPr="00E01316">
              <w:rPr>
                <w:sz w:val="18"/>
                <w:szCs w:val="18"/>
                <w:lang w:val="en-GB"/>
              </w:rPr>
              <w:t>NO</w:t>
            </w:r>
          </w:p>
        </w:tc>
        <w:tc>
          <w:tcPr>
            <w:tcW w:w="1276" w:type="dxa"/>
            <w:tcBorders>
              <w:top w:val="nil"/>
              <w:left w:val="nil"/>
              <w:bottom w:val="nil"/>
              <w:right w:val="nil"/>
            </w:tcBorders>
          </w:tcPr>
          <w:p w14:paraId="07EBD515" w14:textId="77777777" w:rsidR="005F7D68" w:rsidRPr="00E01316" w:rsidRDefault="005F7D68" w:rsidP="005F7D68">
            <w:pPr>
              <w:jc w:val="center"/>
              <w:rPr>
                <w:sz w:val="18"/>
                <w:szCs w:val="18"/>
                <w:lang w:val="en-GB"/>
              </w:rPr>
            </w:pPr>
            <w:r w:rsidRPr="00E01316">
              <w:rPr>
                <w:sz w:val="18"/>
                <w:szCs w:val="18"/>
                <w:lang w:val="en-GB"/>
              </w:rPr>
              <w:t>NO</w:t>
            </w:r>
          </w:p>
        </w:tc>
        <w:tc>
          <w:tcPr>
            <w:tcW w:w="991" w:type="dxa"/>
            <w:tcBorders>
              <w:top w:val="nil"/>
              <w:left w:val="nil"/>
              <w:bottom w:val="nil"/>
              <w:right w:val="nil"/>
            </w:tcBorders>
          </w:tcPr>
          <w:p w14:paraId="7D5A293E" w14:textId="77777777" w:rsidR="005F7D68" w:rsidRPr="00E01316" w:rsidRDefault="005F7D68" w:rsidP="005F7D68">
            <w:pPr>
              <w:jc w:val="center"/>
              <w:rPr>
                <w:sz w:val="18"/>
                <w:szCs w:val="18"/>
                <w:lang w:val="en-GB"/>
              </w:rPr>
            </w:pPr>
            <w:r w:rsidRPr="00E01316">
              <w:rPr>
                <w:sz w:val="18"/>
                <w:szCs w:val="18"/>
                <w:lang w:val="en-GB"/>
              </w:rPr>
              <w:t>NO</w:t>
            </w:r>
          </w:p>
        </w:tc>
        <w:tc>
          <w:tcPr>
            <w:tcW w:w="1135" w:type="dxa"/>
            <w:tcBorders>
              <w:top w:val="nil"/>
              <w:left w:val="nil"/>
              <w:bottom w:val="nil"/>
              <w:right w:val="nil"/>
            </w:tcBorders>
          </w:tcPr>
          <w:p w14:paraId="06ED2C95" w14:textId="77777777" w:rsidR="005F7D68" w:rsidRPr="00E01316" w:rsidRDefault="005F7D68" w:rsidP="005F7D68">
            <w:pPr>
              <w:jc w:val="center"/>
              <w:rPr>
                <w:sz w:val="18"/>
                <w:szCs w:val="18"/>
                <w:lang w:val="en-GB"/>
              </w:rPr>
            </w:pPr>
            <w:r w:rsidRPr="00E01316">
              <w:rPr>
                <w:sz w:val="18"/>
                <w:szCs w:val="18"/>
                <w:lang w:val="en-GB"/>
              </w:rPr>
              <w:t>NO</w:t>
            </w:r>
          </w:p>
        </w:tc>
        <w:tc>
          <w:tcPr>
            <w:tcW w:w="1088" w:type="dxa"/>
            <w:tcBorders>
              <w:top w:val="nil"/>
              <w:left w:val="nil"/>
              <w:bottom w:val="nil"/>
              <w:right w:val="nil"/>
            </w:tcBorders>
          </w:tcPr>
          <w:p w14:paraId="39DAEA03" w14:textId="77777777" w:rsidR="005F7D68" w:rsidRDefault="005F7D68" w:rsidP="005F7D68">
            <w:pPr>
              <w:jc w:val="center"/>
              <w:rPr>
                <w:sz w:val="18"/>
                <w:szCs w:val="18"/>
                <w:lang w:val="en-GB"/>
              </w:rPr>
            </w:pPr>
            <w:r>
              <w:rPr>
                <w:sz w:val="18"/>
                <w:szCs w:val="18"/>
                <w:lang w:val="en-GB"/>
              </w:rPr>
              <w:t>YES</w:t>
            </w:r>
          </w:p>
          <w:p w14:paraId="53D409BF" w14:textId="1E5039CD" w:rsidR="005F7D68" w:rsidRPr="00E01316" w:rsidRDefault="005F7D68" w:rsidP="005F7D68">
            <w:pPr>
              <w:jc w:val="center"/>
              <w:rPr>
                <w:sz w:val="18"/>
                <w:szCs w:val="18"/>
                <w:lang w:val="en-GB"/>
              </w:rPr>
            </w:pPr>
            <w:r>
              <w:rPr>
                <w:sz w:val="18"/>
                <w:szCs w:val="18"/>
                <w:lang w:val="en-GB"/>
              </w:rPr>
              <w:t>(0.000)</w:t>
            </w:r>
          </w:p>
        </w:tc>
        <w:tc>
          <w:tcPr>
            <w:tcW w:w="1129" w:type="dxa"/>
            <w:tcBorders>
              <w:top w:val="nil"/>
              <w:left w:val="nil"/>
              <w:bottom w:val="nil"/>
              <w:right w:val="nil"/>
            </w:tcBorders>
          </w:tcPr>
          <w:p w14:paraId="532345B6" w14:textId="77777777" w:rsidR="005F7D68" w:rsidRDefault="005F7D68" w:rsidP="005F7D68">
            <w:pPr>
              <w:jc w:val="center"/>
              <w:rPr>
                <w:sz w:val="18"/>
                <w:szCs w:val="18"/>
                <w:lang w:val="en-GB"/>
              </w:rPr>
            </w:pPr>
            <w:r>
              <w:rPr>
                <w:sz w:val="18"/>
                <w:szCs w:val="18"/>
                <w:lang w:val="en-GB"/>
              </w:rPr>
              <w:t>YES</w:t>
            </w:r>
          </w:p>
          <w:p w14:paraId="0886D861" w14:textId="0B363D06" w:rsidR="005F7D68" w:rsidRPr="00E01316" w:rsidRDefault="005F7D68" w:rsidP="005F7D68">
            <w:pPr>
              <w:jc w:val="center"/>
              <w:rPr>
                <w:sz w:val="18"/>
                <w:szCs w:val="18"/>
                <w:lang w:val="en-GB"/>
              </w:rPr>
            </w:pPr>
            <w:r>
              <w:rPr>
                <w:sz w:val="18"/>
                <w:szCs w:val="18"/>
                <w:lang w:val="en-GB"/>
              </w:rPr>
              <w:t>(0.000)</w:t>
            </w:r>
          </w:p>
        </w:tc>
      </w:tr>
      <w:tr w:rsidR="00E01316" w:rsidRPr="00E01316" w14:paraId="5A0C3CB2" w14:textId="77777777" w:rsidTr="006A33C0">
        <w:tc>
          <w:tcPr>
            <w:tcW w:w="2263" w:type="dxa"/>
            <w:tcBorders>
              <w:top w:val="nil"/>
              <w:left w:val="nil"/>
              <w:bottom w:val="nil"/>
              <w:right w:val="nil"/>
            </w:tcBorders>
          </w:tcPr>
          <w:p w14:paraId="67551641" w14:textId="77777777" w:rsidR="00E01316" w:rsidRPr="00E01316" w:rsidRDefault="00E01316" w:rsidP="00E01316">
            <w:pPr>
              <w:jc w:val="right"/>
              <w:rPr>
                <w:sz w:val="18"/>
                <w:szCs w:val="18"/>
                <w:lang w:val="en-GB"/>
              </w:rPr>
            </w:pPr>
          </w:p>
        </w:tc>
        <w:tc>
          <w:tcPr>
            <w:tcW w:w="1134" w:type="dxa"/>
            <w:tcBorders>
              <w:top w:val="nil"/>
              <w:left w:val="nil"/>
              <w:bottom w:val="nil"/>
              <w:right w:val="nil"/>
            </w:tcBorders>
          </w:tcPr>
          <w:p w14:paraId="46439980" w14:textId="77777777" w:rsidR="00E01316" w:rsidRPr="00E01316" w:rsidRDefault="00E01316" w:rsidP="00E01316">
            <w:pPr>
              <w:jc w:val="center"/>
              <w:rPr>
                <w:sz w:val="18"/>
                <w:szCs w:val="18"/>
                <w:lang w:val="en-GB"/>
              </w:rPr>
            </w:pPr>
          </w:p>
        </w:tc>
        <w:tc>
          <w:tcPr>
            <w:tcW w:w="1276" w:type="dxa"/>
            <w:tcBorders>
              <w:top w:val="nil"/>
              <w:left w:val="nil"/>
              <w:bottom w:val="nil"/>
              <w:right w:val="nil"/>
            </w:tcBorders>
          </w:tcPr>
          <w:p w14:paraId="2A648DD5" w14:textId="77777777" w:rsidR="00E01316" w:rsidRPr="00E01316" w:rsidRDefault="00E01316" w:rsidP="00E01316">
            <w:pPr>
              <w:jc w:val="center"/>
              <w:rPr>
                <w:sz w:val="18"/>
                <w:szCs w:val="18"/>
                <w:lang w:val="en-GB"/>
              </w:rPr>
            </w:pPr>
          </w:p>
        </w:tc>
        <w:tc>
          <w:tcPr>
            <w:tcW w:w="991" w:type="dxa"/>
            <w:tcBorders>
              <w:top w:val="nil"/>
              <w:left w:val="nil"/>
              <w:bottom w:val="nil"/>
              <w:right w:val="nil"/>
            </w:tcBorders>
          </w:tcPr>
          <w:p w14:paraId="6EA1DF0C" w14:textId="77777777" w:rsidR="00E01316" w:rsidRPr="00E01316" w:rsidRDefault="00E01316" w:rsidP="00E01316">
            <w:pPr>
              <w:jc w:val="center"/>
              <w:rPr>
                <w:sz w:val="18"/>
                <w:szCs w:val="18"/>
                <w:lang w:val="en-GB"/>
              </w:rPr>
            </w:pPr>
          </w:p>
        </w:tc>
        <w:tc>
          <w:tcPr>
            <w:tcW w:w="1135" w:type="dxa"/>
            <w:tcBorders>
              <w:top w:val="nil"/>
              <w:left w:val="nil"/>
              <w:bottom w:val="nil"/>
              <w:right w:val="nil"/>
            </w:tcBorders>
          </w:tcPr>
          <w:p w14:paraId="52F6B1D0" w14:textId="77777777" w:rsidR="00E01316" w:rsidRPr="00E01316" w:rsidRDefault="00E01316" w:rsidP="00E01316">
            <w:pPr>
              <w:jc w:val="center"/>
              <w:rPr>
                <w:sz w:val="18"/>
                <w:szCs w:val="18"/>
                <w:lang w:val="en-GB"/>
              </w:rPr>
            </w:pPr>
          </w:p>
        </w:tc>
        <w:tc>
          <w:tcPr>
            <w:tcW w:w="1088" w:type="dxa"/>
            <w:tcBorders>
              <w:top w:val="nil"/>
              <w:left w:val="nil"/>
              <w:bottom w:val="nil"/>
              <w:right w:val="nil"/>
            </w:tcBorders>
          </w:tcPr>
          <w:p w14:paraId="5D106C7A" w14:textId="77777777" w:rsidR="00E01316" w:rsidRPr="00E01316" w:rsidRDefault="00E01316" w:rsidP="00E01316">
            <w:pPr>
              <w:jc w:val="center"/>
              <w:rPr>
                <w:sz w:val="18"/>
                <w:szCs w:val="18"/>
                <w:lang w:val="en-GB"/>
              </w:rPr>
            </w:pPr>
          </w:p>
        </w:tc>
        <w:tc>
          <w:tcPr>
            <w:tcW w:w="1129" w:type="dxa"/>
            <w:tcBorders>
              <w:top w:val="nil"/>
              <w:left w:val="nil"/>
              <w:bottom w:val="nil"/>
              <w:right w:val="nil"/>
            </w:tcBorders>
          </w:tcPr>
          <w:p w14:paraId="5A1E5E15" w14:textId="77777777" w:rsidR="00E01316" w:rsidRPr="00E01316" w:rsidRDefault="00E01316" w:rsidP="00E01316">
            <w:pPr>
              <w:jc w:val="center"/>
              <w:rPr>
                <w:sz w:val="18"/>
                <w:szCs w:val="18"/>
                <w:lang w:val="en-GB"/>
              </w:rPr>
            </w:pPr>
          </w:p>
        </w:tc>
      </w:tr>
      <w:tr w:rsidR="00E01316" w:rsidRPr="00E01316" w14:paraId="5E81DA5E" w14:textId="77777777" w:rsidTr="006A33C0">
        <w:tc>
          <w:tcPr>
            <w:tcW w:w="2263" w:type="dxa"/>
            <w:tcBorders>
              <w:top w:val="nil"/>
              <w:left w:val="nil"/>
              <w:bottom w:val="nil"/>
              <w:right w:val="nil"/>
            </w:tcBorders>
          </w:tcPr>
          <w:p w14:paraId="2281562D" w14:textId="77777777" w:rsidR="00E01316" w:rsidRPr="00E01316" w:rsidRDefault="00E01316" w:rsidP="00E01316">
            <w:pPr>
              <w:jc w:val="right"/>
              <w:rPr>
                <w:sz w:val="18"/>
                <w:szCs w:val="18"/>
                <w:lang w:val="en-GB"/>
              </w:rPr>
            </w:pPr>
            <w:r w:rsidRPr="00E01316">
              <w:rPr>
                <w:sz w:val="18"/>
                <w:szCs w:val="18"/>
                <w:lang w:val="en-GB"/>
              </w:rPr>
              <w:t># resolutions</w:t>
            </w:r>
          </w:p>
        </w:tc>
        <w:tc>
          <w:tcPr>
            <w:tcW w:w="1134" w:type="dxa"/>
            <w:tcBorders>
              <w:top w:val="nil"/>
              <w:left w:val="nil"/>
              <w:bottom w:val="nil"/>
              <w:right w:val="nil"/>
            </w:tcBorders>
          </w:tcPr>
          <w:p w14:paraId="56D3CA32" w14:textId="77777777" w:rsidR="00E01316" w:rsidRPr="00E01316" w:rsidRDefault="00E01316" w:rsidP="00E01316">
            <w:pPr>
              <w:jc w:val="center"/>
              <w:rPr>
                <w:sz w:val="18"/>
                <w:szCs w:val="18"/>
                <w:lang w:val="en-GB"/>
              </w:rPr>
            </w:pPr>
            <w:r w:rsidRPr="00E01316">
              <w:rPr>
                <w:sz w:val="18"/>
                <w:szCs w:val="18"/>
                <w:lang w:val="en-GB"/>
              </w:rPr>
              <w:t>75</w:t>
            </w:r>
          </w:p>
        </w:tc>
        <w:tc>
          <w:tcPr>
            <w:tcW w:w="1276" w:type="dxa"/>
            <w:tcBorders>
              <w:top w:val="nil"/>
              <w:left w:val="nil"/>
              <w:bottom w:val="nil"/>
              <w:right w:val="nil"/>
            </w:tcBorders>
          </w:tcPr>
          <w:p w14:paraId="1600D5CE" w14:textId="77777777" w:rsidR="00E01316" w:rsidRPr="00E01316" w:rsidRDefault="00E01316" w:rsidP="00E01316">
            <w:pPr>
              <w:jc w:val="center"/>
              <w:rPr>
                <w:sz w:val="18"/>
                <w:szCs w:val="18"/>
                <w:lang w:val="en-GB"/>
              </w:rPr>
            </w:pPr>
            <w:r w:rsidRPr="00E01316">
              <w:rPr>
                <w:sz w:val="18"/>
                <w:szCs w:val="18"/>
                <w:lang w:val="en-GB"/>
              </w:rPr>
              <w:t>75</w:t>
            </w:r>
          </w:p>
        </w:tc>
        <w:tc>
          <w:tcPr>
            <w:tcW w:w="991" w:type="dxa"/>
            <w:tcBorders>
              <w:top w:val="nil"/>
              <w:left w:val="nil"/>
              <w:bottom w:val="nil"/>
              <w:right w:val="nil"/>
            </w:tcBorders>
          </w:tcPr>
          <w:p w14:paraId="3916FA0E" w14:textId="77777777" w:rsidR="00E01316" w:rsidRPr="00E01316" w:rsidRDefault="00E01316" w:rsidP="00E01316">
            <w:pPr>
              <w:jc w:val="center"/>
              <w:rPr>
                <w:sz w:val="18"/>
                <w:szCs w:val="18"/>
                <w:lang w:val="en-GB"/>
              </w:rPr>
            </w:pPr>
            <w:r w:rsidRPr="00E01316">
              <w:rPr>
                <w:sz w:val="18"/>
                <w:szCs w:val="18"/>
                <w:lang w:val="en-GB"/>
              </w:rPr>
              <w:t>75</w:t>
            </w:r>
          </w:p>
        </w:tc>
        <w:tc>
          <w:tcPr>
            <w:tcW w:w="1135" w:type="dxa"/>
            <w:tcBorders>
              <w:top w:val="nil"/>
              <w:left w:val="nil"/>
              <w:bottom w:val="nil"/>
              <w:right w:val="nil"/>
            </w:tcBorders>
          </w:tcPr>
          <w:p w14:paraId="4183CA18" w14:textId="77777777" w:rsidR="00E01316" w:rsidRPr="00E01316" w:rsidRDefault="00E01316" w:rsidP="00E01316">
            <w:pPr>
              <w:jc w:val="center"/>
              <w:rPr>
                <w:sz w:val="18"/>
                <w:szCs w:val="18"/>
                <w:lang w:val="en-GB"/>
              </w:rPr>
            </w:pPr>
            <w:r w:rsidRPr="00E01316">
              <w:rPr>
                <w:sz w:val="18"/>
                <w:szCs w:val="18"/>
                <w:lang w:val="en-GB"/>
              </w:rPr>
              <w:t>75</w:t>
            </w:r>
          </w:p>
        </w:tc>
        <w:tc>
          <w:tcPr>
            <w:tcW w:w="1088" w:type="dxa"/>
            <w:tcBorders>
              <w:top w:val="nil"/>
              <w:left w:val="nil"/>
              <w:bottom w:val="nil"/>
              <w:right w:val="nil"/>
            </w:tcBorders>
          </w:tcPr>
          <w:p w14:paraId="77ECE0D8" w14:textId="77777777" w:rsidR="00E01316" w:rsidRPr="00E01316" w:rsidRDefault="00E01316" w:rsidP="00E01316">
            <w:pPr>
              <w:jc w:val="center"/>
              <w:rPr>
                <w:sz w:val="18"/>
                <w:szCs w:val="18"/>
                <w:lang w:val="en-GB"/>
              </w:rPr>
            </w:pPr>
            <w:r w:rsidRPr="00E01316">
              <w:rPr>
                <w:sz w:val="18"/>
                <w:szCs w:val="18"/>
                <w:lang w:val="en-GB"/>
              </w:rPr>
              <w:t>75</w:t>
            </w:r>
          </w:p>
        </w:tc>
        <w:tc>
          <w:tcPr>
            <w:tcW w:w="1129" w:type="dxa"/>
            <w:tcBorders>
              <w:top w:val="nil"/>
              <w:left w:val="nil"/>
              <w:bottom w:val="nil"/>
              <w:right w:val="nil"/>
            </w:tcBorders>
          </w:tcPr>
          <w:p w14:paraId="557AAE69" w14:textId="77777777" w:rsidR="00E01316" w:rsidRPr="00E01316" w:rsidRDefault="00E01316" w:rsidP="00E01316">
            <w:pPr>
              <w:jc w:val="center"/>
              <w:rPr>
                <w:sz w:val="18"/>
                <w:szCs w:val="18"/>
                <w:lang w:val="en-GB"/>
              </w:rPr>
            </w:pPr>
            <w:r w:rsidRPr="00E01316">
              <w:rPr>
                <w:sz w:val="18"/>
                <w:szCs w:val="18"/>
                <w:lang w:val="en-GB"/>
              </w:rPr>
              <w:t>75</w:t>
            </w:r>
          </w:p>
        </w:tc>
      </w:tr>
      <w:tr w:rsidR="00E01316" w:rsidRPr="00E01316" w14:paraId="0FD05809" w14:textId="77777777" w:rsidTr="006A33C0">
        <w:tc>
          <w:tcPr>
            <w:tcW w:w="2263" w:type="dxa"/>
            <w:tcBorders>
              <w:top w:val="nil"/>
              <w:left w:val="nil"/>
              <w:bottom w:val="nil"/>
              <w:right w:val="nil"/>
            </w:tcBorders>
          </w:tcPr>
          <w:p w14:paraId="36A33B64" w14:textId="77777777" w:rsidR="00E01316" w:rsidRPr="00E01316" w:rsidRDefault="00E01316" w:rsidP="00E01316">
            <w:pPr>
              <w:jc w:val="right"/>
              <w:rPr>
                <w:sz w:val="18"/>
                <w:szCs w:val="18"/>
                <w:lang w:val="en-GB"/>
              </w:rPr>
            </w:pPr>
            <w:r w:rsidRPr="00E01316">
              <w:rPr>
                <w:sz w:val="18"/>
                <w:szCs w:val="18"/>
                <w:lang w:val="en-GB"/>
              </w:rPr>
              <w:t># countries</w:t>
            </w:r>
          </w:p>
        </w:tc>
        <w:tc>
          <w:tcPr>
            <w:tcW w:w="1134" w:type="dxa"/>
            <w:tcBorders>
              <w:top w:val="nil"/>
              <w:left w:val="nil"/>
              <w:bottom w:val="nil"/>
              <w:right w:val="nil"/>
            </w:tcBorders>
          </w:tcPr>
          <w:p w14:paraId="2F2A2CBE" w14:textId="77777777" w:rsidR="00E01316" w:rsidRPr="00E01316" w:rsidRDefault="00E01316" w:rsidP="00E01316">
            <w:pPr>
              <w:jc w:val="center"/>
              <w:rPr>
                <w:sz w:val="18"/>
                <w:szCs w:val="18"/>
                <w:lang w:val="en-GB"/>
              </w:rPr>
            </w:pPr>
            <w:r w:rsidRPr="00E01316">
              <w:rPr>
                <w:sz w:val="18"/>
                <w:szCs w:val="18"/>
                <w:lang w:val="en-GB"/>
              </w:rPr>
              <w:t>218</w:t>
            </w:r>
          </w:p>
        </w:tc>
        <w:tc>
          <w:tcPr>
            <w:tcW w:w="1276" w:type="dxa"/>
            <w:tcBorders>
              <w:top w:val="nil"/>
              <w:left w:val="nil"/>
              <w:bottom w:val="nil"/>
              <w:right w:val="nil"/>
            </w:tcBorders>
          </w:tcPr>
          <w:p w14:paraId="00033E75" w14:textId="77777777" w:rsidR="00E01316" w:rsidRPr="00E01316" w:rsidRDefault="00E01316" w:rsidP="00E01316">
            <w:pPr>
              <w:jc w:val="center"/>
              <w:rPr>
                <w:sz w:val="18"/>
                <w:szCs w:val="18"/>
                <w:lang w:val="en-GB"/>
              </w:rPr>
            </w:pPr>
            <w:r w:rsidRPr="00E01316">
              <w:rPr>
                <w:sz w:val="18"/>
                <w:szCs w:val="18"/>
                <w:lang w:val="en-GB"/>
              </w:rPr>
              <w:t>218</w:t>
            </w:r>
          </w:p>
        </w:tc>
        <w:tc>
          <w:tcPr>
            <w:tcW w:w="991" w:type="dxa"/>
            <w:tcBorders>
              <w:top w:val="nil"/>
              <w:left w:val="nil"/>
              <w:bottom w:val="nil"/>
              <w:right w:val="nil"/>
            </w:tcBorders>
          </w:tcPr>
          <w:p w14:paraId="177FC248" w14:textId="77777777" w:rsidR="00E01316" w:rsidRPr="00E01316" w:rsidRDefault="00E01316" w:rsidP="00E01316">
            <w:pPr>
              <w:jc w:val="center"/>
              <w:rPr>
                <w:sz w:val="18"/>
                <w:szCs w:val="18"/>
                <w:lang w:val="en-GB"/>
              </w:rPr>
            </w:pPr>
            <w:r w:rsidRPr="00E01316">
              <w:rPr>
                <w:sz w:val="18"/>
                <w:szCs w:val="18"/>
                <w:lang w:val="en-GB"/>
              </w:rPr>
              <w:t>218</w:t>
            </w:r>
          </w:p>
        </w:tc>
        <w:tc>
          <w:tcPr>
            <w:tcW w:w="1135" w:type="dxa"/>
            <w:tcBorders>
              <w:top w:val="nil"/>
              <w:left w:val="nil"/>
              <w:bottom w:val="nil"/>
              <w:right w:val="nil"/>
            </w:tcBorders>
          </w:tcPr>
          <w:p w14:paraId="1B4D0B58" w14:textId="77777777" w:rsidR="00E01316" w:rsidRPr="00E01316" w:rsidRDefault="00E01316" w:rsidP="00E01316">
            <w:pPr>
              <w:jc w:val="center"/>
              <w:rPr>
                <w:sz w:val="18"/>
                <w:szCs w:val="18"/>
                <w:lang w:val="en-GB"/>
              </w:rPr>
            </w:pPr>
            <w:r w:rsidRPr="00E01316">
              <w:rPr>
                <w:sz w:val="18"/>
                <w:szCs w:val="18"/>
                <w:lang w:val="en-GB"/>
              </w:rPr>
              <w:t>218</w:t>
            </w:r>
          </w:p>
        </w:tc>
        <w:tc>
          <w:tcPr>
            <w:tcW w:w="1088" w:type="dxa"/>
            <w:tcBorders>
              <w:top w:val="nil"/>
              <w:left w:val="nil"/>
              <w:bottom w:val="nil"/>
              <w:right w:val="nil"/>
            </w:tcBorders>
          </w:tcPr>
          <w:p w14:paraId="75B8DF55" w14:textId="77777777" w:rsidR="00E01316" w:rsidRPr="00E01316" w:rsidRDefault="00E01316" w:rsidP="00E01316">
            <w:pPr>
              <w:jc w:val="center"/>
              <w:rPr>
                <w:sz w:val="18"/>
                <w:szCs w:val="18"/>
                <w:lang w:val="en-GB"/>
              </w:rPr>
            </w:pPr>
            <w:r w:rsidRPr="00E01316">
              <w:rPr>
                <w:sz w:val="18"/>
                <w:szCs w:val="18"/>
                <w:lang w:val="en-GB"/>
              </w:rPr>
              <w:t>218</w:t>
            </w:r>
          </w:p>
        </w:tc>
        <w:tc>
          <w:tcPr>
            <w:tcW w:w="1129" w:type="dxa"/>
            <w:tcBorders>
              <w:top w:val="nil"/>
              <w:left w:val="nil"/>
              <w:bottom w:val="nil"/>
              <w:right w:val="nil"/>
            </w:tcBorders>
          </w:tcPr>
          <w:p w14:paraId="505CB674" w14:textId="77777777" w:rsidR="00E01316" w:rsidRPr="00E01316" w:rsidRDefault="00E01316" w:rsidP="00E01316">
            <w:pPr>
              <w:jc w:val="center"/>
              <w:rPr>
                <w:sz w:val="18"/>
                <w:szCs w:val="18"/>
                <w:lang w:val="en-GB"/>
              </w:rPr>
            </w:pPr>
            <w:r w:rsidRPr="00E01316">
              <w:rPr>
                <w:sz w:val="18"/>
                <w:szCs w:val="18"/>
                <w:lang w:val="en-GB"/>
              </w:rPr>
              <w:t>218</w:t>
            </w:r>
          </w:p>
        </w:tc>
      </w:tr>
      <w:tr w:rsidR="00E01316" w:rsidRPr="00E01316" w14:paraId="5FD2CC89" w14:textId="77777777" w:rsidTr="006A33C0">
        <w:tc>
          <w:tcPr>
            <w:tcW w:w="2263" w:type="dxa"/>
            <w:tcBorders>
              <w:top w:val="nil"/>
              <w:left w:val="nil"/>
              <w:bottom w:val="single" w:sz="4" w:space="0" w:color="auto"/>
              <w:right w:val="nil"/>
            </w:tcBorders>
          </w:tcPr>
          <w:p w14:paraId="46CE0738" w14:textId="77777777" w:rsidR="00E01316" w:rsidRPr="00E01316" w:rsidRDefault="00E01316" w:rsidP="00E01316">
            <w:pPr>
              <w:jc w:val="right"/>
              <w:rPr>
                <w:sz w:val="18"/>
                <w:szCs w:val="18"/>
                <w:lang w:val="en-GB"/>
              </w:rPr>
            </w:pPr>
            <w:r w:rsidRPr="00E01316">
              <w:rPr>
                <w:sz w:val="18"/>
                <w:szCs w:val="18"/>
                <w:lang w:val="en-GB"/>
              </w:rPr>
              <w:t># paired observations</w:t>
            </w:r>
          </w:p>
        </w:tc>
        <w:tc>
          <w:tcPr>
            <w:tcW w:w="1134" w:type="dxa"/>
            <w:tcBorders>
              <w:top w:val="nil"/>
              <w:left w:val="nil"/>
              <w:bottom w:val="single" w:sz="4" w:space="0" w:color="auto"/>
              <w:right w:val="nil"/>
            </w:tcBorders>
          </w:tcPr>
          <w:p w14:paraId="68F7C0CA" w14:textId="77777777" w:rsidR="00E01316" w:rsidRPr="00E01316" w:rsidRDefault="00E01316" w:rsidP="00E01316">
            <w:pPr>
              <w:jc w:val="center"/>
              <w:rPr>
                <w:sz w:val="18"/>
                <w:szCs w:val="18"/>
                <w:lang w:val="en-GB"/>
              </w:rPr>
            </w:pPr>
            <w:r w:rsidRPr="00E01316">
              <w:rPr>
                <w:sz w:val="18"/>
                <w:szCs w:val="18"/>
                <w:lang w:val="en-GB"/>
              </w:rPr>
              <w:t>8,454</w:t>
            </w:r>
          </w:p>
        </w:tc>
        <w:tc>
          <w:tcPr>
            <w:tcW w:w="1276" w:type="dxa"/>
            <w:tcBorders>
              <w:top w:val="nil"/>
              <w:left w:val="nil"/>
              <w:bottom w:val="single" w:sz="4" w:space="0" w:color="auto"/>
              <w:right w:val="nil"/>
            </w:tcBorders>
          </w:tcPr>
          <w:p w14:paraId="03ABF03C" w14:textId="77777777" w:rsidR="00E01316" w:rsidRPr="00E01316" w:rsidRDefault="00E01316" w:rsidP="00E01316">
            <w:pPr>
              <w:jc w:val="center"/>
              <w:rPr>
                <w:sz w:val="18"/>
                <w:szCs w:val="18"/>
                <w:lang w:val="en-GB"/>
              </w:rPr>
            </w:pPr>
            <w:r w:rsidRPr="00E01316">
              <w:rPr>
                <w:sz w:val="18"/>
                <w:szCs w:val="18"/>
                <w:lang w:val="en-GB"/>
              </w:rPr>
              <w:t>8,494</w:t>
            </w:r>
          </w:p>
        </w:tc>
        <w:tc>
          <w:tcPr>
            <w:tcW w:w="991" w:type="dxa"/>
            <w:tcBorders>
              <w:top w:val="nil"/>
              <w:left w:val="nil"/>
              <w:bottom w:val="single" w:sz="4" w:space="0" w:color="auto"/>
              <w:right w:val="nil"/>
            </w:tcBorders>
          </w:tcPr>
          <w:p w14:paraId="762BE205" w14:textId="77777777" w:rsidR="00E01316" w:rsidRPr="00E01316" w:rsidRDefault="00E01316" w:rsidP="00E01316">
            <w:pPr>
              <w:jc w:val="center"/>
              <w:rPr>
                <w:sz w:val="18"/>
                <w:szCs w:val="18"/>
                <w:lang w:val="en-GB"/>
              </w:rPr>
            </w:pPr>
            <w:r w:rsidRPr="00E01316">
              <w:rPr>
                <w:sz w:val="18"/>
                <w:szCs w:val="18"/>
                <w:lang w:val="en-GB"/>
              </w:rPr>
              <w:t>8,454</w:t>
            </w:r>
          </w:p>
        </w:tc>
        <w:tc>
          <w:tcPr>
            <w:tcW w:w="1135" w:type="dxa"/>
            <w:tcBorders>
              <w:top w:val="nil"/>
              <w:left w:val="nil"/>
              <w:bottom w:val="single" w:sz="4" w:space="0" w:color="auto"/>
              <w:right w:val="nil"/>
            </w:tcBorders>
          </w:tcPr>
          <w:p w14:paraId="0C8ACAD0" w14:textId="77777777" w:rsidR="00E01316" w:rsidRPr="00E01316" w:rsidRDefault="00E01316" w:rsidP="00E01316">
            <w:pPr>
              <w:jc w:val="center"/>
              <w:rPr>
                <w:sz w:val="18"/>
                <w:szCs w:val="18"/>
                <w:lang w:val="en-GB"/>
              </w:rPr>
            </w:pPr>
            <w:r w:rsidRPr="00E01316">
              <w:rPr>
                <w:sz w:val="18"/>
                <w:szCs w:val="18"/>
                <w:lang w:val="en-GB"/>
              </w:rPr>
              <w:t>8,494</w:t>
            </w:r>
          </w:p>
        </w:tc>
        <w:tc>
          <w:tcPr>
            <w:tcW w:w="1088" w:type="dxa"/>
            <w:tcBorders>
              <w:top w:val="nil"/>
              <w:left w:val="nil"/>
              <w:bottom w:val="single" w:sz="4" w:space="0" w:color="auto"/>
              <w:right w:val="nil"/>
            </w:tcBorders>
          </w:tcPr>
          <w:p w14:paraId="43933DBE" w14:textId="77777777" w:rsidR="00E01316" w:rsidRPr="00E01316" w:rsidRDefault="00E01316" w:rsidP="00E01316">
            <w:pPr>
              <w:jc w:val="center"/>
              <w:rPr>
                <w:sz w:val="18"/>
                <w:szCs w:val="18"/>
                <w:lang w:val="en-GB"/>
              </w:rPr>
            </w:pPr>
            <w:r w:rsidRPr="00E01316">
              <w:rPr>
                <w:sz w:val="18"/>
                <w:szCs w:val="18"/>
                <w:lang w:val="en-GB"/>
              </w:rPr>
              <w:t>8,454</w:t>
            </w:r>
          </w:p>
        </w:tc>
        <w:tc>
          <w:tcPr>
            <w:tcW w:w="1129" w:type="dxa"/>
            <w:tcBorders>
              <w:top w:val="nil"/>
              <w:left w:val="nil"/>
              <w:bottom w:val="nil"/>
              <w:right w:val="nil"/>
            </w:tcBorders>
          </w:tcPr>
          <w:p w14:paraId="02B47400" w14:textId="77777777" w:rsidR="00E01316" w:rsidRPr="00E01316" w:rsidRDefault="00E01316" w:rsidP="00E01316">
            <w:pPr>
              <w:jc w:val="center"/>
              <w:rPr>
                <w:sz w:val="18"/>
                <w:szCs w:val="18"/>
                <w:lang w:val="en-GB"/>
              </w:rPr>
            </w:pPr>
            <w:r w:rsidRPr="00E01316">
              <w:rPr>
                <w:sz w:val="18"/>
                <w:szCs w:val="18"/>
                <w:lang w:val="en-GB"/>
              </w:rPr>
              <w:t>8,494</w:t>
            </w:r>
          </w:p>
        </w:tc>
      </w:tr>
      <w:tr w:rsidR="00E01316" w:rsidRPr="00E01316" w14:paraId="02658776" w14:textId="77777777" w:rsidTr="006A33C0">
        <w:tc>
          <w:tcPr>
            <w:tcW w:w="9016" w:type="dxa"/>
            <w:gridSpan w:val="7"/>
            <w:tcBorders>
              <w:top w:val="single" w:sz="4" w:space="0" w:color="auto"/>
              <w:left w:val="nil"/>
              <w:bottom w:val="double" w:sz="4" w:space="0" w:color="auto"/>
              <w:right w:val="nil"/>
            </w:tcBorders>
          </w:tcPr>
          <w:p w14:paraId="14B86E20" w14:textId="7FB31707" w:rsidR="00E01316" w:rsidRPr="00E01316" w:rsidRDefault="00E01316" w:rsidP="00E01316">
            <w:pPr>
              <w:jc w:val="both"/>
              <w:rPr>
                <w:sz w:val="18"/>
                <w:szCs w:val="18"/>
                <w:lang w:val="en-GB"/>
              </w:rPr>
            </w:pPr>
            <w:r>
              <w:rPr>
                <w:sz w:val="18"/>
                <w:szCs w:val="18"/>
                <w:lang w:val="en-GB"/>
              </w:rPr>
              <w:t>Notes:</w:t>
            </w:r>
            <w:r w:rsidR="006A33C0">
              <w:rPr>
                <w:sz w:val="18"/>
                <w:szCs w:val="18"/>
                <w:lang w:val="en-GB"/>
              </w:rPr>
              <w:t xml:space="preserve"> the table reports the effects of the similarity with violators governance norms on the compliance with international law using the full corpus of UN General Assembly resolutions for the period 1947-2022. Coefficient </w:t>
            </w:r>
            <w:r w:rsidR="00F97F52">
              <w:rPr>
                <w:sz w:val="18"/>
                <w:szCs w:val="18"/>
                <w:lang w:val="en-GB"/>
              </w:rPr>
              <w:t>estimates</w:t>
            </w:r>
            <w:r w:rsidR="006A33C0" w:rsidRPr="006A33C0">
              <w:rPr>
                <w:sz w:val="18"/>
                <w:szCs w:val="18"/>
                <w:lang w:val="en-GB"/>
              </w:rPr>
              <w:t xml:space="preserve"> are obtained from linear probability models (LPM) and high-dimensional fixed-effects estimators following Correia</w:t>
            </w:r>
            <w:r w:rsidR="006A33C0">
              <w:rPr>
                <w:sz w:val="18"/>
                <w:szCs w:val="18"/>
                <w:lang w:val="en-GB"/>
              </w:rPr>
              <w:t xml:space="preserve"> et. al.</w:t>
            </w:r>
            <w:r w:rsidR="006A33C0" w:rsidRPr="006A33C0">
              <w:rPr>
                <w:sz w:val="18"/>
                <w:szCs w:val="18"/>
                <w:lang w:val="en-GB"/>
              </w:rPr>
              <w:t xml:space="preserve"> (2016). The LPM expresses the probability of voting in favor of the UN resolution as a linear function of governance distance and controls. The high-dimensional estimator absorbs multiple sets of fixed effects (country, year, and resolution) simultaneously to remove unobserved heterogeneity. </w:t>
            </w:r>
            <w:r w:rsidR="006A33C0">
              <w:rPr>
                <w:sz w:val="18"/>
                <w:szCs w:val="18"/>
                <w:lang w:val="en-GB"/>
              </w:rPr>
              <w:t>S</w:t>
            </w:r>
            <w:r w:rsidR="006A33C0" w:rsidRPr="006A33C0">
              <w:rPr>
                <w:sz w:val="18"/>
                <w:szCs w:val="18"/>
                <w:lang w:val="en-GB"/>
              </w:rPr>
              <w:t>tandard errors are clustered at the country level to account for serial correlation within countries over time</w:t>
            </w:r>
            <w:r w:rsidR="006A33C0">
              <w:rPr>
                <w:sz w:val="18"/>
                <w:szCs w:val="18"/>
                <w:lang w:val="en-GB"/>
              </w:rPr>
              <w:t>, and are reported in the parentheses.</w:t>
            </w:r>
            <w:r w:rsidR="006A33C0" w:rsidRPr="006A33C0">
              <w:rPr>
                <w:sz w:val="18"/>
                <w:szCs w:val="18"/>
                <w:lang w:val="en-GB"/>
              </w:rPr>
              <w:t xml:space="preserve"> Statistical significance is denoted by *** p &lt; 0.01, ** p &lt; 0.05, * p &lt; 0.10.</w:t>
            </w:r>
          </w:p>
        </w:tc>
      </w:tr>
    </w:tbl>
    <w:p w14:paraId="46323827" w14:textId="1FF3B33D" w:rsidR="00E01316" w:rsidRDefault="00E01316" w:rsidP="00E01316">
      <w:pPr>
        <w:spacing w:after="0" w:line="240" w:lineRule="auto"/>
        <w:jc w:val="both"/>
        <w:rPr>
          <w:sz w:val="24"/>
          <w:szCs w:val="24"/>
          <w:lang w:val="en-GB"/>
        </w:rPr>
      </w:pPr>
    </w:p>
    <w:p w14:paraId="632FFB08" w14:textId="26FA47D1" w:rsidR="00E01316" w:rsidRPr="00151305" w:rsidRDefault="00674EEA" w:rsidP="00151305">
      <w:pPr>
        <w:pStyle w:val="Naslov2"/>
        <w:ind w:firstLine="360"/>
        <w:rPr>
          <w:lang w:val="en-GB"/>
        </w:rPr>
      </w:pPr>
      <w:r w:rsidRPr="00151305">
        <w:rPr>
          <w:lang w:val="en-GB"/>
        </w:rPr>
        <w:tab/>
      </w:r>
      <w:bookmarkStart w:id="8" w:name="_Toc212314892"/>
      <w:r w:rsidR="00563C09" w:rsidRPr="00151305">
        <w:rPr>
          <w:lang w:val="en-GB"/>
        </w:rPr>
        <w:t>4</w:t>
      </w:r>
      <w:r w:rsidR="00372793" w:rsidRPr="00151305">
        <w:rPr>
          <w:lang w:val="en-GB"/>
        </w:rPr>
        <w:t>.2</w:t>
      </w:r>
      <w:r w:rsidR="00372793" w:rsidRPr="00151305">
        <w:rPr>
          <w:lang w:val="en-GB"/>
        </w:rPr>
        <w:tab/>
      </w:r>
      <w:r w:rsidRPr="00151305">
        <w:rPr>
          <w:lang w:val="en-GB"/>
        </w:rPr>
        <w:t>Probit and logit estimates</w:t>
      </w:r>
      <w:bookmarkEnd w:id="8"/>
    </w:p>
    <w:p w14:paraId="544A5817" w14:textId="43224AA3" w:rsidR="00674EEA" w:rsidRDefault="00674EEA" w:rsidP="00E01316">
      <w:pPr>
        <w:spacing w:after="0" w:line="240" w:lineRule="auto"/>
        <w:jc w:val="both"/>
        <w:rPr>
          <w:sz w:val="24"/>
          <w:szCs w:val="24"/>
          <w:lang w:val="en-GB"/>
        </w:rPr>
      </w:pPr>
    </w:p>
    <w:p w14:paraId="7ABE3248" w14:textId="61151006" w:rsidR="00674EEA" w:rsidRDefault="00674EEA" w:rsidP="00674EEA">
      <w:pPr>
        <w:spacing w:after="0" w:line="240" w:lineRule="auto"/>
        <w:jc w:val="both"/>
        <w:rPr>
          <w:sz w:val="24"/>
          <w:szCs w:val="24"/>
        </w:rPr>
      </w:pPr>
      <w:r w:rsidRPr="00674EEA">
        <w:rPr>
          <w:sz w:val="24"/>
          <w:szCs w:val="24"/>
        </w:rPr>
        <w:t xml:space="preserve">To </w:t>
      </w:r>
      <w:r>
        <w:rPr>
          <w:sz w:val="24"/>
          <w:szCs w:val="24"/>
          <w:lang w:val="en-GB"/>
        </w:rPr>
        <w:t>examine</w:t>
      </w:r>
      <w:r w:rsidRPr="00674EEA">
        <w:rPr>
          <w:sz w:val="24"/>
          <w:szCs w:val="24"/>
        </w:rPr>
        <w:t xml:space="preserve"> the robustness of the linear probability findings, we estimate</w:t>
      </w:r>
      <w:r w:rsidR="00372793">
        <w:rPr>
          <w:sz w:val="24"/>
          <w:szCs w:val="24"/>
          <w:lang w:val="en-GB"/>
        </w:rPr>
        <w:t xml:space="preserve"> a series of</w:t>
      </w:r>
      <w:r w:rsidRPr="00674EEA">
        <w:rPr>
          <w:sz w:val="24"/>
          <w:szCs w:val="24"/>
        </w:rPr>
        <w:t xml:space="preserve"> probit and logit models</w:t>
      </w:r>
      <w:r w:rsidR="00372793">
        <w:rPr>
          <w:sz w:val="24"/>
          <w:szCs w:val="24"/>
          <w:lang w:val="en-GB"/>
        </w:rPr>
        <w:t xml:space="preserve"> in Table 4</w:t>
      </w:r>
      <w:r w:rsidRPr="00674EEA">
        <w:rPr>
          <w:sz w:val="24"/>
          <w:szCs w:val="24"/>
        </w:rPr>
        <w:t xml:space="preserve">, which are more appropriate for binary dependent variables and more efficient in the presence of heteroskedasticity. Across specifications, the results remain qualitatively unchanged and quantitatively stronger. In the full model with unobserved heterogeneity, a </w:t>
      </w:r>
      <w:r>
        <w:rPr>
          <w:sz w:val="24"/>
          <w:szCs w:val="24"/>
          <w:lang w:val="en-GB"/>
        </w:rPr>
        <w:t>10 percent</w:t>
      </w:r>
      <w:r w:rsidRPr="00674EEA">
        <w:rPr>
          <w:sz w:val="24"/>
          <w:szCs w:val="24"/>
        </w:rPr>
        <w:t xml:space="preserve"> increase in the institutional distance between a member state and the violator increases the probability of voting in favor of the resolution </w:t>
      </w:r>
      <w:r>
        <w:rPr>
          <w:sz w:val="24"/>
          <w:szCs w:val="24"/>
          <w:lang w:val="en-GB"/>
        </w:rPr>
        <w:t>between</w:t>
      </w:r>
      <w:r w:rsidRPr="00674EEA">
        <w:rPr>
          <w:sz w:val="24"/>
          <w:szCs w:val="24"/>
        </w:rPr>
        <w:t xml:space="preserve"> 14.5 </w:t>
      </w:r>
      <w:r w:rsidRPr="00674EEA">
        <w:rPr>
          <w:sz w:val="24"/>
          <w:szCs w:val="24"/>
          <w:lang w:val="en-GB"/>
        </w:rPr>
        <w:t>and</w:t>
      </w:r>
      <w:r w:rsidRPr="00674EEA">
        <w:rPr>
          <w:sz w:val="24"/>
          <w:szCs w:val="24"/>
        </w:rPr>
        <w:t xml:space="preserve"> 17 percent </w:t>
      </w:r>
      <w:r>
        <w:rPr>
          <w:sz w:val="24"/>
          <w:szCs w:val="24"/>
          <w:lang w:val="en-GB"/>
        </w:rPr>
        <w:t>in the probit model specification</w:t>
      </w:r>
      <w:r w:rsidRPr="00674EEA">
        <w:rPr>
          <w:sz w:val="24"/>
          <w:szCs w:val="24"/>
        </w:rPr>
        <w:t xml:space="preserve"> (p</w:t>
      </w:r>
      <w:r>
        <w:rPr>
          <w:sz w:val="24"/>
          <w:szCs w:val="24"/>
          <w:lang w:val="en-GB"/>
        </w:rPr>
        <w:t>-value&lt;</w:t>
      </w:r>
      <w:r w:rsidRPr="00674EEA">
        <w:rPr>
          <w:sz w:val="24"/>
          <w:szCs w:val="24"/>
        </w:rPr>
        <w:t xml:space="preserve">0.001). When the assumption of normally distributed stochastic voting shocks is relaxed using the logit specification, the estimated probability gain rises further to </w:t>
      </w:r>
      <w:r w:rsidRPr="00674EEA">
        <w:rPr>
          <w:sz w:val="24"/>
          <w:szCs w:val="24"/>
          <w:lang w:val="en-GB"/>
        </w:rPr>
        <w:t>25-</w:t>
      </w:r>
      <w:r w:rsidRPr="00674EEA">
        <w:rPr>
          <w:sz w:val="24"/>
          <w:szCs w:val="24"/>
        </w:rPr>
        <w:t>29 percent, also significant at conventional levels.</w:t>
      </w:r>
    </w:p>
    <w:p w14:paraId="09186242" w14:textId="77777777" w:rsidR="00674EEA" w:rsidRPr="00674EEA" w:rsidRDefault="00674EEA" w:rsidP="00674EEA">
      <w:pPr>
        <w:spacing w:after="0" w:line="240" w:lineRule="auto"/>
        <w:jc w:val="both"/>
        <w:rPr>
          <w:sz w:val="24"/>
          <w:szCs w:val="24"/>
        </w:rPr>
      </w:pPr>
    </w:p>
    <w:p w14:paraId="6D9BEE96" w14:textId="3742814E" w:rsidR="00674EEA" w:rsidRPr="00674EEA" w:rsidRDefault="00674EEA" w:rsidP="00674EEA">
      <w:pPr>
        <w:spacing w:after="0" w:line="240" w:lineRule="auto"/>
        <w:jc w:val="both"/>
        <w:rPr>
          <w:sz w:val="24"/>
          <w:szCs w:val="24"/>
        </w:rPr>
      </w:pPr>
      <w:r w:rsidRPr="00674EEA">
        <w:rPr>
          <w:sz w:val="24"/>
          <w:szCs w:val="24"/>
        </w:rPr>
        <w:t xml:space="preserve">These estimates reveal a robust </w:t>
      </w:r>
      <w:r w:rsidRPr="00674EEA">
        <w:rPr>
          <w:i/>
          <w:iCs/>
          <w:sz w:val="24"/>
          <w:szCs w:val="24"/>
        </w:rPr>
        <w:t>bandwagon effect</w:t>
      </w:r>
      <w:r w:rsidRPr="00674EEA">
        <w:rPr>
          <w:sz w:val="24"/>
          <w:szCs w:val="24"/>
        </w:rPr>
        <w:t xml:space="preserve"> in compliance behavior. When the overall quality of governance improves globally, the propensity to comply with international law tends to amplify itself through strategic imitation</w:t>
      </w:r>
      <w:r>
        <w:rPr>
          <w:sz w:val="24"/>
          <w:szCs w:val="24"/>
          <w:lang w:val="en-GB"/>
        </w:rPr>
        <w:t>. A</w:t>
      </w:r>
      <w:r w:rsidRPr="00674EEA">
        <w:rPr>
          <w:sz w:val="24"/>
          <w:szCs w:val="24"/>
        </w:rPr>
        <w:t>s more countries join the “wagon” of compliance, adherence becomes the modal behavior. Conversely, when the average governance quality deteriorates across the international system, the likelihood of compliance falls, reflected in higher rates of abstention or opposition to resolutions condemning violations. Even though the magnitude of this negative spillover is smaller, it remains statistically significant. The interpretation aligns with theoretical expectations from dynamic equilibrium model</w:t>
      </w:r>
      <w:r>
        <w:rPr>
          <w:sz w:val="24"/>
          <w:szCs w:val="24"/>
          <w:lang w:val="en-GB"/>
        </w:rPr>
        <w:t>. D</w:t>
      </w:r>
      <w:r w:rsidRPr="00674EEA">
        <w:rPr>
          <w:sz w:val="24"/>
          <w:szCs w:val="24"/>
        </w:rPr>
        <w:t xml:space="preserve">uring periods of institutional deterioration, short-term payoffs from </w:t>
      </w:r>
      <w:r w:rsidRPr="00674EEA">
        <w:rPr>
          <w:sz w:val="24"/>
          <w:szCs w:val="24"/>
        </w:rPr>
        <w:lastRenderedPageBreak/>
        <w:t>opportunistic non-compliance dominate, particularly among developing countries, which exhibit higher rates of abstention in such contexts.</w:t>
      </w:r>
    </w:p>
    <w:p w14:paraId="48AFE124" w14:textId="77777777" w:rsidR="00674EEA" w:rsidRDefault="00674EEA" w:rsidP="00674EEA">
      <w:pPr>
        <w:spacing w:after="0" w:line="240" w:lineRule="auto"/>
        <w:jc w:val="both"/>
        <w:rPr>
          <w:sz w:val="24"/>
          <w:szCs w:val="24"/>
        </w:rPr>
      </w:pPr>
    </w:p>
    <w:p w14:paraId="121CE934" w14:textId="5BFB5E76" w:rsidR="00674EEA" w:rsidRDefault="00674EEA" w:rsidP="00674EEA">
      <w:pPr>
        <w:spacing w:after="0" w:line="240" w:lineRule="auto"/>
        <w:jc w:val="both"/>
        <w:rPr>
          <w:sz w:val="24"/>
          <w:szCs w:val="24"/>
          <w:lang w:val="en-GB"/>
        </w:rPr>
      </w:pPr>
      <w:r w:rsidRPr="00674EEA">
        <w:rPr>
          <w:sz w:val="24"/>
          <w:szCs w:val="24"/>
        </w:rPr>
        <w:t xml:space="preserve">Overall, the probit and logit estimates reinforce the baseline findings, demonstrating that institutional distance from the violator is a powerful and statistically significant determinant of compliance behavior. The marginal effects are stable across specifications, and the log-likelihood ratio tests indicate that model fit improves substantially when governance distance is included as an explanatory variable. The count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Pr="00674EEA">
        <w:rPr>
          <w:sz w:val="24"/>
          <w:szCs w:val="24"/>
        </w:rPr>
        <w:t>values between 0.67 and 0.69 confirm that the models capture a large share of the systematic variation in voting outcomes</w:t>
      </w:r>
      <w:r>
        <w:rPr>
          <w:sz w:val="24"/>
          <w:szCs w:val="24"/>
          <w:lang w:val="en-GB"/>
        </w:rPr>
        <w:t xml:space="preserve"> and successfully predicts around two thirds of the voting outcomes in the United Nations General Assembly.</w:t>
      </w:r>
    </w:p>
    <w:p w14:paraId="5563CACE" w14:textId="706816ED" w:rsidR="00674EEA" w:rsidRDefault="00674EEA" w:rsidP="00674EEA">
      <w:pPr>
        <w:spacing w:after="0" w:line="240" w:lineRule="auto"/>
        <w:jc w:val="both"/>
        <w:rPr>
          <w:sz w:val="24"/>
          <w:szCs w:val="24"/>
          <w:lang w:val="en-GB"/>
        </w:rPr>
      </w:pPr>
    </w:p>
    <w:p w14:paraId="3195892D" w14:textId="3491ABB1" w:rsidR="00674EEA" w:rsidRPr="00674EEA" w:rsidRDefault="00674EEA" w:rsidP="00674EEA">
      <w:pPr>
        <w:spacing w:after="0"/>
        <w:rPr>
          <w:sz w:val="22"/>
          <w:szCs w:val="18"/>
          <w:lang w:val="en-GB"/>
        </w:rPr>
      </w:pPr>
      <w:r w:rsidRPr="006A33C0">
        <w:rPr>
          <w:b/>
          <w:bCs/>
          <w:sz w:val="22"/>
          <w:szCs w:val="18"/>
          <w:lang w:val="en-GB"/>
        </w:rPr>
        <w:t xml:space="preserve">Table </w:t>
      </w:r>
      <w:r w:rsidR="00372793">
        <w:rPr>
          <w:b/>
          <w:bCs/>
          <w:sz w:val="22"/>
          <w:szCs w:val="18"/>
          <w:lang w:val="en-GB"/>
        </w:rPr>
        <w:t>4</w:t>
      </w:r>
      <w:r w:rsidRPr="00674EEA">
        <w:rPr>
          <w:sz w:val="22"/>
          <w:szCs w:val="18"/>
          <w:lang w:val="en-GB"/>
        </w:rPr>
        <w:t>: Probit and Logit Estimated Effects of Institutional Distance on Compliance with International Law, 1946-2023</w:t>
      </w:r>
    </w:p>
    <w:tbl>
      <w:tblPr>
        <w:tblStyle w:val="Tabelamrea"/>
        <w:tblW w:w="0" w:type="auto"/>
        <w:tblLook w:val="04A0" w:firstRow="1" w:lastRow="0" w:firstColumn="1" w:lastColumn="0" w:noHBand="0" w:noVBand="1"/>
      </w:tblPr>
      <w:tblGrid>
        <w:gridCol w:w="2107"/>
        <w:gridCol w:w="1571"/>
        <w:gridCol w:w="1802"/>
        <w:gridCol w:w="1571"/>
        <w:gridCol w:w="1775"/>
      </w:tblGrid>
      <w:tr w:rsidR="00674EEA" w:rsidRPr="00674EEA" w14:paraId="6D05A155" w14:textId="77777777" w:rsidTr="006A33C0">
        <w:trPr>
          <w:trHeight w:val="193"/>
        </w:trPr>
        <w:tc>
          <w:tcPr>
            <w:tcW w:w="2107" w:type="dxa"/>
            <w:tcBorders>
              <w:top w:val="double" w:sz="4" w:space="0" w:color="auto"/>
              <w:left w:val="nil"/>
              <w:bottom w:val="nil"/>
              <w:right w:val="nil"/>
            </w:tcBorders>
          </w:tcPr>
          <w:p w14:paraId="50BC3ED7" w14:textId="77777777" w:rsidR="00674EEA" w:rsidRPr="00674EEA" w:rsidRDefault="00674EEA" w:rsidP="007C7FCB">
            <w:pPr>
              <w:rPr>
                <w:sz w:val="18"/>
                <w:szCs w:val="18"/>
                <w:lang w:val="en-GB"/>
              </w:rPr>
            </w:pPr>
          </w:p>
        </w:tc>
        <w:tc>
          <w:tcPr>
            <w:tcW w:w="1571" w:type="dxa"/>
            <w:tcBorders>
              <w:top w:val="double" w:sz="4" w:space="0" w:color="auto"/>
              <w:left w:val="nil"/>
              <w:bottom w:val="single" w:sz="4" w:space="0" w:color="auto"/>
              <w:right w:val="nil"/>
            </w:tcBorders>
          </w:tcPr>
          <w:p w14:paraId="60C3A07C" w14:textId="77777777" w:rsidR="00674EEA" w:rsidRPr="00674EEA" w:rsidRDefault="00674EEA" w:rsidP="007C7FCB">
            <w:pPr>
              <w:jc w:val="center"/>
              <w:rPr>
                <w:sz w:val="18"/>
                <w:szCs w:val="18"/>
                <w:lang w:val="en-GB"/>
              </w:rPr>
            </w:pPr>
            <w:r w:rsidRPr="00674EEA">
              <w:rPr>
                <w:sz w:val="18"/>
                <w:szCs w:val="18"/>
                <w:lang w:val="en-GB"/>
              </w:rPr>
              <w:t>(1)</w:t>
            </w:r>
          </w:p>
        </w:tc>
        <w:tc>
          <w:tcPr>
            <w:tcW w:w="1802" w:type="dxa"/>
            <w:tcBorders>
              <w:top w:val="double" w:sz="4" w:space="0" w:color="auto"/>
              <w:left w:val="nil"/>
              <w:bottom w:val="single" w:sz="4" w:space="0" w:color="auto"/>
              <w:right w:val="nil"/>
            </w:tcBorders>
          </w:tcPr>
          <w:p w14:paraId="4BF0A1D8" w14:textId="77777777" w:rsidR="00674EEA" w:rsidRPr="00674EEA" w:rsidRDefault="00674EEA" w:rsidP="007C7FCB">
            <w:pPr>
              <w:jc w:val="center"/>
              <w:rPr>
                <w:sz w:val="18"/>
                <w:szCs w:val="18"/>
                <w:lang w:val="en-GB"/>
              </w:rPr>
            </w:pPr>
            <w:r w:rsidRPr="00674EEA">
              <w:rPr>
                <w:sz w:val="18"/>
                <w:szCs w:val="18"/>
                <w:lang w:val="en-GB"/>
              </w:rPr>
              <w:t>(2)</w:t>
            </w:r>
          </w:p>
        </w:tc>
        <w:tc>
          <w:tcPr>
            <w:tcW w:w="1571" w:type="dxa"/>
            <w:tcBorders>
              <w:top w:val="double" w:sz="4" w:space="0" w:color="auto"/>
              <w:left w:val="nil"/>
              <w:bottom w:val="single" w:sz="4" w:space="0" w:color="auto"/>
              <w:right w:val="nil"/>
            </w:tcBorders>
          </w:tcPr>
          <w:p w14:paraId="697DAB6A" w14:textId="77777777" w:rsidR="00674EEA" w:rsidRPr="00674EEA" w:rsidRDefault="00674EEA" w:rsidP="007C7FCB">
            <w:pPr>
              <w:jc w:val="center"/>
              <w:rPr>
                <w:sz w:val="18"/>
                <w:szCs w:val="18"/>
                <w:lang w:val="en-GB"/>
              </w:rPr>
            </w:pPr>
            <w:r w:rsidRPr="00674EEA">
              <w:rPr>
                <w:sz w:val="18"/>
                <w:szCs w:val="18"/>
                <w:lang w:val="en-GB"/>
              </w:rPr>
              <w:t>(3)</w:t>
            </w:r>
          </w:p>
        </w:tc>
        <w:tc>
          <w:tcPr>
            <w:tcW w:w="1775" w:type="dxa"/>
            <w:tcBorders>
              <w:top w:val="double" w:sz="4" w:space="0" w:color="auto"/>
              <w:left w:val="nil"/>
              <w:bottom w:val="single" w:sz="4" w:space="0" w:color="auto"/>
              <w:right w:val="nil"/>
            </w:tcBorders>
          </w:tcPr>
          <w:p w14:paraId="1525FA72" w14:textId="77777777" w:rsidR="00674EEA" w:rsidRPr="00674EEA" w:rsidRDefault="00674EEA" w:rsidP="007C7FCB">
            <w:pPr>
              <w:jc w:val="center"/>
              <w:rPr>
                <w:sz w:val="18"/>
                <w:szCs w:val="18"/>
                <w:lang w:val="en-GB"/>
              </w:rPr>
            </w:pPr>
            <w:r w:rsidRPr="00674EEA">
              <w:rPr>
                <w:sz w:val="18"/>
                <w:szCs w:val="18"/>
                <w:lang w:val="en-GB"/>
              </w:rPr>
              <w:t>(4)</w:t>
            </w:r>
          </w:p>
        </w:tc>
      </w:tr>
      <w:tr w:rsidR="00674EEA" w:rsidRPr="00674EEA" w14:paraId="60A4F5CB" w14:textId="77777777" w:rsidTr="006A33C0">
        <w:trPr>
          <w:trHeight w:val="185"/>
        </w:trPr>
        <w:tc>
          <w:tcPr>
            <w:tcW w:w="2107" w:type="dxa"/>
            <w:tcBorders>
              <w:top w:val="nil"/>
              <w:left w:val="nil"/>
              <w:bottom w:val="nil"/>
              <w:right w:val="nil"/>
            </w:tcBorders>
          </w:tcPr>
          <w:p w14:paraId="0C0B2362" w14:textId="77777777" w:rsidR="00674EEA" w:rsidRPr="00674EEA" w:rsidRDefault="00674EEA" w:rsidP="007C7FCB">
            <w:pPr>
              <w:rPr>
                <w:sz w:val="18"/>
                <w:szCs w:val="18"/>
                <w:lang w:val="en-GB"/>
              </w:rPr>
            </w:pPr>
          </w:p>
        </w:tc>
        <w:tc>
          <w:tcPr>
            <w:tcW w:w="1571" w:type="dxa"/>
            <w:tcBorders>
              <w:top w:val="single" w:sz="4" w:space="0" w:color="auto"/>
              <w:left w:val="nil"/>
              <w:bottom w:val="single" w:sz="4" w:space="0" w:color="auto"/>
              <w:right w:val="nil"/>
            </w:tcBorders>
          </w:tcPr>
          <w:p w14:paraId="2259107D" w14:textId="77777777" w:rsidR="00674EEA" w:rsidRPr="00674EEA" w:rsidRDefault="00674EEA" w:rsidP="007C7FCB">
            <w:pPr>
              <w:jc w:val="center"/>
              <w:rPr>
                <w:sz w:val="18"/>
                <w:szCs w:val="18"/>
                <w:lang w:val="en-GB"/>
              </w:rPr>
            </w:pPr>
            <w:r w:rsidRPr="00674EEA">
              <w:rPr>
                <w:sz w:val="18"/>
                <w:szCs w:val="18"/>
                <w:lang w:val="en-GB"/>
              </w:rPr>
              <w:t>Probit</w:t>
            </w:r>
          </w:p>
        </w:tc>
        <w:tc>
          <w:tcPr>
            <w:tcW w:w="1802" w:type="dxa"/>
            <w:tcBorders>
              <w:top w:val="single" w:sz="4" w:space="0" w:color="auto"/>
              <w:left w:val="nil"/>
              <w:bottom w:val="single" w:sz="4" w:space="0" w:color="auto"/>
              <w:right w:val="nil"/>
            </w:tcBorders>
          </w:tcPr>
          <w:p w14:paraId="4DDA537E" w14:textId="77777777" w:rsidR="00674EEA" w:rsidRPr="00674EEA" w:rsidRDefault="00674EEA" w:rsidP="007C7FCB">
            <w:pPr>
              <w:jc w:val="center"/>
              <w:rPr>
                <w:sz w:val="18"/>
                <w:szCs w:val="18"/>
                <w:lang w:val="en-GB"/>
              </w:rPr>
            </w:pPr>
            <w:r w:rsidRPr="00674EEA">
              <w:rPr>
                <w:sz w:val="18"/>
                <w:szCs w:val="18"/>
                <w:lang w:val="en-GB"/>
              </w:rPr>
              <w:t>Logit</w:t>
            </w:r>
          </w:p>
        </w:tc>
        <w:tc>
          <w:tcPr>
            <w:tcW w:w="1571" w:type="dxa"/>
            <w:tcBorders>
              <w:top w:val="single" w:sz="4" w:space="0" w:color="auto"/>
              <w:left w:val="nil"/>
              <w:bottom w:val="single" w:sz="4" w:space="0" w:color="auto"/>
              <w:right w:val="nil"/>
            </w:tcBorders>
          </w:tcPr>
          <w:p w14:paraId="4BC1D892" w14:textId="77777777" w:rsidR="00674EEA" w:rsidRPr="00674EEA" w:rsidRDefault="00674EEA" w:rsidP="007C7FCB">
            <w:pPr>
              <w:jc w:val="center"/>
              <w:rPr>
                <w:sz w:val="18"/>
                <w:szCs w:val="18"/>
                <w:lang w:val="en-GB"/>
              </w:rPr>
            </w:pPr>
            <w:r w:rsidRPr="00674EEA">
              <w:rPr>
                <w:sz w:val="18"/>
                <w:szCs w:val="18"/>
                <w:lang w:val="en-GB"/>
              </w:rPr>
              <w:t>Probit</w:t>
            </w:r>
          </w:p>
        </w:tc>
        <w:tc>
          <w:tcPr>
            <w:tcW w:w="1775" w:type="dxa"/>
            <w:tcBorders>
              <w:top w:val="single" w:sz="4" w:space="0" w:color="auto"/>
              <w:left w:val="nil"/>
              <w:bottom w:val="single" w:sz="4" w:space="0" w:color="auto"/>
              <w:right w:val="nil"/>
            </w:tcBorders>
          </w:tcPr>
          <w:p w14:paraId="669E4409" w14:textId="77777777" w:rsidR="00674EEA" w:rsidRPr="00674EEA" w:rsidRDefault="00674EEA" w:rsidP="007C7FCB">
            <w:pPr>
              <w:jc w:val="center"/>
              <w:rPr>
                <w:sz w:val="18"/>
                <w:szCs w:val="18"/>
                <w:lang w:val="en-GB"/>
              </w:rPr>
            </w:pPr>
            <w:r w:rsidRPr="00674EEA">
              <w:rPr>
                <w:sz w:val="18"/>
                <w:szCs w:val="18"/>
                <w:lang w:val="en-GB"/>
              </w:rPr>
              <w:t>Logit</w:t>
            </w:r>
          </w:p>
        </w:tc>
      </w:tr>
      <w:tr w:rsidR="00674EEA" w:rsidRPr="00674EEA" w14:paraId="4795CE86" w14:textId="77777777" w:rsidTr="006A33C0">
        <w:trPr>
          <w:trHeight w:val="378"/>
        </w:trPr>
        <w:tc>
          <w:tcPr>
            <w:tcW w:w="2107" w:type="dxa"/>
            <w:tcBorders>
              <w:top w:val="nil"/>
              <w:left w:val="nil"/>
              <w:bottom w:val="nil"/>
              <w:right w:val="nil"/>
            </w:tcBorders>
          </w:tcPr>
          <w:p w14:paraId="3376557F" w14:textId="77777777" w:rsidR="00674EEA" w:rsidRPr="00674EEA" w:rsidRDefault="00674EEA" w:rsidP="007C7FCB">
            <w:pPr>
              <w:jc w:val="right"/>
              <w:rPr>
                <w:sz w:val="18"/>
                <w:szCs w:val="18"/>
                <w:lang w:val="en-GB"/>
              </w:rPr>
            </w:pPr>
            <w:r w:rsidRPr="00674EEA">
              <w:rPr>
                <w:sz w:val="18"/>
                <w:szCs w:val="18"/>
                <w:lang w:val="en-GB"/>
              </w:rPr>
              <w:t>Governance Distance</w:t>
            </w:r>
          </w:p>
        </w:tc>
        <w:tc>
          <w:tcPr>
            <w:tcW w:w="1571" w:type="dxa"/>
            <w:tcBorders>
              <w:top w:val="single" w:sz="4" w:space="0" w:color="auto"/>
              <w:left w:val="nil"/>
              <w:bottom w:val="single" w:sz="4" w:space="0" w:color="auto"/>
              <w:right w:val="nil"/>
            </w:tcBorders>
          </w:tcPr>
          <w:p w14:paraId="5DBAC06D" w14:textId="77777777" w:rsidR="00674EEA" w:rsidRPr="00674EEA" w:rsidRDefault="00674EEA" w:rsidP="007C7FCB">
            <w:pPr>
              <w:jc w:val="center"/>
              <w:rPr>
                <w:sz w:val="18"/>
                <w:szCs w:val="18"/>
                <w:lang w:val="en-GB"/>
              </w:rPr>
            </w:pPr>
            <w:r w:rsidRPr="00674EEA">
              <w:rPr>
                <w:sz w:val="18"/>
                <w:szCs w:val="18"/>
                <w:lang w:val="en-GB"/>
              </w:rPr>
              <w:t>0.145***</w:t>
            </w:r>
          </w:p>
          <w:p w14:paraId="607506E3" w14:textId="77777777" w:rsidR="00674EEA" w:rsidRPr="00674EEA" w:rsidRDefault="00674EEA" w:rsidP="007C7FCB">
            <w:pPr>
              <w:jc w:val="center"/>
              <w:rPr>
                <w:sz w:val="18"/>
                <w:szCs w:val="18"/>
                <w:lang w:val="en-GB"/>
              </w:rPr>
            </w:pPr>
            <w:r w:rsidRPr="00674EEA">
              <w:rPr>
                <w:sz w:val="18"/>
                <w:szCs w:val="18"/>
                <w:lang w:val="en-GB"/>
              </w:rPr>
              <w:t>(0.018)</w:t>
            </w:r>
          </w:p>
        </w:tc>
        <w:tc>
          <w:tcPr>
            <w:tcW w:w="1802" w:type="dxa"/>
            <w:tcBorders>
              <w:top w:val="single" w:sz="4" w:space="0" w:color="auto"/>
              <w:left w:val="nil"/>
              <w:bottom w:val="single" w:sz="4" w:space="0" w:color="auto"/>
              <w:right w:val="nil"/>
            </w:tcBorders>
          </w:tcPr>
          <w:p w14:paraId="049624E2" w14:textId="77777777" w:rsidR="00674EEA" w:rsidRPr="00674EEA" w:rsidRDefault="00674EEA" w:rsidP="007C7FCB">
            <w:pPr>
              <w:jc w:val="center"/>
              <w:rPr>
                <w:sz w:val="18"/>
                <w:szCs w:val="18"/>
                <w:lang w:val="en-GB"/>
              </w:rPr>
            </w:pPr>
            <w:r w:rsidRPr="00674EEA">
              <w:rPr>
                <w:sz w:val="18"/>
                <w:szCs w:val="18"/>
                <w:lang w:val="en-GB"/>
              </w:rPr>
              <w:t>0.252***</w:t>
            </w:r>
          </w:p>
          <w:p w14:paraId="0F11B398" w14:textId="77777777" w:rsidR="00674EEA" w:rsidRPr="00674EEA" w:rsidRDefault="00674EEA" w:rsidP="007C7FCB">
            <w:pPr>
              <w:jc w:val="center"/>
              <w:rPr>
                <w:sz w:val="18"/>
                <w:szCs w:val="18"/>
                <w:lang w:val="en-GB"/>
              </w:rPr>
            </w:pPr>
            <w:r w:rsidRPr="00674EEA">
              <w:rPr>
                <w:sz w:val="18"/>
                <w:szCs w:val="18"/>
                <w:lang w:val="en-GB"/>
              </w:rPr>
              <w:t>(0.033)</w:t>
            </w:r>
          </w:p>
        </w:tc>
        <w:tc>
          <w:tcPr>
            <w:tcW w:w="1571" w:type="dxa"/>
            <w:tcBorders>
              <w:top w:val="single" w:sz="4" w:space="0" w:color="auto"/>
              <w:left w:val="nil"/>
              <w:bottom w:val="single" w:sz="4" w:space="0" w:color="auto"/>
              <w:right w:val="nil"/>
            </w:tcBorders>
          </w:tcPr>
          <w:p w14:paraId="35237841" w14:textId="77777777" w:rsidR="00674EEA" w:rsidRPr="00674EEA" w:rsidRDefault="00674EEA" w:rsidP="007C7FCB">
            <w:pPr>
              <w:jc w:val="center"/>
              <w:rPr>
                <w:sz w:val="18"/>
                <w:szCs w:val="18"/>
                <w:lang w:val="en-GB"/>
              </w:rPr>
            </w:pPr>
            <w:r w:rsidRPr="00674EEA">
              <w:rPr>
                <w:sz w:val="18"/>
                <w:szCs w:val="18"/>
                <w:lang w:val="en-GB"/>
              </w:rPr>
              <w:t>0.169***</w:t>
            </w:r>
          </w:p>
          <w:p w14:paraId="2CC92BA2" w14:textId="77777777" w:rsidR="00674EEA" w:rsidRPr="00674EEA" w:rsidRDefault="00674EEA" w:rsidP="007C7FCB">
            <w:pPr>
              <w:jc w:val="center"/>
              <w:rPr>
                <w:sz w:val="18"/>
                <w:szCs w:val="18"/>
                <w:lang w:val="en-GB"/>
              </w:rPr>
            </w:pPr>
            <w:r w:rsidRPr="00674EEA">
              <w:rPr>
                <w:sz w:val="18"/>
                <w:szCs w:val="18"/>
                <w:lang w:val="en-GB"/>
              </w:rPr>
              <w:t>(0.042)</w:t>
            </w:r>
          </w:p>
        </w:tc>
        <w:tc>
          <w:tcPr>
            <w:tcW w:w="1775" w:type="dxa"/>
            <w:tcBorders>
              <w:top w:val="single" w:sz="4" w:space="0" w:color="auto"/>
              <w:left w:val="nil"/>
              <w:bottom w:val="single" w:sz="4" w:space="0" w:color="auto"/>
              <w:right w:val="nil"/>
            </w:tcBorders>
          </w:tcPr>
          <w:p w14:paraId="3C9BAD69" w14:textId="77777777" w:rsidR="00674EEA" w:rsidRPr="00674EEA" w:rsidRDefault="00674EEA" w:rsidP="007C7FCB">
            <w:pPr>
              <w:jc w:val="center"/>
              <w:rPr>
                <w:sz w:val="18"/>
                <w:szCs w:val="18"/>
                <w:lang w:val="en-GB"/>
              </w:rPr>
            </w:pPr>
            <w:r w:rsidRPr="00674EEA">
              <w:rPr>
                <w:sz w:val="18"/>
                <w:szCs w:val="18"/>
                <w:lang w:val="en-GB"/>
              </w:rPr>
              <w:t>0.293***</w:t>
            </w:r>
          </w:p>
          <w:p w14:paraId="3B585A87" w14:textId="77777777" w:rsidR="00674EEA" w:rsidRPr="00674EEA" w:rsidRDefault="00674EEA" w:rsidP="007C7FCB">
            <w:pPr>
              <w:jc w:val="center"/>
              <w:rPr>
                <w:sz w:val="18"/>
                <w:szCs w:val="18"/>
                <w:lang w:val="en-GB"/>
              </w:rPr>
            </w:pPr>
            <w:r w:rsidRPr="00674EEA">
              <w:rPr>
                <w:sz w:val="18"/>
                <w:szCs w:val="18"/>
                <w:lang w:val="en-GB"/>
              </w:rPr>
              <w:t>(0.071)</w:t>
            </w:r>
          </w:p>
        </w:tc>
      </w:tr>
      <w:tr w:rsidR="00674EEA" w:rsidRPr="00674EEA" w14:paraId="50B9A412" w14:textId="77777777" w:rsidTr="006A33C0">
        <w:trPr>
          <w:trHeight w:val="185"/>
        </w:trPr>
        <w:tc>
          <w:tcPr>
            <w:tcW w:w="2107" w:type="dxa"/>
            <w:tcBorders>
              <w:top w:val="nil"/>
              <w:left w:val="nil"/>
              <w:bottom w:val="nil"/>
              <w:right w:val="nil"/>
            </w:tcBorders>
          </w:tcPr>
          <w:p w14:paraId="5920D095" w14:textId="77777777" w:rsidR="00674EEA" w:rsidRPr="00674EEA" w:rsidRDefault="00674EEA" w:rsidP="007C7FCB">
            <w:pPr>
              <w:jc w:val="right"/>
              <w:rPr>
                <w:sz w:val="18"/>
                <w:szCs w:val="18"/>
                <w:lang w:val="en-GB"/>
              </w:rPr>
            </w:pPr>
          </w:p>
        </w:tc>
        <w:tc>
          <w:tcPr>
            <w:tcW w:w="1571" w:type="dxa"/>
            <w:tcBorders>
              <w:top w:val="single" w:sz="4" w:space="0" w:color="auto"/>
              <w:left w:val="nil"/>
              <w:bottom w:val="nil"/>
              <w:right w:val="nil"/>
            </w:tcBorders>
          </w:tcPr>
          <w:p w14:paraId="5AEEBF2A" w14:textId="77777777" w:rsidR="00674EEA" w:rsidRPr="00674EEA" w:rsidRDefault="00674EEA" w:rsidP="007C7FCB">
            <w:pPr>
              <w:jc w:val="center"/>
              <w:rPr>
                <w:sz w:val="18"/>
                <w:szCs w:val="18"/>
                <w:lang w:val="en-GB"/>
              </w:rPr>
            </w:pPr>
          </w:p>
        </w:tc>
        <w:tc>
          <w:tcPr>
            <w:tcW w:w="1802" w:type="dxa"/>
            <w:tcBorders>
              <w:top w:val="single" w:sz="4" w:space="0" w:color="auto"/>
              <w:left w:val="nil"/>
              <w:bottom w:val="nil"/>
              <w:right w:val="nil"/>
            </w:tcBorders>
          </w:tcPr>
          <w:p w14:paraId="1428A2B3" w14:textId="77777777" w:rsidR="00674EEA" w:rsidRPr="00674EEA" w:rsidRDefault="00674EEA" w:rsidP="007C7FCB">
            <w:pPr>
              <w:jc w:val="center"/>
              <w:rPr>
                <w:sz w:val="18"/>
                <w:szCs w:val="18"/>
                <w:lang w:val="en-GB"/>
              </w:rPr>
            </w:pPr>
          </w:p>
        </w:tc>
        <w:tc>
          <w:tcPr>
            <w:tcW w:w="1571" w:type="dxa"/>
            <w:tcBorders>
              <w:top w:val="single" w:sz="4" w:space="0" w:color="auto"/>
              <w:left w:val="nil"/>
              <w:bottom w:val="nil"/>
              <w:right w:val="nil"/>
            </w:tcBorders>
          </w:tcPr>
          <w:p w14:paraId="75F66AD7" w14:textId="77777777" w:rsidR="00674EEA" w:rsidRPr="00674EEA" w:rsidRDefault="00674EEA" w:rsidP="007C7FCB">
            <w:pPr>
              <w:jc w:val="center"/>
              <w:rPr>
                <w:sz w:val="18"/>
                <w:szCs w:val="18"/>
                <w:lang w:val="en-GB"/>
              </w:rPr>
            </w:pPr>
          </w:p>
        </w:tc>
        <w:tc>
          <w:tcPr>
            <w:tcW w:w="1775" w:type="dxa"/>
            <w:tcBorders>
              <w:top w:val="single" w:sz="4" w:space="0" w:color="auto"/>
              <w:left w:val="nil"/>
              <w:bottom w:val="nil"/>
              <w:right w:val="nil"/>
            </w:tcBorders>
          </w:tcPr>
          <w:p w14:paraId="096DB4B1" w14:textId="77777777" w:rsidR="00674EEA" w:rsidRPr="00674EEA" w:rsidRDefault="00674EEA" w:rsidP="007C7FCB">
            <w:pPr>
              <w:jc w:val="center"/>
              <w:rPr>
                <w:sz w:val="18"/>
                <w:szCs w:val="18"/>
                <w:lang w:val="en-GB"/>
              </w:rPr>
            </w:pPr>
          </w:p>
        </w:tc>
      </w:tr>
      <w:tr w:rsidR="00674EEA" w:rsidRPr="00674EEA" w14:paraId="50A37DDB" w14:textId="77777777" w:rsidTr="006A33C0">
        <w:trPr>
          <w:trHeight w:val="193"/>
        </w:trPr>
        <w:tc>
          <w:tcPr>
            <w:tcW w:w="2107" w:type="dxa"/>
            <w:tcBorders>
              <w:top w:val="nil"/>
              <w:left w:val="nil"/>
              <w:bottom w:val="nil"/>
              <w:right w:val="nil"/>
            </w:tcBorders>
          </w:tcPr>
          <w:p w14:paraId="7CD82219" w14:textId="77777777" w:rsidR="00674EEA" w:rsidRPr="00674EEA" w:rsidRDefault="00674EEA" w:rsidP="007C7FCB">
            <w:pPr>
              <w:jc w:val="right"/>
              <w:rPr>
                <w:sz w:val="18"/>
                <w:szCs w:val="18"/>
                <w:lang w:val="en-GB"/>
              </w:rPr>
            </w:pPr>
            <w:r w:rsidRPr="00674EEA">
              <w:rPr>
                <w:sz w:val="18"/>
                <w:szCs w:val="18"/>
                <w:lang w:val="en-GB"/>
              </w:rPr>
              <w:t>Covariates</w:t>
            </w:r>
          </w:p>
        </w:tc>
        <w:tc>
          <w:tcPr>
            <w:tcW w:w="1571" w:type="dxa"/>
            <w:tcBorders>
              <w:top w:val="nil"/>
              <w:left w:val="nil"/>
              <w:bottom w:val="nil"/>
              <w:right w:val="nil"/>
            </w:tcBorders>
          </w:tcPr>
          <w:p w14:paraId="0AA117F0" w14:textId="77777777" w:rsidR="00674EEA" w:rsidRPr="00674EEA" w:rsidRDefault="00674EEA" w:rsidP="007C7FCB">
            <w:pPr>
              <w:jc w:val="center"/>
              <w:rPr>
                <w:sz w:val="18"/>
                <w:szCs w:val="18"/>
                <w:lang w:val="en-GB"/>
              </w:rPr>
            </w:pPr>
            <w:r w:rsidRPr="00674EEA">
              <w:rPr>
                <w:sz w:val="18"/>
                <w:szCs w:val="18"/>
                <w:lang w:val="en-GB"/>
              </w:rPr>
              <w:t>YES</w:t>
            </w:r>
          </w:p>
        </w:tc>
        <w:tc>
          <w:tcPr>
            <w:tcW w:w="1802" w:type="dxa"/>
            <w:tcBorders>
              <w:top w:val="nil"/>
              <w:left w:val="nil"/>
              <w:bottom w:val="nil"/>
              <w:right w:val="nil"/>
            </w:tcBorders>
          </w:tcPr>
          <w:p w14:paraId="61201998" w14:textId="77777777" w:rsidR="00674EEA" w:rsidRPr="00674EEA" w:rsidRDefault="00674EEA" w:rsidP="007C7FCB">
            <w:pPr>
              <w:jc w:val="center"/>
              <w:rPr>
                <w:sz w:val="18"/>
                <w:szCs w:val="18"/>
                <w:lang w:val="en-GB"/>
              </w:rPr>
            </w:pPr>
            <w:r w:rsidRPr="00674EEA">
              <w:rPr>
                <w:sz w:val="18"/>
                <w:szCs w:val="18"/>
                <w:lang w:val="en-GB"/>
              </w:rPr>
              <w:t>YES</w:t>
            </w:r>
          </w:p>
        </w:tc>
        <w:tc>
          <w:tcPr>
            <w:tcW w:w="1571" w:type="dxa"/>
            <w:tcBorders>
              <w:top w:val="nil"/>
              <w:left w:val="nil"/>
              <w:bottom w:val="nil"/>
              <w:right w:val="nil"/>
            </w:tcBorders>
          </w:tcPr>
          <w:p w14:paraId="2782BA08" w14:textId="77777777" w:rsidR="00674EEA" w:rsidRPr="00674EEA" w:rsidRDefault="00674EEA" w:rsidP="007C7FCB">
            <w:pPr>
              <w:jc w:val="center"/>
              <w:rPr>
                <w:sz w:val="18"/>
                <w:szCs w:val="18"/>
                <w:lang w:val="en-GB"/>
              </w:rPr>
            </w:pPr>
            <w:r w:rsidRPr="00674EEA">
              <w:rPr>
                <w:sz w:val="18"/>
                <w:szCs w:val="18"/>
                <w:lang w:val="en-GB"/>
              </w:rPr>
              <w:t>YES</w:t>
            </w:r>
          </w:p>
        </w:tc>
        <w:tc>
          <w:tcPr>
            <w:tcW w:w="1775" w:type="dxa"/>
            <w:tcBorders>
              <w:top w:val="nil"/>
              <w:left w:val="nil"/>
              <w:bottom w:val="nil"/>
              <w:right w:val="nil"/>
            </w:tcBorders>
          </w:tcPr>
          <w:p w14:paraId="5D278844" w14:textId="77777777" w:rsidR="00674EEA" w:rsidRPr="00674EEA" w:rsidRDefault="00674EEA" w:rsidP="007C7FCB">
            <w:pPr>
              <w:jc w:val="center"/>
              <w:rPr>
                <w:sz w:val="18"/>
                <w:szCs w:val="18"/>
                <w:lang w:val="en-GB"/>
              </w:rPr>
            </w:pPr>
            <w:r w:rsidRPr="00674EEA">
              <w:rPr>
                <w:sz w:val="18"/>
                <w:szCs w:val="18"/>
                <w:lang w:val="en-GB"/>
              </w:rPr>
              <w:t>YES</w:t>
            </w:r>
          </w:p>
        </w:tc>
      </w:tr>
      <w:tr w:rsidR="00674EEA" w:rsidRPr="00674EEA" w14:paraId="12FD4AFB" w14:textId="77777777" w:rsidTr="006A33C0">
        <w:trPr>
          <w:trHeight w:val="563"/>
        </w:trPr>
        <w:tc>
          <w:tcPr>
            <w:tcW w:w="2107" w:type="dxa"/>
            <w:tcBorders>
              <w:top w:val="nil"/>
              <w:left w:val="nil"/>
              <w:bottom w:val="nil"/>
              <w:right w:val="nil"/>
            </w:tcBorders>
          </w:tcPr>
          <w:p w14:paraId="2B201CA4" w14:textId="77777777" w:rsidR="00674EEA" w:rsidRPr="00674EEA" w:rsidRDefault="00674EEA" w:rsidP="007C7FCB">
            <w:pPr>
              <w:jc w:val="right"/>
              <w:rPr>
                <w:sz w:val="18"/>
                <w:szCs w:val="18"/>
                <w:lang w:val="en-GB"/>
              </w:rPr>
            </w:pPr>
            <w:r w:rsidRPr="00674EEA">
              <w:rPr>
                <w:sz w:val="18"/>
                <w:szCs w:val="18"/>
                <w:lang w:val="en-GB"/>
              </w:rPr>
              <w:t>Country-Fixed Effects</w:t>
            </w:r>
          </w:p>
          <w:p w14:paraId="09F79081" w14:textId="77777777" w:rsidR="00674EEA" w:rsidRPr="00674EEA" w:rsidRDefault="00674EEA" w:rsidP="007C7FCB">
            <w:pPr>
              <w:jc w:val="right"/>
              <w:rPr>
                <w:sz w:val="18"/>
                <w:szCs w:val="18"/>
                <w:lang w:val="en-GB"/>
              </w:rPr>
            </w:pPr>
            <w:r w:rsidRPr="00674EEA">
              <w:rPr>
                <w:sz w:val="18"/>
                <w:szCs w:val="18"/>
                <w:lang w:val="en-GB"/>
              </w:rPr>
              <w:t>(p-value)</w:t>
            </w:r>
          </w:p>
        </w:tc>
        <w:tc>
          <w:tcPr>
            <w:tcW w:w="1571" w:type="dxa"/>
            <w:tcBorders>
              <w:top w:val="nil"/>
              <w:left w:val="nil"/>
              <w:bottom w:val="nil"/>
              <w:right w:val="nil"/>
            </w:tcBorders>
          </w:tcPr>
          <w:p w14:paraId="796F5EEE" w14:textId="77777777" w:rsidR="00674EEA" w:rsidRPr="00674EEA" w:rsidRDefault="00674EEA" w:rsidP="007C7FCB">
            <w:pPr>
              <w:jc w:val="center"/>
              <w:rPr>
                <w:sz w:val="18"/>
                <w:szCs w:val="18"/>
                <w:lang w:val="en-GB"/>
              </w:rPr>
            </w:pPr>
            <w:r w:rsidRPr="00674EEA">
              <w:rPr>
                <w:sz w:val="18"/>
                <w:szCs w:val="18"/>
                <w:lang w:val="en-GB"/>
              </w:rPr>
              <w:t>YES</w:t>
            </w:r>
          </w:p>
        </w:tc>
        <w:tc>
          <w:tcPr>
            <w:tcW w:w="1802" w:type="dxa"/>
            <w:tcBorders>
              <w:top w:val="nil"/>
              <w:left w:val="nil"/>
              <w:bottom w:val="nil"/>
              <w:right w:val="nil"/>
            </w:tcBorders>
          </w:tcPr>
          <w:p w14:paraId="4099C7E6" w14:textId="77777777" w:rsidR="00674EEA" w:rsidRPr="00674EEA" w:rsidRDefault="00674EEA" w:rsidP="007C7FCB">
            <w:pPr>
              <w:jc w:val="center"/>
              <w:rPr>
                <w:sz w:val="18"/>
                <w:szCs w:val="18"/>
                <w:lang w:val="en-GB"/>
              </w:rPr>
            </w:pPr>
            <w:r w:rsidRPr="00674EEA">
              <w:rPr>
                <w:sz w:val="18"/>
                <w:szCs w:val="18"/>
                <w:lang w:val="en-GB"/>
              </w:rPr>
              <w:t>YES</w:t>
            </w:r>
          </w:p>
        </w:tc>
        <w:tc>
          <w:tcPr>
            <w:tcW w:w="1571" w:type="dxa"/>
            <w:tcBorders>
              <w:top w:val="nil"/>
              <w:left w:val="nil"/>
              <w:bottom w:val="nil"/>
              <w:right w:val="nil"/>
            </w:tcBorders>
          </w:tcPr>
          <w:p w14:paraId="66968AB5" w14:textId="77777777" w:rsidR="00674EEA" w:rsidRPr="00674EEA" w:rsidRDefault="00674EEA" w:rsidP="007C7FCB">
            <w:pPr>
              <w:jc w:val="center"/>
              <w:rPr>
                <w:sz w:val="18"/>
                <w:szCs w:val="18"/>
                <w:lang w:val="en-GB"/>
              </w:rPr>
            </w:pPr>
            <w:r w:rsidRPr="00674EEA">
              <w:rPr>
                <w:sz w:val="18"/>
                <w:szCs w:val="18"/>
                <w:lang w:val="en-GB"/>
              </w:rPr>
              <w:t>YES</w:t>
            </w:r>
          </w:p>
        </w:tc>
        <w:tc>
          <w:tcPr>
            <w:tcW w:w="1775" w:type="dxa"/>
            <w:tcBorders>
              <w:top w:val="nil"/>
              <w:left w:val="nil"/>
              <w:bottom w:val="nil"/>
              <w:right w:val="nil"/>
            </w:tcBorders>
          </w:tcPr>
          <w:p w14:paraId="38543EE3" w14:textId="77777777" w:rsidR="00674EEA" w:rsidRPr="00674EEA" w:rsidRDefault="00674EEA" w:rsidP="007C7FCB">
            <w:pPr>
              <w:jc w:val="center"/>
              <w:rPr>
                <w:sz w:val="18"/>
                <w:szCs w:val="18"/>
                <w:lang w:val="en-GB"/>
              </w:rPr>
            </w:pPr>
            <w:r w:rsidRPr="00674EEA">
              <w:rPr>
                <w:sz w:val="18"/>
                <w:szCs w:val="18"/>
                <w:lang w:val="en-GB"/>
              </w:rPr>
              <w:t>YES</w:t>
            </w:r>
          </w:p>
        </w:tc>
      </w:tr>
      <w:tr w:rsidR="00674EEA" w:rsidRPr="00674EEA" w14:paraId="24FB29DF" w14:textId="77777777" w:rsidTr="006A33C0">
        <w:trPr>
          <w:trHeight w:val="572"/>
        </w:trPr>
        <w:tc>
          <w:tcPr>
            <w:tcW w:w="2107" w:type="dxa"/>
            <w:tcBorders>
              <w:top w:val="nil"/>
              <w:left w:val="nil"/>
              <w:bottom w:val="nil"/>
              <w:right w:val="nil"/>
            </w:tcBorders>
          </w:tcPr>
          <w:p w14:paraId="1A3241B9" w14:textId="77777777" w:rsidR="00674EEA" w:rsidRPr="00674EEA" w:rsidRDefault="00674EEA" w:rsidP="007C7FCB">
            <w:pPr>
              <w:jc w:val="right"/>
              <w:rPr>
                <w:sz w:val="18"/>
                <w:szCs w:val="18"/>
                <w:lang w:val="en-GB"/>
              </w:rPr>
            </w:pPr>
            <w:r w:rsidRPr="00674EEA">
              <w:rPr>
                <w:sz w:val="18"/>
                <w:szCs w:val="18"/>
                <w:lang w:val="en-GB"/>
              </w:rPr>
              <w:t>Time-Fixed Effects</w:t>
            </w:r>
          </w:p>
          <w:p w14:paraId="15101513" w14:textId="77777777" w:rsidR="00674EEA" w:rsidRPr="00674EEA" w:rsidRDefault="00674EEA" w:rsidP="007C7FCB">
            <w:pPr>
              <w:jc w:val="right"/>
              <w:rPr>
                <w:sz w:val="18"/>
                <w:szCs w:val="18"/>
                <w:lang w:val="en-GB"/>
              </w:rPr>
            </w:pPr>
            <w:r w:rsidRPr="00674EEA">
              <w:rPr>
                <w:sz w:val="18"/>
                <w:szCs w:val="18"/>
                <w:lang w:val="en-GB"/>
              </w:rPr>
              <w:t>(p-value)</w:t>
            </w:r>
          </w:p>
        </w:tc>
        <w:tc>
          <w:tcPr>
            <w:tcW w:w="1571" w:type="dxa"/>
            <w:tcBorders>
              <w:top w:val="nil"/>
              <w:left w:val="nil"/>
              <w:bottom w:val="nil"/>
              <w:right w:val="nil"/>
            </w:tcBorders>
          </w:tcPr>
          <w:p w14:paraId="25053C97" w14:textId="77777777" w:rsidR="00674EEA" w:rsidRPr="00674EEA" w:rsidRDefault="00674EEA" w:rsidP="007C7FCB">
            <w:pPr>
              <w:jc w:val="center"/>
              <w:rPr>
                <w:sz w:val="18"/>
                <w:szCs w:val="18"/>
                <w:lang w:val="en-GB"/>
              </w:rPr>
            </w:pPr>
            <w:r w:rsidRPr="00674EEA">
              <w:rPr>
                <w:sz w:val="18"/>
                <w:szCs w:val="18"/>
                <w:lang w:val="en-GB"/>
              </w:rPr>
              <w:t>NO</w:t>
            </w:r>
          </w:p>
        </w:tc>
        <w:tc>
          <w:tcPr>
            <w:tcW w:w="1802" w:type="dxa"/>
            <w:tcBorders>
              <w:top w:val="nil"/>
              <w:left w:val="nil"/>
              <w:bottom w:val="nil"/>
              <w:right w:val="nil"/>
            </w:tcBorders>
          </w:tcPr>
          <w:p w14:paraId="54F239A8" w14:textId="77777777" w:rsidR="00674EEA" w:rsidRPr="00674EEA" w:rsidRDefault="00674EEA" w:rsidP="007C7FCB">
            <w:pPr>
              <w:jc w:val="center"/>
              <w:rPr>
                <w:sz w:val="18"/>
                <w:szCs w:val="18"/>
                <w:lang w:val="en-GB"/>
              </w:rPr>
            </w:pPr>
            <w:r w:rsidRPr="00674EEA">
              <w:rPr>
                <w:sz w:val="18"/>
                <w:szCs w:val="18"/>
                <w:lang w:val="en-GB"/>
              </w:rPr>
              <w:t>NO</w:t>
            </w:r>
          </w:p>
        </w:tc>
        <w:tc>
          <w:tcPr>
            <w:tcW w:w="1571" w:type="dxa"/>
            <w:tcBorders>
              <w:top w:val="nil"/>
              <w:left w:val="nil"/>
              <w:bottom w:val="nil"/>
              <w:right w:val="nil"/>
            </w:tcBorders>
          </w:tcPr>
          <w:p w14:paraId="6B9AC2D6" w14:textId="77777777" w:rsidR="00674EEA" w:rsidRPr="00674EEA" w:rsidRDefault="00674EEA" w:rsidP="007C7FCB">
            <w:pPr>
              <w:jc w:val="center"/>
              <w:rPr>
                <w:sz w:val="18"/>
                <w:szCs w:val="18"/>
                <w:lang w:val="en-GB"/>
              </w:rPr>
            </w:pPr>
            <w:r w:rsidRPr="00674EEA">
              <w:rPr>
                <w:sz w:val="18"/>
                <w:szCs w:val="18"/>
                <w:lang w:val="en-GB"/>
              </w:rPr>
              <w:t>YES</w:t>
            </w:r>
          </w:p>
        </w:tc>
        <w:tc>
          <w:tcPr>
            <w:tcW w:w="1775" w:type="dxa"/>
            <w:tcBorders>
              <w:top w:val="nil"/>
              <w:left w:val="nil"/>
              <w:bottom w:val="nil"/>
              <w:right w:val="nil"/>
            </w:tcBorders>
          </w:tcPr>
          <w:p w14:paraId="2B317FA8" w14:textId="77777777" w:rsidR="00674EEA" w:rsidRPr="00674EEA" w:rsidRDefault="00674EEA" w:rsidP="007C7FCB">
            <w:pPr>
              <w:jc w:val="center"/>
              <w:rPr>
                <w:sz w:val="18"/>
                <w:szCs w:val="18"/>
                <w:lang w:val="en-GB"/>
              </w:rPr>
            </w:pPr>
            <w:r w:rsidRPr="00674EEA">
              <w:rPr>
                <w:sz w:val="18"/>
                <w:szCs w:val="18"/>
                <w:lang w:val="en-GB"/>
              </w:rPr>
              <w:t>YES</w:t>
            </w:r>
          </w:p>
        </w:tc>
      </w:tr>
      <w:tr w:rsidR="00674EEA" w:rsidRPr="00674EEA" w14:paraId="4F3A4F2C" w14:textId="77777777" w:rsidTr="006A33C0">
        <w:trPr>
          <w:trHeight w:val="193"/>
        </w:trPr>
        <w:tc>
          <w:tcPr>
            <w:tcW w:w="2107" w:type="dxa"/>
            <w:tcBorders>
              <w:top w:val="nil"/>
              <w:left w:val="nil"/>
              <w:bottom w:val="nil"/>
              <w:right w:val="nil"/>
            </w:tcBorders>
          </w:tcPr>
          <w:p w14:paraId="528221AF" w14:textId="77777777" w:rsidR="00674EEA" w:rsidRPr="00674EEA" w:rsidRDefault="00674EEA" w:rsidP="007C7FCB">
            <w:pPr>
              <w:jc w:val="right"/>
              <w:rPr>
                <w:sz w:val="18"/>
                <w:szCs w:val="18"/>
                <w:lang w:val="en-GB"/>
              </w:rPr>
            </w:pPr>
          </w:p>
        </w:tc>
        <w:tc>
          <w:tcPr>
            <w:tcW w:w="1571" w:type="dxa"/>
            <w:tcBorders>
              <w:top w:val="nil"/>
              <w:left w:val="nil"/>
              <w:bottom w:val="nil"/>
              <w:right w:val="nil"/>
            </w:tcBorders>
          </w:tcPr>
          <w:p w14:paraId="65530FF6" w14:textId="77777777" w:rsidR="00674EEA" w:rsidRPr="00674EEA" w:rsidRDefault="00674EEA" w:rsidP="007C7FCB">
            <w:pPr>
              <w:jc w:val="center"/>
              <w:rPr>
                <w:sz w:val="18"/>
                <w:szCs w:val="18"/>
                <w:lang w:val="en-GB"/>
              </w:rPr>
            </w:pPr>
          </w:p>
        </w:tc>
        <w:tc>
          <w:tcPr>
            <w:tcW w:w="1802" w:type="dxa"/>
            <w:tcBorders>
              <w:top w:val="nil"/>
              <w:left w:val="nil"/>
              <w:bottom w:val="nil"/>
              <w:right w:val="nil"/>
            </w:tcBorders>
          </w:tcPr>
          <w:p w14:paraId="3E9844F5" w14:textId="77777777" w:rsidR="00674EEA" w:rsidRPr="00674EEA" w:rsidRDefault="00674EEA" w:rsidP="007C7FCB">
            <w:pPr>
              <w:jc w:val="center"/>
              <w:rPr>
                <w:sz w:val="18"/>
                <w:szCs w:val="18"/>
                <w:lang w:val="en-GB"/>
              </w:rPr>
            </w:pPr>
          </w:p>
        </w:tc>
        <w:tc>
          <w:tcPr>
            <w:tcW w:w="1571" w:type="dxa"/>
            <w:tcBorders>
              <w:top w:val="nil"/>
              <w:left w:val="nil"/>
              <w:bottom w:val="nil"/>
              <w:right w:val="nil"/>
            </w:tcBorders>
          </w:tcPr>
          <w:p w14:paraId="729A36C1" w14:textId="77777777" w:rsidR="00674EEA" w:rsidRPr="00674EEA" w:rsidRDefault="00674EEA" w:rsidP="007C7FCB">
            <w:pPr>
              <w:jc w:val="center"/>
              <w:rPr>
                <w:sz w:val="18"/>
                <w:szCs w:val="18"/>
                <w:lang w:val="en-GB"/>
              </w:rPr>
            </w:pPr>
          </w:p>
        </w:tc>
        <w:tc>
          <w:tcPr>
            <w:tcW w:w="1775" w:type="dxa"/>
            <w:tcBorders>
              <w:top w:val="nil"/>
              <w:left w:val="nil"/>
              <w:bottom w:val="nil"/>
              <w:right w:val="nil"/>
            </w:tcBorders>
          </w:tcPr>
          <w:p w14:paraId="21337C75" w14:textId="77777777" w:rsidR="00674EEA" w:rsidRPr="00674EEA" w:rsidRDefault="00674EEA" w:rsidP="007C7FCB">
            <w:pPr>
              <w:jc w:val="center"/>
              <w:rPr>
                <w:sz w:val="18"/>
                <w:szCs w:val="18"/>
                <w:lang w:val="en-GB"/>
              </w:rPr>
            </w:pPr>
          </w:p>
        </w:tc>
      </w:tr>
      <w:tr w:rsidR="00674EEA" w:rsidRPr="00674EEA" w14:paraId="036169D5" w14:textId="77777777" w:rsidTr="006A33C0">
        <w:trPr>
          <w:trHeight w:val="370"/>
        </w:trPr>
        <w:tc>
          <w:tcPr>
            <w:tcW w:w="2107" w:type="dxa"/>
            <w:tcBorders>
              <w:top w:val="nil"/>
              <w:left w:val="nil"/>
              <w:bottom w:val="nil"/>
              <w:right w:val="nil"/>
            </w:tcBorders>
          </w:tcPr>
          <w:p w14:paraId="0AFC2D72" w14:textId="77777777" w:rsidR="00674EEA" w:rsidRPr="00674EEA" w:rsidRDefault="00674EEA" w:rsidP="007C7FCB">
            <w:pPr>
              <w:jc w:val="right"/>
              <w:rPr>
                <w:sz w:val="18"/>
                <w:szCs w:val="18"/>
                <w:lang w:val="en-GB"/>
              </w:rPr>
            </w:pPr>
            <w:r w:rsidRPr="00674EEA">
              <w:rPr>
                <w:sz w:val="18"/>
                <w:szCs w:val="18"/>
                <w:lang w:val="en-GB"/>
              </w:rPr>
              <w:t>Log LR Test</w:t>
            </w:r>
          </w:p>
          <w:p w14:paraId="07681575" w14:textId="77777777" w:rsidR="00674EEA" w:rsidRPr="00674EEA" w:rsidRDefault="00674EEA" w:rsidP="007C7FCB">
            <w:pPr>
              <w:jc w:val="right"/>
              <w:rPr>
                <w:sz w:val="18"/>
                <w:szCs w:val="18"/>
                <w:lang w:val="en-GB"/>
              </w:rPr>
            </w:pPr>
            <w:r w:rsidRPr="00674EEA">
              <w:rPr>
                <w:sz w:val="18"/>
                <w:szCs w:val="18"/>
                <w:lang w:val="en-GB"/>
              </w:rPr>
              <w:t>(p-value)</w:t>
            </w:r>
          </w:p>
        </w:tc>
        <w:tc>
          <w:tcPr>
            <w:tcW w:w="1571" w:type="dxa"/>
            <w:tcBorders>
              <w:top w:val="nil"/>
              <w:left w:val="nil"/>
              <w:bottom w:val="nil"/>
              <w:right w:val="nil"/>
            </w:tcBorders>
          </w:tcPr>
          <w:p w14:paraId="3F0BCEF8" w14:textId="77777777" w:rsidR="00674EEA" w:rsidRPr="00674EEA" w:rsidRDefault="00674EEA" w:rsidP="007C7FCB">
            <w:pPr>
              <w:jc w:val="center"/>
              <w:rPr>
                <w:sz w:val="18"/>
                <w:szCs w:val="18"/>
                <w:lang w:val="en-GB"/>
              </w:rPr>
            </w:pPr>
            <w:r w:rsidRPr="00674EEA">
              <w:rPr>
                <w:sz w:val="18"/>
                <w:szCs w:val="18"/>
                <w:lang w:val="en-GB"/>
              </w:rPr>
              <w:t>844.65</w:t>
            </w:r>
          </w:p>
          <w:p w14:paraId="430FD30A" w14:textId="77777777" w:rsidR="00674EEA" w:rsidRPr="00674EEA" w:rsidRDefault="00674EEA" w:rsidP="007C7FCB">
            <w:pPr>
              <w:jc w:val="center"/>
              <w:rPr>
                <w:sz w:val="18"/>
                <w:szCs w:val="18"/>
                <w:lang w:val="en-GB"/>
              </w:rPr>
            </w:pPr>
            <w:r w:rsidRPr="00674EEA">
              <w:rPr>
                <w:sz w:val="18"/>
                <w:szCs w:val="18"/>
                <w:lang w:val="en-GB"/>
              </w:rPr>
              <w:t>(0.000)</w:t>
            </w:r>
          </w:p>
        </w:tc>
        <w:tc>
          <w:tcPr>
            <w:tcW w:w="1802" w:type="dxa"/>
            <w:tcBorders>
              <w:top w:val="nil"/>
              <w:left w:val="nil"/>
              <w:bottom w:val="nil"/>
              <w:right w:val="nil"/>
            </w:tcBorders>
          </w:tcPr>
          <w:p w14:paraId="51200365" w14:textId="77777777" w:rsidR="00674EEA" w:rsidRPr="00674EEA" w:rsidRDefault="00674EEA" w:rsidP="007C7FCB">
            <w:pPr>
              <w:jc w:val="center"/>
              <w:rPr>
                <w:sz w:val="18"/>
                <w:szCs w:val="18"/>
                <w:lang w:val="en-GB"/>
              </w:rPr>
            </w:pPr>
            <w:r w:rsidRPr="00674EEA">
              <w:rPr>
                <w:sz w:val="18"/>
                <w:szCs w:val="18"/>
                <w:lang w:val="en-GB"/>
              </w:rPr>
              <w:t>848.32</w:t>
            </w:r>
          </w:p>
          <w:p w14:paraId="542F0E96" w14:textId="77777777" w:rsidR="00674EEA" w:rsidRPr="00674EEA" w:rsidRDefault="00674EEA" w:rsidP="007C7FCB">
            <w:pPr>
              <w:jc w:val="center"/>
              <w:rPr>
                <w:sz w:val="18"/>
                <w:szCs w:val="18"/>
                <w:lang w:val="en-GB"/>
              </w:rPr>
            </w:pPr>
            <w:r w:rsidRPr="00674EEA">
              <w:rPr>
                <w:sz w:val="18"/>
                <w:szCs w:val="18"/>
                <w:lang w:val="en-GB"/>
              </w:rPr>
              <w:t>(0.000)</w:t>
            </w:r>
          </w:p>
        </w:tc>
        <w:tc>
          <w:tcPr>
            <w:tcW w:w="1571" w:type="dxa"/>
            <w:tcBorders>
              <w:top w:val="nil"/>
              <w:left w:val="nil"/>
              <w:bottom w:val="nil"/>
              <w:right w:val="nil"/>
            </w:tcBorders>
          </w:tcPr>
          <w:p w14:paraId="2C4F629D" w14:textId="77777777" w:rsidR="00674EEA" w:rsidRPr="00674EEA" w:rsidRDefault="00674EEA" w:rsidP="007C7FCB">
            <w:pPr>
              <w:jc w:val="center"/>
              <w:rPr>
                <w:sz w:val="18"/>
                <w:szCs w:val="18"/>
                <w:lang w:val="en-GB"/>
              </w:rPr>
            </w:pPr>
            <w:r w:rsidRPr="00674EEA">
              <w:rPr>
                <w:sz w:val="18"/>
                <w:szCs w:val="18"/>
                <w:lang w:val="en-GB"/>
              </w:rPr>
              <w:t>1195.39</w:t>
            </w:r>
          </w:p>
          <w:p w14:paraId="7C86FDDE" w14:textId="77777777" w:rsidR="00674EEA" w:rsidRPr="00674EEA" w:rsidRDefault="00674EEA" w:rsidP="007C7FCB">
            <w:pPr>
              <w:jc w:val="center"/>
              <w:rPr>
                <w:sz w:val="18"/>
                <w:szCs w:val="18"/>
                <w:lang w:val="en-GB"/>
              </w:rPr>
            </w:pPr>
            <w:r w:rsidRPr="00674EEA">
              <w:rPr>
                <w:sz w:val="18"/>
                <w:szCs w:val="18"/>
                <w:lang w:val="en-GB"/>
              </w:rPr>
              <w:t>(0.000)</w:t>
            </w:r>
          </w:p>
        </w:tc>
        <w:tc>
          <w:tcPr>
            <w:tcW w:w="1775" w:type="dxa"/>
            <w:tcBorders>
              <w:top w:val="nil"/>
              <w:left w:val="nil"/>
              <w:bottom w:val="nil"/>
              <w:right w:val="nil"/>
            </w:tcBorders>
          </w:tcPr>
          <w:p w14:paraId="61C62FDF" w14:textId="77777777" w:rsidR="00674EEA" w:rsidRPr="00674EEA" w:rsidRDefault="00674EEA" w:rsidP="007C7FCB">
            <w:pPr>
              <w:jc w:val="center"/>
              <w:rPr>
                <w:sz w:val="18"/>
                <w:szCs w:val="18"/>
                <w:lang w:val="en-GB"/>
              </w:rPr>
            </w:pPr>
            <w:r w:rsidRPr="00674EEA">
              <w:rPr>
                <w:sz w:val="18"/>
                <w:szCs w:val="18"/>
                <w:lang w:val="en-GB"/>
              </w:rPr>
              <w:t>1204.14</w:t>
            </w:r>
          </w:p>
          <w:p w14:paraId="0B277287" w14:textId="77777777" w:rsidR="00674EEA" w:rsidRPr="00674EEA" w:rsidRDefault="00674EEA" w:rsidP="007C7FCB">
            <w:pPr>
              <w:jc w:val="center"/>
              <w:rPr>
                <w:sz w:val="18"/>
                <w:szCs w:val="18"/>
                <w:lang w:val="en-GB"/>
              </w:rPr>
            </w:pPr>
            <w:r w:rsidRPr="00674EEA">
              <w:rPr>
                <w:sz w:val="18"/>
                <w:szCs w:val="18"/>
                <w:lang w:val="en-GB"/>
              </w:rPr>
              <w:t>(0.000)</w:t>
            </w:r>
          </w:p>
        </w:tc>
      </w:tr>
      <w:tr w:rsidR="00674EEA" w:rsidRPr="00674EEA" w14:paraId="22CC5D1A" w14:textId="77777777" w:rsidTr="006A33C0">
        <w:trPr>
          <w:trHeight w:val="193"/>
        </w:trPr>
        <w:tc>
          <w:tcPr>
            <w:tcW w:w="2107" w:type="dxa"/>
            <w:tcBorders>
              <w:top w:val="nil"/>
              <w:left w:val="nil"/>
              <w:bottom w:val="nil"/>
              <w:right w:val="nil"/>
            </w:tcBorders>
          </w:tcPr>
          <w:p w14:paraId="4B25BA1D" w14:textId="77777777" w:rsidR="00674EEA" w:rsidRPr="00674EEA" w:rsidRDefault="00674EEA" w:rsidP="007C7FCB">
            <w:pPr>
              <w:jc w:val="right"/>
              <w:rPr>
                <w:sz w:val="18"/>
                <w:szCs w:val="18"/>
                <w:lang w:val="en-GB"/>
              </w:rPr>
            </w:pPr>
            <w:r w:rsidRPr="00674EEA">
              <w:rPr>
                <w:sz w:val="18"/>
                <w:szCs w:val="18"/>
                <w:lang w:val="en-GB"/>
              </w:rPr>
              <w:t>Count R2</w:t>
            </w:r>
          </w:p>
        </w:tc>
        <w:tc>
          <w:tcPr>
            <w:tcW w:w="1571" w:type="dxa"/>
            <w:tcBorders>
              <w:top w:val="nil"/>
              <w:left w:val="nil"/>
              <w:bottom w:val="nil"/>
              <w:right w:val="nil"/>
            </w:tcBorders>
          </w:tcPr>
          <w:p w14:paraId="0161CB0C" w14:textId="77777777" w:rsidR="00674EEA" w:rsidRPr="00674EEA" w:rsidRDefault="00674EEA" w:rsidP="007C7FCB">
            <w:pPr>
              <w:jc w:val="center"/>
              <w:rPr>
                <w:sz w:val="18"/>
                <w:szCs w:val="18"/>
                <w:lang w:val="en-GB"/>
              </w:rPr>
            </w:pPr>
            <w:r w:rsidRPr="00674EEA">
              <w:rPr>
                <w:sz w:val="18"/>
                <w:szCs w:val="18"/>
                <w:lang w:val="en-GB"/>
              </w:rPr>
              <w:t>0.67</w:t>
            </w:r>
          </w:p>
        </w:tc>
        <w:tc>
          <w:tcPr>
            <w:tcW w:w="1802" w:type="dxa"/>
            <w:tcBorders>
              <w:top w:val="nil"/>
              <w:left w:val="nil"/>
              <w:bottom w:val="nil"/>
              <w:right w:val="nil"/>
            </w:tcBorders>
          </w:tcPr>
          <w:p w14:paraId="1FB73D0A" w14:textId="77777777" w:rsidR="00674EEA" w:rsidRPr="00674EEA" w:rsidRDefault="00674EEA" w:rsidP="007C7FCB">
            <w:pPr>
              <w:jc w:val="center"/>
              <w:rPr>
                <w:sz w:val="18"/>
                <w:szCs w:val="18"/>
                <w:lang w:val="en-GB"/>
              </w:rPr>
            </w:pPr>
            <w:r w:rsidRPr="00674EEA">
              <w:rPr>
                <w:sz w:val="18"/>
                <w:szCs w:val="18"/>
                <w:lang w:val="en-GB"/>
              </w:rPr>
              <w:t>0.67</w:t>
            </w:r>
          </w:p>
        </w:tc>
        <w:tc>
          <w:tcPr>
            <w:tcW w:w="1571" w:type="dxa"/>
            <w:tcBorders>
              <w:top w:val="nil"/>
              <w:left w:val="nil"/>
              <w:bottom w:val="nil"/>
              <w:right w:val="nil"/>
            </w:tcBorders>
          </w:tcPr>
          <w:p w14:paraId="53AD6C85" w14:textId="77777777" w:rsidR="00674EEA" w:rsidRPr="00674EEA" w:rsidRDefault="00674EEA" w:rsidP="007C7FCB">
            <w:pPr>
              <w:jc w:val="center"/>
              <w:rPr>
                <w:sz w:val="18"/>
                <w:szCs w:val="18"/>
                <w:lang w:val="en-GB"/>
              </w:rPr>
            </w:pPr>
            <w:r w:rsidRPr="00674EEA">
              <w:rPr>
                <w:sz w:val="18"/>
                <w:szCs w:val="18"/>
                <w:lang w:val="en-GB"/>
              </w:rPr>
              <w:t>0.69</w:t>
            </w:r>
          </w:p>
        </w:tc>
        <w:tc>
          <w:tcPr>
            <w:tcW w:w="1775" w:type="dxa"/>
            <w:tcBorders>
              <w:top w:val="nil"/>
              <w:left w:val="nil"/>
              <w:bottom w:val="nil"/>
              <w:right w:val="nil"/>
            </w:tcBorders>
          </w:tcPr>
          <w:p w14:paraId="3F28FF06" w14:textId="77777777" w:rsidR="00674EEA" w:rsidRPr="00674EEA" w:rsidRDefault="00674EEA" w:rsidP="007C7FCB">
            <w:pPr>
              <w:jc w:val="center"/>
              <w:rPr>
                <w:sz w:val="18"/>
                <w:szCs w:val="18"/>
                <w:lang w:val="en-GB"/>
              </w:rPr>
            </w:pPr>
            <w:r w:rsidRPr="00674EEA">
              <w:rPr>
                <w:sz w:val="18"/>
                <w:szCs w:val="18"/>
                <w:lang w:val="en-GB"/>
              </w:rPr>
              <w:t>0.69</w:t>
            </w:r>
          </w:p>
        </w:tc>
      </w:tr>
      <w:tr w:rsidR="00674EEA" w:rsidRPr="00674EEA" w14:paraId="02B4E16D" w14:textId="77777777" w:rsidTr="006A33C0">
        <w:trPr>
          <w:trHeight w:val="185"/>
        </w:trPr>
        <w:tc>
          <w:tcPr>
            <w:tcW w:w="2107" w:type="dxa"/>
            <w:tcBorders>
              <w:top w:val="nil"/>
              <w:left w:val="nil"/>
              <w:bottom w:val="nil"/>
              <w:right w:val="nil"/>
            </w:tcBorders>
          </w:tcPr>
          <w:p w14:paraId="151C72B5" w14:textId="77777777" w:rsidR="00674EEA" w:rsidRPr="00674EEA" w:rsidRDefault="00674EEA" w:rsidP="007C7FCB">
            <w:pPr>
              <w:jc w:val="right"/>
              <w:rPr>
                <w:sz w:val="18"/>
                <w:szCs w:val="18"/>
                <w:lang w:val="en-GB"/>
              </w:rPr>
            </w:pPr>
          </w:p>
        </w:tc>
        <w:tc>
          <w:tcPr>
            <w:tcW w:w="1571" w:type="dxa"/>
            <w:tcBorders>
              <w:top w:val="nil"/>
              <w:left w:val="nil"/>
              <w:bottom w:val="nil"/>
              <w:right w:val="nil"/>
            </w:tcBorders>
          </w:tcPr>
          <w:p w14:paraId="7F694F6F" w14:textId="77777777" w:rsidR="00674EEA" w:rsidRPr="00674EEA" w:rsidRDefault="00674EEA" w:rsidP="007C7FCB">
            <w:pPr>
              <w:jc w:val="center"/>
              <w:rPr>
                <w:sz w:val="18"/>
                <w:szCs w:val="18"/>
                <w:lang w:val="en-GB"/>
              </w:rPr>
            </w:pPr>
          </w:p>
        </w:tc>
        <w:tc>
          <w:tcPr>
            <w:tcW w:w="1802" w:type="dxa"/>
            <w:tcBorders>
              <w:top w:val="nil"/>
              <w:left w:val="nil"/>
              <w:bottom w:val="nil"/>
              <w:right w:val="nil"/>
            </w:tcBorders>
          </w:tcPr>
          <w:p w14:paraId="061952AF" w14:textId="77777777" w:rsidR="00674EEA" w:rsidRPr="00674EEA" w:rsidRDefault="00674EEA" w:rsidP="007C7FCB">
            <w:pPr>
              <w:jc w:val="center"/>
              <w:rPr>
                <w:sz w:val="18"/>
                <w:szCs w:val="18"/>
                <w:lang w:val="en-GB"/>
              </w:rPr>
            </w:pPr>
          </w:p>
        </w:tc>
        <w:tc>
          <w:tcPr>
            <w:tcW w:w="1571" w:type="dxa"/>
            <w:tcBorders>
              <w:top w:val="nil"/>
              <w:left w:val="nil"/>
              <w:bottom w:val="nil"/>
              <w:right w:val="nil"/>
            </w:tcBorders>
          </w:tcPr>
          <w:p w14:paraId="1485B2B5" w14:textId="77777777" w:rsidR="00674EEA" w:rsidRPr="00674EEA" w:rsidRDefault="00674EEA" w:rsidP="007C7FCB">
            <w:pPr>
              <w:jc w:val="center"/>
              <w:rPr>
                <w:sz w:val="18"/>
                <w:szCs w:val="18"/>
                <w:lang w:val="en-GB"/>
              </w:rPr>
            </w:pPr>
          </w:p>
        </w:tc>
        <w:tc>
          <w:tcPr>
            <w:tcW w:w="1775" w:type="dxa"/>
            <w:tcBorders>
              <w:top w:val="nil"/>
              <w:left w:val="nil"/>
              <w:bottom w:val="nil"/>
              <w:right w:val="nil"/>
            </w:tcBorders>
          </w:tcPr>
          <w:p w14:paraId="682586E5" w14:textId="77777777" w:rsidR="00674EEA" w:rsidRPr="00674EEA" w:rsidRDefault="00674EEA" w:rsidP="007C7FCB">
            <w:pPr>
              <w:jc w:val="center"/>
              <w:rPr>
                <w:sz w:val="18"/>
                <w:szCs w:val="18"/>
                <w:lang w:val="en-GB"/>
              </w:rPr>
            </w:pPr>
          </w:p>
        </w:tc>
      </w:tr>
      <w:tr w:rsidR="00674EEA" w:rsidRPr="00674EEA" w14:paraId="4E92F993" w14:textId="77777777" w:rsidTr="006A33C0">
        <w:trPr>
          <w:trHeight w:val="185"/>
        </w:trPr>
        <w:tc>
          <w:tcPr>
            <w:tcW w:w="2107" w:type="dxa"/>
            <w:tcBorders>
              <w:top w:val="nil"/>
              <w:left w:val="nil"/>
              <w:bottom w:val="nil"/>
              <w:right w:val="nil"/>
            </w:tcBorders>
          </w:tcPr>
          <w:p w14:paraId="7038CB17" w14:textId="77777777" w:rsidR="00674EEA" w:rsidRPr="00674EEA" w:rsidRDefault="00674EEA" w:rsidP="007C7FCB">
            <w:pPr>
              <w:jc w:val="right"/>
              <w:rPr>
                <w:sz w:val="18"/>
                <w:szCs w:val="18"/>
                <w:lang w:val="en-GB"/>
              </w:rPr>
            </w:pPr>
            <w:r w:rsidRPr="00674EEA">
              <w:rPr>
                <w:sz w:val="18"/>
                <w:szCs w:val="18"/>
                <w:lang w:val="en-GB"/>
              </w:rPr>
              <w:t># countries</w:t>
            </w:r>
          </w:p>
        </w:tc>
        <w:tc>
          <w:tcPr>
            <w:tcW w:w="1571" w:type="dxa"/>
            <w:tcBorders>
              <w:top w:val="nil"/>
              <w:left w:val="nil"/>
              <w:bottom w:val="nil"/>
              <w:right w:val="nil"/>
            </w:tcBorders>
          </w:tcPr>
          <w:p w14:paraId="4DD42FE9" w14:textId="77777777" w:rsidR="00674EEA" w:rsidRPr="00674EEA" w:rsidRDefault="00674EEA" w:rsidP="007C7FCB">
            <w:pPr>
              <w:jc w:val="center"/>
              <w:rPr>
                <w:sz w:val="18"/>
                <w:szCs w:val="18"/>
                <w:lang w:val="en-GB"/>
              </w:rPr>
            </w:pPr>
            <w:r w:rsidRPr="00674EEA">
              <w:rPr>
                <w:sz w:val="18"/>
                <w:szCs w:val="18"/>
                <w:lang w:val="en-GB"/>
              </w:rPr>
              <w:t>164</w:t>
            </w:r>
          </w:p>
        </w:tc>
        <w:tc>
          <w:tcPr>
            <w:tcW w:w="1802" w:type="dxa"/>
            <w:tcBorders>
              <w:top w:val="nil"/>
              <w:left w:val="nil"/>
              <w:bottom w:val="nil"/>
              <w:right w:val="nil"/>
            </w:tcBorders>
          </w:tcPr>
          <w:p w14:paraId="603EE678" w14:textId="77777777" w:rsidR="00674EEA" w:rsidRPr="00674EEA" w:rsidRDefault="00674EEA" w:rsidP="007C7FCB">
            <w:pPr>
              <w:jc w:val="center"/>
              <w:rPr>
                <w:sz w:val="18"/>
                <w:szCs w:val="18"/>
                <w:lang w:val="en-GB"/>
              </w:rPr>
            </w:pPr>
            <w:r w:rsidRPr="00674EEA">
              <w:rPr>
                <w:sz w:val="18"/>
                <w:szCs w:val="18"/>
                <w:lang w:val="en-GB"/>
              </w:rPr>
              <w:t>218</w:t>
            </w:r>
          </w:p>
        </w:tc>
        <w:tc>
          <w:tcPr>
            <w:tcW w:w="1571" w:type="dxa"/>
            <w:tcBorders>
              <w:top w:val="nil"/>
              <w:left w:val="nil"/>
              <w:bottom w:val="nil"/>
              <w:right w:val="nil"/>
            </w:tcBorders>
          </w:tcPr>
          <w:p w14:paraId="681C67DA" w14:textId="77777777" w:rsidR="00674EEA" w:rsidRPr="00674EEA" w:rsidRDefault="00674EEA" w:rsidP="007C7FCB">
            <w:pPr>
              <w:jc w:val="center"/>
              <w:rPr>
                <w:sz w:val="18"/>
                <w:szCs w:val="18"/>
                <w:lang w:val="en-GB"/>
              </w:rPr>
            </w:pPr>
            <w:r w:rsidRPr="00674EEA">
              <w:rPr>
                <w:sz w:val="18"/>
                <w:szCs w:val="18"/>
                <w:lang w:val="en-GB"/>
              </w:rPr>
              <w:t>153</w:t>
            </w:r>
          </w:p>
        </w:tc>
        <w:tc>
          <w:tcPr>
            <w:tcW w:w="1775" w:type="dxa"/>
            <w:tcBorders>
              <w:top w:val="nil"/>
              <w:left w:val="nil"/>
              <w:bottom w:val="nil"/>
              <w:right w:val="nil"/>
            </w:tcBorders>
          </w:tcPr>
          <w:p w14:paraId="24C9035E" w14:textId="77777777" w:rsidR="00674EEA" w:rsidRPr="00674EEA" w:rsidRDefault="00674EEA" w:rsidP="007C7FCB">
            <w:pPr>
              <w:jc w:val="center"/>
              <w:rPr>
                <w:sz w:val="18"/>
                <w:szCs w:val="18"/>
                <w:lang w:val="en-GB"/>
              </w:rPr>
            </w:pPr>
            <w:r w:rsidRPr="00674EEA">
              <w:rPr>
                <w:sz w:val="18"/>
                <w:szCs w:val="18"/>
                <w:lang w:val="en-GB"/>
              </w:rPr>
              <w:t>218</w:t>
            </w:r>
          </w:p>
        </w:tc>
      </w:tr>
      <w:tr w:rsidR="00674EEA" w:rsidRPr="00674EEA" w14:paraId="02638BB7" w14:textId="77777777" w:rsidTr="006A33C0">
        <w:trPr>
          <w:trHeight w:val="378"/>
        </w:trPr>
        <w:tc>
          <w:tcPr>
            <w:tcW w:w="2107" w:type="dxa"/>
            <w:tcBorders>
              <w:top w:val="nil"/>
              <w:left w:val="nil"/>
              <w:bottom w:val="single" w:sz="4" w:space="0" w:color="auto"/>
              <w:right w:val="nil"/>
            </w:tcBorders>
          </w:tcPr>
          <w:p w14:paraId="777D60BA" w14:textId="77777777" w:rsidR="00674EEA" w:rsidRPr="00674EEA" w:rsidRDefault="00674EEA" w:rsidP="007C7FCB">
            <w:pPr>
              <w:jc w:val="right"/>
              <w:rPr>
                <w:sz w:val="18"/>
                <w:szCs w:val="18"/>
                <w:lang w:val="en-GB"/>
              </w:rPr>
            </w:pPr>
            <w:r w:rsidRPr="00674EEA">
              <w:rPr>
                <w:sz w:val="18"/>
                <w:szCs w:val="18"/>
                <w:lang w:val="en-GB"/>
              </w:rPr>
              <w:t># paired observations</w:t>
            </w:r>
          </w:p>
        </w:tc>
        <w:tc>
          <w:tcPr>
            <w:tcW w:w="1571" w:type="dxa"/>
            <w:tcBorders>
              <w:top w:val="nil"/>
              <w:left w:val="nil"/>
              <w:bottom w:val="single" w:sz="4" w:space="0" w:color="auto"/>
              <w:right w:val="nil"/>
            </w:tcBorders>
          </w:tcPr>
          <w:p w14:paraId="1FF4C818" w14:textId="77777777" w:rsidR="00674EEA" w:rsidRPr="00674EEA" w:rsidRDefault="00674EEA" w:rsidP="007C7FCB">
            <w:pPr>
              <w:jc w:val="center"/>
              <w:rPr>
                <w:sz w:val="18"/>
                <w:szCs w:val="18"/>
                <w:lang w:val="en-GB"/>
              </w:rPr>
            </w:pPr>
            <w:r w:rsidRPr="00674EEA">
              <w:rPr>
                <w:sz w:val="18"/>
                <w:szCs w:val="18"/>
                <w:lang w:val="en-GB"/>
              </w:rPr>
              <w:t>8,437</w:t>
            </w:r>
          </w:p>
        </w:tc>
        <w:tc>
          <w:tcPr>
            <w:tcW w:w="1802" w:type="dxa"/>
            <w:tcBorders>
              <w:top w:val="nil"/>
              <w:left w:val="nil"/>
              <w:bottom w:val="single" w:sz="4" w:space="0" w:color="auto"/>
              <w:right w:val="nil"/>
            </w:tcBorders>
          </w:tcPr>
          <w:p w14:paraId="0CACF266" w14:textId="77777777" w:rsidR="00674EEA" w:rsidRPr="00674EEA" w:rsidRDefault="00674EEA" w:rsidP="007C7FCB">
            <w:pPr>
              <w:jc w:val="center"/>
              <w:rPr>
                <w:sz w:val="18"/>
                <w:szCs w:val="18"/>
                <w:lang w:val="en-GB"/>
              </w:rPr>
            </w:pPr>
            <w:r w:rsidRPr="00674EEA">
              <w:rPr>
                <w:sz w:val="18"/>
                <w:szCs w:val="18"/>
                <w:lang w:val="en-GB"/>
              </w:rPr>
              <w:t>8,494</w:t>
            </w:r>
          </w:p>
        </w:tc>
        <w:tc>
          <w:tcPr>
            <w:tcW w:w="1571" w:type="dxa"/>
            <w:tcBorders>
              <w:top w:val="nil"/>
              <w:left w:val="nil"/>
              <w:bottom w:val="single" w:sz="4" w:space="0" w:color="auto"/>
              <w:right w:val="nil"/>
            </w:tcBorders>
          </w:tcPr>
          <w:p w14:paraId="61DBF6F0" w14:textId="77777777" w:rsidR="00674EEA" w:rsidRPr="00674EEA" w:rsidRDefault="00674EEA" w:rsidP="007C7FCB">
            <w:pPr>
              <w:jc w:val="center"/>
              <w:rPr>
                <w:sz w:val="18"/>
                <w:szCs w:val="18"/>
                <w:lang w:val="en-GB"/>
              </w:rPr>
            </w:pPr>
            <w:r w:rsidRPr="00674EEA">
              <w:rPr>
                <w:sz w:val="18"/>
                <w:szCs w:val="18"/>
                <w:lang w:val="en-GB"/>
              </w:rPr>
              <w:t>8,007</w:t>
            </w:r>
          </w:p>
        </w:tc>
        <w:tc>
          <w:tcPr>
            <w:tcW w:w="1775" w:type="dxa"/>
            <w:tcBorders>
              <w:top w:val="nil"/>
              <w:left w:val="nil"/>
              <w:bottom w:val="single" w:sz="4" w:space="0" w:color="auto"/>
              <w:right w:val="nil"/>
            </w:tcBorders>
          </w:tcPr>
          <w:p w14:paraId="4E9D44C1" w14:textId="77777777" w:rsidR="00674EEA" w:rsidRPr="00674EEA" w:rsidRDefault="00674EEA" w:rsidP="007C7FCB">
            <w:pPr>
              <w:jc w:val="center"/>
              <w:rPr>
                <w:sz w:val="18"/>
                <w:szCs w:val="18"/>
                <w:lang w:val="en-GB"/>
              </w:rPr>
            </w:pPr>
            <w:r w:rsidRPr="00674EEA">
              <w:rPr>
                <w:sz w:val="18"/>
                <w:szCs w:val="18"/>
                <w:lang w:val="en-GB"/>
              </w:rPr>
              <w:t>8,494</w:t>
            </w:r>
          </w:p>
        </w:tc>
      </w:tr>
      <w:tr w:rsidR="00674EEA" w:rsidRPr="00674EEA" w14:paraId="6D1E43ED" w14:textId="77777777" w:rsidTr="006A33C0">
        <w:trPr>
          <w:trHeight w:val="193"/>
        </w:trPr>
        <w:tc>
          <w:tcPr>
            <w:tcW w:w="8826" w:type="dxa"/>
            <w:gridSpan w:val="5"/>
            <w:tcBorders>
              <w:top w:val="single" w:sz="4" w:space="0" w:color="auto"/>
              <w:left w:val="nil"/>
              <w:bottom w:val="double" w:sz="4" w:space="0" w:color="auto"/>
              <w:right w:val="nil"/>
            </w:tcBorders>
          </w:tcPr>
          <w:p w14:paraId="3DF7F928" w14:textId="6415F431" w:rsidR="00674EEA" w:rsidRPr="00674EEA" w:rsidRDefault="00674EEA" w:rsidP="006A33C0">
            <w:pPr>
              <w:jc w:val="both"/>
              <w:rPr>
                <w:sz w:val="18"/>
                <w:szCs w:val="18"/>
                <w:lang w:val="en-GB"/>
              </w:rPr>
            </w:pPr>
            <w:r>
              <w:rPr>
                <w:sz w:val="18"/>
                <w:szCs w:val="18"/>
                <w:lang w:val="en-GB"/>
              </w:rPr>
              <w:t>Notes:</w:t>
            </w:r>
            <w:r w:rsidR="006A33C0">
              <w:rPr>
                <w:sz w:val="18"/>
                <w:szCs w:val="18"/>
                <w:lang w:val="en-GB"/>
              </w:rPr>
              <w:t xml:space="preserve"> the table reports the effect of the similarity with violators governance norms on the probability of compliance with the international law using the full corpus of UN General Assembly resolutions for the period 1947-2022. Coefficient e</w:t>
            </w:r>
            <w:r w:rsidR="006A33C0" w:rsidRPr="006A33C0">
              <w:rPr>
                <w:sz w:val="18"/>
                <w:szCs w:val="18"/>
                <w:lang w:val="en-GB"/>
              </w:rPr>
              <w:t xml:space="preserve">stimates are obtained using probit and logit models of the probability of voting in favor of UN General Assembly resolutions addressing violations of international law. Both specifications include country and year fixed effects where indicated. Covariates control for GDP per capita, population size, urbanization, and conflict incidence. </w:t>
            </w:r>
            <w:r w:rsidR="006A33C0">
              <w:rPr>
                <w:sz w:val="18"/>
                <w:szCs w:val="18"/>
                <w:lang w:val="en-GB"/>
              </w:rPr>
              <w:t>S</w:t>
            </w:r>
            <w:r w:rsidR="006A33C0" w:rsidRPr="006A33C0">
              <w:rPr>
                <w:sz w:val="18"/>
                <w:szCs w:val="18"/>
                <w:lang w:val="en-GB"/>
              </w:rPr>
              <w:t>tandard errors are clustered at the country level to allow for serial correlation</w:t>
            </w:r>
            <w:r w:rsidR="006A33C0">
              <w:rPr>
                <w:sz w:val="18"/>
                <w:szCs w:val="18"/>
                <w:lang w:val="en-GB"/>
              </w:rPr>
              <w:t xml:space="preserve"> of residuals</w:t>
            </w:r>
            <w:r w:rsidR="006A33C0" w:rsidRPr="006A33C0">
              <w:rPr>
                <w:sz w:val="18"/>
                <w:szCs w:val="18"/>
                <w:lang w:val="en-GB"/>
              </w:rPr>
              <w:t xml:space="preserve"> within countries</w:t>
            </w:r>
            <w:r w:rsidR="006A33C0">
              <w:rPr>
                <w:sz w:val="18"/>
                <w:szCs w:val="18"/>
                <w:lang w:val="en-GB"/>
              </w:rPr>
              <w:t>, and are reported in the parentheses.</w:t>
            </w:r>
            <w:r w:rsidR="006A33C0" w:rsidRPr="006A33C0">
              <w:rPr>
                <w:sz w:val="18"/>
                <w:szCs w:val="18"/>
                <w:lang w:val="en-GB"/>
              </w:rPr>
              <w:t xml:space="preserve"> Statistical significance is denoted by *** p &lt; 0.01, ** p &lt; 0.05, * p &lt; 0.10.</w:t>
            </w:r>
          </w:p>
        </w:tc>
      </w:tr>
    </w:tbl>
    <w:p w14:paraId="436BED10" w14:textId="1E7244B9" w:rsidR="00674EEA" w:rsidRDefault="00674EEA" w:rsidP="00674EEA">
      <w:pPr>
        <w:spacing w:after="0" w:line="240" w:lineRule="auto"/>
        <w:jc w:val="both"/>
        <w:rPr>
          <w:sz w:val="24"/>
          <w:szCs w:val="24"/>
          <w:lang w:val="en-GB"/>
        </w:rPr>
      </w:pPr>
    </w:p>
    <w:p w14:paraId="20C332BE" w14:textId="5E404004" w:rsidR="00674EEA" w:rsidRPr="00151305" w:rsidRDefault="00674EEA" w:rsidP="00151305">
      <w:pPr>
        <w:pStyle w:val="Naslov2"/>
        <w:ind w:firstLine="360"/>
        <w:rPr>
          <w:lang w:val="en-GB"/>
        </w:rPr>
      </w:pPr>
      <w:r w:rsidRPr="00151305">
        <w:rPr>
          <w:lang w:val="en-GB"/>
        </w:rPr>
        <w:tab/>
      </w:r>
      <w:bookmarkStart w:id="9" w:name="_Toc212314893"/>
      <w:r w:rsidR="00563C09" w:rsidRPr="00151305">
        <w:rPr>
          <w:lang w:val="en-GB"/>
        </w:rPr>
        <w:t>4</w:t>
      </w:r>
      <w:r w:rsidR="00372793" w:rsidRPr="00151305">
        <w:rPr>
          <w:lang w:val="en-GB"/>
        </w:rPr>
        <w:t>.3</w:t>
      </w:r>
      <w:r w:rsidR="00372793" w:rsidRPr="00151305">
        <w:rPr>
          <w:lang w:val="en-GB"/>
        </w:rPr>
        <w:tab/>
      </w:r>
      <w:r w:rsidRPr="00151305">
        <w:rPr>
          <w:lang w:val="en-GB"/>
        </w:rPr>
        <w:t>Effects by political regime: democracies vs. non-democracies</w:t>
      </w:r>
      <w:bookmarkEnd w:id="9"/>
    </w:p>
    <w:p w14:paraId="19F1ED25" w14:textId="71236301" w:rsidR="00674EEA" w:rsidRDefault="00674EEA" w:rsidP="00674EEA">
      <w:pPr>
        <w:spacing w:after="0" w:line="240" w:lineRule="auto"/>
        <w:jc w:val="both"/>
        <w:rPr>
          <w:sz w:val="24"/>
          <w:szCs w:val="24"/>
          <w:lang w:val="en-GB"/>
        </w:rPr>
      </w:pPr>
    </w:p>
    <w:p w14:paraId="31CCBEC6" w14:textId="77777777" w:rsidR="00674EEA" w:rsidRPr="00674EEA" w:rsidRDefault="00674EEA" w:rsidP="00674EEA">
      <w:pPr>
        <w:spacing w:after="0" w:line="240" w:lineRule="auto"/>
        <w:jc w:val="both"/>
        <w:rPr>
          <w:sz w:val="24"/>
          <w:szCs w:val="24"/>
          <w:lang w:val="en-GB"/>
        </w:rPr>
      </w:pPr>
      <w:r w:rsidRPr="00674EEA">
        <w:rPr>
          <w:sz w:val="24"/>
          <w:szCs w:val="24"/>
          <w:lang w:val="en-GB"/>
        </w:rPr>
        <w:t xml:space="preserve">A key question in the analysis is whether the relationship between governance distance and compliance with international law varies across political regimes. To address this, we estimate separate models for democracies and non-democracies using Boix et. al. (2003) classification criteria. The results, reported in Table 3, reveal striking heterogeneity. In democratic states, greater institutional similarity with the violators of international law is associated with a 16 percent decrease in the probability of voting in favor of the resolution, indicating a marked departure from the compliance benchmark. When the same relationship is estimated using a logit model, the magnitude of the effect increases to 32 percent (p &lt; 0.001). This pattern is consistent with the idea that democracies, being more responsive to reputational incentives </w:t>
      </w:r>
      <w:r w:rsidRPr="00674EEA">
        <w:rPr>
          <w:sz w:val="24"/>
          <w:szCs w:val="24"/>
          <w:lang w:val="en-GB"/>
        </w:rPr>
        <w:lastRenderedPageBreak/>
        <w:t>and international scrutiny, exhibit a more pronounced behavioral adjustment when their institutional characteristics diverge from those of violators.</w:t>
      </w:r>
    </w:p>
    <w:p w14:paraId="16BF7BE3" w14:textId="77777777" w:rsidR="00674EEA" w:rsidRPr="00674EEA" w:rsidRDefault="00674EEA" w:rsidP="00674EEA">
      <w:pPr>
        <w:spacing w:after="0" w:line="240" w:lineRule="auto"/>
        <w:jc w:val="both"/>
        <w:rPr>
          <w:sz w:val="24"/>
          <w:szCs w:val="24"/>
          <w:lang w:val="en-GB"/>
        </w:rPr>
      </w:pPr>
    </w:p>
    <w:p w14:paraId="4B0071A8" w14:textId="32419DBD" w:rsidR="00674EEA" w:rsidRPr="00674EEA" w:rsidRDefault="00674EEA" w:rsidP="00674EEA">
      <w:pPr>
        <w:spacing w:after="0" w:line="240" w:lineRule="auto"/>
        <w:jc w:val="both"/>
        <w:rPr>
          <w:sz w:val="24"/>
          <w:szCs w:val="24"/>
          <w:lang w:val="en-GB"/>
        </w:rPr>
      </w:pPr>
      <w:r w:rsidRPr="00674EEA">
        <w:rPr>
          <w:sz w:val="24"/>
          <w:szCs w:val="24"/>
          <w:lang w:val="en-GB"/>
        </w:rPr>
        <w:t xml:space="preserve">In contrast, for non-democratic regimes the estimated probit and logit coefficients on governance distance in columns (3) and (4) are statistically indistinguishable from zero. This null effect suggests that in autocracies, institutional dissimilarity from violators does not systematically translate into differences in compliance behavior. Authoritarian governments appear less sensitive to the reputational or normative dimensions of international law, treating UNGA voting decisions as primarily strategic rather than normative acts. This divergence across regime types provides compelling evidence that compliance with international law is conditioned not only by structural similarity to violators but also by domestic institutional constraints and the degree of political accountability. Democracies internalize the reputational costs of non-compliance more strongly, while autocracies face limited external or domestic pressure to conform to international norms. The log-likelihood ratio tests and count R2 values reinforce this interpretation. Among democracies, both the probit and logit specifications display high explanatory power (count R2 </w:t>
      </w:r>
      <w:r>
        <w:rPr>
          <w:rFonts w:ascii="Times New Roman" w:hAnsi="Times New Roman" w:cs="Times New Roman"/>
          <w:sz w:val="24"/>
          <w:szCs w:val="24"/>
          <w:lang w:val="en-GB"/>
        </w:rPr>
        <w:t>=</w:t>
      </w:r>
      <w:r w:rsidRPr="00674EEA">
        <w:rPr>
          <w:sz w:val="24"/>
          <w:szCs w:val="24"/>
          <w:lang w:val="en-GB"/>
        </w:rPr>
        <w:t xml:space="preserve"> 0.71), while the corresponding models for non-democracies yield near-zero coefficients and lower overall fit. These results reveal a sharp bifurcation in the mechanisms underpinning compliance behavior. In democratic regimes, compliance with international law operates through reputational and institutional channels consistent with dynamic equilibrium theory, whereas in non-democratic regimes, compliance is driven by opportunism, alliances, and short-term geopolitical calculus.</w:t>
      </w:r>
    </w:p>
    <w:p w14:paraId="759A10E6" w14:textId="77777777" w:rsidR="00674EEA" w:rsidRPr="00674EEA" w:rsidRDefault="00674EEA" w:rsidP="00674EEA">
      <w:pPr>
        <w:spacing w:after="0" w:line="240" w:lineRule="auto"/>
        <w:jc w:val="both"/>
        <w:rPr>
          <w:sz w:val="24"/>
          <w:szCs w:val="24"/>
          <w:lang w:val="en-GB"/>
        </w:rPr>
      </w:pPr>
    </w:p>
    <w:p w14:paraId="50941D87" w14:textId="333955B0" w:rsidR="00674EEA" w:rsidRPr="00D311AE" w:rsidRDefault="00674EEA" w:rsidP="00674EEA">
      <w:pPr>
        <w:spacing w:after="0"/>
        <w:rPr>
          <w:sz w:val="20"/>
          <w:szCs w:val="16"/>
          <w:lang w:val="en-GB"/>
        </w:rPr>
      </w:pPr>
      <w:r w:rsidRPr="00372793">
        <w:rPr>
          <w:b/>
          <w:bCs/>
          <w:sz w:val="20"/>
          <w:szCs w:val="16"/>
          <w:lang w:val="en-GB"/>
        </w:rPr>
        <w:t>Table</w:t>
      </w:r>
      <w:r w:rsidR="00372793" w:rsidRPr="00372793">
        <w:rPr>
          <w:b/>
          <w:bCs/>
          <w:sz w:val="20"/>
          <w:szCs w:val="16"/>
          <w:lang w:val="en-GB"/>
        </w:rPr>
        <w:t xml:space="preserve"> 5</w:t>
      </w:r>
      <w:r w:rsidRPr="00D311AE">
        <w:rPr>
          <w:sz w:val="20"/>
          <w:szCs w:val="16"/>
          <w:lang w:val="en-GB"/>
        </w:rPr>
        <w:t>: Probit and Logit Estimated Effects of Institutional Distance on Compliance with International Law in Democracies and Non-Democracies, 1946-2023</w:t>
      </w:r>
    </w:p>
    <w:tbl>
      <w:tblPr>
        <w:tblStyle w:val="Tabelamrea"/>
        <w:tblW w:w="0" w:type="auto"/>
        <w:tblLook w:val="04A0" w:firstRow="1" w:lastRow="0" w:firstColumn="1" w:lastColumn="0" w:noHBand="0" w:noVBand="1"/>
      </w:tblPr>
      <w:tblGrid>
        <w:gridCol w:w="2107"/>
        <w:gridCol w:w="1571"/>
        <w:gridCol w:w="1802"/>
        <w:gridCol w:w="1571"/>
        <w:gridCol w:w="1775"/>
      </w:tblGrid>
      <w:tr w:rsidR="00674EEA" w:rsidRPr="00D311AE" w14:paraId="6DBE76EE" w14:textId="77777777" w:rsidTr="00372793">
        <w:trPr>
          <w:trHeight w:val="193"/>
        </w:trPr>
        <w:tc>
          <w:tcPr>
            <w:tcW w:w="2107" w:type="dxa"/>
            <w:tcBorders>
              <w:top w:val="double" w:sz="4" w:space="0" w:color="auto"/>
              <w:left w:val="nil"/>
              <w:bottom w:val="nil"/>
              <w:right w:val="nil"/>
            </w:tcBorders>
          </w:tcPr>
          <w:p w14:paraId="5D3DABE4" w14:textId="77777777" w:rsidR="00674EEA" w:rsidRPr="00D311AE" w:rsidRDefault="00674EEA" w:rsidP="007C7FCB">
            <w:pPr>
              <w:spacing w:line="259" w:lineRule="auto"/>
              <w:jc w:val="right"/>
              <w:rPr>
                <w:sz w:val="18"/>
                <w:szCs w:val="14"/>
                <w:lang w:val="en-GB"/>
              </w:rPr>
            </w:pPr>
          </w:p>
        </w:tc>
        <w:tc>
          <w:tcPr>
            <w:tcW w:w="3373" w:type="dxa"/>
            <w:gridSpan w:val="2"/>
            <w:tcBorders>
              <w:top w:val="double" w:sz="4" w:space="0" w:color="auto"/>
              <w:left w:val="nil"/>
              <w:bottom w:val="single" w:sz="4" w:space="0" w:color="auto"/>
              <w:right w:val="nil"/>
            </w:tcBorders>
          </w:tcPr>
          <w:p w14:paraId="21F84097" w14:textId="77777777" w:rsidR="00674EEA" w:rsidRPr="00D311AE" w:rsidRDefault="00674EEA" w:rsidP="007C7FCB">
            <w:pPr>
              <w:spacing w:line="259" w:lineRule="auto"/>
              <w:jc w:val="center"/>
              <w:rPr>
                <w:sz w:val="18"/>
                <w:szCs w:val="14"/>
                <w:lang w:val="en-GB"/>
              </w:rPr>
            </w:pPr>
            <w:r w:rsidRPr="00D311AE">
              <w:rPr>
                <w:sz w:val="18"/>
                <w:szCs w:val="14"/>
                <w:lang w:val="en-GB"/>
              </w:rPr>
              <w:t>Democracies</w:t>
            </w:r>
          </w:p>
        </w:tc>
        <w:tc>
          <w:tcPr>
            <w:tcW w:w="3346" w:type="dxa"/>
            <w:gridSpan w:val="2"/>
            <w:tcBorders>
              <w:top w:val="double" w:sz="4" w:space="0" w:color="auto"/>
              <w:left w:val="nil"/>
              <w:bottom w:val="single" w:sz="4" w:space="0" w:color="auto"/>
              <w:right w:val="nil"/>
            </w:tcBorders>
          </w:tcPr>
          <w:p w14:paraId="4BD2B6DF" w14:textId="77777777" w:rsidR="00674EEA" w:rsidRPr="00D311AE" w:rsidRDefault="00674EEA" w:rsidP="007C7FCB">
            <w:pPr>
              <w:spacing w:line="259" w:lineRule="auto"/>
              <w:jc w:val="center"/>
              <w:rPr>
                <w:sz w:val="18"/>
                <w:szCs w:val="14"/>
                <w:lang w:val="en-GB"/>
              </w:rPr>
            </w:pPr>
            <w:r w:rsidRPr="00D311AE">
              <w:rPr>
                <w:sz w:val="18"/>
                <w:szCs w:val="14"/>
                <w:lang w:val="en-GB"/>
              </w:rPr>
              <w:t>Non-Democracies</w:t>
            </w:r>
          </w:p>
        </w:tc>
      </w:tr>
      <w:tr w:rsidR="00674EEA" w:rsidRPr="00D311AE" w14:paraId="0DF8A7AC" w14:textId="77777777" w:rsidTr="00372793">
        <w:trPr>
          <w:trHeight w:val="193"/>
        </w:trPr>
        <w:tc>
          <w:tcPr>
            <w:tcW w:w="2107" w:type="dxa"/>
            <w:tcBorders>
              <w:top w:val="nil"/>
              <w:left w:val="nil"/>
              <w:bottom w:val="nil"/>
              <w:right w:val="nil"/>
            </w:tcBorders>
          </w:tcPr>
          <w:p w14:paraId="3EE57435" w14:textId="77777777" w:rsidR="00674EEA" w:rsidRPr="00D311AE" w:rsidRDefault="00674EEA" w:rsidP="007C7FCB">
            <w:pPr>
              <w:spacing w:line="259" w:lineRule="auto"/>
              <w:jc w:val="right"/>
              <w:rPr>
                <w:sz w:val="18"/>
                <w:szCs w:val="14"/>
                <w:lang w:val="en-GB"/>
              </w:rPr>
            </w:pPr>
          </w:p>
        </w:tc>
        <w:tc>
          <w:tcPr>
            <w:tcW w:w="1571" w:type="dxa"/>
            <w:tcBorders>
              <w:top w:val="single" w:sz="4" w:space="0" w:color="auto"/>
              <w:left w:val="nil"/>
              <w:bottom w:val="single" w:sz="4" w:space="0" w:color="auto"/>
              <w:right w:val="nil"/>
            </w:tcBorders>
          </w:tcPr>
          <w:p w14:paraId="03A7F6E4" w14:textId="77777777" w:rsidR="00674EEA" w:rsidRPr="00D311AE" w:rsidRDefault="00674EEA" w:rsidP="007C7FCB">
            <w:pPr>
              <w:spacing w:line="259" w:lineRule="auto"/>
              <w:jc w:val="center"/>
              <w:rPr>
                <w:sz w:val="18"/>
                <w:szCs w:val="14"/>
                <w:lang w:val="en-GB"/>
              </w:rPr>
            </w:pPr>
            <w:r w:rsidRPr="00D311AE">
              <w:rPr>
                <w:sz w:val="18"/>
                <w:szCs w:val="14"/>
                <w:lang w:val="en-GB"/>
              </w:rPr>
              <w:t>(1)</w:t>
            </w:r>
          </w:p>
        </w:tc>
        <w:tc>
          <w:tcPr>
            <w:tcW w:w="1802" w:type="dxa"/>
            <w:tcBorders>
              <w:top w:val="single" w:sz="4" w:space="0" w:color="auto"/>
              <w:left w:val="nil"/>
              <w:bottom w:val="single" w:sz="4" w:space="0" w:color="auto"/>
              <w:right w:val="nil"/>
            </w:tcBorders>
          </w:tcPr>
          <w:p w14:paraId="5DB72FF0" w14:textId="77777777" w:rsidR="00674EEA" w:rsidRPr="00D311AE" w:rsidRDefault="00674EEA" w:rsidP="007C7FCB">
            <w:pPr>
              <w:spacing w:line="259" w:lineRule="auto"/>
              <w:jc w:val="center"/>
              <w:rPr>
                <w:sz w:val="18"/>
                <w:szCs w:val="14"/>
                <w:lang w:val="en-GB"/>
              </w:rPr>
            </w:pPr>
            <w:r w:rsidRPr="00D311AE">
              <w:rPr>
                <w:sz w:val="18"/>
                <w:szCs w:val="14"/>
                <w:lang w:val="en-GB"/>
              </w:rPr>
              <w:t>(2)</w:t>
            </w:r>
          </w:p>
        </w:tc>
        <w:tc>
          <w:tcPr>
            <w:tcW w:w="1571" w:type="dxa"/>
            <w:tcBorders>
              <w:top w:val="single" w:sz="4" w:space="0" w:color="auto"/>
              <w:left w:val="nil"/>
              <w:bottom w:val="single" w:sz="4" w:space="0" w:color="auto"/>
              <w:right w:val="nil"/>
            </w:tcBorders>
          </w:tcPr>
          <w:p w14:paraId="57B70358" w14:textId="77777777" w:rsidR="00674EEA" w:rsidRPr="00D311AE" w:rsidRDefault="00674EEA" w:rsidP="007C7FCB">
            <w:pPr>
              <w:spacing w:line="259" w:lineRule="auto"/>
              <w:jc w:val="center"/>
              <w:rPr>
                <w:sz w:val="18"/>
                <w:szCs w:val="14"/>
                <w:lang w:val="en-GB"/>
              </w:rPr>
            </w:pPr>
            <w:r w:rsidRPr="00D311AE">
              <w:rPr>
                <w:sz w:val="18"/>
                <w:szCs w:val="14"/>
                <w:lang w:val="en-GB"/>
              </w:rPr>
              <w:t>(3)</w:t>
            </w:r>
          </w:p>
        </w:tc>
        <w:tc>
          <w:tcPr>
            <w:tcW w:w="1775" w:type="dxa"/>
            <w:tcBorders>
              <w:top w:val="single" w:sz="4" w:space="0" w:color="auto"/>
              <w:left w:val="nil"/>
              <w:bottom w:val="single" w:sz="4" w:space="0" w:color="auto"/>
              <w:right w:val="nil"/>
            </w:tcBorders>
          </w:tcPr>
          <w:p w14:paraId="23083C29" w14:textId="77777777" w:rsidR="00674EEA" w:rsidRPr="00D311AE" w:rsidRDefault="00674EEA" w:rsidP="007C7FCB">
            <w:pPr>
              <w:spacing w:line="259" w:lineRule="auto"/>
              <w:jc w:val="center"/>
              <w:rPr>
                <w:sz w:val="18"/>
                <w:szCs w:val="14"/>
                <w:lang w:val="en-GB"/>
              </w:rPr>
            </w:pPr>
            <w:r w:rsidRPr="00D311AE">
              <w:rPr>
                <w:sz w:val="18"/>
                <w:szCs w:val="14"/>
                <w:lang w:val="en-GB"/>
              </w:rPr>
              <w:t>(4)</w:t>
            </w:r>
          </w:p>
        </w:tc>
      </w:tr>
      <w:tr w:rsidR="00674EEA" w:rsidRPr="00D311AE" w14:paraId="4F944C52" w14:textId="77777777" w:rsidTr="00372793">
        <w:trPr>
          <w:trHeight w:val="185"/>
        </w:trPr>
        <w:tc>
          <w:tcPr>
            <w:tcW w:w="2107" w:type="dxa"/>
            <w:tcBorders>
              <w:top w:val="nil"/>
              <w:left w:val="nil"/>
              <w:bottom w:val="nil"/>
              <w:right w:val="nil"/>
            </w:tcBorders>
          </w:tcPr>
          <w:p w14:paraId="17451C7F" w14:textId="77777777" w:rsidR="00674EEA" w:rsidRPr="00D311AE" w:rsidRDefault="00674EEA" w:rsidP="007C7FCB">
            <w:pPr>
              <w:spacing w:line="259" w:lineRule="auto"/>
              <w:jc w:val="right"/>
              <w:rPr>
                <w:sz w:val="18"/>
                <w:szCs w:val="14"/>
                <w:lang w:val="en-GB"/>
              </w:rPr>
            </w:pPr>
          </w:p>
        </w:tc>
        <w:tc>
          <w:tcPr>
            <w:tcW w:w="1571" w:type="dxa"/>
            <w:tcBorders>
              <w:top w:val="single" w:sz="4" w:space="0" w:color="auto"/>
              <w:left w:val="nil"/>
              <w:bottom w:val="single" w:sz="4" w:space="0" w:color="auto"/>
              <w:right w:val="nil"/>
            </w:tcBorders>
          </w:tcPr>
          <w:p w14:paraId="5162F1A7" w14:textId="77777777" w:rsidR="00674EEA" w:rsidRPr="00D311AE" w:rsidRDefault="00674EEA" w:rsidP="007C7FCB">
            <w:pPr>
              <w:spacing w:line="259" w:lineRule="auto"/>
              <w:jc w:val="center"/>
              <w:rPr>
                <w:sz w:val="18"/>
                <w:szCs w:val="14"/>
                <w:lang w:val="en-GB"/>
              </w:rPr>
            </w:pPr>
            <w:r w:rsidRPr="00D311AE">
              <w:rPr>
                <w:sz w:val="18"/>
                <w:szCs w:val="14"/>
                <w:lang w:val="en-GB"/>
              </w:rPr>
              <w:t>Probit</w:t>
            </w:r>
          </w:p>
        </w:tc>
        <w:tc>
          <w:tcPr>
            <w:tcW w:w="1802" w:type="dxa"/>
            <w:tcBorders>
              <w:top w:val="single" w:sz="4" w:space="0" w:color="auto"/>
              <w:left w:val="nil"/>
              <w:bottom w:val="single" w:sz="4" w:space="0" w:color="auto"/>
              <w:right w:val="nil"/>
            </w:tcBorders>
          </w:tcPr>
          <w:p w14:paraId="5BDD7260" w14:textId="77777777" w:rsidR="00674EEA" w:rsidRPr="00D311AE" w:rsidRDefault="00674EEA" w:rsidP="007C7FCB">
            <w:pPr>
              <w:spacing w:line="259" w:lineRule="auto"/>
              <w:jc w:val="center"/>
              <w:rPr>
                <w:sz w:val="18"/>
                <w:szCs w:val="14"/>
                <w:lang w:val="en-GB"/>
              </w:rPr>
            </w:pPr>
            <w:r w:rsidRPr="00D311AE">
              <w:rPr>
                <w:sz w:val="18"/>
                <w:szCs w:val="14"/>
                <w:lang w:val="en-GB"/>
              </w:rPr>
              <w:t>Logit</w:t>
            </w:r>
          </w:p>
        </w:tc>
        <w:tc>
          <w:tcPr>
            <w:tcW w:w="1571" w:type="dxa"/>
            <w:tcBorders>
              <w:top w:val="single" w:sz="4" w:space="0" w:color="auto"/>
              <w:left w:val="nil"/>
              <w:bottom w:val="single" w:sz="4" w:space="0" w:color="auto"/>
              <w:right w:val="nil"/>
            </w:tcBorders>
          </w:tcPr>
          <w:p w14:paraId="5979BD7E" w14:textId="77777777" w:rsidR="00674EEA" w:rsidRPr="00D311AE" w:rsidRDefault="00674EEA" w:rsidP="007C7FCB">
            <w:pPr>
              <w:spacing w:line="259" w:lineRule="auto"/>
              <w:jc w:val="center"/>
              <w:rPr>
                <w:sz w:val="18"/>
                <w:szCs w:val="14"/>
                <w:lang w:val="en-GB"/>
              </w:rPr>
            </w:pPr>
            <w:r w:rsidRPr="00D311AE">
              <w:rPr>
                <w:sz w:val="18"/>
                <w:szCs w:val="14"/>
                <w:lang w:val="en-GB"/>
              </w:rPr>
              <w:t>Probit</w:t>
            </w:r>
          </w:p>
        </w:tc>
        <w:tc>
          <w:tcPr>
            <w:tcW w:w="1775" w:type="dxa"/>
            <w:tcBorders>
              <w:top w:val="single" w:sz="4" w:space="0" w:color="auto"/>
              <w:left w:val="nil"/>
              <w:bottom w:val="single" w:sz="4" w:space="0" w:color="auto"/>
              <w:right w:val="nil"/>
            </w:tcBorders>
          </w:tcPr>
          <w:p w14:paraId="2E6764D7" w14:textId="77777777" w:rsidR="00674EEA" w:rsidRPr="00D311AE" w:rsidRDefault="00674EEA" w:rsidP="007C7FCB">
            <w:pPr>
              <w:spacing w:line="259" w:lineRule="auto"/>
              <w:jc w:val="center"/>
              <w:rPr>
                <w:sz w:val="18"/>
                <w:szCs w:val="14"/>
                <w:lang w:val="en-GB"/>
              </w:rPr>
            </w:pPr>
            <w:r w:rsidRPr="00D311AE">
              <w:rPr>
                <w:sz w:val="18"/>
                <w:szCs w:val="14"/>
                <w:lang w:val="en-GB"/>
              </w:rPr>
              <w:t>Logit</w:t>
            </w:r>
          </w:p>
        </w:tc>
      </w:tr>
      <w:tr w:rsidR="00674EEA" w:rsidRPr="00D311AE" w14:paraId="045CE8FF" w14:textId="77777777" w:rsidTr="00372793">
        <w:trPr>
          <w:trHeight w:val="378"/>
        </w:trPr>
        <w:tc>
          <w:tcPr>
            <w:tcW w:w="2107" w:type="dxa"/>
            <w:tcBorders>
              <w:top w:val="nil"/>
              <w:left w:val="nil"/>
              <w:bottom w:val="nil"/>
              <w:right w:val="nil"/>
            </w:tcBorders>
          </w:tcPr>
          <w:p w14:paraId="0740B2D2" w14:textId="77777777" w:rsidR="00674EEA" w:rsidRPr="00D311AE" w:rsidRDefault="00674EEA" w:rsidP="007C7FCB">
            <w:pPr>
              <w:spacing w:line="259" w:lineRule="auto"/>
              <w:jc w:val="right"/>
              <w:rPr>
                <w:sz w:val="18"/>
                <w:szCs w:val="14"/>
                <w:lang w:val="en-GB"/>
              </w:rPr>
            </w:pPr>
            <w:r w:rsidRPr="00D311AE">
              <w:rPr>
                <w:sz w:val="18"/>
                <w:szCs w:val="14"/>
                <w:lang w:val="en-GB"/>
              </w:rPr>
              <w:t>Governance Distance</w:t>
            </w:r>
          </w:p>
        </w:tc>
        <w:tc>
          <w:tcPr>
            <w:tcW w:w="1571" w:type="dxa"/>
            <w:tcBorders>
              <w:top w:val="single" w:sz="4" w:space="0" w:color="auto"/>
              <w:left w:val="nil"/>
              <w:bottom w:val="nil"/>
              <w:right w:val="nil"/>
            </w:tcBorders>
          </w:tcPr>
          <w:p w14:paraId="5818CB46" w14:textId="77777777" w:rsidR="00674EEA" w:rsidRPr="00D311AE" w:rsidRDefault="00674EEA" w:rsidP="007C7FCB">
            <w:pPr>
              <w:spacing w:line="259" w:lineRule="auto"/>
              <w:jc w:val="center"/>
              <w:rPr>
                <w:sz w:val="18"/>
                <w:szCs w:val="14"/>
                <w:lang w:val="en-GB"/>
              </w:rPr>
            </w:pPr>
            <w:r w:rsidRPr="00D311AE">
              <w:rPr>
                <w:sz w:val="18"/>
                <w:szCs w:val="14"/>
                <w:lang w:val="en-GB"/>
              </w:rPr>
              <w:t>0.165*</w:t>
            </w:r>
          </w:p>
          <w:p w14:paraId="4A3B23FB" w14:textId="77777777" w:rsidR="00674EEA" w:rsidRPr="00D311AE" w:rsidRDefault="00674EEA" w:rsidP="007C7FCB">
            <w:pPr>
              <w:spacing w:line="259" w:lineRule="auto"/>
              <w:jc w:val="center"/>
              <w:rPr>
                <w:sz w:val="18"/>
                <w:szCs w:val="14"/>
                <w:lang w:val="en-GB"/>
              </w:rPr>
            </w:pPr>
            <w:r w:rsidRPr="00D311AE">
              <w:rPr>
                <w:sz w:val="18"/>
                <w:szCs w:val="14"/>
                <w:lang w:val="en-GB"/>
              </w:rPr>
              <w:t>(0.087)</w:t>
            </w:r>
          </w:p>
        </w:tc>
        <w:tc>
          <w:tcPr>
            <w:tcW w:w="1802" w:type="dxa"/>
            <w:tcBorders>
              <w:top w:val="single" w:sz="4" w:space="0" w:color="auto"/>
              <w:left w:val="nil"/>
              <w:bottom w:val="nil"/>
              <w:right w:val="nil"/>
            </w:tcBorders>
          </w:tcPr>
          <w:p w14:paraId="59E02F12" w14:textId="77777777" w:rsidR="00674EEA" w:rsidRPr="00D311AE" w:rsidRDefault="00674EEA" w:rsidP="007C7FCB">
            <w:pPr>
              <w:spacing w:line="259" w:lineRule="auto"/>
              <w:jc w:val="center"/>
              <w:rPr>
                <w:sz w:val="18"/>
                <w:szCs w:val="14"/>
                <w:lang w:val="en-GB"/>
              </w:rPr>
            </w:pPr>
            <w:r w:rsidRPr="00D311AE">
              <w:rPr>
                <w:sz w:val="18"/>
                <w:szCs w:val="14"/>
                <w:lang w:val="en-GB"/>
              </w:rPr>
              <w:t>0.329***</w:t>
            </w:r>
          </w:p>
          <w:p w14:paraId="087AAC0B" w14:textId="77777777" w:rsidR="00674EEA" w:rsidRPr="00D311AE" w:rsidRDefault="00674EEA" w:rsidP="007C7FCB">
            <w:pPr>
              <w:spacing w:line="259" w:lineRule="auto"/>
              <w:jc w:val="center"/>
              <w:rPr>
                <w:sz w:val="18"/>
                <w:szCs w:val="14"/>
                <w:lang w:val="en-GB"/>
              </w:rPr>
            </w:pPr>
            <w:r w:rsidRPr="00D311AE">
              <w:rPr>
                <w:sz w:val="18"/>
                <w:szCs w:val="14"/>
                <w:lang w:val="en-GB"/>
              </w:rPr>
              <w:t>(0.149)</w:t>
            </w:r>
          </w:p>
        </w:tc>
        <w:tc>
          <w:tcPr>
            <w:tcW w:w="1571" w:type="dxa"/>
            <w:tcBorders>
              <w:top w:val="single" w:sz="4" w:space="0" w:color="auto"/>
              <w:left w:val="nil"/>
              <w:bottom w:val="nil"/>
              <w:right w:val="nil"/>
            </w:tcBorders>
          </w:tcPr>
          <w:p w14:paraId="6526E80D" w14:textId="77777777" w:rsidR="00674EEA" w:rsidRPr="00D311AE" w:rsidRDefault="00674EEA" w:rsidP="007C7FCB">
            <w:pPr>
              <w:spacing w:line="259" w:lineRule="auto"/>
              <w:jc w:val="center"/>
              <w:rPr>
                <w:sz w:val="18"/>
                <w:szCs w:val="14"/>
                <w:lang w:val="en-GB"/>
              </w:rPr>
            </w:pPr>
            <w:r w:rsidRPr="00D311AE">
              <w:rPr>
                <w:sz w:val="18"/>
                <w:szCs w:val="14"/>
                <w:lang w:val="en-GB"/>
              </w:rPr>
              <w:t>0.691</w:t>
            </w:r>
          </w:p>
          <w:p w14:paraId="20A1348F" w14:textId="77777777" w:rsidR="00674EEA" w:rsidRPr="00D311AE" w:rsidRDefault="00674EEA" w:rsidP="007C7FCB">
            <w:pPr>
              <w:spacing w:line="259" w:lineRule="auto"/>
              <w:jc w:val="center"/>
              <w:rPr>
                <w:sz w:val="18"/>
                <w:szCs w:val="14"/>
                <w:lang w:val="en-GB"/>
              </w:rPr>
            </w:pPr>
            <w:r w:rsidRPr="00D311AE">
              <w:rPr>
                <w:sz w:val="18"/>
                <w:szCs w:val="14"/>
                <w:lang w:val="en-GB"/>
              </w:rPr>
              <w:t>(0.204)</w:t>
            </w:r>
          </w:p>
        </w:tc>
        <w:tc>
          <w:tcPr>
            <w:tcW w:w="1775" w:type="dxa"/>
            <w:tcBorders>
              <w:top w:val="single" w:sz="4" w:space="0" w:color="auto"/>
              <w:left w:val="nil"/>
              <w:bottom w:val="nil"/>
              <w:right w:val="nil"/>
            </w:tcBorders>
          </w:tcPr>
          <w:p w14:paraId="636A12C3" w14:textId="77777777" w:rsidR="00674EEA" w:rsidRPr="00D311AE" w:rsidRDefault="00674EEA" w:rsidP="007C7FCB">
            <w:pPr>
              <w:spacing w:line="259" w:lineRule="auto"/>
              <w:jc w:val="center"/>
              <w:rPr>
                <w:sz w:val="18"/>
                <w:szCs w:val="14"/>
                <w:lang w:val="en-GB"/>
              </w:rPr>
            </w:pPr>
            <w:r w:rsidRPr="00D311AE">
              <w:rPr>
                <w:sz w:val="18"/>
                <w:szCs w:val="14"/>
                <w:lang w:val="en-GB"/>
              </w:rPr>
              <w:t>0.099</w:t>
            </w:r>
          </w:p>
          <w:p w14:paraId="775EA13F" w14:textId="77777777" w:rsidR="00674EEA" w:rsidRPr="00D311AE" w:rsidRDefault="00674EEA" w:rsidP="007C7FCB">
            <w:pPr>
              <w:spacing w:line="259" w:lineRule="auto"/>
              <w:jc w:val="center"/>
              <w:rPr>
                <w:sz w:val="18"/>
                <w:szCs w:val="14"/>
                <w:lang w:val="en-GB"/>
              </w:rPr>
            </w:pPr>
            <w:r w:rsidRPr="00D311AE">
              <w:rPr>
                <w:sz w:val="18"/>
                <w:szCs w:val="14"/>
                <w:lang w:val="en-GB"/>
              </w:rPr>
              <w:t>(0.115)</w:t>
            </w:r>
          </w:p>
        </w:tc>
      </w:tr>
      <w:tr w:rsidR="00674EEA" w:rsidRPr="00D311AE" w14:paraId="3DC7D14D" w14:textId="77777777" w:rsidTr="00372793">
        <w:trPr>
          <w:trHeight w:val="185"/>
        </w:trPr>
        <w:tc>
          <w:tcPr>
            <w:tcW w:w="2107" w:type="dxa"/>
            <w:tcBorders>
              <w:top w:val="nil"/>
              <w:left w:val="nil"/>
              <w:bottom w:val="nil"/>
              <w:right w:val="nil"/>
            </w:tcBorders>
          </w:tcPr>
          <w:p w14:paraId="7B6342E5" w14:textId="77777777" w:rsidR="00674EEA" w:rsidRPr="00D311AE" w:rsidRDefault="00674EEA" w:rsidP="007C7FCB">
            <w:pPr>
              <w:spacing w:line="259" w:lineRule="auto"/>
              <w:jc w:val="right"/>
              <w:rPr>
                <w:sz w:val="18"/>
                <w:szCs w:val="14"/>
                <w:lang w:val="en-GB"/>
              </w:rPr>
            </w:pPr>
          </w:p>
        </w:tc>
        <w:tc>
          <w:tcPr>
            <w:tcW w:w="1571" w:type="dxa"/>
            <w:tcBorders>
              <w:top w:val="nil"/>
              <w:left w:val="nil"/>
              <w:bottom w:val="nil"/>
              <w:right w:val="nil"/>
            </w:tcBorders>
          </w:tcPr>
          <w:p w14:paraId="2A0A373D" w14:textId="77777777" w:rsidR="00674EEA" w:rsidRPr="00D311AE" w:rsidRDefault="00674EEA" w:rsidP="007C7FCB">
            <w:pPr>
              <w:spacing w:line="259" w:lineRule="auto"/>
              <w:jc w:val="center"/>
              <w:rPr>
                <w:sz w:val="18"/>
                <w:szCs w:val="14"/>
                <w:lang w:val="en-GB"/>
              </w:rPr>
            </w:pPr>
          </w:p>
        </w:tc>
        <w:tc>
          <w:tcPr>
            <w:tcW w:w="1802" w:type="dxa"/>
            <w:tcBorders>
              <w:top w:val="nil"/>
              <w:left w:val="nil"/>
              <w:bottom w:val="nil"/>
              <w:right w:val="nil"/>
            </w:tcBorders>
          </w:tcPr>
          <w:p w14:paraId="64F5F64D" w14:textId="77777777" w:rsidR="00674EEA" w:rsidRPr="00D311AE" w:rsidRDefault="00674EEA" w:rsidP="007C7FCB">
            <w:pPr>
              <w:spacing w:line="259" w:lineRule="auto"/>
              <w:jc w:val="center"/>
              <w:rPr>
                <w:sz w:val="18"/>
                <w:szCs w:val="14"/>
                <w:lang w:val="en-GB"/>
              </w:rPr>
            </w:pPr>
          </w:p>
        </w:tc>
        <w:tc>
          <w:tcPr>
            <w:tcW w:w="1571" w:type="dxa"/>
            <w:tcBorders>
              <w:top w:val="nil"/>
              <w:left w:val="nil"/>
              <w:bottom w:val="nil"/>
              <w:right w:val="nil"/>
            </w:tcBorders>
          </w:tcPr>
          <w:p w14:paraId="4AF6CB54" w14:textId="77777777" w:rsidR="00674EEA" w:rsidRPr="00D311AE" w:rsidRDefault="00674EEA" w:rsidP="007C7FCB">
            <w:pPr>
              <w:spacing w:line="259" w:lineRule="auto"/>
              <w:jc w:val="center"/>
              <w:rPr>
                <w:sz w:val="18"/>
                <w:szCs w:val="14"/>
                <w:lang w:val="en-GB"/>
              </w:rPr>
            </w:pPr>
          </w:p>
        </w:tc>
        <w:tc>
          <w:tcPr>
            <w:tcW w:w="1775" w:type="dxa"/>
            <w:tcBorders>
              <w:top w:val="nil"/>
              <w:left w:val="nil"/>
              <w:bottom w:val="nil"/>
              <w:right w:val="nil"/>
            </w:tcBorders>
          </w:tcPr>
          <w:p w14:paraId="78E329CF" w14:textId="77777777" w:rsidR="00674EEA" w:rsidRPr="00D311AE" w:rsidRDefault="00674EEA" w:rsidP="007C7FCB">
            <w:pPr>
              <w:spacing w:line="259" w:lineRule="auto"/>
              <w:jc w:val="center"/>
              <w:rPr>
                <w:sz w:val="18"/>
                <w:szCs w:val="14"/>
                <w:lang w:val="en-GB"/>
              </w:rPr>
            </w:pPr>
          </w:p>
        </w:tc>
      </w:tr>
      <w:tr w:rsidR="00674EEA" w:rsidRPr="00D311AE" w14:paraId="6E2828A2" w14:textId="77777777" w:rsidTr="00372793">
        <w:trPr>
          <w:trHeight w:val="193"/>
        </w:trPr>
        <w:tc>
          <w:tcPr>
            <w:tcW w:w="2107" w:type="dxa"/>
            <w:tcBorders>
              <w:top w:val="nil"/>
              <w:left w:val="nil"/>
              <w:bottom w:val="nil"/>
              <w:right w:val="nil"/>
            </w:tcBorders>
          </w:tcPr>
          <w:p w14:paraId="35B54E6A" w14:textId="77777777" w:rsidR="00674EEA" w:rsidRPr="00D311AE" w:rsidRDefault="00674EEA" w:rsidP="007C7FCB">
            <w:pPr>
              <w:spacing w:line="259" w:lineRule="auto"/>
              <w:jc w:val="right"/>
              <w:rPr>
                <w:sz w:val="18"/>
                <w:szCs w:val="14"/>
                <w:lang w:val="en-GB"/>
              </w:rPr>
            </w:pPr>
            <w:r w:rsidRPr="00D311AE">
              <w:rPr>
                <w:sz w:val="18"/>
                <w:szCs w:val="14"/>
                <w:lang w:val="en-GB"/>
              </w:rPr>
              <w:t>Covariates</w:t>
            </w:r>
          </w:p>
        </w:tc>
        <w:tc>
          <w:tcPr>
            <w:tcW w:w="1571" w:type="dxa"/>
            <w:tcBorders>
              <w:top w:val="nil"/>
              <w:left w:val="nil"/>
              <w:bottom w:val="nil"/>
              <w:right w:val="nil"/>
            </w:tcBorders>
          </w:tcPr>
          <w:p w14:paraId="078E1160" w14:textId="77777777" w:rsidR="00674EEA" w:rsidRPr="00D311AE" w:rsidRDefault="00674EEA" w:rsidP="007C7FCB">
            <w:pPr>
              <w:spacing w:line="259" w:lineRule="auto"/>
              <w:jc w:val="center"/>
              <w:rPr>
                <w:sz w:val="18"/>
                <w:szCs w:val="14"/>
                <w:lang w:val="en-GB"/>
              </w:rPr>
            </w:pPr>
            <w:r w:rsidRPr="00D311AE">
              <w:rPr>
                <w:sz w:val="18"/>
                <w:szCs w:val="14"/>
                <w:lang w:val="en-GB"/>
              </w:rPr>
              <w:t>YES</w:t>
            </w:r>
          </w:p>
        </w:tc>
        <w:tc>
          <w:tcPr>
            <w:tcW w:w="1802" w:type="dxa"/>
            <w:tcBorders>
              <w:top w:val="nil"/>
              <w:left w:val="nil"/>
              <w:bottom w:val="nil"/>
              <w:right w:val="nil"/>
            </w:tcBorders>
          </w:tcPr>
          <w:p w14:paraId="703D53AF" w14:textId="77777777" w:rsidR="00674EEA" w:rsidRPr="00D311AE" w:rsidRDefault="00674EEA" w:rsidP="007C7FCB">
            <w:pPr>
              <w:spacing w:line="259" w:lineRule="auto"/>
              <w:jc w:val="center"/>
              <w:rPr>
                <w:sz w:val="18"/>
                <w:szCs w:val="14"/>
                <w:lang w:val="en-GB"/>
              </w:rPr>
            </w:pPr>
            <w:r w:rsidRPr="00D311AE">
              <w:rPr>
                <w:sz w:val="18"/>
                <w:szCs w:val="14"/>
                <w:lang w:val="en-GB"/>
              </w:rPr>
              <w:t>YES</w:t>
            </w:r>
          </w:p>
        </w:tc>
        <w:tc>
          <w:tcPr>
            <w:tcW w:w="1571" w:type="dxa"/>
            <w:tcBorders>
              <w:top w:val="nil"/>
              <w:left w:val="nil"/>
              <w:bottom w:val="nil"/>
              <w:right w:val="nil"/>
            </w:tcBorders>
          </w:tcPr>
          <w:p w14:paraId="7BC0492C" w14:textId="77777777" w:rsidR="00674EEA" w:rsidRPr="00D311AE" w:rsidRDefault="00674EEA" w:rsidP="007C7FCB">
            <w:pPr>
              <w:spacing w:line="259" w:lineRule="auto"/>
              <w:jc w:val="center"/>
              <w:rPr>
                <w:sz w:val="18"/>
                <w:szCs w:val="14"/>
                <w:lang w:val="en-GB"/>
              </w:rPr>
            </w:pPr>
            <w:r w:rsidRPr="00D311AE">
              <w:rPr>
                <w:sz w:val="18"/>
                <w:szCs w:val="14"/>
                <w:lang w:val="en-GB"/>
              </w:rPr>
              <w:t>YES</w:t>
            </w:r>
          </w:p>
        </w:tc>
        <w:tc>
          <w:tcPr>
            <w:tcW w:w="1775" w:type="dxa"/>
            <w:tcBorders>
              <w:top w:val="nil"/>
              <w:left w:val="nil"/>
              <w:bottom w:val="nil"/>
              <w:right w:val="nil"/>
            </w:tcBorders>
          </w:tcPr>
          <w:p w14:paraId="1AC40CB4" w14:textId="77777777" w:rsidR="00674EEA" w:rsidRPr="00D311AE" w:rsidRDefault="00674EEA" w:rsidP="007C7FCB">
            <w:pPr>
              <w:spacing w:line="259" w:lineRule="auto"/>
              <w:jc w:val="center"/>
              <w:rPr>
                <w:sz w:val="18"/>
                <w:szCs w:val="14"/>
                <w:lang w:val="en-GB"/>
              </w:rPr>
            </w:pPr>
            <w:r w:rsidRPr="00D311AE">
              <w:rPr>
                <w:sz w:val="18"/>
                <w:szCs w:val="14"/>
                <w:lang w:val="en-GB"/>
              </w:rPr>
              <w:t>YES</w:t>
            </w:r>
          </w:p>
        </w:tc>
      </w:tr>
      <w:tr w:rsidR="00674EEA" w:rsidRPr="00D311AE" w14:paraId="299F16E9" w14:textId="77777777" w:rsidTr="00372793">
        <w:trPr>
          <w:trHeight w:val="563"/>
        </w:trPr>
        <w:tc>
          <w:tcPr>
            <w:tcW w:w="2107" w:type="dxa"/>
            <w:tcBorders>
              <w:top w:val="nil"/>
              <w:left w:val="nil"/>
              <w:bottom w:val="nil"/>
              <w:right w:val="nil"/>
            </w:tcBorders>
          </w:tcPr>
          <w:p w14:paraId="15ABC77D" w14:textId="77777777" w:rsidR="00674EEA" w:rsidRPr="00D311AE" w:rsidRDefault="00674EEA" w:rsidP="007C7FCB">
            <w:pPr>
              <w:spacing w:line="259" w:lineRule="auto"/>
              <w:jc w:val="right"/>
              <w:rPr>
                <w:sz w:val="18"/>
                <w:szCs w:val="14"/>
                <w:lang w:val="en-GB"/>
              </w:rPr>
            </w:pPr>
            <w:r w:rsidRPr="00D311AE">
              <w:rPr>
                <w:sz w:val="18"/>
                <w:szCs w:val="14"/>
                <w:lang w:val="en-GB"/>
              </w:rPr>
              <w:t>Country-Fixed Effects</w:t>
            </w:r>
          </w:p>
          <w:p w14:paraId="7A10CAF7" w14:textId="77777777" w:rsidR="00674EEA" w:rsidRPr="00D311AE" w:rsidRDefault="00674EEA" w:rsidP="007C7FCB">
            <w:pPr>
              <w:spacing w:line="259" w:lineRule="auto"/>
              <w:jc w:val="right"/>
              <w:rPr>
                <w:sz w:val="18"/>
                <w:szCs w:val="14"/>
                <w:lang w:val="en-GB"/>
              </w:rPr>
            </w:pPr>
            <w:r w:rsidRPr="00D311AE">
              <w:rPr>
                <w:sz w:val="18"/>
                <w:szCs w:val="14"/>
                <w:lang w:val="en-GB"/>
              </w:rPr>
              <w:t>(p-value)</w:t>
            </w:r>
          </w:p>
        </w:tc>
        <w:tc>
          <w:tcPr>
            <w:tcW w:w="1571" w:type="dxa"/>
            <w:tcBorders>
              <w:top w:val="nil"/>
              <w:left w:val="nil"/>
              <w:bottom w:val="nil"/>
              <w:right w:val="nil"/>
            </w:tcBorders>
          </w:tcPr>
          <w:p w14:paraId="71476DA6" w14:textId="77777777" w:rsidR="00674EEA" w:rsidRPr="00D311AE" w:rsidRDefault="00674EEA" w:rsidP="007C7FCB">
            <w:pPr>
              <w:spacing w:line="259" w:lineRule="auto"/>
              <w:jc w:val="center"/>
              <w:rPr>
                <w:sz w:val="18"/>
                <w:szCs w:val="14"/>
                <w:lang w:val="en-GB"/>
              </w:rPr>
            </w:pPr>
            <w:r w:rsidRPr="00D311AE">
              <w:rPr>
                <w:sz w:val="18"/>
                <w:szCs w:val="14"/>
                <w:lang w:val="en-GB"/>
              </w:rPr>
              <w:t>YES</w:t>
            </w:r>
          </w:p>
          <w:p w14:paraId="5C466653" w14:textId="77777777" w:rsidR="00674EEA" w:rsidRPr="00D311AE" w:rsidRDefault="00674EEA" w:rsidP="007C7FCB">
            <w:pPr>
              <w:spacing w:line="259" w:lineRule="auto"/>
              <w:jc w:val="center"/>
              <w:rPr>
                <w:sz w:val="18"/>
                <w:szCs w:val="14"/>
                <w:lang w:val="en-GB"/>
              </w:rPr>
            </w:pPr>
            <w:r w:rsidRPr="00D311AE">
              <w:rPr>
                <w:sz w:val="18"/>
                <w:szCs w:val="14"/>
                <w:lang w:val="en-GB"/>
              </w:rPr>
              <w:t>(0.000)</w:t>
            </w:r>
          </w:p>
        </w:tc>
        <w:tc>
          <w:tcPr>
            <w:tcW w:w="1802" w:type="dxa"/>
            <w:tcBorders>
              <w:top w:val="nil"/>
              <w:left w:val="nil"/>
              <w:bottom w:val="nil"/>
              <w:right w:val="nil"/>
            </w:tcBorders>
          </w:tcPr>
          <w:p w14:paraId="13D06315" w14:textId="77777777" w:rsidR="00674EEA" w:rsidRPr="00D311AE" w:rsidRDefault="00674EEA" w:rsidP="007C7FCB">
            <w:pPr>
              <w:spacing w:line="259" w:lineRule="auto"/>
              <w:jc w:val="center"/>
              <w:rPr>
                <w:sz w:val="18"/>
                <w:szCs w:val="14"/>
                <w:lang w:val="en-GB"/>
              </w:rPr>
            </w:pPr>
            <w:r w:rsidRPr="00D311AE">
              <w:rPr>
                <w:sz w:val="18"/>
                <w:szCs w:val="14"/>
                <w:lang w:val="en-GB"/>
              </w:rPr>
              <w:t>YES</w:t>
            </w:r>
          </w:p>
          <w:p w14:paraId="3C75E9CE" w14:textId="77777777" w:rsidR="00674EEA" w:rsidRPr="00D311AE" w:rsidRDefault="00674EEA" w:rsidP="007C7FCB">
            <w:pPr>
              <w:spacing w:line="259" w:lineRule="auto"/>
              <w:jc w:val="center"/>
              <w:rPr>
                <w:sz w:val="18"/>
                <w:szCs w:val="14"/>
                <w:lang w:val="en-GB"/>
              </w:rPr>
            </w:pPr>
            <w:r w:rsidRPr="00D311AE">
              <w:rPr>
                <w:sz w:val="18"/>
                <w:szCs w:val="14"/>
                <w:lang w:val="en-GB"/>
              </w:rPr>
              <w:t>(0.000)</w:t>
            </w:r>
          </w:p>
        </w:tc>
        <w:tc>
          <w:tcPr>
            <w:tcW w:w="1571" w:type="dxa"/>
            <w:tcBorders>
              <w:top w:val="nil"/>
              <w:left w:val="nil"/>
              <w:bottom w:val="nil"/>
              <w:right w:val="nil"/>
            </w:tcBorders>
          </w:tcPr>
          <w:p w14:paraId="12976120" w14:textId="77777777" w:rsidR="00674EEA" w:rsidRPr="00D311AE" w:rsidRDefault="00674EEA" w:rsidP="007C7FCB">
            <w:pPr>
              <w:spacing w:line="259" w:lineRule="auto"/>
              <w:jc w:val="center"/>
              <w:rPr>
                <w:sz w:val="18"/>
                <w:szCs w:val="14"/>
                <w:lang w:val="en-GB"/>
              </w:rPr>
            </w:pPr>
            <w:r w:rsidRPr="00D311AE">
              <w:rPr>
                <w:sz w:val="18"/>
                <w:szCs w:val="14"/>
                <w:lang w:val="en-GB"/>
              </w:rPr>
              <w:t>YES</w:t>
            </w:r>
          </w:p>
          <w:p w14:paraId="5475C192" w14:textId="77777777" w:rsidR="00674EEA" w:rsidRPr="00D311AE" w:rsidRDefault="00674EEA" w:rsidP="007C7FCB">
            <w:pPr>
              <w:spacing w:line="259" w:lineRule="auto"/>
              <w:jc w:val="center"/>
              <w:rPr>
                <w:sz w:val="18"/>
                <w:szCs w:val="14"/>
                <w:lang w:val="en-GB"/>
              </w:rPr>
            </w:pPr>
            <w:r w:rsidRPr="00D311AE">
              <w:rPr>
                <w:sz w:val="18"/>
                <w:szCs w:val="14"/>
                <w:lang w:val="en-GB"/>
              </w:rPr>
              <w:t>(0.000)</w:t>
            </w:r>
          </w:p>
        </w:tc>
        <w:tc>
          <w:tcPr>
            <w:tcW w:w="1775" w:type="dxa"/>
            <w:tcBorders>
              <w:top w:val="nil"/>
              <w:left w:val="nil"/>
              <w:bottom w:val="nil"/>
              <w:right w:val="nil"/>
            </w:tcBorders>
          </w:tcPr>
          <w:p w14:paraId="448FD9AD" w14:textId="77777777" w:rsidR="00674EEA" w:rsidRPr="00D311AE" w:rsidRDefault="00674EEA" w:rsidP="007C7FCB">
            <w:pPr>
              <w:spacing w:line="259" w:lineRule="auto"/>
              <w:jc w:val="center"/>
              <w:rPr>
                <w:sz w:val="18"/>
                <w:szCs w:val="14"/>
                <w:lang w:val="en-GB"/>
              </w:rPr>
            </w:pPr>
            <w:r w:rsidRPr="00D311AE">
              <w:rPr>
                <w:sz w:val="18"/>
                <w:szCs w:val="14"/>
                <w:lang w:val="en-GB"/>
              </w:rPr>
              <w:t>YES</w:t>
            </w:r>
          </w:p>
          <w:p w14:paraId="5D9EA14E" w14:textId="77777777" w:rsidR="00674EEA" w:rsidRPr="00D311AE" w:rsidRDefault="00674EEA" w:rsidP="007C7FCB">
            <w:pPr>
              <w:spacing w:line="259" w:lineRule="auto"/>
              <w:jc w:val="center"/>
              <w:rPr>
                <w:sz w:val="18"/>
                <w:szCs w:val="14"/>
                <w:lang w:val="en-GB"/>
              </w:rPr>
            </w:pPr>
            <w:r w:rsidRPr="00D311AE">
              <w:rPr>
                <w:sz w:val="18"/>
                <w:szCs w:val="14"/>
                <w:lang w:val="en-GB"/>
              </w:rPr>
              <w:t>(0.000)</w:t>
            </w:r>
          </w:p>
        </w:tc>
      </w:tr>
      <w:tr w:rsidR="00674EEA" w:rsidRPr="00D311AE" w14:paraId="003038E4" w14:textId="77777777" w:rsidTr="00372793">
        <w:trPr>
          <w:trHeight w:val="572"/>
        </w:trPr>
        <w:tc>
          <w:tcPr>
            <w:tcW w:w="2107" w:type="dxa"/>
            <w:tcBorders>
              <w:top w:val="nil"/>
              <w:left w:val="nil"/>
              <w:bottom w:val="nil"/>
              <w:right w:val="nil"/>
            </w:tcBorders>
          </w:tcPr>
          <w:p w14:paraId="573EBFDC" w14:textId="77777777" w:rsidR="00674EEA" w:rsidRPr="00D311AE" w:rsidRDefault="00674EEA" w:rsidP="007C7FCB">
            <w:pPr>
              <w:spacing w:line="259" w:lineRule="auto"/>
              <w:jc w:val="right"/>
              <w:rPr>
                <w:sz w:val="18"/>
                <w:szCs w:val="14"/>
                <w:lang w:val="en-GB"/>
              </w:rPr>
            </w:pPr>
            <w:r w:rsidRPr="00D311AE">
              <w:rPr>
                <w:sz w:val="18"/>
                <w:szCs w:val="14"/>
                <w:lang w:val="en-GB"/>
              </w:rPr>
              <w:t>Time-Fixed Effects</w:t>
            </w:r>
          </w:p>
          <w:p w14:paraId="1D53453F" w14:textId="77777777" w:rsidR="00674EEA" w:rsidRPr="00D311AE" w:rsidRDefault="00674EEA" w:rsidP="007C7FCB">
            <w:pPr>
              <w:spacing w:line="259" w:lineRule="auto"/>
              <w:jc w:val="right"/>
              <w:rPr>
                <w:sz w:val="18"/>
                <w:szCs w:val="14"/>
                <w:lang w:val="en-GB"/>
              </w:rPr>
            </w:pPr>
            <w:r w:rsidRPr="00D311AE">
              <w:rPr>
                <w:sz w:val="18"/>
                <w:szCs w:val="14"/>
                <w:lang w:val="en-GB"/>
              </w:rPr>
              <w:t>(p-value)</w:t>
            </w:r>
          </w:p>
        </w:tc>
        <w:tc>
          <w:tcPr>
            <w:tcW w:w="1571" w:type="dxa"/>
            <w:tcBorders>
              <w:top w:val="nil"/>
              <w:left w:val="nil"/>
              <w:bottom w:val="nil"/>
              <w:right w:val="nil"/>
            </w:tcBorders>
          </w:tcPr>
          <w:p w14:paraId="1E945210" w14:textId="77777777" w:rsidR="00674EEA" w:rsidRPr="00D311AE" w:rsidRDefault="00674EEA" w:rsidP="007C7FCB">
            <w:pPr>
              <w:spacing w:line="259" w:lineRule="auto"/>
              <w:jc w:val="center"/>
              <w:rPr>
                <w:sz w:val="18"/>
                <w:szCs w:val="14"/>
                <w:lang w:val="en-GB"/>
              </w:rPr>
            </w:pPr>
            <w:r w:rsidRPr="00D311AE">
              <w:rPr>
                <w:sz w:val="18"/>
                <w:szCs w:val="14"/>
                <w:lang w:val="en-GB"/>
              </w:rPr>
              <w:t>YES</w:t>
            </w:r>
          </w:p>
          <w:p w14:paraId="3B1CF0ED" w14:textId="77777777" w:rsidR="00674EEA" w:rsidRPr="00D311AE" w:rsidRDefault="00674EEA" w:rsidP="007C7FCB">
            <w:pPr>
              <w:spacing w:line="259" w:lineRule="auto"/>
              <w:jc w:val="center"/>
              <w:rPr>
                <w:sz w:val="18"/>
                <w:szCs w:val="14"/>
                <w:lang w:val="en-GB"/>
              </w:rPr>
            </w:pPr>
            <w:r w:rsidRPr="00D311AE">
              <w:rPr>
                <w:sz w:val="18"/>
                <w:szCs w:val="14"/>
                <w:lang w:val="en-GB"/>
              </w:rPr>
              <w:t>(0.000)</w:t>
            </w:r>
          </w:p>
        </w:tc>
        <w:tc>
          <w:tcPr>
            <w:tcW w:w="1802" w:type="dxa"/>
            <w:tcBorders>
              <w:top w:val="nil"/>
              <w:left w:val="nil"/>
              <w:bottom w:val="nil"/>
              <w:right w:val="nil"/>
            </w:tcBorders>
          </w:tcPr>
          <w:p w14:paraId="60538804" w14:textId="77777777" w:rsidR="00674EEA" w:rsidRPr="00D311AE" w:rsidRDefault="00674EEA" w:rsidP="007C7FCB">
            <w:pPr>
              <w:spacing w:line="259" w:lineRule="auto"/>
              <w:jc w:val="center"/>
              <w:rPr>
                <w:sz w:val="18"/>
                <w:szCs w:val="14"/>
                <w:lang w:val="en-GB"/>
              </w:rPr>
            </w:pPr>
            <w:r w:rsidRPr="00D311AE">
              <w:rPr>
                <w:sz w:val="18"/>
                <w:szCs w:val="14"/>
                <w:lang w:val="en-GB"/>
              </w:rPr>
              <w:t>YES</w:t>
            </w:r>
          </w:p>
          <w:p w14:paraId="7F95EC13" w14:textId="77777777" w:rsidR="00674EEA" w:rsidRPr="00D311AE" w:rsidRDefault="00674EEA" w:rsidP="007C7FCB">
            <w:pPr>
              <w:spacing w:line="259" w:lineRule="auto"/>
              <w:jc w:val="center"/>
              <w:rPr>
                <w:sz w:val="18"/>
                <w:szCs w:val="14"/>
                <w:lang w:val="en-GB"/>
              </w:rPr>
            </w:pPr>
            <w:r w:rsidRPr="00D311AE">
              <w:rPr>
                <w:sz w:val="18"/>
                <w:szCs w:val="14"/>
                <w:lang w:val="en-GB"/>
              </w:rPr>
              <w:t>(0.000)</w:t>
            </w:r>
          </w:p>
        </w:tc>
        <w:tc>
          <w:tcPr>
            <w:tcW w:w="1571" w:type="dxa"/>
            <w:tcBorders>
              <w:top w:val="nil"/>
              <w:left w:val="nil"/>
              <w:bottom w:val="nil"/>
              <w:right w:val="nil"/>
            </w:tcBorders>
          </w:tcPr>
          <w:p w14:paraId="358E80F3" w14:textId="77777777" w:rsidR="00674EEA" w:rsidRPr="00D311AE" w:rsidRDefault="00674EEA" w:rsidP="007C7FCB">
            <w:pPr>
              <w:spacing w:line="259" w:lineRule="auto"/>
              <w:jc w:val="center"/>
              <w:rPr>
                <w:sz w:val="18"/>
                <w:szCs w:val="14"/>
                <w:lang w:val="en-GB"/>
              </w:rPr>
            </w:pPr>
            <w:r w:rsidRPr="00D311AE">
              <w:rPr>
                <w:sz w:val="18"/>
                <w:szCs w:val="14"/>
                <w:lang w:val="en-GB"/>
              </w:rPr>
              <w:t>YES</w:t>
            </w:r>
          </w:p>
          <w:p w14:paraId="36F5C16B" w14:textId="77777777" w:rsidR="00674EEA" w:rsidRPr="00D311AE" w:rsidRDefault="00674EEA" w:rsidP="007C7FCB">
            <w:pPr>
              <w:spacing w:line="259" w:lineRule="auto"/>
              <w:jc w:val="center"/>
              <w:rPr>
                <w:sz w:val="18"/>
                <w:szCs w:val="14"/>
                <w:lang w:val="en-GB"/>
              </w:rPr>
            </w:pPr>
            <w:r w:rsidRPr="00D311AE">
              <w:rPr>
                <w:sz w:val="18"/>
                <w:szCs w:val="14"/>
                <w:lang w:val="en-GB"/>
              </w:rPr>
              <w:t>(0.000)</w:t>
            </w:r>
          </w:p>
        </w:tc>
        <w:tc>
          <w:tcPr>
            <w:tcW w:w="1775" w:type="dxa"/>
            <w:tcBorders>
              <w:top w:val="nil"/>
              <w:left w:val="nil"/>
              <w:bottom w:val="nil"/>
              <w:right w:val="nil"/>
            </w:tcBorders>
          </w:tcPr>
          <w:p w14:paraId="0D0A093B" w14:textId="77777777" w:rsidR="00674EEA" w:rsidRPr="00D311AE" w:rsidRDefault="00674EEA" w:rsidP="007C7FCB">
            <w:pPr>
              <w:spacing w:line="259" w:lineRule="auto"/>
              <w:jc w:val="center"/>
              <w:rPr>
                <w:sz w:val="18"/>
                <w:szCs w:val="14"/>
                <w:lang w:val="en-GB"/>
              </w:rPr>
            </w:pPr>
            <w:r w:rsidRPr="00D311AE">
              <w:rPr>
                <w:sz w:val="18"/>
                <w:szCs w:val="14"/>
                <w:lang w:val="en-GB"/>
              </w:rPr>
              <w:t>YES</w:t>
            </w:r>
          </w:p>
          <w:p w14:paraId="5510CA5D" w14:textId="77777777" w:rsidR="00674EEA" w:rsidRPr="00D311AE" w:rsidRDefault="00674EEA" w:rsidP="007C7FCB">
            <w:pPr>
              <w:spacing w:line="259" w:lineRule="auto"/>
              <w:jc w:val="center"/>
              <w:rPr>
                <w:sz w:val="18"/>
                <w:szCs w:val="14"/>
                <w:lang w:val="en-GB"/>
              </w:rPr>
            </w:pPr>
            <w:r w:rsidRPr="00D311AE">
              <w:rPr>
                <w:sz w:val="18"/>
                <w:szCs w:val="14"/>
                <w:lang w:val="en-GB"/>
              </w:rPr>
              <w:t>(0.000)</w:t>
            </w:r>
          </w:p>
        </w:tc>
      </w:tr>
      <w:tr w:rsidR="00674EEA" w:rsidRPr="00D311AE" w14:paraId="7EF4B707" w14:textId="77777777" w:rsidTr="00372793">
        <w:trPr>
          <w:trHeight w:val="193"/>
        </w:trPr>
        <w:tc>
          <w:tcPr>
            <w:tcW w:w="2107" w:type="dxa"/>
            <w:tcBorders>
              <w:top w:val="nil"/>
              <w:left w:val="nil"/>
              <w:bottom w:val="nil"/>
              <w:right w:val="nil"/>
            </w:tcBorders>
          </w:tcPr>
          <w:p w14:paraId="550333E8" w14:textId="77777777" w:rsidR="00674EEA" w:rsidRPr="00D311AE" w:rsidRDefault="00674EEA" w:rsidP="007C7FCB">
            <w:pPr>
              <w:spacing w:line="259" w:lineRule="auto"/>
              <w:jc w:val="right"/>
              <w:rPr>
                <w:sz w:val="18"/>
                <w:szCs w:val="14"/>
                <w:lang w:val="en-GB"/>
              </w:rPr>
            </w:pPr>
          </w:p>
        </w:tc>
        <w:tc>
          <w:tcPr>
            <w:tcW w:w="1571" w:type="dxa"/>
            <w:tcBorders>
              <w:top w:val="nil"/>
              <w:left w:val="nil"/>
              <w:bottom w:val="nil"/>
              <w:right w:val="nil"/>
            </w:tcBorders>
          </w:tcPr>
          <w:p w14:paraId="76EB2425" w14:textId="77777777" w:rsidR="00674EEA" w:rsidRPr="00D311AE" w:rsidRDefault="00674EEA" w:rsidP="007C7FCB">
            <w:pPr>
              <w:spacing w:line="259" w:lineRule="auto"/>
              <w:jc w:val="center"/>
              <w:rPr>
                <w:sz w:val="18"/>
                <w:szCs w:val="14"/>
                <w:lang w:val="en-GB"/>
              </w:rPr>
            </w:pPr>
          </w:p>
        </w:tc>
        <w:tc>
          <w:tcPr>
            <w:tcW w:w="1802" w:type="dxa"/>
            <w:tcBorders>
              <w:top w:val="nil"/>
              <w:left w:val="nil"/>
              <w:bottom w:val="nil"/>
              <w:right w:val="nil"/>
            </w:tcBorders>
          </w:tcPr>
          <w:p w14:paraId="35D69801" w14:textId="77777777" w:rsidR="00674EEA" w:rsidRPr="00D311AE" w:rsidRDefault="00674EEA" w:rsidP="007C7FCB">
            <w:pPr>
              <w:spacing w:line="259" w:lineRule="auto"/>
              <w:jc w:val="center"/>
              <w:rPr>
                <w:sz w:val="18"/>
                <w:szCs w:val="14"/>
                <w:lang w:val="en-GB"/>
              </w:rPr>
            </w:pPr>
          </w:p>
        </w:tc>
        <w:tc>
          <w:tcPr>
            <w:tcW w:w="1571" w:type="dxa"/>
            <w:tcBorders>
              <w:top w:val="nil"/>
              <w:left w:val="nil"/>
              <w:bottom w:val="nil"/>
              <w:right w:val="nil"/>
            </w:tcBorders>
          </w:tcPr>
          <w:p w14:paraId="04921BE2" w14:textId="77777777" w:rsidR="00674EEA" w:rsidRPr="00D311AE" w:rsidRDefault="00674EEA" w:rsidP="007C7FCB">
            <w:pPr>
              <w:spacing w:line="259" w:lineRule="auto"/>
              <w:jc w:val="center"/>
              <w:rPr>
                <w:sz w:val="18"/>
                <w:szCs w:val="14"/>
                <w:lang w:val="en-GB"/>
              </w:rPr>
            </w:pPr>
          </w:p>
        </w:tc>
        <w:tc>
          <w:tcPr>
            <w:tcW w:w="1775" w:type="dxa"/>
            <w:tcBorders>
              <w:top w:val="nil"/>
              <w:left w:val="nil"/>
              <w:bottom w:val="nil"/>
              <w:right w:val="nil"/>
            </w:tcBorders>
          </w:tcPr>
          <w:p w14:paraId="74446572" w14:textId="77777777" w:rsidR="00674EEA" w:rsidRPr="00D311AE" w:rsidRDefault="00674EEA" w:rsidP="007C7FCB">
            <w:pPr>
              <w:spacing w:line="259" w:lineRule="auto"/>
              <w:jc w:val="center"/>
              <w:rPr>
                <w:sz w:val="18"/>
                <w:szCs w:val="14"/>
                <w:lang w:val="en-GB"/>
              </w:rPr>
            </w:pPr>
          </w:p>
        </w:tc>
      </w:tr>
      <w:tr w:rsidR="00674EEA" w:rsidRPr="00D311AE" w14:paraId="22B82CEB" w14:textId="77777777" w:rsidTr="00372793">
        <w:trPr>
          <w:trHeight w:val="370"/>
        </w:trPr>
        <w:tc>
          <w:tcPr>
            <w:tcW w:w="2107" w:type="dxa"/>
            <w:tcBorders>
              <w:top w:val="nil"/>
              <w:left w:val="nil"/>
              <w:bottom w:val="nil"/>
              <w:right w:val="nil"/>
            </w:tcBorders>
          </w:tcPr>
          <w:p w14:paraId="0D1E880C" w14:textId="77777777" w:rsidR="00674EEA" w:rsidRPr="00D311AE" w:rsidRDefault="00674EEA" w:rsidP="007C7FCB">
            <w:pPr>
              <w:spacing w:line="259" w:lineRule="auto"/>
              <w:jc w:val="right"/>
              <w:rPr>
                <w:sz w:val="18"/>
                <w:szCs w:val="14"/>
                <w:lang w:val="en-GB"/>
              </w:rPr>
            </w:pPr>
            <w:r w:rsidRPr="00D311AE">
              <w:rPr>
                <w:sz w:val="18"/>
                <w:szCs w:val="14"/>
                <w:lang w:val="en-GB"/>
              </w:rPr>
              <w:t>Log LR Test</w:t>
            </w:r>
          </w:p>
          <w:p w14:paraId="6755FB9D" w14:textId="77777777" w:rsidR="00674EEA" w:rsidRPr="00D311AE" w:rsidRDefault="00674EEA" w:rsidP="007C7FCB">
            <w:pPr>
              <w:spacing w:line="259" w:lineRule="auto"/>
              <w:jc w:val="right"/>
              <w:rPr>
                <w:sz w:val="18"/>
                <w:szCs w:val="14"/>
                <w:lang w:val="en-GB"/>
              </w:rPr>
            </w:pPr>
            <w:r w:rsidRPr="00D311AE">
              <w:rPr>
                <w:sz w:val="18"/>
                <w:szCs w:val="14"/>
                <w:lang w:val="en-GB"/>
              </w:rPr>
              <w:t>(p-value)</w:t>
            </w:r>
          </w:p>
        </w:tc>
        <w:tc>
          <w:tcPr>
            <w:tcW w:w="1571" w:type="dxa"/>
            <w:tcBorders>
              <w:top w:val="nil"/>
              <w:left w:val="nil"/>
              <w:bottom w:val="nil"/>
              <w:right w:val="nil"/>
            </w:tcBorders>
          </w:tcPr>
          <w:p w14:paraId="68A2AC45" w14:textId="77777777" w:rsidR="00674EEA" w:rsidRPr="00D311AE" w:rsidRDefault="00674EEA" w:rsidP="007C7FCB">
            <w:pPr>
              <w:spacing w:line="259" w:lineRule="auto"/>
              <w:jc w:val="center"/>
              <w:rPr>
                <w:sz w:val="18"/>
                <w:szCs w:val="14"/>
                <w:lang w:val="en-GB"/>
              </w:rPr>
            </w:pPr>
            <w:r w:rsidRPr="00D311AE">
              <w:rPr>
                <w:sz w:val="18"/>
                <w:szCs w:val="14"/>
                <w:lang w:val="en-GB"/>
              </w:rPr>
              <w:t>588.68</w:t>
            </w:r>
          </w:p>
          <w:p w14:paraId="43B7C508" w14:textId="77777777" w:rsidR="00674EEA" w:rsidRPr="00D311AE" w:rsidRDefault="00674EEA" w:rsidP="007C7FCB">
            <w:pPr>
              <w:spacing w:line="259" w:lineRule="auto"/>
              <w:jc w:val="center"/>
              <w:rPr>
                <w:sz w:val="18"/>
                <w:szCs w:val="14"/>
                <w:lang w:val="en-GB"/>
              </w:rPr>
            </w:pPr>
            <w:r w:rsidRPr="00D311AE">
              <w:rPr>
                <w:sz w:val="18"/>
                <w:szCs w:val="14"/>
                <w:lang w:val="en-GB"/>
              </w:rPr>
              <w:t>(0.000)</w:t>
            </w:r>
          </w:p>
        </w:tc>
        <w:tc>
          <w:tcPr>
            <w:tcW w:w="1802" w:type="dxa"/>
            <w:tcBorders>
              <w:top w:val="nil"/>
              <w:left w:val="nil"/>
              <w:bottom w:val="nil"/>
              <w:right w:val="nil"/>
            </w:tcBorders>
          </w:tcPr>
          <w:p w14:paraId="7C0EA84F" w14:textId="77777777" w:rsidR="00674EEA" w:rsidRPr="00D311AE" w:rsidRDefault="00674EEA" w:rsidP="007C7FCB">
            <w:pPr>
              <w:spacing w:line="259" w:lineRule="auto"/>
              <w:jc w:val="center"/>
              <w:rPr>
                <w:sz w:val="18"/>
                <w:szCs w:val="14"/>
                <w:lang w:val="en-GB"/>
              </w:rPr>
            </w:pPr>
            <w:r w:rsidRPr="00D311AE">
              <w:rPr>
                <w:sz w:val="18"/>
                <w:szCs w:val="14"/>
                <w:lang w:val="en-GB"/>
              </w:rPr>
              <w:t>597.55</w:t>
            </w:r>
          </w:p>
          <w:p w14:paraId="595BC7D3" w14:textId="77777777" w:rsidR="00674EEA" w:rsidRPr="00D311AE" w:rsidRDefault="00674EEA" w:rsidP="007C7FCB">
            <w:pPr>
              <w:spacing w:line="259" w:lineRule="auto"/>
              <w:jc w:val="center"/>
              <w:rPr>
                <w:sz w:val="18"/>
                <w:szCs w:val="14"/>
                <w:lang w:val="en-GB"/>
              </w:rPr>
            </w:pPr>
            <w:r w:rsidRPr="00D311AE">
              <w:rPr>
                <w:sz w:val="18"/>
                <w:szCs w:val="14"/>
                <w:lang w:val="en-GB"/>
              </w:rPr>
              <w:t>(0.000)</w:t>
            </w:r>
          </w:p>
        </w:tc>
        <w:tc>
          <w:tcPr>
            <w:tcW w:w="1571" w:type="dxa"/>
            <w:tcBorders>
              <w:top w:val="nil"/>
              <w:left w:val="nil"/>
              <w:bottom w:val="nil"/>
              <w:right w:val="nil"/>
            </w:tcBorders>
          </w:tcPr>
          <w:p w14:paraId="310DBD80" w14:textId="77777777" w:rsidR="00674EEA" w:rsidRPr="00D311AE" w:rsidRDefault="00674EEA" w:rsidP="007C7FCB">
            <w:pPr>
              <w:spacing w:line="259" w:lineRule="auto"/>
              <w:jc w:val="center"/>
              <w:rPr>
                <w:sz w:val="18"/>
                <w:szCs w:val="14"/>
                <w:lang w:val="en-GB"/>
              </w:rPr>
            </w:pPr>
            <w:r w:rsidRPr="00D311AE">
              <w:rPr>
                <w:sz w:val="18"/>
                <w:szCs w:val="14"/>
                <w:lang w:val="en-GB"/>
              </w:rPr>
              <w:t>1036.89</w:t>
            </w:r>
          </w:p>
          <w:p w14:paraId="772B94CA" w14:textId="77777777" w:rsidR="00674EEA" w:rsidRPr="00D311AE" w:rsidRDefault="00674EEA" w:rsidP="007C7FCB">
            <w:pPr>
              <w:spacing w:line="259" w:lineRule="auto"/>
              <w:jc w:val="center"/>
              <w:rPr>
                <w:sz w:val="18"/>
                <w:szCs w:val="14"/>
                <w:lang w:val="en-GB"/>
              </w:rPr>
            </w:pPr>
            <w:r w:rsidRPr="00D311AE">
              <w:rPr>
                <w:sz w:val="18"/>
                <w:szCs w:val="14"/>
                <w:lang w:val="en-GB"/>
              </w:rPr>
              <w:t>(0.000)</w:t>
            </w:r>
          </w:p>
        </w:tc>
        <w:tc>
          <w:tcPr>
            <w:tcW w:w="1775" w:type="dxa"/>
            <w:tcBorders>
              <w:top w:val="nil"/>
              <w:left w:val="nil"/>
              <w:bottom w:val="nil"/>
              <w:right w:val="nil"/>
            </w:tcBorders>
          </w:tcPr>
          <w:p w14:paraId="5DF7F98D" w14:textId="77777777" w:rsidR="00674EEA" w:rsidRPr="00D311AE" w:rsidRDefault="00674EEA" w:rsidP="007C7FCB">
            <w:pPr>
              <w:spacing w:line="259" w:lineRule="auto"/>
              <w:jc w:val="center"/>
              <w:rPr>
                <w:sz w:val="18"/>
                <w:szCs w:val="14"/>
                <w:lang w:val="en-GB"/>
              </w:rPr>
            </w:pPr>
            <w:r w:rsidRPr="00D311AE">
              <w:rPr>
                <w:sz w:val="18"/>
                <w:szCs w:val="14"/>
                <w:lang w:val="en-GB"/>
              </w:rPr>
              <w:t>1044.99</w:t>
            </w:r>
          </w:p>
          <w:p w14:paraId="0D2D6CEB" w14:textId="77777777" w:rsidR="00674EEA" w:rsidRPr="00D311AE" w:rsidRDefault="00674EEA" w:rsidP="007C7FCB">
            <w:pPr>
              <w:spacing w:line="259" w:lineRule="auto"/>
              <w:jc w:val="center"/>
              <w:rPr>
                <w:sz w:val="18"/>
                <w:szCs w:val="14"/>
                <w:lang w:val="en-GB"/>
              </w:rPr>
            </w:pPr>
            <w:r w:rsidRPr="00D311AE">
              <w:rPr>
                <w:sz w:val="18"/>
                <w:szCs w:val="14"/>
                <w:lang w:val="en-GB"/>
              </w:rPr>
              <w:t>(0.000)</w:t>
            </w:r>
          </w:p>
        </w:tc>
      </w:tr>
      <w:tr w:rsidR="00674EEA" w:rsidRPr="00D311AE" w14:paraId="3BACEFF3" w14:textId="77777777" w:rsidTr="00372793">
        <w:trPr>
          <w:trHeight w:val="193"/>
        </w:trPr>
        <w:tc>
          <w:tcPr>
            <w:tcW w:w="2107" w:type="dxa"/>
            <w:tcBorders>
              <w:top w:val="nil"/>
              <w:left w:val="nil"/>
              <w:bottom w:val="nil"/>
              <w:right w:val="nil"/>
            </w:tcBorders>
          </w:tcPr>
          <w:p w14:paraId="0E9FFA08" w14:textId="77777777" w:rsidR="00674EEA" w:rsidRPr="00D311AE" w:rsidRDefault="00674EEA" w:rsidP="007C7FCB">
            <w:pPr>
              <w:spacing w:line="259" w:lineRule="auto"/>
              <w:jc w:val="right"/>
              <w:rPr>
                <w:sz w:val="18"/>
                <w:szCs w:val="14"/>
                <w:lang w:val="en-GB"/>
              </w:rPr>
            </w:pPr>
            <w:r w:rsidRPr="00D311AE">
              <w:rPr>
                <w:sz w:val="18"/>
                <w:szCs w:val="14"/>
                <w:lang w:val="en-GB"/>
              </w:rPr>
              <w:t>Count R2</w:t>
            </w:r>
          </w:p>
        </w:tc>
        <w:tc>
          <w:tcPr>
            <w:tcW w:w="1571" w:type="dxa"/>
            <w:tcBorders>
              <w:top w:val="nil"/>
              <w:left w:val="nil"/>
              <w:bottom w:val="nil"/>
              <w:right w:val="nil"/>
            </w:tcBorders>
          </w:tcPr>
          <w:p w14:paraId="2A47C366" w14:textId="77777777" w:rsidR="00674EEA" w:rsidRPr="00D311AE" w:rsidRDefault="00674EEA" w:rsidP="007C7FCB">
            <w:pPr>
              <w:spacing w:line="259" w:lineRule="auto"/>
              <w:jc w:val="center"/>
              <w:rPr>
                <w:sz w:val="18"/>
                <w:szCs w:val="14"/>
                <w:lang w:val="en-GB"/>
              </w:rPr>
            </w:pPr>
            <w:r w:rsidRPr="00D311AE">
              <w:rPr>
                <w:sz w:val="18"/>
                <w:szCs w:val="14"/>
                <w:lang w:val="en-GB"/>
              </w:rPr>
              <w:t>0.71</w:t>
            </w:r>
          </w:p>
        </w:tc>
        <w:tc>
          <w:tcPr>
            <w:tcW w:w="1802" w:type="dxa"/>
            <w:tcBorders>
              <w:top w:val="nil"/>
              <w:left w:val="nil"/>
              <w:bottom w:val="nil"/>
              <w:right w:val="nil"/>
            </w:tcBorders>
          </w:tcPr>
          <w:p w14:paraId="1E1FE644" w14:textId="77777777" w:rsidR="00674EEA" w:rsidRPr="00D311AE" w:rsidRDefault="00674EEA" w:rsidP="007C7FCB">
            <w:pPr>
              <w:spacing w:line="259" w:lineRule="auto"/>
              <w:jc w:val="center"/>
              <w:rPr>
                <w:sz w:val="18"/>
                <w:szCs w:val="14"/>
                <w:lang w:val="en-GB"/>
              </w:rPr>
            </w:pPr>
            <w:r w:rsidRPr="00D311AE">
              <w:rPr>
                <w:sz w:val="18"/>
                <w:szCs w:val="14"/>
                <w:lang w:val="en-GB"/>
              </w:rPr>
              <w:t>0.71</w:t>
            </w:r>
          </w:p>
        </w:tc>
        <w:tc>
          <w:tcPr>
            <w:tcW w:w="1571" w:type="dxa"/>
            <w:tcBorders>
              <w:top w:val="nil"/>
              <w:left w:val="nil"/>
              <w:bottom w:val="nil"/>
              <w:right w:val="nil"/>
            </w:tcBorders>
          </w:tcPr>
          <w:p w14:paraId="48D179BF" w14:textId="77777777" w:rsidR="00674EEA" w:rsidRPr="00D311AE" w:rsidRDefault="00674EEA" w:rsidP="007C7FCB">
            <w:pPr>
              <w:spacing w:line="259" w:lineRule="auto"/>
              <w:jc w:val="center"/>
              <w:rPr>
                <w:sz w:val="18"/>
                <w:szCs w:val="14"/>
                <w:lang w:val="en-GB"/>
              </w:rPr>
            </w:pPr>
            <w:r w:rsidRPr="00D311AE">
              <w:rPr>
                <w:sz w:val="18"/>
                <w:szCs w:val="14"/>
                <w:lang w:val="en-GB"/>
              </w:rPr>
              <w:t>0.72</w:t>
            </w:r>
          </w:p>
        </w:tc>
        <w:tc>
          <w:tcPr>
            <w:tcW w:w="1775" w:type="dxa"/>
            <w:tcBorders>
              <w:top w:val="nil"/>
              <w:left w:val="nil"/>
              <w:bottom w:val="nil"/>
              <w:right w:val="nil"/>
            </w:tcBorders>
          </w:tcPr>
          <w:p w14:paraId="27387353" w14:textId="77777777" w:rsidR="00674EEA" w:rsidRPr="00D311AE" w:rsidRDefault="00674EEA" w:rsidP="007C7FCB">
            <w:pPr>
              <w:spacing w:line="259" w:lineRule="auto"/>
              <w:jc w:val="center"/>
              <w:rPr>
                <w:sz w:val="18"/>
                <w:szCs w:val="14"/>
                <w:lang w:val="en-GB"/>
              </w:rPr>
            </w:pPr>
            <w:r w:rsidRPr="00D311AE">
              <w:rPr>
                <w:sz w:val="18"/>
                <w:szCs w:val="14"/>
                <w:lang w:val="en-GB"/>
              </w:rPr>
              <w:t>0.71</w:t>
            </w:r>
          </w:p>
        </w:tc>
      </w:tr>
      <w:tr w:rsidR="00674EEA" w:rsidRPr="00D311AE" w14:paraId="52C4CCC0" w14:textId="77777777" w:rsidTr="00372793">
        <w:trPr>
          <w:trHeight w:val="185"/>
        </w:trPr>
        <w:tc>
          <w:tcPr>
            <w:tcW w:w="2107" w:type="dxa"/>
            <w:tcBorders>
              <w:top w:val="nil"/>
              <w:left w:val="nil"/>
              <w:bottom w:val="nil"/>
              <w:right w:val="nil"/>
            </w:tcBorders>
          </w:tcPr>
          <w:p w14:paraId="747E0AFA" w14:textId="77777777" w:rsidR="00674EEA" w:rsidRPr="00D311AE" w:rsidRDefault="00674EEA" w:rsidP="007C7FCB">
            <w:pPr>
              <w:spacing w:line="259" w:lineRule="auto"/>
              <w:jc w:val="right"/>
              <w:rPr>
                <w:sz w:val="18"/>
                <w:szCs w:val="14"/>
                <w:lang w:val="en-GB"/>
              </w:rPr>
            </w:pPr>
            <w:r w:rsidRPr="00D311AE">
              <w:rPr>
                <w:sz w:val="18"/>
                <w:szCs w:val="14"/>
                <w:lang w:val="en-GB"/>
              </w:rPr>
              <w:t># observations</w:t>
            </w:r>
          </w:p>
        </w:tc>
        <w:tc>
          <w:tcPr>
            <w:tcW w:w="1571" w:type="dxa"/>
            <w:tcBorders>
              <w:top w:val="nil"/>
              <w:left w:val="nil"/>
              <w:bottom w:val="nil"/>
              <w:right w:val="nil"/>
            </w:tcBorders>
          </w:tcPr>
          <w:p w14:paraId="22780086" w14:textId="77777777" w:rsidR="00674EEA" w:rsidRPr="00D311AE" w:rsidRDefault="00674EEA" w:rsidP="007C7FCB">
            <w:pPr>
              <w:spacing w:line="259" w:lineRule="auto"/>
              <w:jc w:val="center"/>
              <w:rPr>
                <w:sz w:val="18"/>
                <w:szCs w:val="14"/>
                <w:lang w:val="en-GB"/>
              </w:rPr>
            </w:pPr>
            <w:r w:rsidRPr="00D311AE">
              <w:rPr>
                <w:sz w:val="18"/>
                <w:szCs w:val="14"/>
                <w:lang w:val="en-GB"/>
              </w:rPr>
              <w:t>2,853</w:t>
            </w:r>
          </w:p>
        </w:tc>
        <w:tc>
          <w:tcPr>
            <w:tcW w:w="1802" w:type="dxa"/>
            <w:tcBorders>
              <w:top w:val="nil"/>
              <w:left w:val="nil"/>
              <w:bottom w:val="nil"/>
              <w:right w:val="nil"/>
            </w:tcBorders>
          </w:tcPr>
          <w:p w14:paraId="70B8D723" w14:textId="77777777" w:rsidR="00674EEA" w:rsidRPr="00D311AE" w:rsidRDefault="00674EEA" w:rsidP="007C7FCB">
            <w:pPr>
              <w:spacing w:line="259" w:lineRule="auto"/>
              <w:jc w:val="center"/>
              <w:rPr>
                <w:sz w:val="18"/>
                <w:szCs w:val="14"/>
                <w:lang w:val="en-GB"/>
              </w:rPr>
            </w:pPr>
            <w:r w:rsidRPr="00D311AE">
              <w:rPr>
                <w:sz w:val="18"/>
                <w:szCs w:val="14"/>
                <w:lang w:val="en-GB"/>
              </w:rPr>
              <w:t>2,853</w:t>
            </w:r>
          </w:p>
        </w:tc>
        <w:tc>
          <w:tcPr>
            <w:tcW w:w="1571" w:type="dxa"/>
            <w:tcBorders>
              <w:top w:val="nil"/>
              <w:left w:val="nil"/>
              <w:bottom w:val="nil"/>
              <w:right w:val="nil"/>
            </w:tcBorders>
          </w:tcPr>
          <w:p w14:paraId="7E225E56" w14:textId="77777777" w:rsidR="00674EEA" w:rsidRPr="00D311AE" w:rsidRDefault="00674EEA" w:rsidP="007C7FCB">
            <w:pPr>
              <w:spacing w:line="259" w:lineRule="auto"/>
              <w:jc w:val="center"/>
              <w:rPr>
                <w:sz w:val="18"/>
                <w:szCs w:val="14"/>
                <w:lang w:val="en-GB"/>
              </w:rPr>
            </w:pPr>
            <w:r w:rsidRPr="00D311AE">
              <w:rPr>
                <w:sz w:val="18"/>
                <w:szCs w:val="14"/>
                <w:lang w:val="en-GB"/>
              </w:rPr>
              <w:t>5,103</w:t>
            </w:r>
          </w:p>
        </w:tc>
        <w:tc>
          <w:tcPr>
            <w:tcW w:w="1775" w:type="dxa"/>
            <w:tcBorders>
              <w:top w:val="nil"/>
              <w:left w:val="nil"/>
              <w:bottom w:val="nil"/>
              <w:right w:val="nil"/>
            </w:tcBorders>
          </w:tcPr>
          <w:p w14:paraId="0789F691" w14:textId="77777777" w:rsidR="00674EEA" w:rsidRPr="00D311AE" w:rsidRDefault="00674EEA" w:rsidP="007C7FCB">
            <w:pPr>
              <w:spacing w:line="259" w:lineRule="auto"/>
              <w:jc w:val="center"/>
              <w:rPr>
                <w:sz w:val="18"/>
                <w:szCs w:val="14"/>
                <w:lang w:val="en-GB"/>
              </w:rPr>
            </w:pPr>
            <w:r w:rsidRPr="00D311AE">
              <w:rPr>
                <w:sz w:val="18"/>
                <w:szCs w:val="14"/>
                <w:lang w:val="en-GB"/>
              </w:rPr>
              <w:t>5,103</w:t>
            </w:r>
          </w:p>
        </w:tc>
      </w:tr>
      <w:tr w:rsidR="00674EEA" w:rsidRPr="00D311AE" w14:paraId="23D3A94B" w14:textId="77777777" w:rsidTr="00372793">
        <w:trPr>
          <w:trHeight w:val="185"/>
        </w:trPr>
        <w:tc>
          <w:tcPr>
            <w:tcW w:w="2107" w:type="dxa"/>
            <w:tcBorders>
              <w:top w:val="nil"/>
              <w:left w:val="nil"/>
              <w:bottom w:val="nil"/>
              <w:right w:val="nil"/>
            </w:tcBorders>
          </w:tcPr>
          <w:p w14:paraId="62EFC4CE" w14:textId="77777777" w:rsidR="00674EEA" w:rsidRPr="00D311AE" w:rsidRDefault="00674EEA" w:rsidP="007C7FCB">
            <w:pPr>
              <w:spacing w:line="259" w:lineRule="auto"/>
              <w:jc w:val="right"/>
              <w:rPr>
                <w:sz w:val="18"/>
                <w:szCs w:val="14"/>
                <w:lang w:val="en-GB"/>
              </w:rPr>
            </w:pPr>
            <w:r w:rsidRPr="00D311AE">
              <w:rPr>
                <w:sz w:val="18"/>
                <w:szCs w:val="14"/>
                <w:lang w:val="en-GB"/>
              </w:rPr>
              <w:t># countries</w:t>
            </w:r>
          </w:p>
        </w:tc>
        <w:tc>
          <w:tcPr>
            <w:tcW w:w="1571" w:type="dxa"/>
            <w:tcBorders>
              <w:top w:val="nil"/>
              <w:left w:val="nil"/>
              <w:bottom w:val="nil"/>
              <w:right w:val="nil"/>
            </w:tcBorders>
          </w:tcPr>
          <w:p w14:paraId="235DF19F" w14:textId="77777777" w:rsidR="00674EEA" w:rsidRPr="00D311AE" w:rsidRDefault="00674EEA" w:rsidP="007C7FCB">
            <w:pPr>
              <w:spacing w:line="259" w:lineRule="auto"/>
              <w:jc w:val="center"/>
              <w:rPr>
                <w:sz w:val="18"/>
                <w:szCs w:val="14"/>
                <w:lang w:val="en-GB"/>
              </w:rPr>
            </w:pPr>
            <w:r w:rsidRPr="00D311AE">
              <w:rPr>
                <w:sz w:val="18"/>
                <w:szCs w:val="14"/>
                <w:lang w:val="en-GB"/>
              </w:rPr>
              <w:t>80</w:t>
            </w:r>
          </w:p>
        </w:tc>
        <w:tc>
          <w:tcPr>
            <w:tcW w:w="1802" w:type="dxa"/>
            <w:tcBorders>
              <w:top w:val="nil"/>
              <w:left w:val="nil"/>
              <w:bottom w:val="nil"/>
              <w:right w:val="nil"/>
            </w:tcBorders>
          </w:tcPr>
          <w:p w14:paraId="660B31FB" w14:textId="77777777" w:rsidR="00674EEA" w:rsidRPr="00D311AE" w:rsidRDefault="00674EEA" w:rsidP="007C7FCB">
            <w:pPr>
              <w:spacing w:line="259" w:lineRule="auto"/>
              <w:jc w:val="center"/>
              <w:rPr>
                <w:sz w:val="18"/>
                <w:szCs w:val="14"/>
                <w:lang w:val="en-GB"/>
              </w:rPr>
            </w:pPr>
            <w:r w:rsidRPr="00D311AE">
              <w:rPr>
                <w:sz w:val="18"/>
                <w:szCs w:val="14"/>
                <w:lang w:val="en-GB"/>
              </w:rPr>
              <w:t>80</w:t>
            </w:r>
          </w:p>
        </w:tc>
        <w:tc>
          <w:tcPr>
            <w:tcW w:w="1571" w:type="dxa"/>
            <w:tcBorders>
              <w:top w:val="nil"/>
              <w:left w:val="nil"/>
              <w:bottom w:val="nil"/>
              <w:right w:val="nil"/>
            </w:tcBorders>
          </w:tcPr>
          <w:p w14:paraId="5689667D" w14:textId="77777777" w:rsidR="00674EEA" w:rsidRPr="00D311AE" w:rsidRDefault="00674EEA" w:rsidP="007C7FCB">
            <w:pPr>
              <w:spacing w:line="259" w:lineRule="auto"/>
              <w:jc w:val="center"/>
              <w:rPr>
                <w:sz w:val="18"/>
                <w:szCs w:val="14"/>
                <w:lang w:val="en-GB"/>
              </w:rPr>
            </w:pPr>
            <w:r w:rsidRPr="00D311AE">
              <w:rPr>
                <w:sz w:val="18"/>
                <w:szCs w:val="14"/>
                <w:lang w:val="en-GB"/>
              </w:rPr>
              <w:t>115</w:t>
            </w:r>
          </w:p>
        </w:tc>
        <w:tc>
          <w:tcPr>
            <w:tcW w:w="1775" w:type="dxa"/>
            <w:tcBorders>
              <w:top w:val="nil"/>
              <w:left w:val="nil"/>
              <w:bottom w:val="nil"/>
              <w:right w:val="nil"/>
            </w:tcBorders>
          </w:tcPr>
          <w:p w14:paraId="702DB05C" w14:textId="77777777" w:rsidR="00674EEA" w:rsidRPr="00D311AE" w:rsidRDefault="00674EEA" w:rsidP="007C7FCB">
            <w:pPr>
              <w:spacing w:line="259" w:lineRule="auto"/>
              <w:jc w:val="center"/>
              <w:rPr>
                <w:sz w:val="18"/>
                <w:szCs w:val="14"/>
                <w:lang w:val="en-GB"/>
              </w:rPr>
            </w:pPr>
            <w:r w:rsidRPr="00D311AE">
              <w:rPr>
                <w:sz w:val="18"/>
                <w:szCs w:val="14"/>
                <w:lang w:val="en-GB"/>
              </w:rPr>
              <w:t>115</w:t>
            </w:r>
          </w:p>
        </w:tc>
      </w:tr>
      <w:tr w:rsidR="00674EEA" w:rsidRPr="00D311AE" w14:paraId="7D891F34" w14:textId="77777777" w:rsidTr="00372793">
        <w:trPr>
          <w:trHeight w:val="193"/>
        </w:trPr>
        <w:tc>
          <w:tcPr>
            <w:tcW w:w="8826" w:type="dxa"/>
            <w:gridSpan w:val="5"/>
            <w:tcBorders>
              <w:top w:val="single" w:sz="4" w:space="0" w:color="auto"/>
              <w:left w:val="nil"/>
              <w:bottom w:val="double" w:sz="4" w:space="0" w:color="auto"/>
              <w:right w:val="nil"/>
            </w:tcBorders>
          </w:tcPr>
          <w:p w14:paraId="0A125D12" w14:textId="4A55FE68" w:rsidR="00674EEA" w:rsidRPr="00D311AE" w:rsidRDefault="006A33C0" w:rsidP="007C7FCB">
            <w:pPr>
              <w:spacing w:line="259" w:lineRule="auto"/>
              <w:rPr>
                <w:sz w:val="18"/>
                <w:szCs w:val="14"/>
                <w:lang w:val="en-GB"/>
              </w:rPr>
            </w:pPr>
            <w:r w:rsidRPr="006A33C0">
              <w:rPr>
                <w:sz w:val="18"/>
                <w:szCs w:val="14"/>
                <w:lang w:val="en-GB"/>
              </w:rPr>
              <w:t xml:space="preserve">Notes: the table reports the effect of the similarity with violators governance norms on the probability of compliance with the international law </w:t>
            </w:r>
            <w:r>
              <w:rPr>
                <w:sz w:val="18"/>
                <w:szCs w:val="14"/>
                <w:lang w:val="en-GB"/>
              </w:rPr>
              <w:t xml:space="preserve">across democracies and non-democracies </w:t>
            </w:r>
            <w:r w:rsidRPr="006A33C0">
              <w:rPr>
                <w:sz w:val="18"/>
                <w:szCs w:val="14"/>
                <w:lang w:val="en-GB"/>
              </w:rPr>
              <w:t xml:space="preserve">using the full corpus of UN General Assembly resolutions for the period 1947-2022. </w:t>
            </w:r>
            <w:r>
              <w:rPr>
                <w:sz w:val="18"/>
                <w:szCs w:val="14"/>
                <w:lang w:val="en-GB"/>
              </w:rPr>
              <w:t xml:space="preserve">The classification of political regimes into democracies and non-democracies is based on the binary classification proposed by Boix et. al. (2003). </w:t>
            </w:r>
            <w:r w:rsidRPr="006A33C0">
              <w:rPr>
                <w:sz w:val="18"/>
                <w:szCs w:val="14"/>
                <w:lang w:val="en-GB"/>
              </w:rPr>
              <w:t>Coefficient estimates are obtained using probit and logit models of the probability of voting in favor of UN General Assembly resolutions addressing violations of international law. Both specifications include country and year fixed effects where indicated. Covariates control for GDP per capita, population size, urbanization, and conflict incidence. Standard errors are clustered at the country level to allow for serial correlation of residuals within countries, and are reported in the parentheses. Statistical significance is denoted by *** p &lt; 0.01, ** p &lt; 0.05, * p &lt; 0.10.</w:t>
            </w:r>
          </w:p>
        </w:tc>
      </w:tr>
    </w:tbl>
    <w:p w14:paraId="159638B7" w14:textId="5C60E4FC" w:rsidR="00674EEA" w:rsidRDefault="00674EEA" w:rsidP="00E01316">
      <w:pPr>
        <w:spacing w:after="0" w:line="240" w:lineRule="auto"/>
        <w:jc w:val="both"/>
        <w:rPr>
          <w:sz w:val="24"/>
          <w:szCs w:val="24"/>
          <w:lang w:val="en-GB"/>
        </w:rPr>
      </w:pPr>
    </w:p>
    <w:p w14:paraId="0C3D8A57" w14:textId="25E38445" w:rsidR="002B186A" w:rsidRPr="002B186A" w:rsidRDefault="002B186A" w:rsidP="00151305">
      <w:pPr>
        <w:pStyle w:val="Naslov2"/>
        <w:ind w:firstLine="360"/>
        <w:rPr>
          <w:i/>
          <w:iCs/>
          <w:sz w:val="24"/>
          <w:szCs w:val="24"/>
          <w:lang w:val="en-GB"/>
        </w:rPr>
      </w:pPr>
      <w:r w:rsidRPr="002B186A">
        <w:rPr>
          <w:i/>
          <w:iCs/>
          <w:sz w:val="24"/>
          <w:szCs w:val="24"/>
          <w:lang w:val="en-GB"/>
        </w:rPr>
        <w:tab/>
      </w:r>
      <w:bookmarkStart w:id="10" w:name="_Toc212314894"/>
      <w:r w:rsidR="00151305">
        <w:rPr>
          <w:i/>
          <w:iCs/>
          <w:sz w:val="24"/>
          <w:szCs w:val="24"/>
          <w:lang w:val="en-GB"/>
        </w:rPr>
        <w:t>4</w:t>
      </w:r>
      <w:r w:rsidR="00372793">
        <w:rPr>
          <w:i/>
          <w:iCs/>
          <w:sz w:val="24"/>
          <w:szCs w:val="24"/>
          <w:lang w:val="en-GB"/>
        </w:rPr>
        <w:t>.4</w:t>
      </w:r>
      <w:r w:rsidR="00372793">
        <w:rPr>
          <w:i/>
          <w:iCs/>
          <w:sz w:val="24"/>
          <w:szCs w:val="24"/>
          <w:lang w:val="en-GB"/>
        </w:rPr>
        <w:tab/>
      </w:r>
      <w:r w:rsidRPr="002B186A">
        <w:rPr>
          <w:i/>
          <w:iCs/>
          <w:sz w:val="24"/>
          <w:szCs w:val="24"/>
          <w:lang w:val="en-GB"/>
        </w:rPr>
        <w:t>Dynamic Ideal Points and Temporal Evolution of Compliance</w:t>
      </w:r>
      <w:bookmarkEnd w:id="10"/>
    </w:p>
    <w:p w14:paraId="483D6832" w14:textId="127D9D65" w:rsidR="002B186A" w:rsidRDefault="002B186A" w:rsidP="00E01316">
      <w:pPr>
        <w:spacing w:after="0" w:line="240" w:lineRule="auto"/>
        <w:jc w:val="both"/>
        <w:rPr>
          <w:sz w:val="24"/>
          <w:szCs w:val="24"/>
          <w:lang w:val="en-GB"/>
        </w:rPr>
      </w:pPr>
    </w:p>
    <w:p w14:paraId="4D5DB070" w14:textId="119A2B7F" w:rsidR="002B186A" w:rsidRPr="002B186A" w:rsidRDefault="002B186A" w:rsidP="002B186A">
      <w:pPr>
        <w:spacing w:after="0" w:line="240" w:lineRule="auto"/>
        <w:jc w:val="both"/>
        <w:rPr>
          <w:sz w:val="24"/>
          <w:szCs w:val="24"/>
          <w:lang w:val="en-GB"/>
        </w:rPr>
      </w:pPr>
      <w:r w:rsidRPr="002B186A">
        <w:rPr>
          <w:sz w:val="24"/>
          <w:szCs w:val="24"/>
          <w:lang w:val="en-GB"/>
        </w:rPr>
        <w:t>To probe the temporal dynamics of compliance with international law, we estimate annual ideal points for each country using a Markov Chain Monte Carlo (MCMC) procedure applied to the full corpus of United Nations General Assembly (UNGA) resolutions from 1946 to 2023. This approach constructs a continuous latent trait of compliance at the country</w:t>
      </w:r>
      <w:r>
        <w:rPr>
          <w:sz w:val="24"/>
          <w:szCs w:val="24"/>
          <w:lang w:val="en-GB"/>
        </w:rPr>
        <w:t>-</w:t>
      </w:r>
      <w:r w:rsidRPr="002B186A">
        <w:rPr>
          <w:sz w:val="24"/>
          <w:szCs w:val="24"/>
          <w:lang w:val="en-GB"/>
        </w:rPr>
        <w:t>year level by jointly modeling all voting decisions as draws from an underlying distribution of policy preferences. The method produces posterior means and standard errors for each ideal point, allowing the construction of empirical confidence intervals and dynamic trajectories over time. This framework captures the evolution of compliance behavior and enables us to assess whether respect for international law has become more or less pronounced across different political regimes and periods.</w:t>
      </w:r>
    </w:p>
    <w:p w14:paraId="1E469108" w14:textId="77777777" w:rsidR="002B186A" w:rsidRPr="002B186A" w:rsidRDefault="002B186A" w:rsidP="002B186A">
      <w:pPr>
        <w:spacing w:after="0" w:line="240" w:lineRule="auto"/>
        <w:jc w:val="both"/>
        <w:rPr>
          <w:sz w:val="24"/>
          <w:szCs w:val="24"/>
          <w:lang w:val="en-GB"/>
        </w:rPr>
      </w:pPr>
    </w:p>
    <w:p w14:paraId="1436994E" w14:textId="0E5147C3" w:rsidR="002B186A" w:rsidRPr="002B186A" w:rsidRDefault="002B186A" w:rsidP="002B186A">
      <w:pPr>
        <w:spacing w:after="0" w:line="240" w:lineRule="auto"/>
        <w:jc w:val="both"/>
        <w:rPr>
          <w:sz w:val="24"/>
          <w:szCs w:val="24"/>
          <w:lang w:val="en-GB"/>
        </w:rPr>
      </w:pPr>
      <w:r>
        <w:rPr>
          <w:sz w:val="24"/>
          <w:szCs w:val="24"/>
          <w:lang w:val="en-GB"/>
        </w:rPr>
        <w:t xml:space="preserve">Table </w:t>
      </w:r>
      <w:r w:rsidR="00372793">
        <w:rPr>
          <w:sz w:val="24"/>
          <w:szCs w:val="24"/>
          <w:lang w:val="en-GB"/>
        </w:rPr>
        <w:t>6</w:t>
      </w:r>
      <w:r>
        <w:rPr>
          <w:sz w:val="24"/>
          <w:szCs w:val="24"/>
          <w:lang w:val="en-GB"/>
        </w:rPr>
        <w:t xml:space="preserve"> reports the estimated effect of institutional distance from the violators on the compliance with international law. </w:t>
      </w:r>
      <w:r w:rsidRPr="002B186A">
        <w:rPr>
          <w:sz w:val="24"/>
          <w:szCs w:val="24"/>
          <w:lang w:val="en-GB"/>
        </w:rPr>
        <w:t>The full-sample estimates</w:t>
      </w:r>
      <w:r>
        <w:rPr>
          <w:sz w:val="24"/>
          <w:szCs w:val="24"/>
          <w:lang w:val="en-GB"/>
        </w:rPr>
        <w:t xml:space="preserve"> in column (1)</w:t>
      </w:r>
      <w:r w:rsidRPr="002B186A">
        <w:rPr>
          <w:sz w:val="24"/>
          <w:szCs w:val="24"/>
          <w:lang w:val="en-GB"/>
        </w:rPr>
        <w:t xml:space="preserve"> show that increasing the institutional distance in governance quality from the weighted average of violators is associated with an approximately 30</w:t>
      </w:r>
      <w:r>
        <w:rPr>
          <w:sz w:val="24"/>
          <w:szCs w:val="24"/>
          <w:lang w:val="en-GB"/>
        </w:rPr>
        <w:t xml:space="preserve"> </w:t>
      </w:r>
      <w:r w:rsidRPr="002B186A">
        <w:rPr>
          <w:sz w:val="24"/>
          <w:szCs w:val="24"/>
          <w:lang w:val="en-GB"/>
        </w:rPr>
        <w:t>percent increase in the dynamic ideal point of compliance with international law (</w:t>
      </w:r>
      <w:r w:rsidR="005F7D68">
        <w:rPr>
          <w:sz w:val="24"/>
          <w:szCs w:val="24"/>
          <w:lang w:val="en-GB"/>
        </w:rPr>
        <w:t xml:space="preserve">i.e. </w:t>
      </w:r>
      <w:r w:rsidRPr="002B186A">
        <w:rPr>
          <w:sz w:val="24"/>
          <w:szCs w:val="24"/>
          <w:lang w:val="en-GB"/>
        </w:rPr>
        <w:t>p</w:t>
      </w:r>
      <w:r>
        <w:rPr>
          <w:sz w:val="24"/>
          <w:szCs w:val="24"/>
          <w:lang w:val="en-GB"/>
        </w:rPr>
        <w:t>-value&lt;</w:t>
      </w:r>
      <w:r w:rsidRPr="002B186A">
        <w:rPr>
          <w:sz w:val="24"/>
          <w:szCs w:val="24"/>
          <w:lang w:val="en-GB"/>
        </w:rPr>
        <w:t>0.001). This implies that as a country’s governance diverges from the institutional characteristics of violators, its revealed propensity to comply with international norms rises sharply. The relationship is stable and statistically significant across specifications, reinforcing the interpretation that institutional quality is a powerful predictor of behavioral adherence to legal norms in the international arena.</w:t>
      </w:r>
    </w:p>
    <w:p w14:paraId="1F5ECE6A" w14:textId="77777777" w:rsidR="00372793" w:rsidRDefault="00372793" w:rsidP="002B186A">
      <w:pPr>
        <w:spacing w:after="0" w:line="240" w:lineRule="auto"/>
        <w:jc w:val="both"/>
        <w:rPr>
          <w:sz w:val="24"/>
          <w:szCs w:val="24"/>
          <w:lang w:val="en-GB"/>
        </w:rPr>
      </w:pPr>
    </w:p>
    <w:p w14:paraId="67564C2E" w14:textId="1EB1A049" w:rsidR="002B186A" w:rsidRPr="002B186A" w:rsidRDefault="002B186A" w:rsidP="002B186A">
      <w:pPr>
        <w:spacing w:after="0" w:line="240" w:lineRule="auto"/>
        <w:jc w:val="both"/>
        <w:rPr>
          <w:sz w:val="24"/>
          <w:szCs w:val="24"/>
          <w:lang w:val="en-GB"/>
        </w:rPr>
      </w:pPr>
      <w:r w:rsidRPr="002B186A">
        <w:rPr>
          <w:sz w:val="24"/>
          <w:szCs w:val="24"/>
          <w:lang w:val="en-GB"/>
        </w:rPr>
        <w:t>Among democracies,</w:t>
      </w:r>
      <w:r>
        <w:rPr>
          <w:sz w:val="24"/>
          <w:szCs w:val="24"/>
          <w:lang w:val="en-GB"/>
        </w:rPr>
        <w:t xml:space="preserve"> as reported in column (1)</w:t>
      </w:r>
      <w:r w:rsidRPr="002B186A">
        <w:rPr>
          <w:sz w:val="24"/>
          <w:szCs w:val="24"/>
          <w:lang w:val="en-GB"/>
        </w:rPr>
        <w:t xml:space="preserve"> the effect is substantially larger</w:t>
      </w:r>
      <w:r>
        <w:rPr>
          <w:sz w:val="24"/>
          <w:szCs w:val="24"/>
          <w:lang w:val="en-GB"/>
        </w:rPr>
        <w:t xml:space="preserve">, </w:t>
      </w:r>
      <w:r w:rsidRPr="002B186A">
        <w:rPr>
          <w:sz w:val="24"/>
          <w:szCs w:val="24"/>
          <w:lang w:val="en-GB"/>
        </w:rPr>
        <w:t>roughly 60 percent higher than the baseline</w:t>
      </w:r>
      <w:r>
        <w:rPr>
          <w:sz w:val="24"/>
          <w:szCs w:val="24"/>
          <w:lang w:val="en-GB"/>
        </w:rPr>
        <w:t xml:space="preserve">, </w:t>
      </w:r>
      <w:r w:rsidRPr="002B186A">
        <w:rPr>
          <w:sz w:val="24"/>
          <w:szCs w:val="24"/>
          <w:lang w:val="en-GB"/>
        </w:rPr>
        <w:t>indicating that improvements in governance quality translate more forcefully into normative alignment with international law. This amplification can be interpreted as evidence that democratic institutions magnify the reputational and audience-cost mechanisms underpinning compliance. In democracies, leaders are electorally accountable, foreign-policy decisions are scrutinized by the public and the media, and deviations from international norms generate visible legitimacy costs. As a result, institutional distance from violators acts not only as a structural marker of quality governance but also as a reputational amplifier that reinforces the incentive to uphold international law.</w:t>
      </w:r>
    </w:p>
    <w:p w14:paraId="74B56C88" w14:textId="77777777" w:rsidR="002B186A" w:rsidRPr="002B186A" w:rsidRDefault="002B186A" w:rsidP="002B186A">
      <w:pPr>
        <w:spacing w:after="0" w:line="240" w:lineRule="auto"/>
        <w:jc w:val="both"/>
        <w:rPr>
          <w:sz w:val="24"/>
          <w:szCs w:val="24"/>
          <w:lang w:val="en-GB"/>
        </w:rPr>
      </w:pPr>
    </w:p>
    <w:p w14:paraId="6F1185DB" w14:textId="2D9C88EE" w:rsidR="002B186A" w:rsidRPr="002B186A" w:rsidRDefault="002B186A" w:rsidP="002B186A">
      <w:pPr>
        <w:spacing w:after="0" w:line="240" w:lineRule="auto"/>
        <w:jc w:val="both"/>
        <w:rPr>
          <w:sz w:val="24"/>
          <w:szCs w:val="24"/>
          <w:lang w:val="en-GB"/>
        </w:rPr>
      </w:pPr>
      <w:r w:rsidRPr="002B186A">
        <w:rPr>
          <w:sz w:val="24"/>
          <w:szCs w:val="24"/>
          <w:lang w:val="en-GB"/>
        </w:rPr>
        <w:t>Interestingly, even within the sample of non-democracies,</w:t>
      </w:r>
      <w:r>
        <w:rPr>
          <w:sz w:val="24"/>
          <w:szCs w:val="24"/>
          <w:lang w:val="en-GB"/>
        </w:rPr>
        <w:t xml:space="preserve"> indicated in column (3),</w:t>
      </w:r>
      <w:r w:rsidRPr="002B186A">
        <w:rPr>
          <w:sz w:val="24"/>
          <w:szCs w:val="24"/>
          <w:lang w:val="en-GB"/>
        </w:rPr>
        <w:t xml:space="preserve"> the estimated effect remains positive and significant: improving governance quality relative to the violator is associated with a 37-percent increase in the probability of compliance. Although authoritarian regimes face weaker domestic accountability, they remain embedded in networks of trade, aid, and diplomacy where reputation matters. The positive effect therefore suggests that better-governed autocracies internalize at least some external legitimacy incentives. They may comply not out of normative conviction but out of instrumental rationality</w:t>
      </w:r>
      <w:r>
        <w:rPr>
          <w:sz w:val="24"/>
          <w:szCs w:val="24"/>
          <w:lang w:val="en-GB"/>
        </w:rPr>
        <w:t xml:space="preserve">, </w:t>
      </w:r>
      <w:r w:rsidRPr="002B186A">
        <w:rPr>
          <w:sz w:val="24"/>
          <w:szCs w:val="24"/>
          <w:lang w:val="en-GB"/>
        </w:rPr>
        <w:t>seeking international recognition, foreign investment, or reduced sanction risk. The finding reveals that compliance can operate through strategic adaptation even when domestic accountability is limited.</w:t>
      </w:r>
    </w:p>
    <w:p w14:paraId="0E49047E" w14:textId="77777777" w:rsidR="002B186A" w:rsidRPr="002B186A" w:rsidRDefault="002B186A" w:rsidP="002B186A">
      <w:pPr>
        <w:spacing w:after="0" w:line="240" w:lineRule="auto"/>
        <w:jc w:val="both"/>
        <w:rPr>
          <w:sz w:val="24"/>
          <w:szCs w:val="24"/>
          <w:lang w:val="en-GB"/>
        </w:rPr>
      </w:pPr>
    </w:p>
    <w:p w14:paraId="223E18D6" w14:textId="01DFA949" w:rsidR="002B186A" w:rsidRPr="002B186A" w:rsidRDefault="002B186A" w:rsidP="002B186A">
      <w:pPr>
        <w:spacing w:after="0" w:line="240" w:lineRule="auto"/>
        <w:jc w:val="both"/>
        <w:rPr>
          <w:sz w:val="24"/>
          <w:szCs w:val="24"/>
          <w:lang w:val="en-GB"/>
        </w:rPr>
      </w:pPr>
      <w:r w:rsidRPr="002B186A">
        <w:rPr>
          <w:sz w:val="24"/>
          <w:szCs w:val="24"/>
          <w:lang w:val="en-GB"/>
        </w:rPr>
        <w:t>The bandwagon effect is particularly pronounced among mature democracies</w:t>
      </w:r>
      <w:r>
        <w:rPr>
          <w:sz w:val="24"/>
          <w:szCs w:val="24"/>
          <w:lang w:val="en-GB"/>
        </w:rPr>
        <w:t>, reported in column (4)</w:t>
      </w:r>
      <w:r w:rsidRPr="002B186A">
        <w:rPr>
          <w:sz w:val="24"/>
          <w:szCs w:val="24"/>
          <w:lang w:val="en-GB"/>
        </w:rPr>
        <w:t xml:space="preserve">. Increasing the governance distance from violators by one standard deviation </w:t>
      </w:r>
      <w:r w:rsidRPr="002B186A">
        <w:rPr>
          <w:sz w:val="24"/>
          <w:szCs w:val="24"/>
          <w:lang w:val="en-GB"/>
        </w:rPr>
        <w:lastRenderedPageBreak/>
        <w:t>predicts a 55</w:t>
      </w:r>
      <w:r>
        <w:rPr>
          <w:sz w:val="24"/>
          <w:szCs w:val="24"/>
          <w:lang w:val="en-GB"/>
        </w:rPr>
        <w:t xml:space="preserve"> </w:t>
      </w:r>
      <w:r w:rsidRPr="002B186A">
        <w:rPr>
          <w:sz w:val="24"/>
          <w:szCs w:val="24"/>
          <w:lang w:val="en-GB"/>
        </w:rPr>
        <w:t>percent rise in the dynamic ideal point of compliance. This large effect reflects the self-reinforcing nature of reputational equilibria in consolidated democratic systems. Mature democracies have accumulated decades of institutional credibility and have deeply internalized the procedural and normative expectations of the international community. Because their foreign-policy decisions are observed and emulated by others, compliance signals not only adherence but leadership. The resulting reputational externality means that each act of compliance strengthens the expected payoff to future compliance, generating a virtuous cycle of norm reinforcement. In this context, the bandwagon effect manifests as an institutional contagion of legitimacy</w:t>
      </w:r>
      <w:r>
        <w:rPr>
          <w:sz w:val="24"/>
          <w:szCs w:val="24"/>
          <w:lang w:val="en-GB"/>
        </w:rPr>
        <w:t xml:space="preserve"> where </w:t>
      </w:r>
      <w:r w:rsidRPr="002B186A">
        <w:rPr>
          <w:sz w:val="24"/>
          <w:szCs w:val="24"/>
          <w:lang w:val="en-GB"/>
        </w:rPr>
        <w:t>countries with long democratic histories lead by example, and the credibility of their behavior pulls others toward the compliance equilibrium.</w:t>
      </w:r>
    </w:p>
    <w:p w14:paraId="434B9306" w14:textId="77777777" w:rsidR="002B186A" w:rsidRPr="002B186A" w:rsidRDefault="002B186A" w:rsidP="002B186A">
      <w:pPr>
        <w:spacing w:after="0" w:line="240" w:lineRule="auto"/>
        <w:jc w:val="both"/>
        <w:rPr>
          <w:sz w:val="24"/>
          <w:szCs w:val="24"/>
          <w:lang w:val="en-GB"/>
        </w:rPr>
      </w:pPr>
    </w:p>
    <w:p w14:paraId="45541962" w14:textId="75BBF565" w:rsidR="002B186A" w:rsidRPr="002B186A" w:rsidRDefault="002B186A" w:rsidP="002B186A">
      <w:pPr>
        <w:spacing w:after="0" w:line="240" w:lineRule="auto"/>
        <w:jc w:val="both"/>
        <w:rPr>
          <w:sz w:val="24"/>
          <w:szCs w:val="24"/>
          <w:lang w:val="en-GB"/>
        </w:rPr>
      </w:pPr>
      <w:r w:rsidRPr="002B186A">
        <w:rPr>
          <w:sz w:val="24"/>
          <w:szCs w:val="24"/>
          <w:lang w:val="en-GB"/>
        </w:rPr>
        <w:t>By contrast, the effect among third-wave democracies</w:t>
      </w:r>
      <w:r>
        <w:rPr>
          <w:sz w:val="24"/>
          <w:szCs w:val="24"/>
          <w:lang w:val="en-GB"/>
        </w:rPr>
        <w:t xml:space="preserve">, </w:t>
      </w:r>
      <w:r w:rsidRPr="002B186A">
        <w:rPr>
          <w:sz w:val="24"/>
          <w:szCs w:val="24"/>
          <w:lang w:val="en-GB"/>
        </w:rPr>
        <w:t>those that transitioned in the 1970s and 1980s</w:t>
      </w:r>
      <w:r>
        <w:rPr>
          <w:sz w:val="24"/>
          <w:szCs w:val="24"/>
          <w:lang w:val="en-GB"/>
        </w:rPr>
        <w:t xml:space="preserve">, </w:t>
      </w:r>
      <w:r w:rsidRPr="002B186A">
        <w:rPr>
          <w:sz w:val="24"/>
          <w:szCs w:val="24"/>
          <w:lang w:val="en-GB"/>
        </w:rPr>
        <w:t>is only about one-third the size of that observed in mature democracies. The smaller magnitude likely reflects the persistence of transitional legacies and incomplete reputational consolidation. Although these countries have been democratic for several decades, many experienced political volatility, corruption episodes, or policy reversals that diluted the perceived reliability of their commitments. Their domestic institutions may also remain less deeply anchored in international legal norms. Consequently, even as governance quality improves, the credibility of compliance signals remains lower, producing a more modest translation of institutional distance into observable adherence. In theoretical terms, third-wave democracies occupy an intermediate equilibrium</w:t>
      </w:r>
      <w:r>
        <w:rPr>
          <w:sz w:val="24"/>
          <w:szCs w:val="24"/>
          <w:lang w:val="en-GB"/>
        </w:rPr>
        <w:t xml:space="preserve">, </w:t>
      </w:r>
      <w:r w:rsidRPr="002B186A">
        <w:rPr>
          <w:sz w:val="24"/>
          <w:szCs w:val="24"/>
          <w:lang w:val="en-GB"/>
        </w:rPr>
        <w:t>no longer constrained by authoritarian opportunism, yet not fully endowed with the reputational capital characteristic of long-standing democracies.</w:t>
      </w:r>
    </w:p>
    <w:p w14:paraId="465E9407" w14:textId="77777777" w:rsidR="002B186A" w:rsidRPr="002B186A" w:rsidRDefault="002B186A" w:rsidP="002B186A">
      <w:pPr>
        <w:spacing w:after="0" w:line="240" w:lineRule="auto"/>
        <w:jc w:val="both"/>
        <w:rPr>
          <w:sz w:val="24"/>
          <w:szCs w:val="24"/>
          <w:lang w:val="en-GB"/>
        </w:rPr>
      </w:pPr>
    </w:p>
    <w:p w14:paraId="356198B3" w14:textId="044F937B" w:rsidR="002B186A" w:rsidRPr="002B186A" w:rsidRDefault="002B186A" w:rsidP="002B186A">
      <w:pPr>
        <w:spacing w:after="0" w:line="240" w:lineRule="auto"/>
        <w:jc w:val="both"/>
        <w:rPr>
          <w:sz w:val="24"/>
          <w:szCs w:val="24"/>
          <w:lang w:val="en-GB"/>
        </w:rPr>
      </w:pPr>
      <w:r w:rsidRPr="002B186A">
        <w:rPr>
          <w:sz w:val="24"/>
          <w:szCs w:val="24"/>
          <w:lang w:val="en-GB"/>
        </w:rPr>
        <w:t>Finally, the estimated effect among post-communist and new democracies</w:t>
      </w:r>
      <w:r>
        <w:rPr>
          <w:sz w:val="24"/>
          <w:szCs w:val="24"/>
          <w:lang w:val="en-GB"/>
        </w:rPr>
        <w:t>, in column (6),</w:t>
      </w:r>
      <w:r w:rsidRPr="002B186A">
        <w:rPr>
          <w:sz w:val="24"/>
          <w:szCs w:val="24"/>
          <w:lang w:val="en-GB"/>
        </w:rPr>
        <w:t xml:space="preserve"> is roughly two-thirds the magnitude of that observed in mature democracies, a result that is both substantively meaningful and theoretically revealing. These states, most of which democratized after 1990, entered the international system under conditions of institutional flux and high external scrutiny. Their accession to global and regional organizations</w:t>
      </w:r>
      <w:r>
        <w:rPr>
          <w:sz w:val="24"/>
          <w:szCs w:val="24"/>
          <w:lang w:val="en-GB"/>
        </w:rPr>
        <w:t xml:space="preserve">, </w:t>
      </w:r>
      <w:r w:rsidRPr="002B186A">
        <w:rPr>
          <w:sz w:val="24"/>
          <w:szCs w:val="24"/>
          <w:lang w:val="en-GB"/>
        </w:rPr>
        <w:t>such as the European Union, NATO, and various UN bodies</w:t>
      </w:r>
      <w:r>
        <w:rPr>
          <w:sz w:val="24"/>
          <w:szCs w:val="24"/>
          <w:lang w:val="en-GB"/>
        </w:rPr>
        <w:t xml:space="preserve">, </w:t>
      </w:r>
      <w:r w:rsidRPr="002B186A">
        <w:rPr>
          <w:sz w:val="24"/>
          <w:szCs w:val="24"/>
          <w:lang w:val="en-GB"/>
        </w:rPr>
        <w:t>created strong external anchors of compliance. In many of these countries, the drive to demonstrate international respectability was integral to the consolidation of democratic identity. The relatively strong responsiveness of compliance behavior to governance improvements therefore reflects the disciplining effect of external conditionality</w:t>
      </w:r>
      <w:r>
        <w:rPr>
          <w:sz w:val="24"/>
          <w:szCs w:val="24"/>
          <w:lang w:val="en-GB"/>
        </w:rPr>
        <w:t>. U</w:t>
      </w:r>
      <w:r w:rsidRPr="002B186A">
        <w:rPr>
          <w:sz w:val="24"/>
          <w:szCs w:val="24"/>
          <w:lang w:val="en-GB"/>
        </w:rPr>
        <w:t>nlike older democracies, where compliance is endogenous to reputation, newer democracies comply to build reputation. Their behavior aligns with what international-relations theorists describe as compliance through socialization</w:t>
      </w:r>
      <w:r>
        <w:rPr>
          <w:sz w:val="24"/>
          <w:szCs w:val="24"/>
          <w:lang w:val="en-GB"/>
        </w:rPr>
        <w:t xml:space="preserve">, </w:t>
      </w:r>
      <w:r w:rsidRPr="002B186A">
        <w:rPr>
          <w:sz w:val="24"/>
          <w:szCs w:val="24"/>
          <w:lang w:val="en-GB"/>
        </w:rPr>
        <w:t>the process by which emerging democracies internalize norms in pursuit of membership, legitimacy, and investment credibility.</w:t>
      </w:r>
    </w:p>
    <w:p w14:paraId="7C2BE1CA" w14:textId="77777777" w:rsidR="002B186A" w:rsidRPr="002B186A" w:rsidRDefault="002B186A" w:rsidP="002B186A">
      <w:pPr>
        <w:spacing w:after="0" w:line="240" w:lineRule="auto"/>
        <w:jc w:val="both"/>
        <w:rPr>
          <w:sz w:val="24"/>
          <w:szCs w:val="24"/>
          <w:lang w:val="en-GB"/>
        </w:rPr>
      </w:pPr>
    </w:p>
    <w:p w14:paraId="780BDEDD" w14:textId="7A3EED15" w:rsidR="002B186A" w:rsidRDefault="002B186A" w:rsidP="002B186A">
      <w:pPr>
        <w:spacing w:after="0" w:line="240" w:lineRule="auto"/>
        <w:jc w:val="both"/>
        <w:rPr>
          <w:sz w:val="24"/>
          <w:szCs w:val="24"/>
          <w:lang w:val="en-GB"/>
        </w:rPr>
      </w:pPr>
      <w:r w:rsidRPr="002B186A">
        <w:rPr>
          <w:sz w:val="24"/>
          <w:szCs w:val="24"/>
          <w:lang w:val="en-GB"/>
        </w:rPr>
        <w:t>Taken together, these findings reveal a coherent pattern consistent with the dynamic-equilibrium model of compliance and the theoretical logic of the bandwagon effect. Institutional quality not only predicts cross-sectional differences in compliance but also shapes the temporal evolution of states’ ideal points toward international law. Mature democracies amplify the reputational externality of compliance; third-wave democracies exhibit partial convergence; and post-communist democracies, driven by external validation, display rapid but externally anchored adaptation. The global distribution of compliance thus evolves endogenously as states observe, emulate, and respond to the behavior of others</w:t>
      </w:r>
      <w:r>
        <w:rPr>
          <w:sz w:val="24"/>
          <w:szCs w:val="24"/>
          <w:lang w:val="en-GB"/>
        </w:rPr>
        <w:t xml:space="preserve">, </w:t>
      </w:r>
      <w:r w:rsidRPr="002B186A">
        <w:rPr>
          <w:sz w:val="24"/>
          <w:szCs w:val="24"/>
          <w:lang w:val="en-GB"/>
        </w:rPr>
        <w:t xml:space="preserve">a </w:t>
      </w:r>
      <w:r w:rsidRPr="002B186A">
        <w:rPr>
          <w:sz w:val="24"/>
          <w:szCs w:val="24"/>
          <w:lang w:val="en-GB"/>
        </w:rPr>
        <w:lastRenderedPageBreak/>
        <w:t>dynamic consistent with the view of international law as a self-enforcing coordination equilibrium embedded in a world of asymmetric reputational interdependence.</w:t>
      </w:r>
    </w:p>
    <w:p w14:paraId="79E4DD38" w14:textId="694D03EF" w:rsidR="002B186A" w:rsidRDefault="002B186A" w:rsidP="00E01316">
      <w:pPr>
        <w:spacing w:after="0" w:line="240" w:lineRule="auto"/>
        <w:jc w:val="both"/>
        <w:rPr>
          <w:sz w:val="24"/>
          <w:szCs w:val="24"/>
          <w:lang w:val="en-GB"/>
        </w:rPr>
      </w:pPr>
    </w:p>
    <w:p w14:paraId="72E99D33" w14:textId="046C31E5" w:rsidR="002B186A" w:rsidRPr="002B186A" w:rsidRDefault="002B186A" w:rsidP="002B186A">
      <w:pPr>
        <w:spacing w:after="0"/>
        <w:rPr>
          <w:sz w:val="22"/>
          <w:szCs w:val="18"/>
          <w:lang w:val="en-GB"/>
        </w:rPr>
      </w:pPr>
      <w:r w:rsidRPr="00372793">
        <w:rPr>
          <w:b/>
          <w:bCs/>
          <w:sz w:val="22"/>
          <w:szCs w:val="18"/>
          <w:lang w:val="en-GB"/>
        </w:rPr>
        <w:t>Table</w:t>
      </w:r>
      <w:r w:rsidR="00372793" w:rsidRPr="00372793">
        <w:rPr>
          <w:b/>
          <w:bCs/>
          <w:sz w:val="22"/>
          <w:szCs w:val="18"/>
          <w:lang w:val="en-GB"/>
        </w:rPr>
        <w:t xml:space="preserve"> 6</w:t>
      </w:r>
      <w:r w:rsidRPr="002B186A">
        <w:rPr>
          <w:sz w:val="22"/>
          <w:szCs w:val="18"/>
          <w:lang w:val="en-GB"/>
        </w:rPr>
        <w:t>: Effects of Institutional Distance on Compliance with International Law using Dynamic Ideal Points, 1946-2023</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134"/>
        <w:gridCol w:w="1239"/>
        <w:gridCol w:w="1159"/>
        <w:gridCol w:w="1159"/>
        <w:gridCol w:w="1195"/>
        <w:gridCol w:w="1159"/>
      </w:tblGrid>
      <w:tr w:rsidR="002B186A" w14:paraId="0701A059" w14:textId="77777777" w:rsidTr="00372793">
        <w:tc>
          <w:tcPr>
            <w:tcW w:w="1980" w:type="dxa"/>
            <w:tcBorders>
              <w:top w:val="double" w:sz="4" w:space="0" w:color="auto"/>
            </w:tcBorders>
          </w:tcPr>
          <w:p w14:paraId="0740AE8F" w14:textId="77777777" w:rsidR="002B186A" w:rsidRPr="002B186A" w:rsidRDefault="002B186A" w:rsidP="007C7FCB">
            <w:pPr>
              <w:rPr>
                <w:sz w:val="18"/>
                <w:szCs w:val="18"/>
                <w:lang w:val="en-GB"/>
              </w:rPr>
            </w:pPr>
          </w:p>
        </w:tc>
        <w:tc>
          <w:tcPr>
            <w:tcW w:w="1134" w:type="dxa"/>
            <w:tcBorders>
              <w:top w:val="double" w:sz="4" w:space="0" w:color="auto"/>
              <w:bottom w:val="single" w:sz="4" w:space="0" w:color="auto"/>
            </w:tcBorders>
          </w:tcPr>
          <w:p w14:paraId="57756642" w14:textId="77777777" w:rsidR="002B186A" w:rsidRPr="002B186A" w:rsidRDefault="002B186A" w:rsidP="002B186A">
            <w:pPr>
              <w:jc w:val="center"/>
              <w:rPr>
                <w:sz w:val="18"/>
                <w:szCs w:val="18"/>
                <w:lang w:val="en-GB"/>
              </w:rPr>
            </w:pPr>
            <w:r w:rsidRPr="002B186A">
              <w:rPr>
                <w:sz w:val="18"/>
                <w:szCs w:val="18"/>
                <w:lang w:val="en-GB"/>
              </w:rPr>
              <w:t>Full Sample</w:t>
            </w:r>
          </w:p>
        </w:tc>
        <w:tc>
          <w:tcPr>
            <w:tcW w:w="1239" w:type="dxa"/>
            <w:tcBorders>
              <w:top w:val="double" w:sz="4" w:space="0" w:color="auto"/>
              <w:bottom w:val="single" w:sz="4" w:space="0" w:color="auto"/>
            </w:tcBorders>
          </w:tcPr>
          <w:p w14:paraId="4DE0E8AA" w14:textId="77777777" w:rsidR="002B186A" w:rsidRPr="002B186A" w:rsidRDefault="002B186A" w:rsidP="002B186A">
            <w:pPr>
              <w:jc w:val="center"/>
              <w:rPr>
                <w:sz w:val="18"/>
                <w:szCs w:val="18"/>
                <w:lang w:val="en-GB"/>
              </w:rPr>
            </w:pPr>
            <w:r w:rsidRPr="002B186A">
              <w:rPr>
                <w:sz w:val="18"/>
                <w:szCs w:val="18"/>
                <w:lang w:val="en-GB"/>
              </w:rPr>
              <w:t>Democracies</w:t>
            </w:r>
          </w:p>
        </w:tc>
        <w:tc>
          <w:tcPr>
            <w:tcW w:w="1159" w:type="dxa"/>
            <w:tcBorders>
              <w:top w:val="double" w:sz="4" w:space="0" w:color="auto"/>
              <w:bottom w:val="single" w:sz="4" w:space="0" w:color="auto"/>
            </w:tcBorders>
          </w:tcPr>
          <w:p w14:paraId="484A90CF" w14:textId="77777777" w:rsidR="002B186A" w:rsidRPr="002B186A" w:rsidRDefault="002B186A" w:rsidP="002B186A">
            <w:pPr>
              <w:jc w:val="center"/>
              <w:rPr>
                <w:sz w:val="18"/>
                <w:szCs w:val="18"/>
                <w:lang w:val="en-GB"/>
              </w:rPr>
            </w:pPr>
            <w:r w:rsidRPr="002B186A">
              <w:rPr>
                <w:sz w:val="18"/>
                <w:szCs w:val="18"/>
                <w:lang w:val="en-GB"/>
              </w:rPr>
              <w:t>Non-Democracies</w:t>
            </w:r>
          </w:p>
        </w:tc>
        <w:tc>
          <w:tcPr>
            <w:tcW w:w="1159" w:type="dxa"/>
            <w:tcBorders>
              <w:top w:val="double" w:sz="4" w:space="0" w:color="auto"/>
              <w:bottom w:val="single" w:sz="4" w:space="0" w:color="auto"/>
            </w:tcBorders>
          </w:tcPr>
          <w:p w14:paraId="6FA220E0" w14:textId="77777777" w:rsidR="002B186A" w:rsidRPr="002B186A" w:rsidRDefault="002B186A" w:rsidP="002B186A">
            <w:pPr>
              <w:jc w:val="center"/>
              <w:rPr>
                <w:sz w:val="18"/>
                <w:szCs w:val="18"/>
                <w:lang w:val="en-GB"/>
              </w:rPr>
            </w:pPr>
            <w:r w:rsidRPr="002B186A">
              <w:rPr>
                <w:sz w:val="18"/>
                <w:szCs w:val="18"/>
                <w:lang w:val="en-GB"/>
              </w:rPr>
              <w:t>Mature Democracies</w:t>
            </w:r>
          </w:p>
        </w:tc>
        <w:tc>
          <w:tcPr>
            <w:tcW w:w="1195" w:type="dxa"/>
            <w:tcBorders>
              <w:top w:val="double" w:sz="4" w:space="0" w:color="auto"/>
              <w:bottom w:val="single" w:sz="4" w:space="0" w:color="auto"/>
            </w:tcBorders>
          </w:tcPr>
          <w:p w14:paraId="39D41CBF" w14:textId="77777777" w:rsidR="002B186A" w:rsidRPr="002B186A" w:rsidRDefault="002B186A" w:rsidP="002B186A">
            <w:pPr>
              <w:jc w:val="center"/>
              <w:rPr>
                <w:sz w:val="18"/>
                <w:szCs w:val="18"/>
                <w:lang w:val="en-GB"/>
              </w:rPr>
            </w:pPr>
            <w:r w:rsidRPr="002B186A">
              <w:rPr>
                <w:sz w:val="18"/>
                <w:szCs w:val="18"/>
                <w:lang w:val="en-GB"/>
              </w:rPr>
              <w:t>Third-Wave Democracies</w:t>
            </w:r>
          </w:p>
        </w:tc>
        <w:tc>
          <w:tcPr>
            <w:tcW w:w="1159" w:type="dxa"/>
            <w:tcBorders>
              <w:top w:val="double" w:sz="4" w:space="0" w:color="auto"/>
              <w:bottom w:val="single" w:sz="4" w:space="0" w:color="auto"/>
            </w:tcBorders>
          </w:tcPr>
          <w:p w14:paraId="195FB078" w14:textId="77777777" w:rsidR="002B186A" w:rsidRPr="002B186A" w:rsidRDefault="002B186A" w:rsidP="002B186A">
            <w:pPr>
              <w:jc w:val="center"/>
              <w:rPr>
                <w:sz w:val="18"/>
                <w:szCs w:val="18"/>
                <w:lang w:val="en-GB"/>
              </w:rPr>
            </w:pPr>
            <w:r w:rsidRPr="002B186A">
              <w:rPr>
                <w:sz w:val="18"/>
                <w:szCs w:val="18"/>
                <w:lang w:val="en-GB"/>
              </w:rPr>
              <w:t>Post-Communist and New Democracies</w:t>
            </w:r>
          </w:p>
        </w:tc>
      </w:tr>
      <w:tr w:rsidR="002B186A" w14:paraId="4DB4414F" w14:textId="77777777" w:rsidTr="00372793">
        <w:tc>
          <w:tcPr>
            <w:tcW w:w="1980" w:type="dxa"/>
          </w:tcPr>
          <w:p w14:paraId="64712503" w14:textId="77777777" w:rsidR="002B186A" w:rsidRPr="002B186A" w:rsidRDefault="002B186A" w:rsidP="007C7FCB">
            <w:pPr>
              <w:rPr>
                <w:sz w:val="16"/>
                <w:szCs w:val="16"/>
                <w:lang w:val="en-GB"/>
              </w:rPr>
            </w:pPr>
          </w:p>
        </w:tc>
        <w:tc>
          <w:tcPr>
            <w:tcW w:w="1134" w:type="dxa"/>
            <w:tcBorders>
              <w:top w:val="single" w:sz="4" w:space="0" w:color="auto"/>
              <w:bottom w:val="single" w:sz="4" w:space="0" w:color="auto"/>
            </w:tcBorders>
          </w:tcPr>
          <w:p w14:paraId="63A5C425" w14:textId="77777777" w:rsidR="002B186A" w:rsidRPr="002B186A" w:rsidRDefault="002B186A" w:rsidP="002B186A">
            <w:pPr>
              <w:jc w:val="center"/>
              <w:rPr>
                <w:sz w:val="16"/>
                <w:szCs w:val="16"/>
                <w:lang w:val="en-GB"/>
              </w:rPr>
            </w:pPr>
            <w:r w:rsidRPr="002B186A">
              <w:rPr>
                <w:sz w:val="16"/>
                <w:szCs w:val="16"/>
                <w:lang w:val="en-GB"/>
              </w:rPr>
              <w:t>(1)</w:t>
            </w:r>
          </w:p>
        </w:tc>
        <w:tc>
          <w:tcPr>
            <w:tcW w:w="1239" w:type="dxa"/>
            <w:tcBorders>
              <w:top w:val="single" w:sz="4" w:space="0" w:color="auto"/>
              <w:bottom w:val="single" w:sz="4" w:space="0" w:color="auto"/>
            </w:tcBorders>
          </w:tcPr>
          <w:p w14:paraId="6962BA66" w14:textId="77777777" w:rsidR="002B186A" w:rsidRPr="002B186A" w:rsidRDefault="002B186A" w:rsidP="002B186A">
            <w:pPr>
              <w:jc w:val="center"/>
              <w:rPr>
                <w:sz w:val="16"/>
                <w:szCs w:val="16"/>
                <w:lang w:val="en-GB"/>
              </w:rPr>
            </w:pPr>
            <w:r w:rsidRPr="002B186A">
              <w:rPr>
                <w:sz w:val="16"/>
                <w:szCs w:val="16"/>
                <w:lang w:val="en-GB"/>
              </w:rPr>
              <w:t>(2)</w:t>
            </w:r>
          </w:p>
        </w:tc>
        <w:tc>
          <w:tcPr>
            <w:tcW w:w="1159" w:type="dxa"/>
            <w:tcBorders>
              <w:top w:val="single" w:sz="4" w:space="0" w:color="auto"/>
              <w:bottom w:val="single" w:sz="4" w:space="0" w:color="auto"/>
            </w:tcBorders>
          </w:tcPr>
          <w:p w14:paraId="0B95B7AB" w14:textId="77777777" w:rsidR="002B186A" w:rsidRPr="002B186A" w:rsidRDefault="002B186A" w:rsidP="002B186A">
            <w:pPr>
              <w:jc w:val="center"/>
              <w:rPr>
                <w:sz w:val="16"/>
                <w:szCs w:val="16"/>
                <w:lang w:val="en-GB"/>
              </w:rPr>
            </w:pPr>
            <w:r w:rsidRPr="002B186A">
              <w:rPr>
                <w:sz w:val="16"/>
                <w:szCs w:val="16"/>
                <w:lang w:val="en-GB"/>
              </w:rPr>
              <w:t>(3)</w:t>
            </w:r>
          </w:p>
        </w:tc>
        <w:tc>
          <w:tcPr>
            <w:tcW w:w="1159" w:type="dxa"/>
            <w:tcBorders>
              <w:top w:val="single" w:sz="4" w:space="0" w:color="auto"/>
              <w:bottom w:val="single" w:sz="4" w:space="0" w:color="auto"/>
            </w:tcBorders>
          </w:tcPr>
          <w:p w14:paraId="09B3E215" w14:textId="77777777" w:rsidR="002B186A" w:rsidRPr="002B186A" w:rsidRDefault="002B186A" w:rsidP="002B186A">
            <w:pPr>
              <w:jc w:val="center"/>
              <w:rPr>
                <w:sz w:val="16"/>
                <w:szCs w:val="16"/>
                <w:lang w:val="en-GB"/>
              </w:rPr>
            </w:pPr>
            <w:r w:rsidRPr="002B186A">
              <w:rPr>
                <w:sz w:val="16"/>
                <w:szCs w:val="16"/>
                <w:lang w:val="en-GB"/>
              </w:rPr>
              <w:t>(4)</w:t>
            </w:r>
          </w:p>
        </w:tc>
        <w:tc>
          <w:tcPr>
            <w:tcW w:w="1195" w:type="dxa"/>
            <w:tcBorders>
              <w:top w:val="single" w:sz="4" w:space="0" w:color="auto"/>
              <w:bottom w:val="single" w:sz="4" w:space="0" w:color="auto"/>
            </w:tcBorders>
          </w:tcPr>
          <w:p w14:paraId="54F4F3A1" w14:textId="77777777" w:rsidR="002B186A" w:rsidRPr="002B186A" w:rsidRDefault="002B186A" w:rsidP="002B186A">
            <w:pPr>
              <w:jc w:val="center"/>
              <w:rPr>
                <w:sz w:val="16"/>
                <w:szCs w:val="16"/>
                <w:lang w:val="en-GB"/>
              </w:rPr>
            </w:pPr>
            <w:r w:rsidRPr="002B186A">
              <w:rPr>
                <w:sz w:val="16"/>
                <w:szCs w:val="16"/>
                <w:lang w:val="en-GB"/>
              </w:rPr>
              <w:t>(5)</w:t>
            </w:r>
          </w:p>
        </w:tc>
        <w:tc>
          <w:tcPr>
            <w:tcW w:w="1159" w:type="dxa"/>
            <w:tcBorders>
              <w:top w:val="single" w:sz="4" w:space="0" w:color="auto"/>
              <w:bottom w:val="single" w:sz="4" w:space="0" w:color="auto"/>
            </w:tcBorders>
          </w:tcPr>
          <w:p w14:paraId="54334393" w14:textId="77777777" w:rsidR="002B186A" w:rsidRPr="002B186A" w:rsidRDefault="002B186A" w:rsidP="002B186A">
            <w:pPr>
              <w:jc w:val="center"/>
              <w:rPr>
                <w:sz w:val="16"/>
                <w:szCs w:val="16"/>
                <w:lang w:val="en-GB"/>
              </w:rPr>
            </w:pPr>
            <w:r w:rsidRPr="002B186A">
              <w:rPr>
                <w:sz w:val="16"/>
                <w:szCs w:val="16"/>
                <w:lang w:val="en-GB"/>
              </w:rPr>
              <w:t>(6)</w:t>
            </w:r>
          </w:p>
        </w:tc>
      </w:tr>
      <w:tr w:rsidR="002B186A" w14:paraId="470ACFCA" w14:textId="77777777" w:rsidTr="00372793">
        <w:tc>
          <w:tcPr>
            <w:tcW w:w="1980" w:type="dxa"/>
          </w:tcPr>
          <w:p w14:paraId="173A448D" w14:textId="77777777" w:rsidR="002B186A" w:rsidRPr="002B186A" w:rsidRDefault="002B186A" w:rsidP="007C7FCB">
            <w:pPr>
              <w:jc w:val="right"/>
              <w:rPr>
                <w:sz w:val="16"/>
                <w:szCs w:val="16"/>
                <w:lang w:val="en-GB"/>
              </w:rPr>
            </w:pPr>
            <w:r w:rsidRPr="002B186A">
              <w:rPr>
                <w:sz w:val="16"/>
                <w:szCs w:val="16"/>
                <w:lang w:val="en-GB"/>
              </w:rPr>
              <w:t>Governance Distance from Violators</w:t>
            </w:r>
          </w:p>
        </w:tc>
        <w:tc>
          <w:tcPr>
            <w:tcW w:w="1134" w:type="dxa"/>
            <w:tcBorders>
              <w:top w:val="single" w:sz="4" w:space="0" w:color="auto"/>
              <w:bottom w:val="single" w:sz="4" w:space="0" w:color="auto"/>
            </w:tcBorders>
          </w:tcPr>
          <w:p w14:paraId="31648853" w14:textId="77777777" w:rsidR="002B186A" w:rsidRPr="002B186A" w:rsidRDefault="002B186A" w:rsidP="002B186A">
            <w:pPr>
              <w:jc w:val="center"/>
              <w:rPr>
                <w:sz w:val="16"/>
                <w:szCs w:val="16"/>
                <w:lang w:val="en-GB"/>
              </w:rPr>
            </w:pPr>
            <w:r w:rsidRPr="002B186A">
              <w:rPr>
                <w:sz w:val="16"/>
                <w:szCs w:val="16"/>
                <w:lang w:val="en-GB"/>
              </w:rPr>
              <w:t>0.303***</w:t>
            </w:r>
          </w:p>
          <w:p w14:paraId="78CEAD58" w14:textId="77777777" w:rsidR="002B186A" w:rsidRPr="002B186A" w:rsidRDefault="002B186A" w:rsidP="002B186A">
            <w:pPr>
              <w:jc w:val="center"/>
              <w:rPr>
                <w:sz w:val="16"/>
                <w:szCs w:val="16"/>
                <w:lang w:val="en-GB"/>
              </w:rPr>
            </w:pPr>
            <w:r w:rsidRPr="002B186A">
              <w:rPr>
                <w:sz w:val="16"/>
                <w:szCs w:val="16"/>
                <w:lang w:val="en-GB"/>
              </w:rPr>
              <w:t>(0.016)</w:t>
            </w:r>
          </w:p>
        </w:tc>
        <w:tc>
          <w:tcPr>
            <w:tcW w:w="1239" w:type="dxa"/>
            <w:tcBorders>
              <w:top w:val="single" w:sz="4" w:space="0" w:color="auto"/>
              <w:bottom w:val="single" w:sz="4" w:space="0" w:color="auto"/>
            </w:tcBorders>
          </w:tcPr>
          <w:p w14:paraId="2BDCF6F7" w14:textId="77777777" w:rsidR="002B186A" w:rsidRPr="002B186A" w:rsidRDefault="002B186A" w:rsidP="002B186A">
            <w:pPr>
              <w:jc w:val="center"/>
              <w:rPr>
                <w:sz w:val="16"/>
                <w:szCs w:val="16"/>
                <w:lang w:val="en-GB"/>
              </w:rPr>
            </w:pPr>
            <w:r w:rsidRPr="002B186A">
              <w:rPr>
                <w:sz w:val="16"/>
                <w:szCs w:val="16"/>
                <w:lang w:val="en-GB"/>
              </w:rPr>
              <w:t>0.485***</w:t>
            </w:r>
          </w:p>
          <w:p w14:paraId="56FB2E15" w14:textId="77777777" w:rsidR="002B186A" w:rsidRPr="002B186A" w:rsidRDefault="002B186A" w:rsidP="002B186A">
            <w:pPr>
              <w:jc w:val="center"/>
              <w:rPr>
                <w:sz w:val="16"/>
                <w:szCs w:val="16"/>
                <w:lang w:val="en-GB"/>
              </w:rPr>
            </w:pPr>
            <w:r w:rsidRPr="002B186A">
              <w:rPr>
                <w:sz w:val="16"/>
                <w:szCs w:val="16"/>
                <w:lang w:val="en-GB"/>
              </w:rPr>
              <w:t>(0.032)</w:t>
            </w:r>
          </w:p>
        </w:tc>
        <w:tc>
          <w:tcPr>
            <w:tcW w:w="1159" w:type="dxa"/>
            <w:tcBorders>
              <w:top w:val="single" w:sz="4" w:space="0" w:color="auto"/>
              <w:bottom w:val="single" w:sz="4" w:space="0" w:color="auto"/>
            </w:tcBorders>
          </w:tcPr>
          <w:p w14:paraId="7D23B8FC" w14:textId="77777777" w:rsidR="002B186A" w:rsidRPr="002B186A" w:rsidRDefault="002B186A" w:rsidP="002B186A">
            <w:pPr>
              <w:jc w:val="center"/>
              <w:rPr>
                <w:sz w:val="16"/>
                <w:szCs w:val="16"/>
                <w:lang w:val="en-GB"/>
              </w:rPr>
            </w:pPr>
            <w:r w:rsidRPr="002B186A">
              <w:rPr>
                <w:sz w:val="16"/>
                <w:szCs w:val="16"/>
                <w:lang w:val="en-GB"/>
              </w:rPr>
              <w:t>0.372***</w:t>
            </w:r>
          </w:p>
          <w:p w14:paraId="5E7CA830" w14:textId="77777777" w:rsidR="002B186A" w:rsidRPr="002B186A" w:rsidRDefault="002B186A" w:rsidP="002B186A">
            <w:pPr>
              <w:jc w:val="center"/>
              <w:rPr>
                <w:sz w:val="16"/>
                <w:szCs w:val="16"/>
                <w:lang w:val="en-GB"/>
              </w:rPr>
            </w:pPr>
            <w:r w:rsidRPr="002B186A">
              <w:rPr>
                <w:sz w:val="16"/>
                <w:szCs w:val="16"/>
                <w:lang w:val="en-GB"/>
              </w:rPr>
              <w:t>(0.010)</w:t>
            </w:r>
          </w:p>
        </w:tc>
        <w:tc>
          <w:tcPr>
            <w:tcW w:w="1159" w:type="dxa"/>
            <w:tcBorders>
              <w:top w:val="single" w:sz="4" w:space="0" w:color="auto"/>
              <w:bottom w:val="single" w:sz="4" w:space="0" w:color="auto"/>
            </w:tcBorders>
          </w:tcPr>
          <w:p w14:paraId="6F4D1107" w14:textId="77777777" w:rsidR="002B186A" w:rsidRPr="002B186A" w:rsidRDefault="002B186A" w:rsidP="002B186A">
            <w:pPr>
              <w:jc w:val="center"/>
              <w:rPr>
                <w:sz w:val="16"/>
                <w:szCs w:val="16"/>
                <w:lang w:val="en-GB"/>
              </w:rPr>
            </w:pPr>
            <w:r w:rsidRPr="002B186A">
              <w:rPr>
                <w:sz w:val="16"/>
                <w:szCs w:val="16"/>
                <w:lang w:val="en-GB"/>
              </w:rPr>
              <w:t>0.555***</w:t>
            </w:r>
          </w:p>
          <w:p w14:paraId="7A932057" w14:textId="77777777" w:rsidR="002B186A" w:rsidRPr="002B186A" w:rsidRDefault="002B186A" w:rsidP="002B186A">
            <w:pPr>
              <w:jc w:val="center"/>
              <w:rPr>
                <w:sz w:val="16"/>
                <w:szCs w:val="16"/>
                <w:lang w:val="en-GB"/>
              </w:rPr>
            </w:pPr>
            <w:r w:rsidRPr="002B186A">
              <w:rPr>
                <w:sz w:val="16"/>
                <w:szCs w:val="16"/>
                <w:lang w:val="en-GB"/>
              </w:rPr>
              <w:t>(0.178)</w:t>
            </w:r>
          </w:p>
        </w:tc>
        <w:tc>
          <w:tcPr>
            <w:tcW w:w="1195" w:type="dxa"/>
            <w:tcBorders>
              <w:top w:val="single" w:sz="4" w:space="0" w:color="auto"/>
              <w:bottom w:val="single" w:sz="4" w:space="0" w:color="auto"/>
            </w:tcBorders>
          </w:tcPr>
          <w:p w14:paraId="794CB1E6" w14:textId="77777777" w:rsidR="002B186A" w:rsidRPr="002B186A" w:rsidRDefault="002B186A" w:rsidP="002B186A">
            <w:pPr>
              <w:jc w:val="center"/>
              <w:rPr>
                <w:sz w:val="16"/>
                <w:szCs w:val="16"/>
                <w:lang w:val="en-GB"/>
              </w:rPr>
            </w:pPr>
            <w:r w:rsidRPr="002B186A">
              <w:rPr>
                <w:sz w:val="16"/>
                <w:szCs w:val="16"/>
                <w:lang w:val="en-GB"/>
              </w:rPr>
              <w:t>0.189***</w:t>
            </w:r>
          </w:p>
          <w:p w14:paraId="0E51ADFB" w14:textId="77777777" w:rsidR="002B186A" w:rsidRPr="002B186A" w:rsidRDefault="002B186A" w:rsidP="002B186A">
            <w:pPr>
              <w:jc w:val="center"/>
              <w:rPr>
                <w:sz w:val="16"/>
                <w:szCs w:val="16"/>
                <w:lang w:val="en-GB"/>
              </w:rPr>
            </w:pPr>
            <w:r w:rsidRPr="002B186A">
              <w:rPr>
                <w:sz w:val="16"/>
                <w:szCs w:val="16"/>
                <w:lang w:val="en-GB"/>
              </w:rPr>
              <w:t>(0.030)</w:t>
            </w:r>
          </w:p>
        </w:tc>
        <w:tc>
          <w:tcPr>
            <w:tcW w:w="1159" w:type="dxa"/>
            <w:tcBorders>
              <w:top w:val="single" w:sz="4" w:space="0" w:color="auto"/>
              <w:bottom w:val="single" w:sz="4" w:space="0" w:color="auto"/>
            </w:tcBorders>
          </w:tcPr>
          <w:p w14:paraId="6E8C3F89" w14:textId="77777777" w:rsidR="002B186A" w:rsidRPr="002B186A" w:rsidRDefault="002B186A" w:rsidP="002B186A">
            <w:pPr>
              <w:jc w:val="center"/>
              <w:rPr>
                <w:sz w:val="16"/>
                <w:szCs w:val="16"/>
                <w:lang w:val="en-GB"/>
              </w:rPr>
            </w:pPr>
            <w:r w:rsidRPr="002B186A">
              <w:rPr>
                <w:sz w:val="16"/>
                <w:szCs w:val="16"/>
                <w:lang w:val="en-GB"/>
              </w:rPr>
              <w:t>0.358***</w:t>
            </w:r>
          </w:p>
          <w:p w14:paraId="156E644E" w14:textId="77777777" w:rsidR="002B186A" w:rsidRPr="002B186A" w:rsidRDefault="002B186A" w:rsidP="002B186A">
            <w:pPr>
              <w:jc w:val="center"/>
              <w:rPr>
                <w:sz w:val="16"/>
                <w:szCs w:val="16"/>
                <w:lang w:val="en-GB"/>
              </w:rPr>
            </w:pPr>
            <w:r w:rsidRPr="002B186A">
              <w:rPr>
                <w:sz w:val="16"/>
                <w:szCs w:val="16"/>
                <w:lang w:val="en-GB"/>
              </w:rPr>
              <w:t>(0.033)</w:t>
            </w:r>
          </w:p>
        </w:tc>
      </w:tr>
      <w:tr w:rsidR="002B186A" w14:paraId="359B6DBF" w14:textId="77777777" w:rsidTr="00372793">
        <w:tc>
          <w:tcPr>
            <w:tcW w:w="1980" w:type="dxa"/>
          </w:tcPr>
          <w:p w14:paraId="04D24EDB" w14:textId="77777777" w:rsidR="002B186A" w:rsidRPr="002B186A" w:rsidRDefault="002B186A" w:rsidP="007C7FCB">
            <w:pPr>
              <w:jc w:val="right"/>
              <w:rPr>
                <w:sz w:val="16"/>
                <w:szCs w:val="16"/>
                <w:lang w:val="en-GB"/>
              </w:rPr>
            </w:pPr>
          </w:p>
        </w:tc>
        <w:tc>
          <w:tcPr>
            <w:tcW w:w="1134" w:type="dxa"/>
            <w:tcBorders>
              <w:top w:val="single" w:sz="4" w:space="0" w:color="auto"/>
            </w:tcBorders>
          </w:tcPr>
          <w:p w14:paraId="1327CC34" w14:textId="77777777" w:rsidR="002B186A" w:rsidRPr="002B186A" w:rsidRDefault="002B186A" w:rsidP="002B186A">
            <w:pPr>
              <w:jc w:val="center"/>
              <w:rPr>
                <w:sz w:val="16"/>
                <w:szCs w:val="16"/>
                <w:lang w:val="en-GB"/>
              </w:rPr>
            </w:pPr>
          </w:p>
        </w:tc>
        <w:tc>
          <w:tcPr>
            <w:tcW w:w="1239" w:type="dxa"/>
            <w:tcBorders>
              <w:top w:val="single" w:sz="4" w:space="0" w:color="auto"/>
            </w:tcBorders>
          </w:tcPr>
          <w:p w14:paraId="78D1938B" w14:textId="77777777" w:rsidR="002B186A" w:rsidRPr="002B186A" w:rsidRDefault="002B186A" w:rsidP="002B186A">
            <w:pPr>
              <w:jc w:val="center"/>
              <w:rPr>
                <w:sz w:val="16"/>
                <w:szCs w:val="16"/>
                <w:lang w:val="en-GB"/>
              </w:rPr>
            </w:pPr>
          </w:p>
        </w:tc>
        <w:tc>
          <w:tcPr>
            <w:tcW w:w="1159" w:type="dxa"/>
            <w:tcBorders>
              <w:top w:val="single" w:sz="4" w:space="0" w:color="auto"/>
            </w:tcBorders>
          </w:tcPr>
          <w:p w14:paraId="1B164597" w14:textId="77777777" w:rsidR="002B186A" w:rsidRPr="002B186A" w:rsidRDefault="002B186A" w:rsidP="002B186A">
            <w:pPr>
              <w:jc w:val="center"/>
              <w:rPr>
                <w:sz w:val="16"/>
                <w:szCs w:val="16"/>
                <w:lang w:val="en-GB"/>
              </w:rPr>
            </w:pPr>
          </w:p>
        </w:tc>
        <w:tc>
          <w:tcPr>
            <w:tcW w:w="1159" w:type="dxa"/>
            <w:tcBorders>
              <w:top w:val="single" w:sz="4" w:space="0" w:color="auto"/>
            </w:tcBorders>
          </w:tcPr>
          <w:p w14:paraId="407882B4" w14:textId="77777777" w:rsidR="002B186A" w:rsidRPr="002B186A" w:rsidRDefault="002B186A" w:rsidP="002B186A">
            <w:pPr>
              <w:jc w:val="center"/>
              <w:rPr>
                <w:sz w:val="16"/>
                <w:szCs w:val="16"/>
                <w:lang w:val="en-GB"/>
              </w:rPr>
            </w:pPr>
          </w:p>
        </w:tc>
        <w:tc>
          <w:tcPr>
            <w:tcW w:w="1195" w:type="dxa"/>
            <w:tcBorders>
              <w:top w:val="single" w:sz="4" w:space="0" w:color="auto"/>
            </w:tcBorders>
          </w:tcPr>
          <w:p w14:paraId="6A3B0CDA" w14:textId="77777777" w:rsidR="002B186A" w:rsidRPr="002B186A" w:rsidRDefault="002B186A" w:rsidP="002B186A">
            <w:pPr>
              <w:jc w:val="center"/>
              <w:rPr>
                <w:sz w:val="16"/>
                <w:szCs w:val="16"/>
                <w:lang w:val="en-GB"/>
              </w:rPr>
            </w:pPr>
          </w:p>
        </w:tc>
        <w:tc>
          <w:tcPr>
            <w:tcW w:w="1159" w:type="dxa"/>
            <w:tcBorders>
              <w:top w:val="single" w:sz="4" w:space="0" w:color="auto"/>
            </w:tcBorders>
          </w:tcPr>
          <w:p w14:paraId="766902C0" w14:textId="77777777" w:rsidR="002B186A" w:rsidRPr="002B186A" w:rsidRDefault="002B186A" w:rsidP="002B186A">
            <w:pPr>
              <w:jc w:val="center"/>
              <w:rPr>
                <w:sz w:val="16"/>
                <w:szCs w:val="16"/>
                <w:lang w:val="en-GB"/>
              </w:rPr>
            </w:pPr>
          </w:p>
        </w:tc>
      </w:tr>
      <w:tr w:rsidR="002B186A" w14:paraId="40CAA41E" w14:textId="77777777" w:rsidTr="00372793">
        <w:tc>
          <w:tcPr>
            <w:tcW w:w="1980" w:type="dxa"/>
          </w:tcPr>
          <w:p w14:paraId="26CE04BE" w14:textId="77777777" w:rsidR="002B186A" w:rsidRPr="002B186A" w:rsidRDefault="002B186A" w:rsidP="007C7FCB">
            <w:pPr>
              <w:jc w:val="right"/>
              <w:rPr>
                <w:sz w:val="16"/>
                <w:szCs w:val="16"/>
                <w:lang w:val="en-GB"/>
              </w:rPr>
            </w:pPr>
            <w:r w:rsidRPr="002B186A">
              <w:rPr>
                <w:sz w:val="16"/>
                <w:szCs w:val="16"/>
                <w:lang w:val="en-GB"/>
              </w:rPr>
              <w:t>Covariates</w:t>
            </w:r>
          </w:p>
          <w:p w14:paraId="4898A405" w14:textId="77777777" w:rsidR="002B186A" w:rsidRPr="002B186A" w:rsidRDefault="002B186A" w:rsidP="007C7FCB">
            <w:pPr>
              <w:jc w:val="right"/>
              <w:rPr>
                <w:sz w:val="16"/>
                <w:szCs w:val="16"/>
                <w:lang w:val="en-GB"/>
              </w:rPr>
            </w:pPr>
            <w:r w:rsidRPr="002B186A">
              <w:rPr>
                <w:sz w:val="16"/>
                <w:szCs w:val="16"/>
                <w:lang w:val="en-GB"/>
              </w:rPr>
              <w:t>(p-value)</w:t>
            </w:r>
          </w:p>
        </w:tc>
        <w:tc>
          <w:tcPr>
            <w:tcW w:w="1134" w:type="dxa"/>
          </w:tcPr>
          <w:p w14:paraId="22D93A18" w14:textId="77777777" w:rsidR="002B186A" w:rsidRPr="002B186A" w:rsidRDefault="002B186A" w:rsidP="002B186A">
            <w:pPr>
              <w:jc w:val="center"/>
              <w:rPr>
                <w:sz w:val="16"/>
                <w:szCs w:val="16"/>
                <w:lang w:val="en-GB"/>
              </w:rPr>
            </w:pPr>
            <w:r w:rsidRPr="002B186A">
              <w:rPr>
                <w:sz w:val="16"/>
                <w:szCs w:val="16"/>
                <w:lang w:val="en-GB"/>
              </w:rPr>
              <w:t>YES</w:t>
            </w:r>
          </w:p>
          <w:p w14:paraId="0296823D" w14:textId="77777777" w:rsidR="002B186A" w:rsidRPr="002B186A" w:rsidRDefault="002B186A" w:rsidP="002B186A">
            <w:pPr>
              <w:jc w:val="center"/>
              <w:rPr>
                <w:sz w:val="16"/>
                <w:szCs w:val="16"/>
                <w:lang w:val="en-GB"/>
              </w:rPr>
            </w:pPr>
            <w:r w:rsidRPr="002B186A">
              <w:rPr>
                <w:sz w:val="16"/>
                <w:szCs w:val="16"/>
                <w:lang w:val="en-GB"/>
              </w:rPr>
              <w:t>(0.000)</w:t>
            </w:r>
          </w:p>
        </w:tc>
        <w:tc>
          <w:tcPr>
            <w:tcW w:w="1239" w:type="dxa"/>
          </w:tcPr>
          <w:p w14:paraId="630F17A1" w14:textId="77777777" w:rsidR="002B186A" w:rsidRPr="002B186A" w:rsidRDefault="002B186A" w:rsidP="002B186A">
            <w:pPr>
              <w:jc w:val="center"/>
              <w:rPr>
                <w:sz w:val="16"/>
                <w:szCs w:val="16"/>
                <w:lang w:val="en-GB"/>
              </w:rPr>
            </w:pPr>
            <w:r w:rsidRPr="002B186A">
              <w:rPr>
                <w:sz w:val="16"/>
                <w:szCs w:val="16"/>
                <w:lang w:val="en-GB"/>
              </w:rPr>
              <w:t>YES</w:t>
            </w:r>
          </w:p>
          <w:p w14:paraId="550A618B" w14:textId="77777777" w:rsidR="002B186A" w:rsidRPr="002B186A" w:rsidRDefault="002B186A" w:rsidP="002B186A">
            <w:pPr>
              <w:jc w:val="center"/>
              <w:rPr>
                <w:sz w:val="16"/>
                <w:szCs w:val="16"/>
                <w:lang w:val="en-GB"/>
              </w:rPr>
            </w:pPr>
            <w:r w:rsidRPr="002B186A">
              <w:rPr>
                <w:sz w:val="16"/>
                <w:szCs w:val="16"/>
                <w:lang w:val="en-GB"/>
              </w:rPr>
              <w:t>(0.000)</w:t>
            </w:r>
          </w:p>
        </w:tc>
        <w:tc>
          <w:tcPr>
            <w:tcW w:w="1159" w:type="dxa"/>
          </w:tcPr>
          <w:p w14:paraId="0A4CEB1D" w14:textId="77777777" w:rsidR="002B186A" w:rsidRPr="002B186A" w:rsidRDefault="002B186A" w:rsidP="002B186A">
            <w:pPr>
              <w:jc w:val="center"/>
              <w:rPr>
                <w:sz w:val="16"/>
                <w:szCs w:val="16"/>
                <w:lang w:val="en-GB"/>
              </w:rPr>
            </w:pPr>
            <w:r w:rsidRPr="002B186A">
              <w:rPr>
                <w:sz w:val="16"/>
                <w:szCs w:val="16"/>
                <w:lang w:val="en-GB"/>
              </w:rPr>
              <w:t>YES</w:t>
            </w:r>
          </w:p>
          <w:p w14:paraId="43E4744D" w14:textId="77777777" w:rsidR="002B186A" w:rsidRPr="002B186A" w:rsidRDefault="002B186A" w:rsidP="002B186A">
            <w:pPr>
              <w:jc w:val="center"/>
              <w:rPr>
                <w:sz w:val="16"/>
                <w:szCs w:val="16"/>
                <w:lang w:val="en-GB"/>
              </w:rPr>
            </w:pPr>
            <w:r w:rsidRPr="002B186A">
              <w:rPr>
                <w:sz w:val="16"/>
                <w:szCs w:val="16"/>
                <w:lang w:val="en-GB"/>
              </w:rPr>
              <w:t>(0.000)</w:t>
            </w:r>
          </w:p>
        </w:tc>
        <w:tc>
          <w:tcPr>
            <w:tcW w:w="1159" w:type="dxa"/>
          </w:tcPr>
          <w:p w14:paraId="2E4E93BA" w14:textId="77777777" w:rsidR="002B186A" w:rsidRPr="002B186A" w:rsidRDefault="002B186A" w:rsidP="002B186A">
            <w:pPr>
              <w:jc w:val="center"/>
              <w:rPr>
                <w:sz w:val="16"/>
                <w:szCs w:val="16"/>
                <w:lang w:val="en-GB"/>
              </w:rPr>
            </w:pPr>
            <w:r w:rsidRPr="002B186A">
              <w:rPr>
                <w:sz w:val="16"/>
                <w:szCs w:val="16"/>
                <w:lang w:val="en-GB"/>
              </w:rPr>
              <w:t>YES</w:t>
            </w:r>
          </w:p>
          <w:p w14:paraId="178613AD" w14:textId="77777777" w:rsidR="002B186A" w:rsidRPr="002B186A" w:rsidRDefault="002B186A" w:rsidP="002B186A">
            <w:pPr>
              <w:jc w:val="center"/>
              <w:rPr>
                <w:sz w:val="16"/>
                <w:szCs w:val="16"/>
                <w:lang w:val="en-GB"/>
              </w:rPr>
            </w:pPr>
            <w:r w:rsidRPr="002B186A">
              <w:rPr>
                <w:sz w:val="16"/>
                <w:szCs w:val="16"/>
                <w:lang w:val="en-GB"/>
              </w:rPr>
              <w:t>(0.000)</w:t>
            </w:r>
          </w:p>
        </w:tc>
        <w:tc>
          <w:tcPr>
            <w:tcW w:w="1195" w:type="dxa"/>
          </w:tcPr>
          <w:p w14:paraId="0DAD83CE" w14:textId="77777777" w:rsidR="002B186A" w:rsidRPr="002B186A" w:rsidRDefault="002B186A" w:rsidP="002B186A">
            <w:pPr>
              <w:jc w:val="center"/>
              <w:rPr>
                <w:sz w:val="16"/>
                <w:szCs w:val="16"/>
                <w:lang w:val="en-GB"/>
              </w:rPr>
            </w:pPr>
            <w:r w:rsidRPr="002B186A">
              <w:rPr>
                <w:sz w:val="16"/>
                <w:szCs w:val="16"/>
                <w:lang w:val="en-GB"/>
              </w:rPr>
              <w:t>YES</w:t>
            </w:r>
          </w:p>
          <w:p w14:paraId="54A632E7" w14:textId="77777777" w:rsidR="002B186A" w:rsidRPr="002B186A" w:rsidRDefault="002B186A" w:rsidP="002B186A">
            <w:pPr>
              <w:jc w:val="center"/>
              <w:rPr>
                <w:sz w:val="16"/>
                <w:szCs w:val="16"/>
                <w:lang w:val="en-GB"/>
              </w:rPr>
            </w:pPr>
            <w:r w:rsidRPr="002B186A">
              <w:rPr>
                <w:sz w:val="16"/>
                <w:szCs w:val="16"/>
                <w:lang w:val="en-GB"/>
              </w:rPr>
              <w:t>(0.000)</w:t>
            </w:r>
          </w:p>
        </w:tc>
        <w:tc>
          <w:tcPr>
            <w:tcW w:w="1159" w:type="dxa"/>
          </w:tcPr>
          <w:p w14:paraId="06FBA32F" w14:textId="77777777" w:rsidR="002B186A" w:rsidRPr="002B186A" w:rsidRDefault="002B186A" w:rsidP="002B186A">
            <w:pPr>
              <w:jc w:val="center"/>
              <w:rPr>
                <w:sz w:val="16"/>
                <w:szCs w:val="16"/>
                <w:lang w:val="en-GB"/>
              </w:rPr>
            </w:pPr>
            <w:r w:rsidRPr="002B186A">
              <w:rPr>
                <w:sz w:val="16"/>
                <w:szCs w:val="16"/>
                <w:lang w:val="en-GB"/>
              </w:rPr>
              <w:t>YES</w:t>
            </w:r>
          </w:p>
          <w:p w14:paraId="7EAFFEB0" w14:textId="77777777" w:rsidR="002B186A" w:rsidRPr="002B186A" w:rsidRDefault="002B186A" w:rsidP="002B186A">
            <w:pPr>
              <w:jc w:val="center"/>
              <w:rPr>
                <w:sz w:val="16"/>
                <w:szCs w:val="16"/>
                <w:lang w:val="en-GB"/>
              </w:rPr>
            </w:pPr>
            <w:r w:rsidRPr="002B186A">
              <w:rPr>
                <w:sz w:val="16"/>
                <w:szCs w:val="16"/>
                <w:lang w:val="en-GB"/>
              </w:rPr>
              <w:t>(0.000)</w:t>
            </w:r>
          </w:p>
        </w:tc>
      </w:tr>
      <w:tr w:rsidR="002B186A" w14:paraId="61EE78F5" w14:textId="77777777" w:rsidTr="00372793">
        <w:tc>
          <w:tcPr>
            <w:tcW w:w="1980" w:type="dxa"/>
          </w:tcPr>
          <w:p w14:paraId="3906E83E" w14:textId="77777777" w:rsidR="002B186A" w:rsidRPr="002B186A" w:rsidRDefault="002B186A" w:rsidP="007C7FCB">
            <w:pPr>
              <w:jc w:val="right"/>
              <w:rPr>
                <w:sz w:val="16"/>
                <w:szCs w:val="16"/>
                <w:lang w:val="en-GB"/>
              </w:rPr>
            </w:pPr>
            <w:r w:rsidRPr="002B186A">
              <w:rPr>
                <w:sz w:val="16"/>
                <w:szCs w:val="16"/>
                <w:lang w:val="en-GB"/>
              </w:rPr>
              <w:t>Country-Fixed Effects</w:t>
            </w:r>
          </w:p>
          <w:p w14:paraId="59086817" w14:textId="77777777" w:rsidR="002B186A" w:rsidRPr="002B186A" w:rsidRDefault="002B186A" w:rsidP="007C7FCB">
            <w:pPr>
              <w:jc w:val="right"/>
              <w:rPr>
                <w:sz w:val="16"/>
                <w:szCs w:val="16"/>
                <w:lang w:val="en-GB"/>
              </w:rPr>
            </w:pPr>
            <w:r w:rsidRPr="002B186A">
              <w:rPr>
                <w:sz w:val="16"/>
                <w:szCs w:val="16"/>
                <w:lang w:val="en-GB"/>
              </w:rPr>
              <w:t>(p-value)</w:t>
            </w:r>
          </w:p>
        </w:tc>
        <w:tc>
          <w:tcPr>
            <w:tcW w:w="1134" w:type="dxa"/>
          </w:tcPr>
          <w:p w14:paraId="328E24D4" w14:textId="77777777" w:rsidR="002B186A" w:rsidRPr="002B186A" w:rsidRDefault="002B186A" w:rsidP="002B186A">
            <w:pPr>
              <w:jc w:val="center"/>
              <w:rPr>
                <w:sz w:val="16"/>
                <w:szCs w:val="16"/>
                <w:lang w:val="en-GB"/>
              </w:rPr>
            </w:pPr>
            <w:r w:rsidRPr="002B186A">
              <w:rPr>
                <w:sz w:val="16"/>
                <w:szCs w:val="16"/>
                <w:lang w:val="en-GB"/>
              </w:rPr>
              <w:t>YES</w:t>
            </w:r>
          </w:p>
          <w:p w14:paraId="1227B721" w14:textId="77777777" w:rsidR="002B186A" w:rsidRPr="002B186A" w:rsidRDefault="002B186A" w:rsidP="002B186A">
            <w:pPr>
              <w:jc w:val="center"/>
              <w:rPr>
                <w:sz w:val="16"/>
                <w:szCs w:val="16"/>
                <w:lang w:val="en-GB"/>
              </w:rPr>
            </w:pPr>
            <w:r w:rsidRPr="002B186A">
              <w:rPr>
                <w:sz w:val="16"/>
                <w:szCs w:val="16"/>
                <w:lang w:val="en-GB"/>
              </w:rPr>
              <w:t>(0.000)</w:t>
            </w:r>
          </w:p>
        </w:tc>
        <w:tc>
          <w:tcPr>
            <w:tcW w:w="1239" w:type="dxa"/>
          </w:tcPr>
          <w:p w14:paraId="18A925DD" w14:textId="77777777" w:rsidR="002B186A" w:rsidRPr="002B186A" w:rsidRDefault="002B186A" w:rsidP="002B186A">
            <w:pPr>
              <w:jc w:val="center"/>
              <w:rPr>
                <w:sz w:val="16"/>
                <w:szCs w:val="16"/>
                <w:lang w:val="en-GB"/>
              </w:rPr>
            </w:pPr>
            <w:r w:rsidRPr="002B186A">
              <w:rPr>
                <w:sz w:val="16"/>
                <w:szCs w:val="16"/>
                <w:lang w:val="en-GB"/>
              </w:rPr>
              <w:t>YES</w:t>
            </w:r>
          </w:p>
          <w:p w14:paraId="2C1E3D98" w14:textId="77777777" w:rsidR="002B186A" w:rsidRPr="002B186A" w:rsidRDefault="002B186A" w:rsidP="002B186A">
            <w:pPr>
              <w:jc w:val="center"/>
              <w:rPr>
                <w:sz w:val="16"/>
                <w:szCs w:val="16"/>
                <w:lang w:val="en-GB"/>
              </w:rPr>
            </w:pPr>
            <w:r w:rsidRPr="002B186A">
              <w:rPr>
                <w:sz w:val="16"/>
                <w:szCs w:val="16"/>
                <w:lang w:val="en-GB"/>
              </w:rPr>
              <w:t>(0.000)</w:t>
            </w:r>
          </w:p>
        </w:tc>
        <w:tc>
          <w:tcPr>
            <w:tcW w:w="1159" w:type="dxa"/>
          </w:tcPr>
          <w:p w14:paraId="1F2DAD70" w14:textId="77777777" w:rsidR="002B186A" w:rsidRPr="002B186A" w:rsidRDefault="002B186A" w:rsidP="002B186A">
            <w:pPr>
              <w:jc w:val="center"/>
              <w:rPr>
                <w:sz w:val="16"/>
                <w:szCs w:val="16"/>
                <w:lang w:val="en-GB"/>
              </w:rPr>
            </w:pPr>
            <w:r w:rsidRPr="002B186A">
              <w:rPr>
                <w:sz w:val="16"/>
                <w:szCs w:val="16"/>
                <w:lang w:val="en-GB"/>
              </w:rPr>
              <w:t>YES</w:t>
            </w:r>
          </w:p>
          <w:p w14:paraId="36636486" w14:textId="77777777" w:rsidR="002B186A" w:rsidRPr="002B186A" w:rsidRDefault="002B186A" w:rsidP="002B186A">
            <w:pPr>
              <w:jc w:val="center"/>
              <w:rPr>
                <w:sz w:val="16"/>
                <w:szCs w:val="16"/>
                <w:lang w:val="en-GB"/>
              </w:rPr>
            </w:pPr>
            <w:r w:rsidRPr="002B186A">
              <w:rPr>
                <w:sz w:val="16"/>
                <w:szCs w:val="16"/>
                <w:lang w:val="en-GB"/>
              </w:rPr>
              <w:t>(0.000)</w:t>
            </w:r>
          </w:p>
        </w:tc>
        <w:tc>
          <w:tcPr>
            <w:tcW w:w="1159" w:type="dxa"/>
          </w:tcPr>
          <w:p w14:paraId="1E14436C" w14:textId="77777777" w:rsidR="002B186A" w:rsidRPr="002B186A" w:rsidRDefault="002B186A" w:rsidP="002B186A">
            <w:pPr>
              <w:jc w:val="center"/>
              <w:rPr>
                <w:sz w:val="16"/>
                <w:szCs w:val="16"/>
                <w:lang w:val="en-GB"/>
              </w:rPr>
            </w:pPr>
            <w:r w:rsidRPr="002B186A">
              <w:rPr>
                <w:sz w:val="16"/>
                <w:szCs w:val="16"/>
                <w:lang w:val="en-GB"/>
              </w:rPr>
              <w:t>YES</w:t>
            </w:r>
          </w:p>
          <w:p w14:paraId="0A6B3871" w14:textId="77777777" w:rsidR="002B186A" w:rsidRPr="002B186A" w:rsidRDefault="002B186A" w:rsidP="002B186A">
            <w:pPr>
              <w:jc w:val="center"/>
              <w:rPr>
                <w:sz w:val="16"/>
                <w:szCs w:val="16"/>
                <w:lang w:val="en-GB"/>
              </w:rPr>
            </w:pPr>
            <w:r w:rsidRPr="002B186A">
              <w:rPr>
                <w:sz w:val="16"/>
                <w:szCs w:val="16"/>
                <w:lang w:val="en-GB"/>
              </w:rPr>
              <w:t>(0.000)</w:t>
            </w:r>
          </w:p>
        </w:tc>
        <w:tc>
          <w:tcPr>
            <w:tcW w:w="1195" w:type="dxa"/>
          </w:tcPr>
          <w:p w14:paraId="4E60EEFD" w14:textId="77777777" w:rsidR="002B186A" w:rsidRPr="002B186A" w:rsidRDefault="002B186A" w:rsidP="002B186A">
            <w:pPr>
              <w:jc w:val="center"/>
              <w:rPr>
                <w:sz w:val="16"/>
                <w:szCs w:val="16"/>
                <w:lang w:val="en-GB"/>
              </w:rPr>
            </w:pPr>
            <w:r w:rsidRPr="002B186A">
              <w:rPr>
                <w:sz w:val="16"/>
                <w:szCs w:val="16"/>
                <w:lang w:val="en-GB"/>
              </w:rPr>
              <w:t>YES</w:t>
            </w:r>
          </w:p>
          <w:p w14:paraId="77BD32A1" w14:textId="77777777" w:rsidR="002B186A" w:rsidRPr="002B186A" w:rsidRDefault="002B186A" w:rsidP="002B186A">
            <w:pPr>
              <w:jc w:val="center"/>
              <w:rPr>
                <w:sz w:val="16"/>
                <w:szCs w:val="16"/>
                <w:lang w:val="en-GB"/>
              </w:rPr>
            </w:pPr>
            <w:r w:rsidRPr="002B186A">
              <w:rPr>
                <w:sz w:val="16"/>
                <w:szCs w:val="16"/>
                <w:lang w:val="en-GB"/>
              </w:rPr>
              <w:t>(0.000)</w:t>
            </w:r>
          </w:p>
        </w:tc>
        <w:tc>
          <w:tcPr>
            <w:tcW w:w="1159" w:type="dxa"/>
          </w:tcPr>
          <w:p w14:paraId="304C38B6" w14:textId="77777777" w:rsidR="002B186A" w:rsidRPr="002B186A" w:rsidRDefault="002B186A" w:rsidP="002B186A">
            <w:pPr>
              <w:jc w:val="center"/>
              <w:rPr>
                <w:sz w:val="16"/>
                <w:szCs w:val="16"/>
                <w:lang w:val="en-GB"/>
              </w:rPr>
            </w:pPr>
            <w:r w:rsidRPr="002B186A">
              <w:rPr>
                <w:sz w:val="16"/>
                <w:szCs w:val="16"/>
                <w:lang w:val="en-GB"/>
              </w:rPr>
              <w:t>YES</w:t>
            </w:r>
          </w:p>
          <w:p w14:paraId="77285915" w14:textId="77777777" w:rsidR="002B186A" w:rsidRPr="002B186A" w:rsidRDefault="002B186A" w:rsidP="002B186A">
            <w:pPr>
              <w:jc w:val="center"/>
              <w:rPr>
                <w:sz w:val="16"/>
                <w:szCs w:val="16"/>
                <w:lang w:val="en-GB"/>
              </w:rPr>
            </w:pPr>
            <w:r w:rsidRPr="002B186A">
              <w:rPr>
                <w:sz w:val="16"/>
                <w:szCs w:val="16"/>
                <w:lang w:val="en-GB"/>
              </w:rPr>
              <w:t>(0.000)</w:t>
            </w:r>
          </w:p>
        </w:tc>
      </w:tr>
      <w:tr w:rsidR="002B186A" w14:paraId="62567D10" w14:textId="77777777" w:rsidTr="00372793">
        <w:tc>
          <w:tcPr>
            <w:tcW w:w="1980" w:type="dxa"/>
          </w:tcPr>
          <w:p w14:paraId="14A33270" w14:textId="77777777" w:rsidR="002B186A" w:rsidRPr="002B186A" w:rsidRDefault="002B186A" w:rsidP="007C7FCB">
            <w:pPr>
              <w:jc w:val="right"/>
              <w:rPr>
                <w:sz w:val="16"/>
                <w:szCs w:val="16"/>
                <w:lang w:val="en-GB"/>
              </w:rPr>
            </w:pPr>
            <w:r w:rsidRPr="002B186A">
              <w:rPr>
                <w:sz w:val="16"/>
                <w:szCs w:val="16"/>
                <w:lang w:val="en-GB"/>
              </w:rPr>
              <w:t>Time-Fixed Effects</w:t>
            </w:r>
          </w:p>
          <w:p w14:paraId="53D2A796" w14:textId="77777777" w:rsidR="002B186A" w:rsidRPr="002B186A" w:rsidRDefault="002B186A" w:rsidP="007C7FCB">
            <w:pPr>
              <w:jc w:val="right"/>
              <w:rPr>
                <w:sz w:val="16"/>
                <w:szCs w:val="16"/>
                <w:lang w:val="en-GB"/>
              </w:rPr>
            </w:pPr>
            <w:r w:rsidRPr="002B186A">
              <w:rPr>
                <w:sz w:val="16"/>
                <w:szCs w:val="16"/>
                <w:lang w:val="en-GB"/>
              </w:rPr>
              <w:t>(p-value)</w:t>
            </w:r>
          </w:p>
        </w:tc>
        <w:tc>
          <w:tcPr>
            <w:tcW w:w="1134" w:type="dxa"/>
          </w:tcPr>
          <w:p w14:paraId="53740879" w14:textId="77777777" w:rsidR="002B186A" w:rsidRPr="002B186A" w:rsidRDefault="002B186A" w:rsidP="002B186A">
            <w:pPr>
              <w:jc w:val="center"/>
              <w:rPr>
                <w:sz w:val="16"/>
                <w:szCs w:val="16"/>
                <w:lang w:val="en-GB"/>
              </w:rPr>
            </w:pPr>
            <w:r w:rsidRPr="002B186A">
              <w:rPr>
                <w:sz w:val="16"/>
                <w:szCs w:val="16"/>
                <w:lang w:val="en-GB"/>
              </w:rPr>
              <w:t>YES</w:t>
            </w:r>
          </w:p>
          <w:p w14:paraId="2575E1C6" w14:textId="77777777" w:rsidR="002B186A" w:rsidRPr="002B186A" w:rsidRDefault="002B186A" w:rsidP="002B186A">
            <w:pPr>
              <w:jc w:val="center"/>
              <w:rPr>
                <w:sz w:val="16"/>
                <w:szCs w:val="16"/>
                <w:lang w:val="en-GB"/>
              </w:rPr>
            </w:pPr>
            <w:r w:rsidRPr="002B186A">
              <w:rPr>
                <w:sz w:val="16"/>
                <w:szCs w:val="16"/>
                <w:lang w:val="en-GB"/>
              </w:rPr>
              <w:t>(0.000)</w:t>
            </w:r>
          </w:p>
        </w:tc>
        <w:tc>
          <w:tcPr>
            <w:tcW w:w="1239" w:type="dxa"/>
          </w:tcPr>
          <w:p w14:paraId="36633E46" w14:textId="77777777" w:rsidR="002B186A" w:rsidRPr="002B186A" w:rsidRDefault="002B186A" w:rsidP="002B186A">
            <w:pPr>
              <w:jc w:val="center"/>
              <w:rPr>
                <w:sz w:val="16"/>
                <w:szCs w:val="16"/>
                <w:lang w:val="en-GB"/>
              </w:rPr>
            </w:pPr>
            <w:r w:rsidRPr="002B186A">
              <w:rPr>
                <w:sz w:val="16"/>
                <w:szCs w:val="16"/>
                <w:lang w:val="en-GB"/>
              </w:rPr>
              <w:t>YES</w:t>
            </w:r>
          </w:p>
          <w:p w14:paraId="1858D900" w14:textId="77777777" w:rsidR="002B186A" w:rsidRPr="002B186A" w:rsidRDefault="002B186A" w:rsidP="002B186A">
            <w:pPr>
              <w:jc w:val="center"/>
              <w:rPr>
                <w:sz w:val="16"/>
                <w:szCs w:val="16"/>
                <w:lang w:val="en-GB"/>
              </w:rPr>
            </w:pPr>
            <w:r w:rsidRPr="002B186A">
              <w:rPr>
                <w:sz w:val="16"/>
                <w:szCs w:val="16"/>
                <w:lang w:val="en-GB"/>
              </w:rPr>
              <w:t>(0.000)</w:t>
            </w:r>
          </w:p>
        </w:tc>
        <w:tc>
          <w:tcPr>
            <w:tcW w:w="1159" w:type="dxa"/>
          </w:tcPr>
          <w:p w14:paraId="2389991D" w14:textId="77777777" w:rsidR="002B186A" w:rsidRPr="002B186A" w:rsidRDefault="002B186A" w:rsidP="002B186A">
            <w:pPr>
              <w:jc w:val="center"/>
              <w:rPr>
                <w:sz w:val="16"/>
                <w:szCs w:val="16"/>
                <w:lang w:val="en-GB"/>
              </w:rPr>
            </w:pPr>
            <w:r w:rsidRPr="002B186A">
              <w:rPr>
                <w:sz w:val="16"/>
                <w:szCs w:val="16"/>
                <w:lang w:val="en-GB"/>
              </w:rPr>
              <w:t>YES</w:t>
            </w:r>
          </w:p>
          <w:p w14:paraId="70C3A547" w14:textId="77777777" w:rsidR="002B186A" w:rsidRPr="002B186A" w:rsidRDefault="002B186A" w:rsidP="002B186A">
            <w:pPr>
              <w:jc w:val="center"/>
              <w:rPr>
                <w:sz w:val="16"/>
                <w:szCs w:val="16"/>
                <w:lang w:val="en-GB"/>
              </w:rPr>
            </w:pPr>
            <w:r w:rsidRPr="002B186A">
              <w:rPr>
                <w:sz w:val="16"/>
                <w:szCs w:val="16"/>
                <w:lang w:val="en-GB"/>
              </w:rPr>
              <w:t>(0.000)</w:t>
            </w:r>
          </w:p>
        </w:tc>
        <w:tc>
          <w:tcPr>
            <w:tcW w:w="1159" w:type="dxa"/>
          </w:tcPr>
          <w:p w14:paraId="1CA89A65" w14:textId="77777777" w:rsidR="002B186A" w:rsidRPr="002B186A" w:rsidRDefault="002B186A" w:rsidP="002B186A">
            <w:pPr>
              <w:jc w:val="center"/>
              <w:rPr>
                <w:sz w:val="16"/>
                <w:szCs w:val="16"/>
                <w:lang w:val="en-GB"/>
              </w:rPr>
            </w:pPr>
            <w:r w:rsidRPr="002B186A">
              <w:rPr>
                <w:sz w:val="16"/>
                <w:szCs w:val="16"/>
                <w:lang w:val="en-GB"/>
              </w:rPr>
              <w:t>YES</w:t>
            </w:r>
          </w:p>
          <w:p w14:paraId="0B37C313" w14:textId="77777777" w:rsidR="002B186A" w:rsidRPr="002B186A" w:rsidRDefault="002B186A" w:rsidP="002B186A">
            <w:pPr>
              <w:jc w:val="center"/>
              <w:rPr>
                <w:sz w:val="16"/>
                <w:szCs w:val="16"/>
                <w:lang w:val="en-GB"/>
              </w:rPr>
            </w:pPr>
            <w:r w:rsidRPr="002B186A">
              <w:rPr>
                <w:sz w:val="16"/>
                <w:szCs w:val="16"/>
                <w:lang w:val="en-GB"/>
              </w:rPr>
              <w:t>(0.000)</w:t>
            </w:r>
          </w:p>
        </w:tc>
        <w:tc>
          <w:tcPr>
            <w:tcW w:w="1195" w:type="dxa"/>
          </w:tcPr>
          <w:p w14:paraId="75437416" w14:textId="77777777" w:rsidR="002B186A" w:rsidRPr="002B186A" w:rsidRDefault="002B186A" w:rsidP="002B186A">
            <w:pPr>
              <w:jc w:val="center"/>
              <w:rPr>
                <w:sz w:val="16"/>
                <w:szCs w:val="16"/>
                <w:lang w:val="en-GB"/>
              </w:rPr>
            </w:pPr>
            <w:r w:rsidRPr="002B186A">
              <w:rPr>
                <w:sz w:val="16"/>
                <w:szCs w:val="16"/>
                <w:lang w:val="en-GB"/>
              </w:rPr>
              <w:t>YES</w:t>
            </w:r>
          </w:p>
          <w:p w14:paraId="37C95512" w14:textId="77777777" w:rsidR="002B186A" w:rsidRPr="002B186A" w:rsidRDefault="002B186A" w:rsidP="002B186A">
            <w:pPr>
              <w:jc w:val="center"/>
              <w:rPr>
                <w:sz w:val="16"/>
                <w:szCs w:val="16"/>
                <w:lang w:val="en-GB"/>
              </w:rPr>
            </w:pPr>
            <w:r w:rsidRPr="002B186A">
              <w:rPr>
                <w:sz w:val="16"/>
                <w:szCs w:val="16"/>
                <w:lang w:val="en-GB"/>
              </w:rPr>
              <w:t>(0.000)</w:t>
            </w:r>
          </w:p>
        </w:tc>
        <w:tc>
          <w:tcPr>
            <w:tcW w:w="1159" w:type="dxa"/>
          </w:tcPr>
          <w:p w14:paraId="41D16EBA" w14:textId="77777777" w:rsidR="002B186A" w:rsidRPr="002B186A" w:rsidRDefault="002B186A" w:rsidP="002B186A">
            <w:pPr>
              <w:jc w:val="center"/>
              <w:rPr>
                <w:sz w:val="16"/>
                <w:szCs w:val="16"/>
                <w:lang w:val="en-GB"/>
              </w:rPr>
            </w:pPr>
            <w:r w:rsidRPr="002B186A">
              <w:rPr>
                <w:sz w:val="16"/>
                <w:szCs w:val="16"/>
                <w:lang w:val="en-GB"/>
              </w:rPr>
              <w:t>YES</w:t>
            </w:r>
          </w:p>
          <w:p w14:paraId="1A91B196" w14:textId="77777777" w:rsidR="002B186A" w:rsidRPr="002B186A" w:rsidRDefault="002B186A" w:rsidP="002B186A">
            <w:pPr>
              <w:jc w:val="center"/>
              <w:rPr>
                <w:sz w:val="16"/>
                <w:szCs w:val="16"/>
                <w:lang w:val="en-GB"/>
              </w:rPr>
            </w:pPr>
            <w:r w:rsidRPr="002B186A">
              <w:rPr>
                <w:sz w:val="16"/>
                <w:szCs w:val="16"/>
                <w:lang w:val="en-GB"/>
              </w:rPr>
              <w:t>(0.000)</w:t>
            </w:r>
          </w:p>
        </w:tc>
      </w:tr>
      <w:tr w:rsidR="002B186A" w14:paraId="6640A9CA" w14:textId="77777777" w:rsidTr="00372793">
        <w:tc>
          <w:tcPr>
            <w:tcW w:w="1980" w:type="dxa"/>
          </w:tcPr>
          <w:p w14:paraId="2B08CA25" w14:textId="77777777" w:rsidR="002B186A" w:rsidRPr="002B186A" w:rsidRDefault="002B186A" w:rsidP="007C7FCB">
            <w:pPr>
              <w:jc w:val="right"/>
              <w:rPr>
                <w:sz w:val="16"/>
                <w:szCs w:val="16"/>
                <w:lang w:val="en-GB"/>
              </w:rPr>
            </w:pPr>
            <w:r w:rsidRPr="002B186A">
              <w:rPr>
                <w:sz w:val="16"/>
                <w:szCs w:val="16"/>
                <w:lang w:val="en-GB"/>
              </w:rPr>
              <w:t>Country-Year Fixed Effects</w:t>
            </w:r>
          </w:p>
          <w:p w14:paraId="0B3FC689" w14:textId="77777777" w:rsidR="002B186A" w:rsidRPr="002B186A" w:rsidRDefault="002B186A" w:rsidP="007C7FCB">
            <w:pPr>
              <w:jc w:val="right"/>
              <w:rPr>
                <w:sz w:val="16"/>
                <w:szCs w:val="16"/>
                <w:lang w:val="en-GB"/>
              </w:rPr>
            </w:pPr>
            <w:r w:rsidRPr="002B186A">
              <w:rPr>
                <w:sz w:val="16"/>
                <w:szCs w:val="16"/>
                <w:lang w:val="en-GB"/>
              </w:rPr>
              <w:t>(p-value)</w:t>
            </w:r>
          </w:p>
        </w:tc>
        <w:tc>
          <w:tcPr>
            <w:tcW w:w="1134" w:type="dxa"/>
          </w:tcPr>
          <w:p w14:paraId="28B02820" w14:textId="77777777" w:rsidR="002B186A" w:rsidRPr="002B186A" w:rsidRDefault="002B186A" w:rsidP="002B186A">
            <w:pPr>
              <w:jc w:val="center"/>
              <w:rPr>
                <w:sz w:val="16"/>
                <w:szCs w:val="16"/>
                <w:lang w:val="en-GB"/>
              </w:rPr>
            </w:pPr>
            <w:r w:rsidRPr="002B186A">
              <w:rPr>
                <w:sz w:val="16"/>
                <w:szCs w:val="16"/>
                <w:lang w:val="en-GB"/>
              </w:rPr>
              <w:t>YES</w:t>
            </w:r>
          </w:p>
          <w:p w14:paraId="09000981" w14:textId="77777777" w:rsidR="002B186A" w:rsidRPr="002B186A" w:rsidRDefault="002B186A" w:rsidP="002B186A">
            <w:pPr>
              <w:jc w:val="center"/>
              <w:rPr>
                <w:sz w:val="16"/>
                <w:szCs w:val="16"/>
                <w:lang w:val="en-GB"/>
              </w:rPr>
            </w:pPr>
            <w:r w:rsidRPr="002B186A">
              <w:rPr>
                <w:sz w:val="16"/>
                <w:szCs w:val="16"/>
                <w:lang w:val="en-GB"/>
              </w:rPr>
              <w:t>(0.000)</w:t>
            </w:r>
          </w:p>
        </w:tc>
        <w:tc>
          <w:tcPr>
            <w:tcW w:w="1239" w:type="dxa"/>
          </w:tcPr>
          <w:p w14:paraId="61793DFA" w14:textId="77777777" w:rsidR="002B186A" w:rsidRPr="002B186A" w:rsidRDefault="002B186A" w:rsidP="002B186A">
            <w:pPr>
              <w:jc w:val="center"/>
              <w:rPr>
                <w:sz w:val="16"/>
                <w:szCs w:val="16"/>
                <w:lang w:val="en-GB"/>
              </w:rPr>
            </w:pPr>
            <w:r w:rsidRPr="002B186A">
              <w:rPr>
                <w:sz w:val="16"/>
                <w:szCs w:val="16"/>
                <w:lang w:val="en-GB"/>
              </w:rPr>
              <w:t>YES</w:t>
            </w:r>
          </w:p>
          <w:p w14:paraId="034B8ECB" w14:textId="77777777" w:rsidR="002B186A" w:rsidRPr="002B186A" w:rsidRDefault="002B186A" w:rsidP="002B186A">
            <w:pPr>
              <w:jc w:val="center"/>
              <w:rPr>
                <w:sz w:val="16"/>
                <w:szCs w:val="16"/>
                <w:lang w:val="en-GB"/>
              </w:rPr>
            </w:pPr>
            <w:r w:rsidRPr="002B186A">
              <w:rPr>
                <w:sz w:val="16"/>
                <w:szCs w:val="16"/>
                <w:lang w:val="en-GB"/>
              </w:rPr>
              <w:t>(0.000)</w:t>
            </w:r>
          </w:p>
        </w:tc>
        <w:tc>
          <w:tcPr>
            <w:tcW w:w="1159" w:type="dxa"/>
          </w:tcPr>
          <w:p w14:paraId="04B1B59A" w14:textId="77777777" w:rsidR="002B186A" w:rsidRPr="002B186A" w:rsidRDefault="002B186A" w:rsidP="002B186A">
            <w:pPr>
              <w:jc w:val="center"/>
              <w:rPr>
                <w:sz w:val="16"/>
                <w:szCs w:val="16"/>
                <w:lang w:val="en-GB"/>
              </w:rPr>
            </w:pPr>
            <w:r w:rsidRPr="002B186A">
              <w:rPr>
                <w:sz w:val="16"/>
                <w:szCs w:val="16"/>
                <w:lang w:val="en-GB"/>
              </w:rPr>
              <w:t>YES</w:t>
            </w:r>
          </w:p>
          <w:p w14:paraId="30907CBC" w14:textId="77777777" w:rsidR="002B186A" w:rsidRPr="002B186A" w:rsidRDefault="002B186A" w:rsidP="002B186A">
            <w:pPr>
              <w:jc w:val="center"/>
              <w:rPr>
                <w:sz w:val="16"/>
                <w:szCs w:val="16"/>
                <w:lang w:val="en-GB"/>
              </w:rPr>
            </w:pPr>
            <w:r w:rsidRPr="002B186A">
              <w:rPr>
                <w:sz w:val="16"/>
                <w:szCs w:val="16"/>
                <w:lang w:val="en-GB"/>
              </w:rPr>
              <w:t>(0.000)</w:t>
            </w:r>
          </w:p>
        </w:tc>
        <w:tc>
          <w:tcPr>
            <w:tcW w:w="1159" w:type="dxa"/>
          </w:tcPr>
          <w:p w14:paraId="320E1413" w14:textId="77777777" w:rsidR="002B186A" w:rsidRPr="002B186A" w:rsidRDefault="002B186A" w:rsidP="002B186A">
            <w:pPr>
              <w:jc w:val="center"/>
              <w:rPr>
                <w:sz w:val="16"/>
                <w:szCs w:val="16"/>
                <w:lang w:val="en-GB"/>
              </w:rPr>
            </w:pPr>
            <w:r w:rsidRPr="002B186A">
              <w:rPr>
                <w:sz w:val="16"/>
                <w:szCs w:val="16"/>
                <w:lang w:val="en-GB"/>
              </w:rPr>
              <w:t>YES</w:t>
            </w:r>
          </w:p>
          <w:p w14:paraId="6124FB0C" w14:textId="77777777" w:rsidR="002B186A" w:rsidRPr="002B186A" w:rsidRDefault="002B186A" w:rsidP="002B186A">
            <w:pPr>
              <w:jc w:val="center"/>
              <w:rPr>
                <w:sz w:val="16"/>
                <w:szCs w:val="16"/>
                <w:lang w:val="en-GB"/>
              </w:rPr>
            </w:pPr>
            <w:r w:rsidRPr="002B186A">
              <w:rPr>
                <w:sz w:val="16"/>
                <w:szCs w:val="16"/>
                <w:lang w:val="en-GB"/>
              </w:rPr>
              <w:t>(0.000)</w:t>
            </w:r>
          </w:p>
        </w:tc>
        <w:tc>
          <w:tcPr>
            <w:tcW w:w="1195" w:type="dxa"/>
          </w:tcPr>
          <w:p w14:paraId="62BFF142" w14:textId="77777777" w:rsidR="002B186A" w:rsidRPr="002B186A" w:rsidRDefault="002B186A" w:rsidP="002B186A">
            <w:pPr>
              <w:jc w:val="center"/>
              <w:rPr>
                <w:sz w:val="16"/>
                <w:szCs w:val="16"/>
                <w:lang w:val="en-GB"/>
              </w:rPr>
            </w:pPr>
            <w:r w:rsidRPr="002B186A">
              <w:rPr>
                <w:sz w:val="16"/>
                <w:szCs w:val="16"/>
                <w:lang w:val="en-GB"/>
              </w:rPr>
              <w:t>YES</w:t>
            </w:r>
          </w:p>
          <w:p w14:paraId="789756BA" w14:textId="77777777" w:rsidR="002B186A" w:rsidRPr="002B186A" w:rsidRDefault="002B186A" w:rsidP="002B186A">
            <w:pPr>
              <w:jc w:val="center"/>
              <w:rPr>
                <w:sz w:val="16"/>
                <w:szCs w:val="16"/>
                <w:lang w:val="en-GB"/>
              </w:rPr>
            </w:pPr>
            <w:r w:rsidRPr="002B186A">
              <w:rPr>
                <w:sz w:val="16"/>
                <w:szCs w:val="16"/>
                <w:lang w:val="en-GB"/>
              </w:rPr>
              <w:t>(0.000)</w:t>
            </w:r>
          </w:p>
        </w:tc>
        <w:tc>
          <w:tcPr>
            <w:tcW w:w="1159" w:type="dxa"/>
          </w:tcPr>
          <w:p w14:paraId="60E71108" w14:textId="77777777" w:rsidR="002B186A" w:rsidRPr="002B186A" w:rsidRDefault="002B186A" w:rsidP="002B186A">
            <w:pPr>
              <w:jc w:val="center"/>
              <w:rPr>
                <w:sz w:val="16"/>
                <w:szCs w:val="16"/>
                <w:lang w:val="en-GB"/>
              </w:rPr>
            </w:pPr>
            <w:r w:rsidRPr="002B186A">
              <w:rPr>
                <w:sz w:val="16"/>
                <w:szCs w:val="16"/>
                <w:lang w:val="en-GB"/>
              </w:rPr>
              <w:t>YES</w:t>
            </w:r>
          </w:p>
          <w:p w14:paraId="1B855CAA" w14:textId="77777777" w:rsidR="002B186A" w:rsidRPr="002B186A" w:rsidRDefault="002B186A" w:rsidP="002B186A">
            <w:pPr>
              <w:jc w:val="center"/>
              <w:rPr>
                <w:sz w:val="16"/>
                <w:szCs w:val="16"/>
                <w:lang w:val="en-GB"/>
              </w:rPr>
            </w:pPr>
            <w:r w:rsidRPr="002B186A">
              <w:rPr>
                <w:sz w:val="16"/>
                <w:szCs w:val="16"/>
                <w:lang w:val="en-GB"/>
              </w:rPr>
              <w:t>(0.000)</w:t>
            </w:r>
          </w:p>
        </w:tc>
      </w:tr>
      <w:tr w:rsidR="00185094" w14:paraId="579F97CB" w14:textId="77777777" w:rsidTr="00372793">
        <w:tc>
          <w:tcPr>
            <w:tcW w:w="1980" w:type="dxa"/>
          </w:tcPr>
          <w:p w14:paraId="6B7FF792" w14:textId="77777777" w:rsidR="00185094" w:rsidRPr="002B186A" w:rsidRDefault="00185094" w:rsidP="007C7FCB">
            <w:pPr>
              <w:jc w:val="right"/>
              <w:rPr>
                <w:sz w:val="16"/>
                <w:szCs w:val="16"/>
                <w:lang w:val="en-GB"/>
              </w:rPr>
            </w:pPr>
          </w:p>
        </w:tc>
        <w:tc>
          <w:tcPr>
            <w:tcW w:w="1134" w:type="dxa"/>
          </w:tcPr>
          <w:p w14:paraId="27498E88" w14:textId="77777777" w:rsidR="00185094" w:rsidRPr="002B186A" w:rsidRDefault="00185094" w:rsidP="002B186A">
            <w:pPr>
              <w:jc w:val="center"/>
              <w:rPr>
                <w:sz w:val="16"/>
                <w:szCs w:val="16"/>
                <w:lang w:val="en-GB"/>
              </w:rPr>
            </w:pPr>
          </w:p>
        </w:tc>
        <w:tc>
          <w:tcPr>
            <w:tcW w:w="1239" w:type="dxa"/>
          </w:tcPr>
          <w:p w14:paraId="4BEDBFDD" w14:textId="77777777" w:rsidR="00185094" w:rsidRPr="002B186A" w:rsidRDefault="00185094" w:rsidP="002B186A">
            <w:pPr>
              <w:jc w:val="center"/>
              <w:rPr>
                <w:sz w:val="16"/>
                <w:szCs w:val="16"/>
                <w:lang w:val="en-GB"/>
              </w:rPr>
            </w:pPr>
          </w:p>
        </w:tc>
        <w:tc>
          <w:tcPr>
            <w:tcW w:w="1159" w:type="dxa"/>
          </w:tcPr>
          <w:p w14:paraId="7AE64D8F" w14:textId="77777777" w:rsidR="00185094" w:rsidRPr="002B186A" w:rsidRDefault="00185094" w:rsidP="002B186A">
            <w:pPr>
              <w:jc w:val="center"/>
              <w:rPr>
                <w:sz w:val="16"/>
                <w:szCs w:val="16"/>
                <w:lang w:val="en-GB"/>
              </w:rPr>
            </w:pPr>
          </w:p>
        </w:tc>
        <w:tc>
          <w:tcPr>
            <w:tcW w:w="1159" w:type="dxa"/>
          </w:tcPr>
          <w:p w14:paraId="703A63B4" w14:textId="77777777" w:rsidR="00185094" w:rsidRPr="002B186A" w:rsidRDefault="00185094" w:rsidP="002B186A">
            <w:pPr>
              <w:jc w:val="center"/>
              <w:rPr>
                <w:sz w:val="16"/>
                <w:szCs w:val="16"/>
                <w:lang w:val="en-GB"/>
              </w:rPr>
            </w:pPr>
          </w:p>
        </w:tc>
        <w:tc>
          <w:tcPr>
            <w:tcW w:w="1195" w:type="dxa"/>
          </w:tcPr>
          <w:p w14:paraId="0B0FDADE" w14:textId="77777777" w:rsidR="00185094" w:rsidRPr="002B186A" w:rsidRDefault="00185094" w:rsidP="002B186A">
            <w:pPr>
              <w:jc w:val="center"/>
              <w:rPr>
                <w:sz w:val="16"/>
                <w:szCs w:val="16"/>
                <w:lang w:val="en-GB"/>
              </w:rPr>
            </w:pPr>
          </w:p>
        </w:tc>
        <w:tc>
          <w:tcPr>
            <w:tcW w:w="1159" w:type="dxa"/>
          </w:tcPr>
          <w:p w14:paraId="7A4C2E77" w14:textId="77777777" w:rsidR="00185094" w:rsidRPr="002B186A" w:rsidRDefault="00185094" w:rsidP="002B186A">
            <w:pPr>
              <w:jc w:val="center"/>
              <w:rPr>
                <w:sz w:val="16"/>
                <w:szCs w:val="16"/>
                <w:lang w:val="en-GB"/>
              </w:rPr>
            </w:pPr>
          </w:p>
        </w:tc>
      </w:tr>
      <w:tr w:rsidR="00185094" w14:paraId="1D658F50" w14:textId="77777777" w:rsidTr="00372793">
        <w:tc>
          <w:tcPr>
            <w:tcW w:w="1980" w:type="dxa"/>
          </w:tcPr>
          <w:p w14:paraId="0A330A0F" w14:textId="3B852536" w:rsidR="00185094" w:rsidRPr="00E41314" w:rsidRDefault="00185094" w:rsidP="00185094">
            <w:pPr>
              <w:jc w:val="right"/>
              <w:rPr>
                <w:sz w:val="16"/>
                <w:szCs w:val="16"/>
                <w:lang w:val="fr-FR"/>
              </w:rPr>
            </w:pPr>
            <w:r w:rsidRPr="00E41314">
              <w:rPr>
                <w:sz w:val="16"/>
                <w:szCs w:val="16"/>
                <w:lang w:val="fr-FR"/>
              </w:rPr>
              <w:t># Monte Carlo Markov Chain simulations</w:t>
            </w:r>
          </w:p>
        </w:tc>
        <w:tc>
          <w:tcPr>
            <w:tcW w:w="1134" w:type="dxa"/>
          </w:tcPr>
          <w:p w14:paraId="63159AC4" w14:textId="0644AEE7" w:rsidR="00185094" w:rsidRPr="002B186A" w:rsidRDefault="00185094" w:rsidP="00185094">
            <w:pPr>
              <w:jc w:val="center"/>
              <w:rPr>
                <w:sz w:val="16"/>
                <w:szCs w:val="16"/>
                <w:lang w:val="en-GB"/>
              </w:rPr>
            </w:pPr>
            <w:r>
              <w:rPr>
                <w:sz w:val="16"/>
                <w:szCs w:val="16"/>
                <w:lang w:val="en-GB"/>
              </w:rPr>
              <w:t>1,500,000</w:t>
            </w:r>
          </w:p>
        </w:tc>
        <w:tc>
          <w:tcPr>
            <w:tcW w:w="1239" w:type="dxa"/>
          </w:tcPr>
          <w:p w14:paraId="4EDF4FAE" w14:textId="246FF18A" w:rsidR="00185094" w:rsidRPr="002B186A" w:rsidRDefault="00185094" w:rsidP="00185094">
            <w:pPr>
              <w:jc w:val="center"/>
              <w:rPr>
                <w:sz w:val="16"/>
                <w:szCs w:val="16"/>
                <w:lang w:val="en-GB"/>
              </w:rPr>
            </w:pPr>
            <w:r w:rsidRPr="00762895">
              <w:rPr>
                <w:sz w:val="16"/>
                <w:szCs w:val="16"/>
                <w:lang w:val="en-GB"/>
              </w:rPr>
              <w:t>1,500,000</w:t>
            </w:r>
          </w:p>
        </w:tc>
        <w:tc>
          <w:tcPr>
            <w:tcW w:w="1159" w:type="dxa"/>
          </w:tcPr>
          <w:p w14:paraId="6800B76D" w14:textId="7591F3C7" w:rsidR="00185094" w:rsidRPr="002B186A" w:rsidRDefault="00185094" w:rsidP="00185094">
            <w:pPr>
              <w:jc w:val="center"/>
              <w:rPr>
                <w:sz w:val="16"/>
                <w:szCs w:val="16"/>
                <w:lang w:val="en-GB"/>
              </w:rPr>
            </w:pPr>
            <w:r w:rsidRPr="00762895">
              <w:rPr>
                <w:sz w:val="16"/>
                <w:szCs w:val="16"/>
                <w:lang w:val="en-GB"/>
              </w:rPr>
              <w:t>1,500,000</w:t>
            </w:r>
          </w:p>
        </w:tc>
        <w:tc>
          <w:tcPr>
            <w:tcW w:w="1159" w:type="dxa"/>
          </w:tcPr>
          <w:p w14:paraId="7E89BC0B" w14:textId="7B41FF6B" w:rsidR="00185094" w:rsidRPr="002B186A" w:rsidRDefault="00185094" w:rsidP="00185094">
            <w:pPr>
              <w:jc w:val="center"/>
              <w:rPr>
                <w:sz w:val="16"/>
                <w:szCs w:val="16"/>
                <w:lang w:val="en-GB"/>
              </w:rPr>
            </w:pPr>
            <w:r w:rsidRPr="00762895">
              <w:rPr>
                <w:sz w:val="16"/>
                <w:szCs w:val="16"/>
                <w:lang w:val="en-GB"/>
              </w:rPr>
              <w:t>1,500,000</w:t>
            </w:r>
          </w:p>
        </w:tc>
        <w:tc>
          <w:tcPr>
            <w:tcW w:w="1195" w:type="dxa"/>
          </w:tcPr>
          <w:p w14:paraId="04FFDDF9" w14:textId="2DF09BE4" w:rsidR="00185094" w:rsidRPr="002B186A" w:rsidRDefault="00185094" w:rsidP="00185094">
            <w:pPr>
              <w:jc w:val="center"/>
              <w:rPr>
                <w:sz w:val="16"/>
                <w:szCs w:val="16"/>
                <w:lang w:val="en-GB"/>
              </w:rPr>
            </w:pPr>
            <w:r w:rsidRPr="00762895">
              <w:rPr>
                <w:sz w:val="16"/>
                <w:szCs w:val="16"/>
                <w:lang w:val="en-GB"/>
              </w:rPr>
              <w:t>1,500,000</w:t>
            </w:r>
          </w:p>
        </w:tc>
        <w:tc>
          <w:tcPr>
            <w:tcW w:w="1159" w:type="dxa"/>
          </w:tcPr>
          <w:p w14:paraId="66F34331" w14:textId="02994296" w:rsidR="00185094" w:rsidRPr="002B186A" w:rsidRDefault="00185094" w:rsidP="00185094">
            <w:pPr>
              <w:jc w:val="center"/>
              <w:rPr>
                <w:sz w:val="16"/>
                <w:szCs w:val="16"/>
                <w:lang w:val="en-GB"/>
              </w:rPr>
            </w:pPr>
            <w:r w:rsidRPr="00762895">
              <w:rPr>
                <w:sz w:val="16"/>
                <w:szCs w:val="16"/>
                <w:lang w:val="en-GB"/>
              </w:rPr>
              <w:t>1,500,000</w:t>
            </w:r>
          </w:p>
        </w:tc>
      </w:tr>
      <w:tr w:rsidR="002B186A" w14:paraId="448852BA" w14:textId="77777777" w:rsidTr="00372793">
        <w:tc>
          <w:tcPr>
            <w:tcW w:w="1980" w:type="dxa"/>
          </w:tcPr>
          <w:p w14:paraId="59BEA7E3" w14:textId="77777777" w:rsidR="002B186A" w:rsidRPr="002B186A" w:rsidRDefault="002B186A" w:rsidP="007C7FCB">
            <w:pPr>
              <w:rPr>
                <w:sz w:val="16"/>
                <w:szCs w:val="16"/>
                <w:lang w:val="en-GB"/>
              </w:rPr>
            </w:pPr>
          </w:p>
        </w:tc>
        <w:tc>
          <w:tcPr>
            <w:tcW w:w="1134" w:type="dxa"/>
          </w:tcPr>
          <w:p w14:paraId="023B92D3" w14:textId="77777777" w:rsidR="002B186A" w:rsidRPr="002B186A" w:rsidRDefault="002B186A" w:rsidP="002B186A">
            <w:pPr>
              <w:jc w:val="center"/>
              <w:rPr>
                <w:sz w:val="16"/>
                <w:szCs w:val="16"/>
                <w:lang w:val="en-GB"/>
              </w:rPr>
            </w:pPr>
          </w:p>
        </w:tc>
        <w:tc>
          <w:tcPr>
            <w:tcW w:w="1239" w:type="dxa"/>
          </w:tcPr>
          <w:p w14:paraId="427C5695" w14:textId="77777777" w:rsidR="002B186A" w:rsidRPr="002B186A" w:rsidRDefault="002B186A" w:rsidP="002B186A">
            <w:pPr>
              <w:jc w:val="center"/>
              <w:rPr>
                <w:sz w:val="16"/>
                <w:szCs w:val="16"/>
                <w:lang w:val="en-GB"/>
              </w:rPr>
            </w:pPr>
          </w:p>
        </w:tc>
        <w:tc>
          <w:tcPr>
            <w:tcW w:w="1159" w:type="dxa"/>
          </w:tcPr>
          <w:p w14:paraId="3712793C" w14:textId="77777777" w:rsidR="002B186A" w:rsidRPr="002B186A" w:rsidRDefault="002B186A" w:rsidP="002B186A">
            <w:pPr>
              <w:jc w:val="center"/>
              <w:rPr>
                <w:sz w:val="16"/>
                <w:szCs w:val="16"/>
                <w:lang w:val="en-GB"/>
              </w:rPr>
            </w:pPr>
          </w:p>
        </w:tc>
        <w:tc>
          <w:tcPr>
            <w:tcW w:w="1159" w:type="dxa"/>
          </w:tcPr>
          <w:p w14:paraId="5AC1BAE0" w14:textId="77777777" w:rsidR="002B186A" w:rsidRPr="002B186A" w:rsidRDefault="002B186A" w:rsidP="002B186A">
            <w:pPr>
              <w:jc w:val="center"/>
              <w:rPr>
                <w:sz w:val="16"/>
                <w:szCs w:val="16"/>
                <w:lang w:val="en-GB"/>
              </w:rPr>
            </w:pPr>
          </w:p>
        </w:tc>
        <w:tc>
          <w:tcPr>
            <w:tcW w:w="1195" w:type="dxa"/>
          </w:tcPr>
          <w:p w14:paraId="552B1989" w14:textId="77777777" w:rsidR="002B186A" w:rsidRPr="002B186A" w:rsidRDefault="002B186A" w:rsidP="002B186A">
            <w:pPr>
              <w:jc w:val="center"/>
              <w:rPr>
                <w:sz w:val="16"/>
                <w:szCs w:val="16"/>
                <w:lang w:val="en-GB"/>
              </w:rPr>
            </w:pPr>
          </w:p>
        </w:tc>
        <w:tc>
          <w:tcPr>
            <w:tcW w:w="1159" w:type="dxa"/>
          </w:tcPr>
          <w:p w14:paraId="717F87C4" w14:textId="77777777" w:rsidR="002B186A" w:rsidRPr="002B186A" w:rsidRDefault="002B186A" w:rsidP="002B186A">
            <w:pPr>
              <w:jc w:val="center"/>
              <w:rPr>
                <w:sz w:val="16"/>
                <w:szCs w:val="16"/>
                <w:lang w:val="en-GB"/>
              </w:rPr>
            </w:pPr>
          </w:p>
        </w:tc>
      </w:tr>
      <w:tr w:rsidR="002B186A" w14:paraId="702974A3" w14:textId="77777777" w:rsidTr="00372793">
        <w:tc>
          <w:tcPr>
            <w:tcW w:w="1980" w:type="dxa"/>
          </w:tcPr>
          <w:p w14:paraId="3CDA9265" w14:textId="77777777" w:rsidR="002B186A" w:rsidRPr="002B186A" w:rsidRDefault="002B186A" w:rsidP="007C7FCB">
            <w:pPr>
              <w:jc w:val="right"/>
              <w:rPr>
                <w:sz w:val="16"/>
                <w:szCs w:val="16"/>
                <w:lang w:val="en-GB"/>
              </w:rPr>
            </w:pPr>
            <w:r w:rsidRPr="002B186A">
              <w:rPr>
                <w:sz w:val="16"/>
                <w:szCs w:val="16"/>
                <w:lang w:val="en-GB"/>
              </w:rPr>
              <w:t># observations</w:t>
            </w:r>
          </w:p>
        </w:tc>
        <w:tc>
          <w:tcPr>
            <w:tcW w:w="1134" w:type="dxa"/>
          </w:tcPr>
          <w:p w14:paraId="282F0AF4" w14:textId="77777777" w:rsidR="002B186A" w:rsidRPr="002B186A" w:rsidRDefault="002B186A" w:rsidP="00372793">
            <w:pPr>
              <w:jc w:val="center"/>
              <w:rPr>
                <w:sz w:val="16"/>
                <w:szCs w:val="16"/>
                <w:lang w:val="en-GB"/>
              </w:rPr>
            </w:pPr>
            <w:r w:rsidRPr="002B186A">
              <w:rPr>
                <w:sz w:val="16"/>
                <w:szCs w:val="16"/>
                <w:lang w:val="en-GB"/>
              </w:rPr>
              <w:t>9,279</w:t>
            </w:r>
          </w:p>
        </w:tc>
        <w:tc>
          <w:tcPr>
            <w:tcW w:w="1239" w:type="dxa"/>
          </w:tcPr>
          <w:p w14:paraId="2FC3F973" w14:textId="77777777" w:rsidR="002B186A" w:rsidRPr="002B186A" w:rsidRDefault="002B186A" w:rsidP="00372793">
            <w:pPr>
              <w:jc w:val="center"/>
              <w:rPr>
                <w:sz w:val="16"/>
                <w:szCs w:val="16"/>
                <w:lang w:val="en-GB"/>
              </w:rPr>
            </w:pPr>
            <w:r w:rsidRPr="002B186A">
              <w:rPr>
                <w:sz w:val="16"/>
                <w:szCs w:val="16"/>
                <w:lang w:val="en-GB"/>
              </w:rPr>
              <w:t>3,798</w:t>
            </w:r>
          </w:p>
        </w:tc>
        <w:tc>
          <w:tcPr>
            <w:tcW w:w="1159" w:type="dxa"/>
          </w:tcPr>
          <w:p w14:paraId="0C457D35" w14:textId="77777777" w:rsidR="002B186A" w:rsidRPr="002B186A" w:rsidRDefault="002B186A" w:rsidP="00372793">
            <w:pPr>
              <w:jc w:val="center"/>
              <w:rPr>
                <w:sz w:val="16"/>
                <w:szCs w:val="16"/>
                <w:lang w:val="en-GB"/>
              </w:rPr>
            </w:pPr>
            <w:r w:rsidRPr="002B186A">
              <w:rPr>
                <w:sz w:val="16"/>
                <w:szCs w:val="16"/>
                <w:lang w:val="en-GB"/>
              </w:rPr>
              <w:t>5,918</w:t>
            </w:r>
          </w:p>
        </w:tc>
        <w:tc>
          <w:tcPr>
            <w:tcW w:w="1159" w:type="dxa"/>
          </w:tcPr>
          <w:p w14:paraId="60E11838" w14:textId="77777777" w:rsidR="002B186A" w:rsidRPr="002B186A" w:rsidRDefault="002B186A" w:rsidP="00372793">
            <w:pPr>
              <w:jc w:val="center"/>
              <w:rPr>
                <w:sz w:val="16"/>
                <w:szCs w:val="16"/>
                <w:lang w:val="en-GB"/>
              </w:rPr>
            </w:pPr>
            <w:r w:rsidRPr="002B186A">
              <w:rPr>
                <w:sz w:val="16"/>
                <w:szCs w:val="16"/>
                <w:lang w:val="en-GB"/>
              </w:rPr>
              <w:t>2,015</w:t>
            </w:r>
          </w:p>
        </w:tc>
        <w:tc>
          <w:tcPr>
            <w:tcW w:w="1195" w:type="dxa"/>
          </w:tcPr>
          <w:p w14:paraId="366AFE80" w14:textId="77777777" w:rsidR="002B186A" w:rsidRPr="002B186A" w:rsidRDefault="002B186A" w:rsidP="00372793">
            <w:pPr>
              <w:jc w:val="center"/>
              <w:rPr>
                <w:sz w:val="16"/>
                <w:szCs w:val="16"/>
                <w:lang w:val="en-GB"/>
              </w:rPr>
            </w:pPr>
            <w:r w:rsidRPr="002B186A">
              <w:rPr>
                <w:sz w:val="16"/>
                <w:szCs w:val="16"/>
                <w:lang w:val="en-GB"/>
              </w:rPr>
              <w:t>1,012</w:t>
            </w:r>
          </w:p>
        </w:tc>
        <w:tc>
          <w:tcPr>
            <w:tcW w:w="1159" w:type="dxa"/>
          </w:tcPr>
          <w:p w14:paraId="41B24C64" w14:textId="77777777" w:rsidR="002B186A" w:rsidRPr="002B186A" w:rsidRDefault="002B186A" w:rsidP="00372793">
            <w:pPr>
              <w:jc w:val="center"/>
              <w:rPr>
                <w:sz w:val="16"/>
                <w:szCs w:val="16"/>
                <w:lang w:val="en-GB"/>
              </w:rPr>
            </w:pPr>
            <w:r w:rsidRPr="002B186A">
              <w:rPr>
                <w:sz w:val="16"/>
                <w:szCs w:val="16"/>
                <w:lang w:val="en-GB"/>
              </w:rPr>
              <w:t>514</w:t>
            </w:r>
          </w:p>
        </w:tc>
      </w:tr>
      <w:tr w:rsidR="002B186A" w14:paraId="722AA7D0" w14:textId="77777777" w:rsidTr="00372793">
        <w:tc>
          <w:tcPr>
            <w:tcW w:w="1980" w:type="dxa"/>
          </w:tcPr>
          <w:p w14:paraId="016C8908" w14:textId="77777777" w:rsidR="002B186A" w:rsidRPr="002B186A" w:rsidRDefault="002B186A" w:rsidP="007C7FCB">
            <w:pPr>
              <w:jc w:val="right"/>
              <w:rPr>
                <w:sz w:val="16"/>
                <w:szCs w:val="16"/>
                <w:lang w:val="en-GB"/>
              </w:rPr>
            </w:pPr>
            <w:r w:rsidRPr="002B186A">
              <w:rPr>
                <w:sz w:val="16"/>
                <w:szCs w:val="16"/>
                <w:lang w:val="en-GB"/>
              </w:rPr>
              <w:t># countries</w:t>
            </w:r>
          </w:p>
        </w:tc>
        <w:tc>
          <w:tcPr>
            <w:tcW w:w="1134" w:type="dxa"/>
          </w:tcPr>
          <w:p w14:paraId="3BD1961A" w14:textId="77777777" w:rsidR="002B186A" w:rsidRPr="002B186A" w:rsidRDefault="002B186A" w:rsidP="00372793">
            <w:pPr>
              <w:jc w:val="center"/>
              <w:rPr>
                <w:sz w:val="16"/>
                <w:szCs w:val="16"/>
                <w:lang w:val="en-GB"/>
              </w:rPr>
            </w:pPr>
            <w:r w:rsidRPr="002B186A">
              <w:rPr>
                <w:sz w:val="16"/>
                <w:szCs w:val="16"/>
                <w:lang w:val="en-GB"/>
              </w:rPr>
              <w:t>218</w:t>
            </w:r>
          </w:p>
        </w:tc>
        <w:tc>
          <w:tcPr>
            <w:tcW w:w="1239" w:type="dxa"/>
          </w:tcPr>
          <w:p w14:paraId="72784500" w14:textId="77777777" w:rsidR="002B186A" w:rsidRPr="002B186A" w:rsidRDefault="002B186A" w:rsidP="00372793">
            <w:pPr>
              <w:jc w:val="center"/>
              <w:rPr>
                <w:sz w:val="16"/>
                <w:szCs w:val="16"/>
                <w:lang w:val="en-GB"/>
              </w:rPr>
            </w:pPr>
            <w:r w:rsidRPr="002B186A">
              <w:rPr>
                <w:sz w:val="16"/>
                <w:szCs w:val="16"/>
                <w:lang w:val="en-GB"/>
              </w:rPr>
              <w:t>116</w:t>
            </w:r>
          </w:p>
        </w:tc>
        <w:tc>
          <w:tcPr>
            <w:tcW w:w="1159" w:type="dxa"/>
          </w:tcPr>
          <w:p w14:paraId="0AFC0957" w14:textId="77777777" w:rsidR="002B186A" w:rsidRPr="002B186A" w:rsidRDefault="002B186A" w:rsidP="00372793">
            <w:pPr>
              <w:jc w:val="center"/>
              <w:rPr>
                <w:sz w:val="16"/>
                <w:szCs w:val="16"/>
                <w:lang w:val="en-GB"/>
              </w:rPr>
            </w:pPr>
            <w:r w:rsidRPr="002B186A">
              <w:rPr>
                <w:sz w:val="16"/>
                <w:szCs w:val="16"/>
                <w:lang w:val="en-GB"/>
              </w:rPr>
              <w:t>162</w:t>
            </w:r>
          </w:p>
        </w:tc>
        <w:tc>
          <w:tcPr>
            <w:tcW w:w="1159" w:type="dxa"/>
          </w:tcPr>
          <w:p w14:paraId="01FEF74C" w14:textId="77777777" w:rsidR="002B186A" w:rsidRPr="002B186A" w:rsidRDefault="002B186A" w:rsidP="00372793">
            <w:pPr>
              <w:jc w:val="center"/>
              <w:rPr>
                <w:sz w:val="16"/>
                <w:szCs w:val="16"/>
                <w:lang w:val="en-GB"/>
              </w:rPr>
            </w:pPr>
            <w:r w:rsidRPr="002B186A">
              <w:rPr>
                <w:sz w:val="16"/>
                <w:szCs w:val="16"/>
                <w:lang w:val="en-GB"/>
              </w:rPr>
              <w:t>28</w:t>
            </w:r>
          </w:p>
        </w:tc>
        <w:tc>
          <w:tcPr>
            <w:tcW w:w="1195" w:type="dxa"/>
          </w:tcPr>
          <w:p w14:paraId="2D61C3ED" w14:textId="77777777" w:rsidR="002B186A" w:rsidRPr="002B186A" w:rsidRDefault="002B186A" w:rsidP="00372793">
            <w:pPr>
              <w:jc w:val="center"/>
              <w:rPr>
                <w:sz w:val="16"/>
                <w:szCs w:val="16"/>
                <w:lang w:val="en-GB"/>
              </w:rPr>
            </w:pPr>
            <w:r w:rsidRPr="002B186A">
              <w:rPr>
                <w:sz w:val="16"/>
                <w:szCs w:val="16"/>
                <w:lang w:val="en-GB"/>
              </w:rPr>
              <w:t>12</w:t>
            </w:r>
          </w:p>
        </w:tc>
        <w:tc>
          <w:tcPr>
            <w:tcW w:w="1159" w:type="dxa"/>
          </w:tcPr>
          <w:p w14:paraId="1AA6201D" w14:textId="77777777" w:rsidR="002B186A" w:rsidRPr="002B186A" w:rsidRDefault="002B186A" w:rsidP="00372793">
            <w:pPr>
              <w:jc w:val="center"/>
              <w:rPr>
                <w:sz w:val="16"/>
                <w:szCs w:val="16"/>
                <w:lang w:val="en-GB"/>
              </w:rPr>
            </w:pPr>
            <w:r w:rsidRPr="002B186A">
              <w:rPr>
                <w:sz w:val="16"/>
                <w:szCs w:val="16"/>
                <w:lang w:val="en-GB"/>
              </w:rPr>
              <w:t>16</w:t>
            </w:r>
          </w:p>
        </w:tc>
      </w:tr>
      <w:tr w:rsidR="002B186A" w14:paraId="07E5B5F2" w14:textId="77777777" w:rsidTr="00372793">
        <w:tc>
          <w:tcPr>
            <w:tcW w:w="1980" w:type="dxa"/>
            <w:tcBorders>
              <w:bottom w:val="single" w:sz="4" w:space="0" w:color="auto"/>
            </w:tcBorders>
          </w:tcPr>
          <w:p w14:paraId="6974C800" w14:textId="77777777" w:rsidR="002B186A" w:rsidRPr="002B186A" w:rsidRDefault="002B186A" w:rsidP="007C7FCB">
            <w:pPr>
              <w:jc w:val="right"/>
              <w:rPr>
                <w:sz w:val="16"/>
                <w:szCs w:val="16"/>
                <w:lang w:val="en-GB"/>
              </w:rPr>
            </w:pPr>
            <w:r w:rsidRPr="002B186A">
              <w:rPr>
                <w:sz w:val="16"/>
                <w:szCs w:val="16"/>
                <w:lang w:val="en-GB"/>
              </w:rPr>
              <w:t>R2</w:t>
            </w:r>
          </w:p>
        </w:tc>
        <w:tc>
          <w:tcPr>
            <w:tcW w:w="1134" w:type="dxa"/>
            <w:tcBorders>
              <w:bottom w:val="single" w:sz="4" w:space="0" w:color="auto"/>
            </w:tcBorders>
          </w:tcPr>
          <w:p w14:paraId="4029A881" w14:textId="77777777" w:rsidR="002B186A" w:rsidRPr="002B186A" w:rsidRDefault="002B186A" w:rsidP="00372793">
            <w:pPr>
              <w:jc w:val="center"/>
              <w:rPr>
                <w:sz w:val="16"/>
                <w:szCs w:val="16"/>
                <w:lang w:val="en-GB"/>
              </w:rPr>
            </w:pPr>
            <w:r w:rsidRPr="002B186A">
              <w:rPr>
                <w:sz w:val="16"/>
                <w:szCs w:val="16"/>
                <w:lang w:val="en-GB"/>
              </w:rPr>
              <w:t>0.33</w:t>
            </w:r>
          </w:p>
        </w:tc>
        <w:tc>
          <w:tcPr>
            <w:tcW w:w="1239" w:type="dxa"/>
            <w:tcBorders>
              <w:bottom w:val="single" w:sz="4" w:space="0" w:color="auto"/>
            </w:tcBorders>
          </w:tcPr>
          <w:p w14:paraId="1932240C" w14:textId="77777777" w:rsidR="002B186A" w:rsidRPr="002B186A" w:rsidRDefault="002B186A" w:rsidP="00372793">
            <w:pPr>
              <w:jc w:val="center"/>
              <w:rPr>
                <w:sz w:val="16"/>
                <w:szCs w:val="16"/>
                <w:lang w:val="en-GB"/>
              </w:rPr>
            </w:pPr>
            <w:r w:rsidRPr="002B186A">
              <w:rPr>
                <w:sz w:val="16"/>
                <w:szCs w:val="16"/>
                <w:lang w:val="en-GB"/>
              </w:rPr>
              <w:t>0.46</w:t>
            </w:r>
          </w:p>
        </w:tc>
        <w:tc>
          <w:tcPr>
            <w:tcW w:w="1159" w:type="dxa"/>
            <w:tcBorders>
              <w:bottom w:val="single" w:sz="4" w:space="0" w:color="auto"/>
            </w:tcBorders>
          </w:tcPr>
          <w:p w14:paraId="339DA944" w14:textId="77777777" w:rsidR="002B186A" w:rsidRPr="002B186A" w:rsidRDefault="002B186A" w:rsidP="00372793">
            <w:pPr>
              <w:jc w:val="center"/>
              <w:rPr>
                <w:sz w:val="16"/>
                <w:szCs w:val="16"/>
                <w:lang w:val="en-GB"/>
              </w:rPr>
            </w:pPr>
            <w:r w:rsidRPr="002B186A">
              <w:rPr>
                <w:sz w:val="16"/>
                <w:szCs w:val="16"/>
                <w:lang w:val="en-GB"/>
              </w:rPr>
              <w:t>0.42</w:t>
            </w:r>
          </w:p>
        </w:tc>
        <w:tc>
          <w:tcPr>
            <w:tcW w:w="1159" w:type="dxa"/>
            <w:tcBorders>
              <w:bottom w:val="single" w:sz="4" w:space="0" w:color="auto"/>
            </w:tcBorders>
          </w:tcPr>
          <w:p w14:paraId="4273656D" w14:textId="77777777" w:rsidR="002B186A" w:rsidRPr="002B186A" w:rsidRDefault="002B186A" w:rsidP="00372793">
            <w:pPr>
              <w:jc w:val="center"/>
              <w:rPr>
                <w:sz w:val="16"/>
                <w:szCs w:val="16"/>
                <w:lang w:val="en-GB"/>
              </w:rPr>
            </w:pPr>
            <w:r w:rsidRPr="002B186A">
              <w:rPr>
                <w:sz w:val="16"/>
                <w:szCs w:val="16"/>
                <w:lang w:val="en-GB"/>
              </w:rPr>
              <w:t>0.33</w:t>
            </w:r>
          </w:p>
        </w:tc>
        <w:tc>
          <w:tcPr>
            <w:tcW w:w="1195" w:type="dxa"/>
            <w:tcBorders>
              <w:bottom w:val="single" w:sz="4" w:space="0" w:color="auto"/>
            </w:tcBorders>
          </w:tcPr>
          <w:p w14:paraId="6006EAA0" w14:textId="77777777" w:rsidR="002B186A" w:rsidRPr="002B186A" w:rsidRDefault="002B186A" w:rsidP="00372793">
            <w:pPr>
              <w:jc w:val="center"/>
              <w:rPr>
                <w:sz w:val="16"/>
                <w:szCs w:val="16"/>
                <w:lang w:val="en-GB"/>
              </w:rPr>
            </w:pPr>
            <w:r w:rsidRPr="002B186A">
              <w:rPr>
                <w:sz w:val="16"/>
                <w:szCs w:val="16"/>
                <w:lang w:val="en-GB"/>
              </w:rPr>
              <w:t>0.26</w:t>
            </w:r>
          </w:p>
        </w:tc>
        <w:tc>
          <w:tcPr>
            <w:tcW w:w="1159" w:type="dxa"/>
            <w:tcBorders>
              <w:bottom w:val="single" w:sz="4" w:space="0" w:color="auto"/>
            </w:tcBorders>
          </w:tcPr>
          <w:p w14:paraId="0463E8C6" w14:textId="77777777" w:rsidR="002B186A" w:rsidRPr="002B186A" w:rsidRDefault="002B186A" w:rsidP="00372793">
            <w:pPr>
              <w:jc w:val="center"/>
              <w:rPr>
                <w:sz w:val="16"/>
                <w:szCs w:val="16"/>
                <w:lang w:val="en-GB"/>
              </w:rPr>
            </w:pPr>
            <w:r w:rsidRPr="002B186A">
              <w:rPr>
                <w:sz w:val="16"/>
                <w:szCs w:val="16"/>
                <w:lang w:val="en-GB"/>
              </w:rPr>
              <w:t>0.42</w:t>
            </w:r>
          </w:p>
        </w:tc>
      </w:tr>
      <w:tr w:rsidR="00372793" w14:paraId="6C46F19B" w14:textId="77777777" w:rsidTr="007C7FCB">
        <w:tc>
          <w:tcPr>
            <w:tcW w:w="9025" w:type="dxa"/>
            <w:gridSpan w:val="7"/>
            <w:tcBorders>
              <w:top w:val="single" w:sz="4" w:space="0" w:color="auto"/>
              <w:bottom w:val="double" w:sz="4" w:space="0" w:color="auto"/>
            </w:tcBorders>
          </w:tcPr>
          <w:p w14:paraId="1C510C06" w14:textId="59DB784F" w:rsidR="00372793" w:rsidRPr="002B186A" w:rsidRDefault="00372793" w:rsidP="00372793">
            <w:pPr>
              <w:jc w:val="both"/>
              <w:rPr>
                <w:sz w:val="18"/>
                <w:szCs w:val="18"/>
                <w:lang w:val="en-GB"/>
              </w:rPr>
            </w:pPr>
            <w:r w:rsidRPr="00372793">
              <w:rPr>
                <w:sz w:val="18"/>
                <w:szCs w:val="18"/>
                <w:lang w:val="en-GB"/>
              </w:rPr>
              <w:t>The dependent variable is the dynamic ideal point of compliance with international law, derived from country-level latent preference estimates based on the full corpus of United Nations General Assembly (UNGA) resolutions between 1946 and 2023. Ideal points are estimated using a Bayesian Markov Chain Monte Carlo (MCMC) approach following Epstein (2007a). The algorithm samples more than 1.5 million posterior draws per country</w:t>
            </w:r>
            <w:r>
              <w:rPr>
                <w:sz w:val="18"/>
                <w:szCs w:val="18"/>
                <w:lang w:val="en-GB"/>
              </w:rPr>
              <w:t>-</w:t>
            </w:r>
            <w:r w:rsidRPr="00372793">
              <w:rPr>
                <w:sz w:val="18"/>
                <w:szCs w:val="18"/>
                <w:lang w:val="en-GB"/>
              </w:rPr>
              <w:t>year observation, producing approximately 2.5 billion total iterations. Posterior means, standard deviations, and 95 percent credible intervals are computed for each state to obtain the annual dynamic ideal point of compliance.</w:t>
            </w:r>
            <w:r>
              <w:rPr>
                <w:sz w:val="18"/>
                <w:szCs w:val="18"/>
                <w:lang w:val="en-GB"/>
              </w:rPr>
              <w:t xml:space="preserve"> </w:t>
            </w:r>
            <w:r w:rsidRPr="00372793">
              <w:rPr>
                <w:sz w:val="18"/>
                <w:szCs w:val="18"/>
                <w:lang w:val="en-GB"/>
              </w:rPr>
              <w:t>The principal explanatory variable</w:t>
            </w:r>
            <w:r>
              <w:rPr>
                <w:sz w:val="18"/>
                <w:szCs w:val="18"/>
                <w:lang w:val="en-GB"/>
              </w:rPr>
              <w:t xml:space="preserve">, </w:t>
            </w:r>
            <w:r w:rsidRPr="00372793">
              <w:rPr>
                <w:sz w:val="18"/>
                <w:szCs w:val="18"/>
                <w:lang w:val="en-GB"/>
              </w:rPr>
              <w:t>governance distance from violators</w:t>
            </w:r>
            <w:r>
              <w:rPr>
                <w:sz w:val="18"/>
                <w:szCs w:val="18"/>
                <w:lang w:val="en-GB"/>
              </w:rPr>
              <w:t xml:space="preserve">, </w:t>
            </w:r>
            <w:r w:rsidRPr="00372793">
              <w:rPr>
                <w:sz w:val="18"/>
                <w:szCs w:val="18"/>
                <w:lang w:val="en-GB"/>
              </w:rPr>
              <w:t>is calculated as the ratio of each country’s first principal component of institutional quality to the weighted average of the violators’ governance scores in the same year. Governance indicators are drawn from the Varieties of Democracy (V-Dem) dataset and include rule of law, political stability, and democratic accountability. The measure captures the relative institutional dissimilarity between the voting country and the violator of international law.</w:t>
            </w:r>
            <w:r>
              <w:rPr>
                <w:sz w:val="18"/>
                <w:szCs w:val="18"/>
                <w:lang w:val="en-GB"/>
              </w:rPr>
              <w:t xml:space="preserve"> </w:t>
            </w:r>
            <w:r w:rsidRPr="00372793">
              <w:rPr>
                <w:sz w:val="18"/>
                <w:szCs w:val="18"/>
                <w:lang w:val="en-GB"/>
              </w:rPr>
              <w:t xml:space="preserve">All specifications </w:t>
            </w:r>
            <w:r>
              <w:rPr>
                <w:sz w:val="18"/>
                <w:szCs w:val="18"/>
                <w:lang w:val="en-GB"/>
              </w:rPr>
              <w:t>consist</w:t>
            </w:r>
            <w:r w:rsidRPr="00372793">
              <w:rPr>
                <w:sz w:val="18"/>
                <w:szCs w:val="18"/>
                <w:lang w:val="en-GB"/>
              </w:rPr>
              <w:t xml:space="preserve"> </w:t>
            </w:r>
            <w:r>
              <w:rPr>
                <w:sz w:val="18"/>
                <w:szCs w:val="18"/>
                <w:lang w:val="en-GB"/>
              </w:rPr>
              <w:t>of</w:t>
            </w:r>
            <w:r w:rsidRPr="00372793">
              <w:rPr>
                <w:sz w:val="18"/>
                <w:szCs w:val="18"/>
                <w:lang w:val="en-GB"/>
              </w:rPr>
              <w:t xml:space="preserve"> standard covariates (GDP per capita, population size, urbanization, and internal conflict) and include country, year, and country–year fixed effects to absorb unobserved heterogeneity across space and time. This high-dimensional fixed-effects structure removes both persistent and time-varying country-specific influences as well as common shocks that could jointly affect governance and compliance behavior. </w:t>
            </w:r>
            <w:r>
              <w:rPr>
                <w:sz w:val="18"/>
                <w:szCs w:val="18"/>
                <w:lang w:val="en-GB"/>
              </w:rPr>
              <w:t>S</w:t>
            </w:r>
            <w:r w:rsidRPr="00372793">
              <w:rPr>
                <w:sz w:val="18"/>
                <w:szCs w:val="18"/>
                <w:lang w:val="en-GB"/>
              </w:rPr>
              <w:t>tandard errors are clustered at the country level to account for serial correlation in the error structure and for arbitrary heteroskedasticity within countries over time. The number of observations, countries, and the model fit (R</w:t>
            </w:r>
            <w:r w:rsidRPr="00372793">
              <w:rPr>
                <w:rFonts w:ascii="Cambria" w:hAnsi="Cambria" w:cs="Cambria"/>
                <w:sz w:val="18"/>
                <w:szCs w:val="18"/>
                <w:lang w:val="en-GB"/>
              </w:rPr>
              <w:t>²</w:t>
            </w:r>
            <w:r w:rsidRPr="00372793">
              <w:rPr>
                <w:sz w:val="18"/>
                <w:szCs w:val="18"/>
                <w:lang w:val="en-GB"/>
              </w:rPr>
              <w:t>) are reported at the bottom of the table. Statistical significance is indicated by *** p &lt; 0.01, ** p &lt; 0.05, and * p &lt; 0.10.</w:t>
            </w:r>
          </w:p>
        </w:tc>
      </w:tr>
    </w:tbl>
    <w:p w14:paraId="4A9CE6E7" w14:textId="00530829" w:rsidR="002B186A" w:rsidRDefault="002B186A" w:rsidP="00E01316">
      <w:pPr>
        <w:spacing w:after="0" w:line="240" w:lineRule="auto"/>
        <w:jc w:val="both"/>
        <w:rPr>
          <w:sz w:val="24"/>
          <w:szCs w:val="24"/>
          <w:lang w:val="en-GB"/>
        </w:rPr>
      </w:pPr>
    </w:p>
    <w:p w14:paraId="0C6CB103" w14:textId="77777777" w:rsidR="002B186A" w:rsidRDefault="002B186A" w:rsidP="00E01316">
      <w:pPr>
        <w:spacing w:after="0" w:line="240" w:lineRule="auto"/>
        <w:jc w:val="both"/>
        <w:rPr>
          <w:sz w:val="24"/>
          <w:szCs w:val="24"/>
          <w:lang w:val="en-GB"/>
        </w:rPr>
      </w:pPr>
    </w:p>
    <w:p w14:paraId="1AA4766B" w14:textId="755A0EC1" w:rsidR="00E01316" w:rsidRPr="009212C6" w:rsidRDefault="00563C09" w:rsidP="00151305">
      <w:pPr>
        <w:pStyle w:val="Naslov2"/>
        <w:ind w:firstLine="360"/>
        <w:rPr>
          <w:i/>
          <w:iCs/>
          <w:sz w:val="24"/>
          <w:szCs w:val="24"/>
          <w:lang w:val="en-GB"/>
        </w:rPr>
      </w:pPr>
      <w:bookmarkStart w:id="11" w:name="_Toc212314895"/>
      <w:r>
        <w:rPr>
          <w:i/>
          <w:iCs/>
          <w:sz w:val="24"/>
          <w:szCs w:val="24"/>
          <w:lang w:val="en-GB"/>
        </w:rPr>
        <w:t>4</w:t>
      </w:r>
      <w:r w:rsidR="00372793">
        <w:rPr>
          <w:i/>
          <w:iCs/>
          <w:sz w:val="24"/>
          <w:szCs w:val="24"/>
          <w:lang w:val="en-GB"/>
        </w:rPr>
        <w:t>.5</w:t>
      </w:r>
      <w:r w:rsidR="00151305">
        <w:rPr>
          <w:i/>
          <w:iCs/>
          <w:sz w:val="24"/>
          <w:szCs w:val="24"/>
          <w:lang w:val="en-GB"/>
        </w:rPr>
        <w:tab/>
      </w:r>
      <w:r w:rsidR="00372793">
        <w:rPr>
          <w:i/>
          <w:iCs/>
          <w:sz w:val="24"/>
          <w:szCs w:val="24"/>
          <w:lang w:val="en-GB"/>
        </w:rPr>
        <w:tab/>
      </w:r>
      <w:r w:rsidR="009212C6" w:rsidRPr="009212C6">
        <w:rPr>
          <w:i/>
          <w:iCs/>
          <w:sz w:val="24"/>
          <w:szCs w:val="24"/>
          <w:lang w:val="en-GB"/>
        </w:rPr>
        <w:t>Discussion</w:t>
      </w:r>
      <w:bookmarkEnd w:id="11"/>
    </w:p>
    <w:p w14:paraId="031945B1" w14:textId="7B93423B" w:rsidR="009212C6" w:rsidRDefault="009212C6" w:rsidP="00E01316">
      <w:pPr>
        <w:spacing w:after="0" w:line="240" w:lineRule="auto"/>
        <w:jc w:val="both"/>
        <w:rPr>
          <w:sz w:val="24"/>
          <w:szCs w:val="24"/>
          <w:lang w:val="en-GB"/>
        </w:rPr>
      </w:pPr>
    </w:p>
    <w:p w14:paraId="346B624A" w14:textId="77777777" w:rsidR="009212C6" w:rsidRPr="009212C6" w:rsidRDefault="009212C6" w:rsidP="009212C6">
      <w:pPr>
        <w:spacing w:after="0" w:line="240" w:lineRule="auto"/>
        <w:jc w:val="both"/>
        <w:rPr>
          <w:sz w:val="24"/>
          <w:szCs w:val="24"/>
          <w:lang w:val="en-GB"/>
        </w:rPr>
      </w:pPr>
      <w:r w:rsidRPr="009212C6">
        <w:rPr>
          <w:sz w:val="24"/>
          <w:szCs w:val="24"/>
          <w:lang w:val="en-GB"/>
        </w:rPr>
        <w:t>The empirical results reveal a consistent and statistically robust relationship between institutional distance from violators of international law and the probability of compliance, measured through voting behavior in the United Nations General Assembly. This relationship can be understood through the lens of the bandwagon effect, a central mechanism in both international relations and behavioral institutional theory. The bandwagon effect describes how the actions of a few influential actors can create self-reinforcing behavioral patterns among others, leading to the diffusion of compliance or non-compliance as a collective equilibrium outcome rather than a purely individual decision.</w:t>
      </w:r>
    </w:p>
    <w:p w14:paraId="16A692AB" w14:textId="77777777" w:rsidR="009212C6" w:rsidRPr="009212C6" w:rsidRDefault="009212C6" w:rsidP="009212C6">
      <w:pPr>
        <w:spacing w:after="0" w:line="240" w:lineRule="auto"/>
        <w:jc w:val="both"/>
        <w:rPr>
          <w:sz w:val="24"/>
          <w:szCs w:val="24"/>
          <w:lang w:val="en-GB"/>
        </w:rPr>
      </w:pPr>
    </w:p>
    <w:p w14:paraId="0F555F2C" w14:textId="578D36B8" w:rsidR="009212C6" w:rsidRDefault="009212C6" w:rsidP="009212C6">
      <w:pPr>
        <w:spacing w:after="0" w:line="240" w:lineRule="auto"/>
        <w:jc w:val="both"/>
        <w:rPr>
          <w:sz w:val="24"/>
          <w:szCs w:val="24"/>
          <w:lang w:val="en-GB"/>
        </w:rPr>
      </w:pPr>
      <w:r w:rsidRPr="009212C6">
        <w:rPr>
          <w:sz w:val="24"/>
          <w:szCs w:val="24"/>
          <w:lang w:val="en-GB"/>
        </w:rPr>
        <w:lastRenderedPageBreak/>
        <w:t>In the context of international law, states do not make compliance decisions in isolation. Each government observes the behavior of others, updating its beliefs about the legitimacy, enforcement credibility, and reputational payoffs associated with adherence to or violation of international norms. When leading or high-governance states comply, their behavior signals that adherence carries reputational and strategic benefits. Other states, particularly those whose institutional frameworks resemble those of the compliant actors, are more likely to emulate such behavior. Conversely, when influential violators engage in norm-breaking without facing severe sanctions, they signal that the reputational or enforcement costs of non-compliance are lower than expected, prompting opportunistic alignment among states with similar institutional characteristics. The result is a collective dynamic equilibrium, where compliance or non-compliance spreads through imitation, expectation, and interdependence rather than through coercion or independent cost</w:t>
      </w:r>
      <w:r>
        <w:rPr>
          <w:sz w:val="24"/>
          <w:szCs w:val="24"/>
          <w:lang w:val="en-GB"/>
        </w:rPr>
        <w:t>-</w:t>
      </w:r>
      <w:r w:rsidRPr="009212C6">
        <w:rPr>
          <w:sz w:val="24"/>
          <w:szCs w:val="24"/>
          <w:lang w:val="en-GB"/>
        </w:rPr>
        <w:t>benefit calculation.</w:t>
      </w:r>
    </w:p>
    <w:p w14:paraId="0CC19CE8" w14:textId="77777777" w:rsidR="008D6037" w:rsidRPr="009212C6" w:rsidRDefault="008D6037" w:rsidP="009212C6">
      <w:pPr>
        <w:spacing w:after="0" w:line="240" w:lineRule="auto"/>
        <w:jc w:val="both"/>
        <w:rPr>
          <w:sz w:val="24"/>
          <w:szCs w:val="24"/>
          <w:lang w:val="en-GB"/>
        </w:rPr>
      </w:pPr>
    </w:p>
    <w:p w14:paraId="43E2AEB5" w14:textId="17F9B5E0" w:rsidR="009212C6" w:rsidRPr="009212C6" w:rsidRDefault="009212C6" w:rsidP="009212C6">
      <w:pPr>
        <w:spacing w:after="0" w:line="240" w:lineRule="auto"/>
        <w:jc w:val="both"/>
        <w:rPr>
          <w:sz w:val="24"/>
          <w:szCs w:val="24"/>
          <w:lang w:val="en-GB"/>
        </w:rPr>
      </w:pPr>
      <w:r w:rsidRPr="009212C6">
        <w:rPr>
          <w:sz w:val="24"/>
          <w:szCs w:val="24"/>
          <w:lang w:val="en-GB"/>
        </w:rPr>
        <w:t>Our empirical evidence fits this theoretical logic precisely. The positive and significant effect of institutional distance from violators on compliance demonstrates that countries further removed in governance style and institutional quality from the violator are more likely to vote in favor of resolutions condemning the violation. This pattern indicates that compliance with international law operates through relational alignment rather than universal principle</w:t>
      </w:r>
      <w:r>
        <w:rPr>
          <w:sz w:val="24"/>
          <w:szCs w:val="24"/>
          <w:lang w:val="en-GB"/>
        </w:rPr>
        <w:t xml:space="preserve">, </w:t>
      </w:r>
      <w:r w:rsidRPr="009212C6">
        <w:rPr>
          <w:sz w:val="24"/>
          <w:szCs w:val="24"/>
          <w:lang w:val="en-GB"/>
        </w:rPr>
        <w:t>states conform to the behavioral patterns of peers with whom they share institutional similarity. The findings therefore reveal that international compliance is a networked phenomenon, governed by positional similarity in the space of governance norms.</w:t>
      </w:r>
    </w:p>
    <w:p w14:paraId="6A552BD8" w14:textId="77777777" w:rsidR="009212C6" w:rsidRPr="009212C6" w:rsidRDefault="009212C6" w:rsidP="009212C6">
      <w:pPr>
        <w:spacing w:after="0" w:line="240" w:lineRule="auto"/>
        <w:jc w:val="both"/>
        <w:rPr>
          <w:sz w:val="24"/>
          <w:szCs w:val="24"/>
          <w:lang w:val="en-GB"/>
        </w:rPr>
      </w:pPr>
    </w:p>
    <w:p w14:paraId="607FF25B" w14:textId="42BC654E" w:rsidR="009212C6" w:rsidRPr="009212C6" w:rsidRDefault="009212C6" w:rsidP="009212C6">
      <w:pPr>
        <w:spacing w:after="0" w:line="240" w:lineRule="auto"/>
        <w:jc w:val="both"/>
        <w:rPr>
          <w:sz w:val="24"/>
          <w:szCs w:val="24"/>
          <w:lang w:val="en-GB"/>
        </w:rPr>
      </w:pPr>
      <w:r w:rsidRPr="009212C6">
        <w:rPr>
          <w:sz w:val="24"/>
          <w:szCs w:val="24"/>
          <w:lang w:val="en-GB"/>
        </w:rPr>
        <w:t>The asymmetry between democracies and non-democracies provides an even clearer test of the bandwagon mechanism. In democratic regimes, where reputational incentives are strong and political accountability links domestic legitimacy to external conduct, the bandwagon effect amplifies compliance. Democracies tend to observe and imitate other democracies: when democratic peers condemn violations, this sets a behavioral expectation that non-compliance would entail reputational loss or diplomatic isolation. The</w:t>
      </w:r>
      <w:r>
        <w:rPr>
          <w:sz w:val="24"/>
          <w:szCs w:val="24"/>
          <w:lang w:val="en-GB"/>
        </w:rPr>
        <w:t xml:space="preserve"> estimated</w:t>
      </w:r>
      <w:r w:rsidRPr="009212C6">
        <w:rPr>
          <w:sz w:val="24"/>
          <w:szCs w:val="24"/>
          <w:lang w:val="en-GB"/>
        </w:rPr>
        <w:t xml:space="preserve"> 16</w:t>
      </w:r>
      <w:r>
        <w:rPr>
          <w:sz w:val="24"/>
          <w:szCs w:val="24"/>
          <w:lang w:val="en-GB"/>
        </w:rPr>
        <w:t>-</w:t>
      </w:r>
      <w:r w:rsidRPr="009212C6">
        <w:rPr>
          <w:sz w:val="24"/>
          <w:szCs w:val="24"/>
          <w:lang w:val="en-GB"/>
        </w:rPr>
        <w:t>32 percent decrease in compliance probability when democracies become more similar to violators suggests that the reputational contagion of norm-breaking is real and powerful. In contrast, non-democratic regimes</w:t>
      </w:r>
      <w:r>
        <w:rPr>
          <w:sz w:val="24"/>
          <w:szCs w:val="24"/>
          <w:lang w:val="en-GB"/>
        </w:rPr>
        <w:t xml:space="preserve">, </w:t>
      </w:r>
      <w:r w:rsidRPr="009212C6">
        <w:rPr>
          <w:sz w:val="24"/>
          <w:szCs w:val="24"/>
          <w:lang w:val="en-GB"/>
        </w:rPr>
        <w:t>less exposed to reputational discipline and often insulated from domestic accountability</w:t>
      </w:r>
      <w:r>
        <w:rPr>
          <w:sz w:val="24"/>
          <w:szCs w:val="24"/>
          <w:lang w:val="en-GB"/>
        </w:rPr>
        <w:t xml:space="preserve">, </w:t>
      </w:r>
      <w:r w:rsidRPr="009212C6">
        <w:rPr>
          <w:sz w:val="24"/>
          <w:szCs w:val="24"/>
          <w:lang w:val="en-GB"/>
        </w:rPr>
        <w:t>show no significant behavioral response to institutional distance. Their compliance behavior is thus governed by strategic opportunism rather than normative imitation, consistent with theoretical models in which authoritarian leaders face minimal domestic reputational constraints.</w:t>
      </w:r>
    </w:p>
    <w:p w14:paraId="278174B0" w14:textId="77777777" w:rsidR="009212C6" w:rsidRPr="009212C6" w:rsidRDefault="009212C6" w:rsidP="009212C6">
      <w:pPr>
        <w:spacing w:after="0" w:line="240" w:lineRule="auto"/>
        <w:jc w:val="both"/>
        <w:rPr>
          <w:sz w:val="24"/>
          <w:szCs w:val="24"/>
          <w:lang w:val="en-GB"/>
        </w:rPr>
      </w:pPr>
    </w:p>
    <w:p w14:paraId="2C663F6F" w14:textId="08C8E697" w:rsidR="009212C6" w:rsidRPr="009212C6" w:rsidRDefault="009212C6" w:rsidP="009212C6">
      <w:pPr>
        <w:spacing w:after="0" w:line="240" w:lineRule="auto"/>
        <w:jc w:val="both"/>
        <w:rPr>
          <w:sz w:val="24"/>
          <w:szCs w:val="24"/>
          <w:lang w:val="en-GB"/>
        </w:rPr>
      </w:pPr>
      <w:r w:rsidRPr="009212C6">
        <w:rPr>
          <w:sz w:val="24"/>
          <w:szCs w:val="24"/>
          <w:lang w:val="en-GB"/>
        </w:rPr>
        <w:t>From a dynamic-equilibrium perspective, these results imply that compliance with international law evolves as an endogenous coordination process. Each country’s decision to comply or defect shifts the perceived payoff matrix for others. When a sufficient mass of states complies, the expected reputational return to compliance rises, generating positive feedback and stabilizing the compliant equilibrium. Conversely, when major powers defect, the reputational externality shifts downward, reducing the marginal benefit of compliance and fostering cascades of abstention or silent tolerance of violations. This dynamic equilibrium captures the essence of the bandwagon effect: small initial shocks</w:t>
      </w:r>
      <w:r>
        <w:rPr>
          <w:sz w:val="24"/>
          <w:szCs w:val="24"/>
          <w:lang w:val="en-GB"/>
        </w:rPr>
        <w:t xml:space="preserve">, </w:t>
      </w:r>
      <w:r w:rsidRPr="009212C6">
        <w:rPr>
          <w:sz w:val="24"/>
          <w:szCs w:val="24"/>
          <w:lang w:val="en-GB"/>
        </w:rPr>
        <w:t>such as a major power’s decision to violate or defend international law</w:t>
      </w:r>
      <w:r>
        <w:rPr>
          <w:sz w:val="24"/>
          <w:szCs w:val="24"/>
          <w:lang w:val="en-GB"/>
        </w:rPr>
        <w:t xml:space="preserve">, </w:t>
      </w:r>
      <w:r w:rsidRPr="009212C6">
        <w:rPr>
          <w:sz w:val="24"/>
          <w:szCs w:val="24"/>
          <w:lang w:val="en-GB"/>
        </w:rPr>
        <w:t>can produce large, system-wide behavioral realignments.</w:t>
      </w:r>
    </w:p>
    <w:p w14:paraId="699C4157" w14:textId="77777777" w:rsidR="009212C6" w:rsidRPr="009212C6" w:rsidRDefault="009212C6" w:rsidP="009212C6">
      <w:pPr>
        <w:spacing w:after="0" w:line="240" w:lineRule="auto"/>
        <w:jc w:val="both"/>
        <w:rPr>
          <w:sz w:val="24"/>
          <w:szCs w:val="24"/>
          <w:lang w:val="en-GB"/>
        </w:rPr>
      </w:pPr>
    </w:p>
    <w:p w14:paraId="5B60D4B5" w14:textId="1817CB88" w:rsidR="009212C6" w:rsidRDefault="009212C6" w:rsidP="009212C6">
      <w:pPr>
        <w:spacing w:after="0" w:line="240" w:lineRule="auto"/>
        <w:jc w:val="both"/>
        <w:rPr>
          <w:sz w:val="24"/>
          <w:szCs w:val="24"/>
          <w:lang w:val="en-GB"/>
        </w:rPr>
      </w:pPr>
      <w:r w:rsidRPr="009212C6">
        <w:rPr>
          <w:sz w:val="24"/>
          <w:szCs w:val="24"/>
          <w:lang w:val="en-GB"/>
        </w:rPr>
        <w:lastRenderedPageBreak/>
        <w:t xml:space="preserve">In this sense, international law functions not only as a system of formal rules but also as a coordination device embedded in a global </w:t>
      </w:r>
      <w:r w:rsidR="00FA1892" w:rsidRPr="009212C6">
        <w:rPr>
          <w:sz w:val="24"/>
          <w:szCs w:val="24"/>
          <w:lang w:val="en-GB"/>
        </w:rPr>
        <w:t>signalling</w:t>
      </w:r>
      <w:r w:rsidRPr="009212C6">
        <w:rPr>
          <w:sz w:val="24"/>
          <w:szCs w:val="24"/>
          <w:lang w:val="en-GB"/>
        </w:rPr>
        <w:t xml:space="preserve"> network. Compliance signals respectability, predictability, and legitimacy, while defection signals opportunism and risk tolerance. Our findings show that states interpret these signals through the lens of institutional similarity: those more closely aligned with violators are more prone to follow them, while those structurally distant from violators gravitate toward compliance. The statistical evidence of a self-reinforcing pattern</w:t>
      </w:r>
      <w:r>
        <w:rPr>
          <w:sz w:val="24"/>
          <w:szCs w:val="24"/>
          <w:lang w:val="en-GB"/>
        </w:rPr>
        <w:t xml:space="preserve">, </w:t>
      </w:r>
      <w:r w:rsidRPr="009212C6">
        <w:rPr>
          <w:sz w:val="24"/>
          <w:szCs w:val="24"/>
          <w:lang w:val="en-GB"/>
        </w:rPr>
        <w:t>where improvements in global governance quality amplify compliance probabilities, and deterioration depresses them</w:t>
      </w:r>
      <w:r>
        <w:rPr>
          <w:sz w:val="24"/>
          <w:szCs w:val="24"/>
          <w:lang w:val="en-GB"/>
        </w:rPr>
        <w:t xml:space="preserve">, </w:t>
      </w:r>
      <w:r w:rsidRPr="009212C6">
        <w:rPr>
          <w:sz w:val="24"/>
          <w:szCs w:val="24"/>
          <w:lang w:val="en-GB"/>
        </w:rPr>
        <w:t>thus provides direct empirical support for the theoretical prediction of a bandwagon equilibrium in international law.</w:t>
      </w:r>
    </w:p>
    <w:p w14:paraId="22F5797C" w14:textId="53A34803" w:rsidR="00FA1892" w:rsidRDefault="00FA1892" w:rsidP="009212C6">
      <w:pPr>
        <w:spacing w:after="0" w:line="240" w:lineRule="auto"/>
        <w:jc w:val="both"/>
        <w:rPr>
          <w:sz w:val="24"/>
          <w:szCs w:val="24"/>
          <w:lang w:val="en-GB"/>
        </w:rPr>
      </w:pPr>
    </w:p>
    <w:p w14:paraId="3A0E88B6" w14:textId="59827785" w:rsidR="00372793" w:rsidRPr="00563C09" w:rsidRDefault="00372793" w:rsidP="00563C09">
      <w:pPr>
        <w:pStyle w:val="Naslov1"/>
        <w:numPr>
          <w:ilvl w:val="0"/>
          <w:numId w:val="2"/>
        </w:numPr>
        <w:tabs>
          <w:tab w:val="num" w:pos="720"/>
        </w:tabs>
        <w:rPr>
          <w:rFonts w:asciiTheme="majorBidi" w:hAnsiTheme="majorBidi"/>
          <w:color w:val="auto"/>
          <w:lang w:val="en-US"/>
        </w:rPr>
      </w:pPr>
      <w:bookmarkStart w:id="12" w:name="_Toc212314896"/>
      <w:r w:rsidRPr="00563C09">
        <w:rPr>
          <w:rFonts w:asciiTheme="majorBidi" w:hAnsiTheme="majorBidi"/>
          <w:color w:val="auto"/>
          <w:lang w:val="en-US"/>
        </w:rPr>
        <w:t>Conclusion</w:t>
      </w:r>
      <w:bookmarkEnd w:id="12"/>
    </w:p>
    <w:p w14:paraId="5E5ED990" w14:textId="77CD5355" w:rsidR="00372793" w:rsidRDefault="00372793" w:rsidP="009212C6">
      <w:pPr>
        <w:spacing w:after="0" w:line="240" w:lineRule="auto"/>
        <w:jc w:val="both"/>
        <w:rPr>
          <w:sz w:val="24"/>
          <w:szCs w:val="24"/>
          <w:lang w:val="en-GB"/>
        </w:rPr>
      </w:pPr>
    </w:p>
    <w:p w14:paraId="1B02E4E8" w14:textId="77777777" w:rsidR="00372793" w:rsidRDefault="00372793" w:rsidP="009212C6">
      <w:pPr>
        <w:spacing w:after="0" w:line="240" w:lineRule="auto"/>
        <w:jc w:val="both"/>
        <w:rPr>
          <w:sz w:val="24"/>
          <w:szCs w:val="24"/>
          <w:lang w:val="en-GB"/>
        </w:rPr>
      </w:pPr>
    </w:p>
    <w:p w14:paraId="7CD69AE9" w14:textId="77777777" w:rsidR="0060630D" w:rsidRPr="0060630D" w:rsidRDefault="0060630D" w:rsidP="0060630D">
      <w:pPr>
        <w:spacing w:after="0" w:line="240" w:lineRule="auto"/>
        <w:jc w:val="both"/>
        <w:rPr>
          <w:sz w:val="24"/>
          <w:szCs w:val="24"/>
          <w:lang w:val="en-GB"/>
        </w:rPr>
      </w:pPr>
      <w:r w:rsidRPr="0060630D">
        <w:rPr>
          <w:sz w:val="24"/>
          <w:szCs w:val="24"/>
          <w:lang w:val="en-GB"/>
        </w:rPr>
        <w:t xml:space="preserve">Noncompliance of states with international obligations is one of the most discussed issues in scholarly literature and the understanding of why some state comply and why some do not comply with the undertakings they have made sparked a burgeoning debate around the world. This paper joints this debate by identifying two vectors that may form a dynamic equilibrium. On the one hand, noncompliance spreads from autocracies to democracies; on the other hand, autocracies shift towards becoming democracies in concentrated waves. The fate of compliance with international law depends on the interaction of these two vectors. </w:t>
      </w:r>
    </w:p>
    <w:p w14:paraId="5001EAA2" w14:textId="77777777" w:rsidR="0060630D" w:rsidRPr="0060630D" w:rsidRDefault="0060630D" w:rsidP="0060630D">
      <w:pPr>
        <w:spacing w:after="0" w:line="240" w:lineRule="auto"/>
        <w:jc w:val="both"/>
        <w:rPr>
          <w:sz w:val="24"/>
          <w:szCs w:val="24"/>
          <w:lang w:val="en-GB"/>
        </w:rPr>
      </w:pPr>
    </w:p>
    <w:p w14:paraId="74932AC8" w14:textId="4627F938" w:rsidR="0060630D" w:rsidRDefault="009C39E4" w:rsidP="0060630D">
      <w:pPr>
        <w:spacing w:after="0" w:line="240" w:lineRule="auto"/>
        <w:jc w:val="both"/>
        <w:rPr>
          <w:sz w:val="24"/>
          <w:szCs w:val="24"/>
          <w:lang w:val="en-GB"/>
        </w:rPr>
      </w:pPr>
      <w:r>
        <w:rPr>
          <w:sz w:val="24"/>
          <w:szCs w:val="24"/>
          <w:lang w:val="en-GB"/>
        </w:rPr>
        <w:t>This paper also</w:t>
      </w:r>
      <w:r w:rsidR="0060630D" w:rsidRPr="0060630D">
        <w:rPr>
          <w:sz w:val="24"/>
          <w:szCs w:val="24"/>
          <w:lang w:val="en-GB"/>
        </w:rPr>
        <w:t xml:space="preserve"> examines the channels of contagion</w:t>
      </w:r>
      <w:r>
        <w:rPr>
          <w:sz w:val="24"/>
          <w:szCs w:val="24"/>
          <w:lang w:val="en-GB"/>
        </w:rPr>
        <w:t xml:space="preserve"> and measures empirically how noncompliance spreads from one state to the other. The paper shows that</w:t>
      </w:r>
      <w:r w:rsidR="0060630D" w:rsidRPr="0060630D">
        <w:rPr>
          <w:sz w:val="24"/>
          <w:szCs w:val="24"/>
          <w:lang w:val="en-GB"/>
        </w:rPr>
        <w:t xml:space="preserve"> noncompliance is likely to spread first to states that are similar to the violator of international law. We suggest that when democracies interact with other democracies, compliance in international law may result from positive spill-overs in </w:t>
      </w:r>
      <w:r>
        <w:rPr>
          <w:sz w:val="24"/>
          <w:szCs w:val="24"/>
          <w:lang w:val="en-GB"/>
        </w:rPr>
        <w:t>their interaction</w:t>
      </w:r>
      <w:r w:rsidR="0060630D" w:rsidRPr="0060630D">
        <w:rPr>
          <w:sz w:val="24"/>
          <w:szCs w:val="24"/>
          <w:lang w:val="en-GB"/>
        </w:rPr>
        <w:t>. But when autocracies or weak democracies interact with autocracies like China or Iran, the result is that they are significantly more likely to act opportunistically to signal their loyalty to autocracies or express muted criticism</w:t>
      </w:r>
      <w:r>
        <w:rPr>
          <w:sz w:val="24"/>
          <w:szCs w:val="24"/>
          <w:lang w:val="en-GB"/>
        </w:rPr>
        <w:t>,</w:t>
      </w:r>
      <w:r w:rsidR="0060630D" w:rsidRPr="0060630D">
        <w:rPr>
          <w:sz w:val="24"/>
          <w:szCs w:val="24"/>
          <w:lang w:val="en-GB"/>
        </w:rPr>
        <w:t xml:space="preserve"> which leads to the breakdown of positive bandwagon effect and makes international law an opportunistic tool, and violations more profitable with higher payoffs. Empirical results actually reveal a consistent and statistically robust relationship between institutional distance from violators of international law and the probability of compliance, measured through voting behavior in the United Nations General Assembly. This relationship can be, as we argue, best understood through the lens of the bandwagon effect, a central mechanism in both international relations and behavioral institutional theory.</w:t>
      </w:r>
    </w:p>
    <w:p w14:paraId="543C8D28" w14:textId="32000E60" w:rsidR="0060630D" w:rsidRDefault="0060630D" w:rsidP="0060630D">
      <w:pPr>
        <w:spacing w:after="0" w:line="240" w:lineRule="auto"/>
        <w:jc w:val="both"/>
        <w:rPr>
          <w:sz w:val="24"/>
          <w:szCs w:val="24"/>
          <w:lang w:val="en-GB"/>
        </w:rPr>
      </w:pPr>
    </w:p>
    <w:p w14:paraId="4734405B" w14:textId="5344D0B0" w:rsidR="0060630D" w:rsidRPr="0060630D" w:rsidRDefault="009C39E4" w:rsidP="0060630D">
      <w:pPr>
        <w:spacing w:after="0" w:line="240" w:lineRule="auto"/>
        <w:jc w:val="both"/>
        <w:rPr>
          <w:sz w:val="24"/>
          <w:szCs w:val="24"/>
          <w:lang w:val="en-GB"/>
        </w:rPr>
      </w:pPr>
      <w:r>
        <w:rPr>
          <w:sz w:val="24"/>
          <w:szCs w:val="24"/>
          <w:lang w:val="en-GB"/>
        </w:rPr>
        <w:t>While analysing a worldwide sample, the paper discovers a significant behaviour pattern where improving governance norms relative to violators actually triggers</w:t>
      </w:r>
      <w:r w:rsidR="0060630D" w:rsidRPr="0060630D">
        <w:rPr>
          <w:sz w:val="24"/>
          <w:szCs w:val="24"/>
          <w:lang w:val="en-GB"/>
        </w:rPr>
        <w:t xml:space="preserve"> the bandwagon effect. That is, when countries improve governance standards (rule of law, freedom of the press, judicial independence, political accountability etc.) relative to the violators, they tend to jump on the bandwagon and amplify the compliance with international law. The effect in democracies is around 30 percent higher compared to the effect in non-democracies</w:t>
      </w:r>
      <w:r w:rsidR="0060630D">
        <w:rPr>
          <w:sz w:val="24"/>
          <w:szCs w:val="24"/>
          <w:lang w:val="en-GB"/>
        </w:rPr>
        <w:t xml:space="preserve">. However, there is also </w:t>
      </w:r>
      <w:r>
        <w:rPr>
          <w:sz w:val="24"/>
          <w:szCs w:val="24"/>
          <w:lang w:val="en-GB"/>
        </w:rPr>
        <w:t>a heterogeneity effect among democracies, where, for example, mature democracies tend to have around 14 percent stronger effects than</w:t>
      </w:r>
      <w:r w:rsidR="0060630D" w:rsidRPr="0060630D">
        <w:rPr>
          <w:sz w:val="24"/>
          <w:szCs w:val="24"/>
          <w:lang w:val="en-GB"/>
        </w:rPr>
        <w:t xml:space="preserve"> democracies in general. The bandwagon effect is much weaker in third-wave democracies, those that </w:t>
      </w:r>
      <w:r w:rsidR="0060630D" w:rsidRPr="0060630D">
        <w:rPr>
          <w:sz w:val="24"/>
          <w:szCs w:val="24"/>
          <w:lang w:val="en-GB"/>
        </w:rPr>
        <w:lastRenderedPageBreak/>
        <w:t xml:space="preserve">democratized in 1970/1980 time framework. Their estimated effect is around one half smaller than in mature democracies, showing that even democracies with some authoritarian legacy (Spain, Portugal, Greece, Indonesia etc) tend to act more opportunistically in international law, </w:t>
      </w:r>
      <w:r>
        <w:rPr>
          <w:sz w:val="24"/>
          <w:szCs w:val="24"/>
          <w:lang w:val="en-GB"/>
        </w:rPr>
        <w:t>weakening</w:t>
      </w:r>
      <w:r w:rsidR="0060630D" w:rsidRPr="0060630D">
        <w:rPr>
          <w:sz w:val="24"/>
          <w:szCs w:val="24"/>
          <w:lang w:val="en-GB"/>
        </w:rPr>
        <w:t xml:space="preserve"> the bandwagon effect considerably.</w:t>
      </w:r>
    </w:p>
    <w:p w14:paraId="4CDD2401" w14:textId="77777777" w:rsidR="0060630D" w:rsidRPr="0060630D" w:rsidRDefault="0060630D" w:rsidP="0060630D">
      <w:pPr>
        <w:spacing w:after="0" w:line="240" w:lineRule="auto"/>
        <w:jc w:val="both"/>
        <w:rPr>
          <w:sz w:val="24"/>
          <w:szCs w:val="24"/>
          <w:lang w:val="en-GB"/>
        </w:rPr>
      </w:pPr>
    </w:p>
    <w:p w14:paraId="5F7B1D5F" w14:textId="2513CC8E" w:rsidR="00563C09" w:rsidRPr="008D6037" w:rsidRDefault="0060630D" w:rsidP="0060630D">
      <w:pPr>
        <w:spacing w:after="0" w:line="240" w:lineRule="auto"/>
        <w:jc w:val="both"/>
        <w:rPr>
          <w:sz w:val="24"/>
          <w:szCs w:val="24"/>
          <w:lang w:val="en-GB"/>
        </w:rPr>
      </w:pPr>
      <w:r w:rsidRPr="0060630D">
        <w:rPr>
          <w:sz w:val="24"/>
          <w:szCs w:val="24"/>
          <w:lang w:val="en-GB"/>
        </w:rPr>
        <w:t>F</w:t>
      </w:r>
      <w:r>
        <w:rPr>
          <w:sz w:val="24"/>
          <w:szCs w:val="24"/>
          <w:lang w:val="en-GB"/>
        </w:rPr>
        <w:t>inally</w:t>
      </w:r>
      <w:r w:rsidRPr="0060630D">
        <w:rPr>
          <w:sz w:val="24"/>
          <w:szCs w:val="24"/>
          <w:lang w:val="en-GB"/>
        </w:rPr>
        <w:t>, another potential mechanism of interaction that may increase the influence between states could be bilateral treaties that states sign</w:t>
      </w:r>
      <w:r w:rsidR="009C39E4">
        <w:rPr>
          <w:sz w:val="24"/>
          <w:szCs w:val="24"/>
          <w:lang w:val="en-GB"/>
        </w:rPr>
        <w:t>,</w:t>
      </w:r>
      <w:r w:rsidRPr="0060630D">
        <w:rPr>
          <w:sz w:val="24"/>
          <w:szCs w:val="24"/>
          <w:lang w:val="en-GB"/>
        </w:rPr>
        <w:t xml:space="preserve"> which may affect how close the randomly selected country in the UN is to the violator of international law. For instance, if China is pressing hard on African countries to sign bilateral investment treaties with the Chinese government, this implies that the policymakers and executive branch of government in these countries are intrinsically incentivized to side with China when the latter commits a violation of international law. This may translate to a greater tendency to violate international law among these states if China commits international law violations. Conversely, if African or Latin American countries sign bilateral investment or cooperation treaties with law-abiding countries, the leadership in these countries is somewhat intrinsically incentivized to adhere to the principles of international </w:t>
      </w:r>
      <w:r w:rsidR="009C39E4">
        <w:rPr>
          <w:sz w:val="24"/>
          <w:szCs w:val="24"/>
          <w:lang w:val="en-GB"/>
        </w:rPr>
        <w:t xml:space="preserve">law. Further empirical work is required to test this and other channels for the spreading of behavioural patterns among states. Such work can help determine in what situations the bandwagon effect is likely </w:t>
      </w:r>
      <w:r w:rsidR="000066B6">
        <w:rPr>
          <w:sz w:val="24"/>
          <w:szCs w:val="24"/>
          <w:lang w:val="en-GB"/>
        </w:rPr>
        <w:t xml:space="preserve">to materialize. </w:t>
      </w:r>
      <w:r w:rsidR="00563C09" w:rsidRPr="008D6037">
        <w:rPr>
          <w:sz w:val="24"/>
          <w:szCs w:val="24"/>
          <w:lang w:val="en-GB"/>
        </w:rPr>
        <w:br w:type="page"/>
      </w:r>
    </w:p>
    <w:p w14:paraId="022ADA42" w14:textId="19369EE9" w:rsidR="00A529D5" w:rsidRDefault="00A529D5" w:rsidP="00563C09">
      <w:pPr>
        <w:pStyle w:val="Naslov1"/>
        <w:rPr>
          <w:rFonts w:asciiTheme="majorBidi" w:hAnsiTheme="majorBidi"/>
          <w:color w:val="auto"/>
          <w:lang w:val="en-US"/>
        </w:rPr>
      </w:pPr>
      <w:bookmarkStart w:id="13" w:name="_Toc212314897"/>
      <w:r w:rsidRPr="00563C09">
        <w:rPr>
          <w:rFonts w:asciiTheme="majorBidi" w:hAnsiTheme="majorBidi"/>
          <w:color w:val="auto"/>
          <w:lang w:val="en-US"/>
        </w:rPr>
        <w:lastRenderedPageBreak/>
        <w:t>Bibliography</w:t>
      </w:r>
      <w:bookmarkEnd w:id="13"/>
      <w:r w:rsidRPr="00563C09">
        <w:rPr>
          <w:rFonts w:asciiTheme="majorBidi" w:hAnsiTheme="majorBidi"/>
          <w:color w:val="auto"/>
          <w:lang w:val="en-US"/>
        </w:rPr>
        <w:t xml:space="preserve"> </w:t>
      </w:r>
    </w:p>
    <w:p w14:paraId="471C069D" w14:textId="77777777" w:rsidR="00563C09" w:rsidRPr="00563C09" w:rsidRDefault="00563C09" w:rsidP="00563C09">
      <w:pPr>
        <w:rPr>
          <w:lang w:val="en-US"/>
        </w:rPr>
      </w:pPr>
    </w:p>
    <w:p w14:paraId="26521364" w14:textId="013438FB" w:rsidR="003D3EBE" w:rsidRDefault="003D3EBE" w:rsidP="00B476EA">
      <w:pPr>
        <w:rPr>
          <w:rFonts w:ascii="Times New Roman" w:hAnsi="Times New Roman" w:cs="Times New Roman"/>
          <w:sz w:val="24"/>
          <w:szCs w:val="24"/>
          <w:lang w:val="en-GB"/>
        </w:rPr>
      </w:pPr>
      <w:r w:rsidRPr="003D3EBE">
        <w:rPr>
          <w:rFonts w:ascii="Times New Roman" w:hAnsi="Times New Roman" w:cs="Times New Roman"/>
          <w:sz w:val="24"/>
          <w:szCs w:val="24"/>
          <w:lang w:val="en-GB"/>
        </w:rPr>
        <w:t>van Aaken A, Simsek B. Rewarding in International Law. American Journal of International Law. 2021;115(2):195-241.</w:t>
      </w:r>
    </w:p>
    <w:p w14:paraId="3E7F42AB" w14:textId="30A0DD2F" w:rsidR="002613EC" w:rsidRDefault="002613EC" w:rsidP="00B476EA">
      <w:pPr>
        <w:rPr>
          <w:rFonts w:ascii="Times New Roman" w:hAnsi="Times New Roman" w:cs="Times New Roman"/>
          <w:sz w:val="24"/>
          <w:szCs w:val="24"/>
          <w:lang w:val="en-GB"/>
        </w:rPr>
      </w:pPr>
      <w:r w:rsidRPr="002613EC">
        <w:rPr>
          <w:rFonts w:ascii="Times New Roman" w:hAnsi="Times New Roman" w:cs="Times New Roman"/>
          <w:sz w:val="24"/>
          <w:szCs w:val="24"/>
          <w:lang w:val="en-GB"/>
        </w:rPr>
        <w:t>Chayes, A., &amp; Chayes, A. H. (1993). On Compliance. International Organization, 47(2), 175–205.</w:t>
      </w:r>
    </w:p>
    <w:p w14:paraId="06900D4D" w14:textId="4362C07D" w:rsidR="00B45D33" w:rsidRDefault="00B45D33" w:rsidP="00B476EA">
      <w:pPr>
        <w:rPr>
          <w:rFonts w:ascii="Times New Roman" w:hAnsi="Times New Roman" w:cs="Times New Roman"/>
          <w:sz w:val="24"/>
          <w:szCs w:val="24"/>
          <w:lang w:val="en-GB"/>
        </w:rPr>
      </w:pPr>
      <w:r>
        <w:rPr>
          <w:rFonts w:ascii="Times New Roman" w:hAnsi="Times New Roman" w:cs="Times New Roman"/>
          <w:sz w:val="24"/>
          <w:szCs w:val="24"/>
          <w:lang w:val="en-GB"/>
        </w:rPr>
        <w:t xml:space="preserve">Cogan J. Katz (2006), </w:t>
      </w:r>
      <w:r w:rsidRPr="00B45D33">
        <w:rPr>
          <w:rFonts w:ascii="Times New Roman" w:hAnsi="Times New Roman" w:cs="Times New Roman"/>
          <w:sz w:val="24"/>
          <w:szCs w:val="24"/>
          <w:lang w:val="en-GB"/>
        </w:rPr>
        <w:t>Noncompliance and the International Rule of Law</w:t>
      </w:r>
      <w:r>
        <w:rPr>
          <w:rFonts w:ascii="Times New Roman" w:hAnsi="Times New Roman" w:cs="Times New Roman"/>
          <w:sz w:val="24"/>
          <w:szCs w:val="24"/>
          <w:lang w:val="en-GB"/>
        </w:rPr>
        <w:t xml:space="preserve">, </w:t>
      </w:r>
      <w:r w:rsidRPr="00B45D33">
        <w:rPr>
          <w:rFonts w:ascii="Times New Roman" w:hAnsi="Times New Roman" w:cs="Times New Roman"/>
          <w:sz w:val="24"/>
          <w:szCs w:val="24"/>
          <w:lang w:val="en-GB"/>
        </w:rPr>
        <w:t>Yale Journal of International Law, Vol. 31, p. 189, 2006</w:t>
      </w:r>
      <w:r>
        <w:rPr>
          <w:rFonts w:ascii="Times New Roman" w:hAnsi="Times New Roman" w:cs="Times New Roman"/>
          <w:sz w:val="24"/>
          <w:szCs w:val="24"/>
          <w:lang w:val="en-GB"/>
        </w:rPr>
        <w:t xml:space="preserve">. </w:t>
      </w:r>
    </w:p>
    <w:p w14:paraId="683A189C" w14:textId="73CC7ACD" w:rsidR="00B476EA" w:rsidRDefault="00B476EA" w:rsidP="00B476EA">
      <w:pPr>
        <w:rPr>
          <w:rFonts w:ascii="Times New Roman" w:hAnsi="Times New Roman" w:cs="Times New Roman"/>
          <w:sz w:val="24"/>
          <w:szCs w:val="24"/>
          <w:lang w:val="en-GB"/>
        </w:rPr>
      </w:pPr>
      <w:r>
        <w:rPr>
          <w:rFonts w:ascii="Times New Roman" w:hAnsi="Times New Roman" w:cs="Times New Roman"/>
          <w:sz w:val="24"/>
          <w:szCs w:val="24"/>
          <w:lang w:val="en-GB"/>
        </w:rPr>
        <w:t xml:space="preserve">Dothan, Shai (2015) Reputation and Judicial Tactics: A Theory of  National and International Courts  </w:t>
      </w:r>
    </w:p>
    <w:p w14:paraId="31CCEFE8" w14:textId="77777777" w:rsidR="00B476EA" w:rsidRDefault="00B476EA" w:rsidP="00B476EA">
      <w:pPr>
        <w:rPr>
          <w:rFonts w:ascii="Times New Roman" w:hAnsi="Times New Roman" w:cs="Times New Roman"/>
          <w:sz w:val="24"/>
          <w:szCs w:val="24"/>
          <w:lang w:val="en-GB"/>
        </w:rPr>
      </w:pPr>
      <w:r>
        <w:rPr>
          <w:rFonts w:ascii="Times New Roman" w:hAnsi="Times New Roman" w:cs="Times New Roman"/>
          <w:sz w:val="24"/>
          <w:szCs w:val="24"/>
          <w:lang w:val="en-GB"/>
        </w:rPr>
        <w:t xml:space="preserve">Dothan, Shai (2022) Violating International Law is Contagious, 23 Chicago Journal of International Law 79. </w:t>
      </w:r>
    </w:p>
    <w:p w14:paraId="3D41D8F7" w14:textId="480FE984" w:rsidR="00B476EA" w:rsidRDefault="00B476EA" w:rsidP="00B476EA">
      <w:pPr>
        <w:rPr>
          <w:rFonts w:ascii="Times New Roman" w:hAnsi="Times New Roman" w:cs="Times New Roman"/>
          <w:sz w:val="24"/>
          <w:szCs w:val="24"/>
          <w:lang w:val="en-GB"/>
        </w:rPr>
      </w:pPr>
      <w:r>
        <w:rPr>
          <w:rFonts w:ascii="Times New Roman" w:hAnsi="Times New Roman" w:cs="Times New Roman"/>
          <w:sz w:val="24"/>
          <w:szCs w:val="24"/>
          <w:lang w:val="en-GB"/>
        </w:rPr>
        <w:t xml:space="preserve">Farber, Daniel A. (2002) Rights as Signals 31 Journal of Legal Studies 83. </w:t>
      </w:r>
    </w:p>
    <w:p w14:paraId="257E405A" w14:textId="71241143" w:rsidR="007C7FCB" w:rsidRDefault="007C7FCB" w:rsidP="007C7FCB">
      <w:pPr>
        <w:rPr>
          <w:rFonts w:ascii="Times New Roman" w:hAnsi="Times New Roman" w:cs="Times New Roman"/>
          <w:sz w:val="24"/>
          <w:szCs w:val="24"/>
          <w:lang w:val="en-GB"/>
        </w:rPr>
      </w:pPr>
      <w:r>
        <w:rPr>
          <w:rFonts w:ascii="Times New Roman" w:hAnsi="Times New Roman" w:cs="Times New Roman"/>
          <w:sz w:val="24"/>
          <w:szCs w:val="24"/>
          <w:lang w:val="en-GB"/>
        </w:rPr>
        <w:t xml:space="preserve">Farer, J. </w:t>
      </w:r>
      <w:r w:rsidRPr="007C7FCB">
        <w:rPr>
          <w:rFonts w:ascii="Times New Roman" w:hAnsi="Times New Roman" w:cs="Times New Roman"/>
          <w:sz w:val="24"/>
          <w:szCs w:val="24"/>
          <w:lang w:val="en-GB"/>
        </w:rPr>
        <w:t xml:space="preserve">Tom J. </w:t>
      </w:r>
      <w:r>
        <w:rPr>
          <w:rFonts w:ascii="Times New Roman" w:hAnsi="Times New Roman" w:cs="Times New Roman"/>
          <w:sz w:val="24"/>
          <w:szCs w:val="24"/>
          <w:lang w:val="en-GB"/>
        </w:rPr>
        <w:t>(2003)</w:t>
      </w:r>
      <w:r w:rsidRPr="007C7FCB">
        <w:rPr>
          <w:rFonts w:ascii="Times New Roman" w:hAnsi="Times New Roman" w:cs="Times New Roman"/>
          <w:sz w:val="24"/>
          <w:szCs w:val="24"/>
          <w:lang w:val="en-GB"/>
        </w:rPr>
        <w:t>, The Prospect</w:t>
      </w:r>
      <w:r>
        <w:rPr>
          <w:rFonts w:ascii="Times New Roman" w:hAnsi="Times New Roman" w:cs="Times New Roman"/>
          <w:sz w:val="24"/>
          <w:szCs w:val="24"/>
          <w:lang w:val="en-GB"/>
        </w:rPr>
        <w:t xml:space="preserve"> </w:t>
      </w:r>
      <w:r w:rsidRPr="007C7FCB">
        <w:rPr>
          <w:rFonts w:ascii="Times New Roman" w:hAnsi="Times New Roman" w:cs="Times New Roman"/>
          <w:sz w:val="24"/>
          <w:szCs w:val="24"/>
          <w:lang w:val="en-GB"/>
        </w:rPr>
        <w:t>for International</w:t>
      </w:r>
      <w:r>
        <w:rPr>
          <w:rFonts w:ascii="Times New Roman" w:hAnsi="Times New Roman" w:cs="Times New Roman"/>
          <w:sz w:val="24"/>
          <w:szCs w:val="24"/>
          <w:lang w:val="en-GB"/>
        </w:rPr>
        <w:t xml:space="preserve"> </w:t>
      </w:r>
      <w:r w:rsidRPr="007C7FCB">
        <w:rPr>
          <w:rFonts w:ascii="Times New Roman" w:hAnsi="Times New Roman" w:cs="Times New Roman"/>
          <w:sz w:val="24"/>
          <w:szCs w:val="24"/>
          <w:lang w:val="en-GB"/>
        </w:rPr>
        <w:t>Law and Order</w:t>
      </w:r>
      <w:r>
        <w:rPr>
          <w:rFonts w:ascii="Times New Roman" w:hAnsi="Times New Roman" w:cs="Times New Roman"/>
          <w:sz w:val="24"/>
          <w:szCs w:val="24"/>
          <w:lang w:val="en-GB"/>
        </w:rPr>
        <w:t xml:space="preserve"> </w:t>
      </w:r>
      <w:r w:rsidRPr="007C7FCB">
        <w:rPr>
          <w:rFonts w:ascii="Times New Roman" w:hAnsi="Times New Roman" w:cs="Times New Roman"/>
          <w:sz w:val="24"/>
          <w:szCs w:val="24"/>
          <w:lang w:val="en-GB"/>
        </w:rPr>
        <w:t>in the Wake of</w:t>
      </w:r>
      <w:r>
        <w:rPr>
          <w:rFonts w:ascii="Times New Roman" w:hAnsi="Times New Roman" w:cs="Times New Roman"/>
          <w:sz w:val="24"/>
          <w:szCs w:val="24"/>
          <w:lang w:val="en-GB"/>
        </w:rPr>
        <w:t xml:space="preserve"> </w:t>
      </w:r>
      <w:r w:rsidRPr="007C7FCB">
        <w:rPr>
          <w:rFonts w:ascii="Times New Roman" w:hAnsi="Times New Roman" w:cs="Times New Roman"/>
          <w:sz w:val="24"/>
          <w:szCs w:val="24"/>
          <w:lang w:val="en-GB"/>
        </w:rPr>
        <w:t>Iraq,</w:t>
      </w:r>
      <w:r>
        <w:rPr>
          <w:rFonts w:ascii="Times New Roman" w:hAnsi="Times New Roman" w:cs="Times New Roman"/>
          <w:sz w:val="24"/>
          <w:szCs w:val="24"/>
          <w:lang w:val="en-GB"/>
        </w:rPr>
        <w:t xml:space="preserve"> </w:t>
      </w:r>
      <w:r w:rsidRPr="007C7FCB">
        <w:rPr>
          <w:rFonts w:ascii="Times New Roman" w:hAnsi="Times New Roman" w:cs="Times New Roman"/>
          <w:sz w:val="24"/>
          <w:szCs w:val="24"/>
          <w:lang w:val="en-GB"/>
        </w:rPr>
        <w:t>97 AM. J. INT'L L. 621</w:t>
      </w:r>
      <w:r>
        <w:rPr>
          <w:rFonts w:ascii="Times New Roman" w:hAnsi="Times New Roman" w:cs="Times New Roman"/>
          <w:sz w:val="24"/>
          <w:szCs w:val="24"/>
          <w:lang w:val="en-GB"/>
        </w:rPr>
        <w:t>.</w:t>
      </w:r>
    </w:p>
    <w:p w14:paraId="59893603" w14:textId="756759B5" w:rsidR="002613EC" w:rsidRDefault="002613EC" w:rsidP="00B45D33">
      <w:pPr>
        <w:rPr>
          <w:rFonts w:ascii="Times New Roman" w:hAnsi="Times New Roman" w:cs="Times New Roman"/>
          <w:sz w:val="24"/>
          <w:szCs w:val="24"/>
          <w:lang w:val="en-GB"/>
        </w:rPr>
      </w:pPr>
      <w:r w:rsidRPr="002613EC">
        <w:rPr>
          <w:rFonts w:ascii="Times New Roman" w:hAnsi="Times New Roman" w:cs="Times New Roman"/>
          <w:sz w:val="24"/>
          <w:szCs w:val="24"/>
          <w:lang w:val="en-US"/>
        </w:rPr>
        <w:t>Findley, G. Michael, Daniel L. Nielson and J. C. Sh</w:t>
      </w:r>
      <w:r>
        <w:rPr>
          <w:rFonts w:ascii="Times New Roman" w:hAnsi="Times New Roman" w:cs="Times New Roman"/>
          <w:sz w:val="24"/>
          <w:szCs w:val="24"/>
          <w:lang w:val="en-US"/>
        </w:rPr>
        <w:t>arman (2015), Ca</w:t>
      </w:r>
      <w:r w:rsidRPr="002613EC">
        <w:rPr>
          <w:rFonts w:ascii="Times New Roman" w:hAnsi="Times New Roman" w:cs="Times New Roman"/>
          <w:sz w:val="24"/>
          <w:szCs w:val="24"/>
          <w:lang w:val="en-GB"/>
        </w:rPr>
        <w:t>uses of Noncompliance with International Law: A Field Experiment on Anonymous</w:t>
      </w:r>
      <w:r>
        <w:rPr>
          <w:rFonts w:ascii="Times New Roman" w:hAnsi="Times New Roman" w:cs="Times New Roman"/>
          <w:sz w:val="24"/>
          <w:szCs w:val="24"/>
          <w:lang w:val="en-GB"/>
        </w:rPr>
        <w:t xml:space="preserve"> Incorporation, </w:t>
      </w:r>
      <w:r w:rsidRPr="002613EC">
        <w:rPr>
          <w:rFonts w:ascii="Times New Roman" w:hAnsi="Times New Roman" w:cs="Times New Roman"/>
          <w:sz w:val="24"/>
          <w:szCs w:val="24"/>
          <w:lang w:val="en-GB"/>
        </w:rPr>
        <w:t>American Journal of Political Science, January 2015, Vol. 59, No. 1,</w:t>
      </w:r>
      <w:r>
        <w:rPr>
          <w:rFonts w:ascii="Times New Roman" w:hAnsi="Times New Roman" w:cs="Times New Roman"/>
          <w:sz w:val="24"/>
          <w:szCs w:val="24"/>
          <w:lang w:val="en-GB"/>
        </w:rPr>
        <w:t xml:space="preserve"> </w:t>
      </w:r>
      <w:r w:rsidRPr="002613EC">
        <w:rPr>
          <w:rFonts w:ascii="Times New Roman" w:hAnsi="Times New Roman" w:cs="Times New Roman"/>
          <w:sz w:val="24"/>
          <w:szCs w:val="24"/>
          <w:lang w:val="en-GB"/>
        </w:rPr>
        <w:t>pp. 146-161</w:t>
      </w:r>
      <w:r w:rsidR="00302EA9">
        <w:rPr>
          <w:rFonts w:ascii="Times New Roman" w:hAnsi="Times New Roman" w:cs="Times New Roman"/>
          <w:sz w:val="24"/>
          <w:szCs w:val="24"/>
          <w:lang w:val="en-GB"/>
        </w:rPr>
        <w:t>.</w:t>
      </w:r>
    </w:p>
    <w:p w14:paraId="18E95C75" w14:textId="334E1563" w:rsidR="00302EA9" w:rsidRDefault="00302EA9" w:rsidP="00B45D33">
      <w:pPr>
        <w:rPr>
          <w:rFonts w:ascii="Times New Roman" w:hAnsi="Times New Roman" w:cs="Times New Roman"/>
          <w:sz w:val="24"/>
          <w:szCs w:val="24"/>
          <w:lang w:val="en-GB"/>
        </w:rPr>
      </w:pPr>
      <w:r w:rsidRPr="00302EA9">
        <w:rPr>
          <w:rFonts w:ascii="Times New Roman" w:hAnsi="Times New Roman" w:cs="Times New Roman"/>
          <w:sz w:val="24"/>
          <w:szCs w:val="24"/>
          <w:lang w:val="en-GB"/>
        </w:rPr>
        <w:t>Finnemore, M., &amp; Sikkink, K. (1998). International Norm Dynamics and Political Change. International Organization, 52(4), 887–917.</w:t>
      </w:r>
    </w:p>
    <w:p w14:paraId="1BF6F441" w14:textId="406E10D9" w:rsidR="00B45D33" w:rsidRPr="00B45D33" w:rsidRDefault="00B45D33" w:rsidP="00B45D33">
      <w:pPr>
        <w:rPr>
          <w:rFonts w:ascii="Times New Roman" w:hAnsi="Times New Roman" w:cs="Times New Roman"/>
          <w:sz w:val="24"/>
          <w:szCs w:val="24"/>
          <w:lang w:val="en-GB"/>
        </w:rPr>
      </w:pPr>
      <w:r>
        <w:rPr>
          <w:rFonts w:ascii="Times New Roman" w:hAnsi="Times New Roman" w:cs="Times New Roman"/>
          <w:sz w:val="24"/>
          <w:szCs w:val="24"/>
          <w:lang w:val="en-GB"/>
        </w:rPr>
        <w:t xml:space="preserve">Frowein, A. </w:t>
      </w:r>
      <w:r w:rsidRPr="00B45D33">
        <w:rPr>
          <w:rFonts w:ascii="Times New Roman" w:hAnsi="Times New Roman" w:cs="Times New Roman"/>
          <w:sz w:val="24"/>
          <w:szCs w:val="24"/>
          <w:lang w:val="en-GB"/>
        </w:rPr>
        <w:t xml:space="preserve">Jochen </w:t>
      </w:r>
      <w:r>
        <w:rPr>
          <w:rFonts w:ascii="Times New Roman" w:hAnsi="Times New Roman" w:cs="Times New Roman"/>
          <w:sz w:val="24"/>
          <w:szCs w:val="24"/>
          <w:lang w:val="en-GB"/>
        </w:rPr>
        <w:t xml:space="preserve">(1994), </w:t>
      </w:r>
      <w:r w:rsidRPr="00B45D33">
        <w:rPr>
          <w:rFonts w:ascii="Times New Roman" w:hAnsi="Times New Roman" w:cs="Times New Roman"/>
          <w:sz w:val="24"/>
          <w:szCs w:val="24"/>
          <w:lang w:val="en-GB"/>
        </w:rPr>
        <w:t>Reactions by Not Directly</w:t>
      </w:r>
      <w:r>
        <w:rPr>
          <w:rFonts w:ascii="Times New Roman" w:hAnsi="Times New Roman" w:cs="Times New Roman"/>
          <w:sz w:val="24"/>
          <w:szCs w:val="24"/>
          <w:lang w:val="en-GB"/>
        </w:rPr>
        <w:t xml:space="preserve"> </w:t>
      </w:r>
      <w:r w:rsidRPr="00B45D33">
        <w:rPr>
          <w:rFonts w:ascii="Times New Roman" w:hAnsi="Times New Roman" w:cs="Times New Roman"/>
          <w:sz w:val="24"/>
          <w:szCs w:val="24"/>
          <w:lang w:val="en-GB"/>
        </w:rPr>
        <w:t>Affected States to Breaches of Public</w:t>
      </w:r>
    </w:p>
    <w:p w14:paraId="287CA248" w14:textId="3308CDD0" w:rsidR="00B45D33" w:rsidRPr="009C39E4" w:rsidRDefault="00B45D33" w:rsidP="00B45D33">
      <w:pPr>
        <w:rPr>
          <w:rFonts w:ascii="Times New Roman" w:hAnsi="Times New Roman" w:cs="Times New Roman"/>
          <w:sz w:val="24"/>
          <w:szCs w:val="24"/>
          <w:lang w:val="fr-FR"/>
        </w:rPr>
      </w:pPr>
      <w:r w:rsidRPr="009C39E4">
        <w:rPr>
          <w:rFonts w:ascii="Times New Roman" w:hAnsi="Times New Roman" w:cs="Times New Roman"/>
          <w:sz w:val="24"/>
          <w:szCs w:val="24"/>
          <w:lang w:val="fr-FR"/>
        </w:rPr>
        <w:t xml:space="preserve">International Law, 248 Recueil des cours 345. </w:t>
      </w:r>
      <w:r w:rsidRPr="009C39E4">
        <w:rPr>
          <w:rFonts w:ascii="Times New Roman" w:hAnsi="Times New Roman" w:cs="Times New Roman"/>
          <w:sz w:val="24"/>
          <w:szCs w:val="24"/>
          <w:lang w:val="fr-FR"/>
        </w:rPr>
        <w:cr/>
      </w:r>
    </w:p>
    <w:p w14:paraId="51233357" w14:textId="77777777" w:rsidR="00B45D33" w:rsidRDefault="00B476EA" w:rsidP="00B476EA">
      <w:pPr>
        <w:rPr>
          <w:rFonts w:ascii="Times New Roman" w:hAnsi="Times New Roman" w:cs="Times New Roman"/>
          <w:sz w:val="24"/>
          <w:szCs w:val="24"/>
          <w:lang w:val="en-GB"/>
        </w:rPr>
      </w:pPr>
      <w:r>
        <w:rPr>
          <w:rFonts w:ascii="Times New Roman" w:hAnsi="Times New Roman" w:cs="Times New Roman"/>
          <w:sz w:val="24"/>
          <w:szCs w:val="24"/>
          <w:lang w:val="en-GB"/>
        </w:rPr>
        <w:t>Ginsburg, Tom (2021) Democracies and International Law</w:t>
      </w:r>
      <w:r w:rsidR="00B45D33">
        <w:rPr>
          <w:rFonts w:ascii="Times New Roman" w:hAnsi="Times New Roman" w:cs="Times New Roman"/>
          <w:sz w:val="24"/>
          <w:szCs w:val="24"/>
          <w:lang w:val="en-GB"/>
        </w:rPr>
        <w:t>.</w:t>
      </w:r>
    </w:p>
    <w:p w14:paraId="61FF06F2" w14:textId="108AE272" w:rsidR="00B45D33" w:rsidRPr="00B45D33" w:rsidRDefault="00B45D33" w:rsidP="00B45D33">
      <w:pPr>
        <w:rPr>
          <w:rFonts w:ascii="Times New Roman" w:hAnsi="Times New Roman" w:cs="Times New Roman"/>
          <w:sz w:val="24"/>
          <w:szCs w:val="24"/>
          <w:lang w:val="en-GB"/>
        </w:rPr>
      </w:pPr>
      <w:r>
        <w:rPr>
          <w:rFonts w:ascii="Times New Roman" w:hAnsi="Times New Roman" w:cs="Times New Roman"/>
          <w:sz w:val="24"/>
          <w:szCs w:val="24"/>
          <w:lang w:val="en-GB"/>
        </w:rPr>
        <w:t xml:space="preserve">Gross, </w:t>
      </w:r>
      <w:r w:rsidRPr="00B45D33">
        <w:rPr>
          <w:rFonts w:ascii="Times New Roman" w:hAnsi="Times New Roman" w:cs="Times New Roman"/>
          <w:sz w:val="24"/>
          <w:szCs w:val="24"/>
          <w:lang w:val="en-GB"/>
        </w:rPr>
        <w:t xml:space="preserve">Oren </w:t>
      </w:r>
      <w:r>
        <w:rPr>
          <w:rFonts w:ascii="Times New Roman" w:hAnsi="Times New Roman" w:cs="Times New Roman"/>
          <w:sz w:val="24"/>
          <w:szCs w:val="24"/>
          <w:lang w:val="en-GB"/>
        </w:rPr>
        <w:t>(2004)</w:t>
      </w:r>
      <w:r w:rsidRPr="00B45D33">
        <w:rPr>
          <w:rFonts w:ascii="Times New Roman" w:hAnsi="Times New Roman" w:cs="Times New Roman"/>
          <w:sz w:val="24"/>
          <w:szCs w:val="24"/>
          <w:lang w:val="en-GB"/>
        </w:rPr>
        <w:t>, Are Torture Warrants Warranted? Pragmatic</w:t>
      </w:r>
      <w:r>
        <w:rPr>
          <w:rFonts w:ascii="Times New Roman" w:hAnsi="Times New Roman" w:cs="Times New Roman"/>
          <w:sz w:val="24"/>
          <w:szCs w:val="24"/>
          <w:lang w:val="en-GB"/>
        </w:rPr>
        <w:t xml:space="preserve"> </w:t>
      </w:r>
      <w:r w:rsidRPr="00B45D33">
        <w:rPr>
          <w:rFonts w:ascii="Times New Roman" w:hAnsi="Times New Roman" w:cs="Times New Roman"/>
          <w:sz w:val="24"/>
          <w:szCs w:val="24"/>
          <w:lang w:val="en-GB"/>
        </w:rPr>
        <w:t>Absolutism and</w:t>
      </w:r>
    </w:p>
    <w:p w14:paraId="7E5FF225" w14:textId="600E5F4A" w:rsidR="00B476EA" w:rsidRDefault="00B45D33" w:rsidP="00B45D33">
      <w:pPr>
        <w:rPr>
          <w:rFonts w:ascii="Times New Roman" w:hAnsi="Times New Roman" w:cs="Times New Roman"/>
          <w:sz w:val="24"/>
          <w:szCs w:val="24"/>
          <w:lang w:val="en-GB"/>
        </w:rPr>
      </w:pPr>
      <w:r w:rsidRPr="00B45D33">
        <w:rPr>
          <w:rFonts w:ascii="Times New Roman" w:hAnsi="Times New Roman" w:cs="Times New Roman"/>
          <w:sz w:val="24"/>
          <w:szCs w:val="24"/>
          <w:lang w:val="en-GB"/>
        </w:rPr>
        <w:t>Official Disobedience,</w:t>
      </w:r>
      <w:r>
        <w:rPr>
          <w:rFonts w:ascii="Times New Roman" w:hAnsi="Times New Roman" w:cs="Times New Roman"/>
          <w:sz w:val="24"/>
          <w:szCs w:val="24"/>
          <w:lang w:val="en-GB"/>
        </w:rPr>
        <w:t xml:space="preserve"> </w:t>
      </w:r>
      <w:r w:rsidRPr="00B45D33">
        <w:rPr>
          <w:rFonts w:ascii="Times New Roman" w:hAnsi="Times New Roman" w:cs="Times New Roman"/>
          <w:sz w:val="24"/>
          <w:szCs w:val="24"/>
          <w:lang w:val="en-GB"/>
        </w:rPr>
        <w:t>88 MINN. L. REV. 1481, 1519-20.</w:t>
      </w:r>
    </w:p>
    <w:p w14:paraId="2494B659" w14:textId="77777777" w:rsidR="00B476EA" w:rsidRDefault="00B476EA" w:rsidP="00B476EA">
      <w:pPr>
        <w:rPr>
          <w:rFonts w:ascii="Times New Roman" w:hAnsi="Times New Roman" w:cs="Times New Roman"/>
          <w:sz w:val="24"/>
          <w:szCs w:val="24"/>
          <w:lang w:val="en-GB"/>
        </w:rPr>
      </w:pPr>
      <w:r>
        <w:rPr>
          <w:rFonts w:ascii="Times New Roman" w:hAnsi="Times New Roman" w:cs="Times New Roman"/>
          <w:sz w:val="24"/>
          <w:szCs w:val="24"/>
          <w:lang w:val="en-GB"/>
        </w:rPr>
        <w:t xml:space="preserve">Gunitsky Seva (2018) Democratic Waves in Historical Perspective, 16 Perspectives on Politics 634. </w:t>
      </w:r>
    </w:p>
    <w:p w14:paraId="468E7A0C" w14:textId="77777777" w:rsidR="00B476EA" w:rsidRDefault="00B476EA" w:rsidP="00B476EA">
      <w:pPr>
        <w:rPr>
          <w:rFonts w:ascii="Times New Roman" w:hAnsi="Times New Roman" w:cs="Times New Roman"/>
          <w:sz w:val="24"/>
          <w:szCs w:val="24"/>
          <w:lang w:val="en-GB"/>
        </w:rPr>
      </w:pPr>
      <w:r>
        <w:rPr>
          <w:rFonts w:ascii="Times New Roman" w:hAnsi="Times New Roman" w:cs="Times New Roman"/>
          <w:sz w:val="24"/>
          <w:szCs w:val="24"/>
          <w:lang w:val="en-GB"/>
        </w:rPr>
        <w:t>Guzman, Andrew (2008) How International Law Works: A Rational Choice Theory</w:t>
      </w:r>
    </w:p>
    <w:p w14:paraId="13C46D59" w14:textId="77777777" w:rsidR="00B476EA" w:rsidRDefault="00B476EA" w:rsidP="00B476EA">
      <w:pPr>
        <w:rPr>
          <w:rFonts w:ascii="Times New Roman" w:hAnsi="Times New Roman" w:cs="Times New Roman"/>
          <w:sz w:val="24"/>
          <w:szCs w:val="24"/>
          <w:lang w:val="en-GB"/>
        </w:rPr>
      </w:pPr>
      <w:r>
        <w:rPr>
          <w:rFonts w:ascii="Times New Roman" w:hAnsi="Times New Roman" w:cs="Times New Roman"/>
          <w:sz w:val="24"/>
          <w:szCs w:val="24"/>
          <w:lang w:val="en-GB"/>
        </w:rPr>
        <w:t>Hathaway, Oona A. (2002) Do Human Rights Treaties Make a Difference, 111 Yale Law Journal 1935.</w:t>
      </w:r>
    </w:p>
    <w:p w14:paraId="4103CE06" w14:textId="226A89C1" w:rsidR="00A529D5" w:rsidRDefault="00A529D5" w:rsidP="00A529D5">
      <w:pPr>
        <w:rPr>
          <w:rFonts w:ascii="Times New Roman" w:hAnsi="Times New Roman" w:cs="Times New Roman"/>
          <w:sz w:val="24"/>
          <w:szCs w:val="24"/>
          <w:lang w:val="en-GB"/>
        </w:rPr>
      </w:pPr>
      <w:r>
        <w:rPr>
          <w:rFonts w:ascii="Times New Roman" w:hAnsi="Times New Roman" w:cs="Times New Roman"/>
          <w:sz w:val="24"/>
          <w:szCs w:val="24"/>
          <w:lang w:val="en-GB"/>
        </w:rPr>
        <w:t>Henkin, Louis (1979 2</w:t>
      </w:r>
      <w:r w:rsidRPr="00DA1DF1">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ed.) How Nations Behave: Law and Foreign Policy. </w:t>
      </w:r>
    </w:p>
    <w:p w14:paraId="3AEE1441" w14:textId="2A8BE16E" w:rsidR="00B45D33" w:rsidRDefault="00B45D33" w:rsidP="00B45D33">
      <w:pPr>
        <w:rPr>
          <w:rFonts w:ascii="Times New Roman" w:hAnsi="Times New Roman" w:cs="Times New Roman"/>
          <w:sz w:val="24"/>
          <w:szCs w:val="24"/>
          <w:lang w:val="en-GB"/>
        </w:rPr>
      </w:pPr>
      <w:r>
        <w:rPr>
          <w:rFonts w:ascii="Times New Roman" w:hAnsi="Times New Roman" w:cs="Times New Roman"/>
          <w:sz w:val="24"/>
          <w:szCs w:val="24"/>
          <w:lang w:val="en-GB"/>
        </w:rPr>
        <w:t xml:space="preserve">Kadish, R. Mortimer (1973), Discretion to disobey: a study of lawful departures from legal rules. </w:t>
      </w:r>
    </w:p>
    <w:p w14:paraId="6D8FF92D" w14:textId="77777777" w:rsidR="005201B8" w:rsidRDefault="007C7FCB" w:rsidP="00A529D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Koh, </w:t>
      </w:r>
      <w:r w:rsidRPr="007C7FCB">
        <w:rPr>
          <w:rFonts w:ascii="Times New Roman" w:hAnsi="Times New Roman" w:cs="Times New Roman"/>
          <w:sz w:val="24"/>
          <w:szCs w:val="24"/>
          <w:lang w:val="en-GB"/>
        </w:rPr>
        <w:t xml:space="preserve">Harold Hongju </w:t>
      </w:r>
      <w:r>
        <w:rPr>
          <w:rFonts w:ascii="Times New Roman" w:hAnsi="Times New Roman" w:cs="Times New Roman"/>
          <w:sz w:val="24"/>
          <w:szCs w:val="24"/>
          <w:lang w:val="en-GB"/>
        </w:rPr>
        <w:t>(1997)</w:t>
      </w:r>
      <w:r w:rsidRPr="007C7FCB">
        <w:rPr>
          <w:rFonts w:ascii="Times New Roman" w:hAnsi="Times New Roman" w:cs="Times New Roman"/>
          <w:sz w:val="24"/>
          <w:szCs w:val="24"/>
          <w:lang w:val="en-GB"/>
        </w:rPr>
        <w:t>, Why Do Nations Obey International</w:t>
      </w:r>
      <w:r w:rsidR="00B45D33">
        <w:rPr>
          <w:rFonts w:ascii="Times New Roman" w:hAnsi="Times New Roman" w:cs="Times New Roman"/>
          <w:sz w:val="24"/>
          <w:szCs w:val="24"/>
          <w:lang w:val="en-GB"/>
        </w:rPr>
        <w:t xml:space="preserve"> </w:t>
      </w:r>
      <w:r w:rsidRPr="007C7FCB">
        <w:rPr>
          <w:rFonts w:ascii="Times New Roman" w:hAnsi="Times New Roman" w:cs="Times New Roman"/>
          <w:sz w:val="24"/>
          <w:szCs w:val="24"/>
          <w:lang w:val="en-GB"/>
        </w:rPr>
        <w:t>Law?, 106 YALE L.J. 2599</w:t>
      </w:r>
      <w:r>
        <w:rPr>
          <w:rFonts w:ascii="Times New Roman" w:hAnsi="Times New Roman" w:cs="Times New Roman"/>
          <w:sz w:val="24"/>
          <w:szCs w:val="24"/>
          <w:lang w:val="en-GB"/>
        </w:rPr>
        <w:t>.</w:t>
      </w:r>
    </w:p>
    <w:p w14:paraId="4A58D3F6" w14:textId="6FCB83E6" w:rsidR="00B45D33" w:rsidRDefault="007C7FCB" w:rsidP="00A529D5">
      <w:pPr>
        <w:rPr>
          <w:rFonts w:ascii="Times New Roman" w:hAnsi="Times New Roman" w:cs="Times New Roman"/>
          <w:sz w:val="24"/>
          <w:szCs w:val="24"/>
          <w:lang w:val="en-GB"/>
        </w:rPr>
      </w:pPr>
      <w:r w:rsidRPr="007C7FCB">
        <w:rPr>
          <w:rFonts w:ascii="Times New Roman" w:hAnsi="Times New Roman" w:cs="Times New Roman"/>
          <w:sz w:val="24"/>
          <w:szCs w:val="24"/>
          <w:lang w:val="en-GB"/>
        </w:rPr>
        <w:cr/>
      </w:r>
      <w:r w:rsidR="002613EC" w:rsidRPr="002613EC">
        <w:rPr>
          <w:rFonts w:ascii="Times New Roman" w:hAnsi="Times New Roman" w:cs="Times New Roman"/>
          <w:sz w:val="24"/>
          <w:szCs w:val="24"/>
          <w:lang w:val="en-GB"/>
        </w:rPr>
        <w:t>Luckner, Katharina and Fikfak, Veronika, Not All Nations at All Times: How States Imitate Each Other’s Behavior Towards Non-Compliance with International Law Norms: An ABM proposal (February 16, 2023). iCourts Working Paper 318; Proceedings of the AMPM-Workshop@JURIX2022, Available at SSRN: https://ssrn.com/abstract=4361321 or http://dx.doi.org/10.2139/ssrn.4361321</w:t>
      </w:r>
    </w:p>
    <w:p w14:paraId="2B6102B0" w14:textId="77777777" w:rsidR="00302EA9" w:rsidRDefault="00A529D5" w:rsidP="00A529D5">
      <w:pPr>
        <w:rPr>
          <w:rFonts w:ascii="Times New Roman" w:hAnsi="Times New Roman" w:cs="Times New Roman"/>
          <w:sz w:val="24"/>
          <w:szCs w:val="24"/>
          <w:lang w:val="en-GB"/>
        </w:rPr>
      </w:pPr>
      <w:r>
        <w:rPr>
          <w:rFonts w:ascii="Times New Roman" w:hAnsi="Times New Roman" w:cs="Times New Roman"/>
          <w:sz w:val="24"/>
          <w:szCs w:val="24"/>
          <w:lang w:val="en-GB"/>
        </w:rPr>
        <w:t>Moore, David H. (2003) A Signaling Theory of Human Rights Compliance 97 Northwestern University Law Review 879.</w:t>
      </w:r>
    </w:p>
    <w:p w14:paraId="57E05F88" w14:textId="1CAA5367" w:rsidR="00A529D5" w:rsidRDefault="00A529D5" w:rsidP="00A529D5">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02EA9" w:rsidRPr="00302EA9">
        <w:rPr>
          <w:rFonts w:ascii="Times New Roman" w:hAnsi="Times New Roman" w:cs="Times New Roman"/>
          <w:sz w:val="24"/>
          <w:szCs w:val="24"/>
          <w:lang w:val="en-GB"/>
        </w:rPr>
        <w:t>Parente, F. (2023). Domestic accountability and non-compliance with international law: Evidence from the Inter-American Court of Human Rights. Journal of Peace Research, 62(1), 119-133.</w:t>
      </w:r>
    </w:p>
    <w:p w14:paraId="4D4E5E33" w14:textId="4B7A97BA" w:rsidR="000D0F59" w:rsidRDefault="000D0F59" w:rsidP="00A529D5">
      <w:pPr>
        <w:rPr>
          <w:rFonts w:ascii="Times New Roman" w:hAnsi="Times New Roman" w:cs="Times New Roman"/>
          <w:sz w:val="24"/>
          <w:szCs w:val="24"/>
          <w:lang w:val="en-GB"/>
        </w:rPr>
      </w:pPr>
      <w:r w:rsidRPr="000D0F59">
        <w:rPr>
          <w:rFonts w:ascii="Times New Roman" w:hAnsi="Times New Roman" w:cs="Times New Roman"/>
          <w:sz w:val="24"/>
          <w:szCs w:val="24"/>
          <w:lang w:val="en-GB"/>
        </w:rPr>
        <w:t>Pineschi L.</w:t>
      </w:r>
      <w:r>
        <w:rPr>
          <w:rFonts w:ascii="Times New Roman" w:hAnsi="Times New Roman" w:cs="Times New Roman"/>
          <w:sz w:val="24"/>
          <w:szCs w:val="24"/>
          <w:lang w:val="en-GB"/>
        </w:rPr>
        <w:t xml:space="preserve"> (2024),</w:t>
      </w:r>
      <w:r w:rsidRPr="000D0F59">
        <w:rPr>
          <w:rFonts w:ascii="Times New Roman" w:hAnsi="Times New Roman" w:cs="Times New Roman"/>
          <w:sz w:val="24"/>
          <w:szCs w:val="24"/>
          <w:lang w:val="en-GB"/>
        </w:rPr>
        <w:t xml:space="preserve"> International Courts versus Compliance Mechanisms through the Lens of the Gabčíkovo–Nagymaros and Bystroe Canal Cases. In: Voigt C, Foster C, eds. International Courts versus Non-Compliance Mechanisms: Comparative Advantages in Strengthening Treaty Implementation. Studies on International Courts and Tribunals. Cambridge University Press;</w:t>
      </w:r>
      <w:r>
        <w:rPr>
          <w:rFonts w:ascii="Times New Roman" w:hAnsi="Times New Roman" w:cs="Times New Roman"/>
          <w:sz w:val="24"/>
          <w:szCs w:val="24"/>
          <w:lang w:val="en-GB"/>
        </w:rPr>
        <w:t xml:space="preserve"> </w:t>
      </w:r>
      <w:r w:rsidRPr="000D0F59">
        <w:rPr>
          <w:rFonts w:ascii="Times New Roman" w:hAnsi="Times New Roman" w:cs="Times New Roman"/>
          <w:sz w:val="24"/>
          <w:szCs w:val="24"/>
          <w:lang w:val="en-GB"/>
        </w:rPr>
        <w:t>71-96.</w:t>
      </w:r>
    </w:p>
    <w:p w14:paraId="391B8A4C" w14:textId="2B3021F6" w:rsidR="003D3EBE" w:rsidRDefault="003D3EBE" w:rsidP="003D3EBE">
      <w:pPr>
        <w:rPr>
          <w:rFonts w:ascii="Times New Roman" w:hAnsi="Times New Roman" w:cs="Times New Roman"/>
          <w:sz w:val="24"/>
          <w:szCs w:val="24"/>
          <w:lang w:val="en-GB"/>
        </w:rPr>
      </w:pPr>
      <w:r>
        <w:rPr>
          <w:rFonts w:ascii="Times New Roman" w:hAnsi="Times New Roman" w:cs="Times New Roman"/>
          <w:sz w:val="24"/>
          <w:szCs w:val="24"/>
          <w:lang w:val="en-GB"/>
        </w:rPr>
        <w:t xml:space="preserve">De Tagle </w:t>
      </w:r>
      <w:r w:rsidRPr="003D3EBE">
        <w:rPr>
          <w:rFonts w:ascii="Times New Roman" w:hAnsi="Times New Roman" w:cs="Times New Roman"/>
          <w:sz w:val="24"/>
          <w:szCs w:val="24"/>
          <w:lang w:val="en-GB"/>
        </w:rPr>
        <w:t xml:space="preserve">Gonzalo Sánchez </w:t>
      </w:r>
      <w:r>
        <w:rPr>
          <w:rFonts w:ascii="Times New Roman" w:hAnsi="Times New Roman" w:cs="Times New Roman"/>
          <w:sz w:val="24"/>
          <w:szCs w:val="24"/>
          <w:lang w:val="en-GB"/>
        </w:rPr>
        <w:t>(2015)</w:t>
      </w:r>
      <w:r w:rsidRPr="003D3EBE">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3D3EBE">
        <w:rPr>
          <w:rFonts w:ascii="Times New Roman" w:hAnsi="Times New Roman" w:cs="Times New Roman"/>
          <w:sz w:val="24"/>
          <w:szCs w:val="24"/>
          <w:lang w:val="en-GB"/>
        </w:rPr>
        <w:t>The objective international responsibility of states in the Inter-American human rights system,</w:t>
      </w:r>
      <w:r>
        <w:rPr>
          <w:rFonts w:ascii="Times New Roman" w:hAnsi="Times New Roman" w:cs="Times New Roman"/>
          <w:sz w:val="24"/>
          <w:szCs w:val="24"/>
          <w:lang w:val="en-GB"/>
        </w:rPr>
        <w:t xml:space="preserve"> </w:t>
      </w:r>
      <w:r w:rsidRPr="003D3EBE">
        <w:rPr>
          <w:rFonts w:ascii="Times New Roman" w:hAnsi="Times New Roman" w:cs="Times New Roman"/>
          <w:sz w:val="24"/>
          <w:szCs w:val="24"/>
          <w:lang w:val="en-GB"/>
        </w:rPr>
        <w:t>Mexican Law Review</w:t>
      </w:r>
      <w:r>
        <w:rPr>
          <w:rFonts w:ascii="Times New Roman" w:hAnsi="Times New Roman" w:cs="Times New Roman"/>
          <w:sz w:val="24"/>
          <w:szCs w:val="24"/>
          <w:lang w:val="en-GB"/>
        </w:rPr>
        <w:t xml:space="preserve"> 7(2), </w:t>
      </w:r>
      <w:r w:rsidRPr="003D3EBE">
        <w:rPr>
          <w:rFonts w:ascii="Times New Roman" w:hAnsi="Times New Roman" w:cs="Times New Roman"/>
          <w:sz w:val="24"/>
          <w:szCs w:val="24"/>
          <w:lang w:val="en-GB"/>
        </w:rPr>
        <w:t>115-133</w:t>
      </w:r>
      <w:r>
        <w:rPr>
          <w:rFonts w:ascii="Times New Roman" w:hAnsi="Times New Roman" w:cs="Times New Roman"/>
          <w:sz w:val="24"/>
          <w:szCs w:val="24"/>
          <w:lang w:val="en-GB"/>
        </w:rPr>
        <w:t>.</w:t>
      </w:r>
    </w:p>
    <w:p w14:paraId="40A46877" w14:textId="320AE672" w:rsidR="00B45D33" w:rsidRDefault="00B45D33" w:rsidP="00B45D33">
      <w:pPr>
        <w:rPr>
          <w:rFonts w:ascii="Times New Roman" w:hAnsi="Times New Roman" w:cs="Times New Roman"/>
          <w:sz w:val="24"/>
          <w:szCs w:val="24"/>
          <w:lang w:val="en-GB"/>
        </w:rPr>
      </w:pPr>
      <w:r>
        <w:rPr>
          <w:rFonts w:ascii="Times New Roman" w:hAnsi="Times New Roman" w:cs="Times New Roman"/>
          <w:sz w:val="24"/>
          <w:szCs w:val="24"/>
          <w:lang w:val="en-GB"/>
        </w:rPr>
        <w:t xml:space="preserve">Zoller, Elisabeth (1984), Peacetime unilateral remedies: an analysis of counter measures, </w:t>
      </w:r>
    </w:p>
    <w:p w14:paraId="67377203" w14:textId="6DCC84CE" w:rsidR="00B45D33" w:rsidRDefault="00B45D33" w:rsidP="00B45D33">
      <w:pPr>
        <w:rPr>
          <w:rFonts w:ascii="Times New Roman" w:hAnsi="Times New Roman" w:cs="Times New Roman"/>
          <w:sz w:val="24"/>
          <w:szCs w:val="24"/>
          <w:lang w:val="en-GB"/>
        </w:rPr>
      </w:pPr>
      <w:r>
        <w:rPr>
          <w:rFonts w:ascii="Times New Roman" w:hAnsi="Times New Roman" w:cs="Times New Roman"/>
          <w:sz w:val="24"/>
          <w:szCs w:val="24"/>
          <w:lang w:val="en-GB"/>
        </w:rPr>
        <w:t xml:space="preserve">Zoller, Elisabeth (1985), Enforcing international law through U.S. legislation, </w:t>
      </w:r>
      <w:r w:rsidRPr="00B45D33">
        <w:rPr>
          <w:rFonts w:ascii="Times New Roman" w:hAnsi="Times New Roman" w:cs="Times New Roman"/>
          <w:sz w:val="24"/>
          <w:szCs w:val="24"/>
          <w:lang w:val="en-GB"/>
        </w:rPr>
        <w:t>73-78 (1985).</w:t>
      </w:r>
    </w:p>
    <w:p w14:paraId="2B15E625" w14:textId="77777777" w:rsidR="00A529D5" w:rsidRPr="00E01316" w:rsidRDefault="00A529D5" w:rsidP="009212C6">
      <w:pPr>
        <w:spacing w:after="0" w:line="240" w:lineRule="auto"/>
        <w:jc w:val="both"/>
        <w:rPr>
          <w:sz w:val="24"/>
          <w:szCs w:val="24"/>
          <w:lang w:val="en-GB"/>
        </w:rPr>
      </w:pPr>
    </w:p>
    <w:sectPr w:rsidR="00A529D5" w:rsidRPr="00E0131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64EE" w14:textId="77777777" w:rsidR="00555F1E" w:rsidRDefault="00555F1E" w:rsidP="00A71B1B">
      <w:pPr>
        <w:spacing w:after="0" w:line="240" w:lineRule="auto"/>
      </w:pPr>
      <w:r>
        <w:separator/>
      </w:r>
    </w:p>
  </w:endnote>
  <w:endnote w:type="continuationSeparator" w:id="0">
    <w:p w14:paraId="33545E91" w14:textId="77777777" w:rsidR="00555F1E" w:rsidRDefault="00555F1E" w:rsidP="00A7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MU Sans Serif">
    <w:altName w:val="Calibri"/>
    <w:charset w:val="EE"/>
    <w:family w:val="auto"/>
    <w:pitch w:val="variable"/>
    <w:sig w:usb0="E10002FF" w:usb1="5201E9EB" w:usb2="00020004" w:usb3="00000000" w:csb0="000001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38205654"/>
      <w:docPartObj>
        <w:docPartGallery w:val="Page Numbers (Bottom of Page)"/>
        <w:docPartUnique/>
      </w:docPartObj>
    </w:sdtPr>
    <w:sdtContent>
      <w:p w14:paraId="3F3F2813" w14:textId="5A11BE77" w:rsidR="007C7FCB" w:rsidRPr="00A71B1B" w:rsidRDefault="007C7FCB" w:rsidP="00A71B1B">
        <w:pPr>
          <w:pStyle w:val="Noga"/>
          <w:jc w:val="center"/>
          <w:rPr>
            <w:sz w:val="24"/>
            <w:szCs w:val="24"/>
          </w:rPr>
        </w:pPr>
        <w:r w:rsidRPr="00A71B1B">
          <w:rPr>
            <w:sz w:val="24"/>
            <w:szCs w:val="24"/>
          </w:rPr>
          <w:fldChar w:fldCharType="begin"/>
        </w:r>
        <w:r w:rsidRPr="00A71B1B">
          <w:rPr>
            <w:sz w:val="24"/>
            <w:szCs w:val="24"/>
          </w:rPr>
          <w:instrText>PAGE   \* MERGEFORMAT</w:instrText>
        </w:r>
        <w:r w:rsidRPr="00A71B1B">
          <w:rPr>
            <w:sz w:val="24"/>
            <w:szCs w:val="24"/>
          </w:rPr>
          <w:fldChar w:fldCharType="separate"/>
        </w:r>
        <w:r w:rsidRPr="00A71B1B">
          <w:rPr>
            <w:sz w:val="24"/>
            <w:szCs w:val="24"/>
            <w:lang w:val="da-DK"/>
          </w:rPr>
          <w:t>2</w:t>
        </w:r>
        <w:r w:rsidRPr="00A71B1B">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F2D7A" w14:textId="77777777" w:rsidR="00555F1E" w:rsidRDefault="00555F1E" w:rsidP="00A71B1B">
      <w:pPr>
        <w:spacing w:after="0" w:line="240" w:lineRule="auto"/>
      </w:pPr>
      <w:r>
        <w:separator/>
      </w:r>
    </w:p>
  </w:footnote>
  <w:footnote w:type="continuationSeparator" w:id="0">
    <w:p w14:paraId="7478BF7C" w14:textId="77777777" w:rsidR="00555F1E" w:rsidRDefault="00555F1E" w:rsidP="00A71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4E5"/>
    <w:multiLevelType w:val="multilevel"/>
    <w:tmpl w:val="AC4205D6"/>
    <w:lvl w:ilvl="0">
      <w:start w:val="3"/>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8B06DF9"/>
    <w:multiLevelType w:val="multilevel"/>
    <w:tmpl w:val="91C602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4FE39AD"/>
    <w:multiLevelType w:val="multilevel"/>
    <w:tmpl w:val="BF38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5826450">
    <w:abstractNumId w:val="2"/>
  </w:num>
  <w:num w:numId="2" w16cid:durableId="828400113">
    <w:abstractNumId w:val="1"/>
  </w:num>
  <w:num w:numId="3" w16cid:durableId="45209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F7"/>
    <w:rsid w:val="000066B6"/>
    <w:rsid w:val="00051270"/>
    <w:rsid w:val="00073521"/>
    <w:rsid w:val="000D0F59"/>
    <w:rsid w:val="00151305"/>
    <w:rsid w:val="00185094"/>
    <w:rsid w:val="00186D9B"/>
    <w:rsid w:val="002613EC"/>
    <w:rsid w:val="00287520"/>
    <w:rsid w:val="002B186A"/>
    <w:rsid w:val="00302EA9"/>
    <w:rsid w:val="003212C7"/>
    <w:rsid w:val="00336F63"/>
    <w:rsid w:val="00372793"/>
    <w:rsid w:val="003D3EBE"/>
    <w:rsid w:val="003E09CF"/>
    <w:rsid w:val="003F7064"/>
    <w:rsid w:val="00482761"/>
    <w:rsid w:val="0049327C"/>
    <w:rsid w:val="004E274D"/>
    <w:rsid w:val="005201B8"/>
    <w:rsid w:val="00555F1E"/>
    <w:rsid w:val="00563C09"/>
    <w:rsid w:val="00567107"/>
    <w:rsid w:val="005F7D68"/>
    <w:rsid w:val="0060630D"/>
    <w:rsid w:val="00615E5E"/>
    <w:rsid w:val="00674672"/>
    <w:rsid w:val="00674EEA"/>
    <w:rsid w:val="006A33C0"/>
    <w:rsid w:val="007C7FCB"/>
    <w:rsid w:val="00813416"/>
    <w:rsid w:val="008139F7"/>
    <w:rsid w:val="00850B9E"/>
    <w:rsid w:val="008D6037"/>
    <w:rsid w:val="008E2B7B"/>
    <w:rsid w:val="009212C6"/>
    <w:rsid w:val="00967C12"/>
    <w:rsid w:val="0099217A"/>
    <w:rsid w:val="009C39E4"/>
    <w:rsid w:val="00A04731"/>
    <w:rsid w:val="00A40D74"/>
    <w:rsid w:val="00A529D5"/>
    <w:rsid w:val="00A71B1B"/>
    <w:rsid w:val="00AA2004"/>
    <w:rsid w:val="00AD1C1E"/>
    <w:rsid w:val="00AD2A73"/>
    <w:rsid w:val="00AE64B3"/>
    <w:rsid w:val="00B45D33"/>
    <w:rsid w:val="00B476EA"/>
    <w:rsid w:val="00B97570"/>
    <w:rsid w:val="00BE1012"/>
    <w:rsid w:val="00BE52DC"/>
    <w:rsid w:val="00BF50FA"/>
    <w:rsid w:val="00C0026F"/>
    <w:rsid w:val="00C20CDB"/>
    <w:rsid w:val="00C83594"/>
    <w:rsid w:val="00CB252B"/>
    <w:rsid w:val="00CC79AD"/>
    <w:rsid w:val="00DC0B77"/>
    <w:rsid w:val="00E01316"/>
    <w:rsid w:val="00E41314"/>
    <w:rsid w:val="00E73AD1"/>
    <w:rsid w:val="00E844A4"/>
    <w:rsid w:val="00EE7C47"/>
    <w:rsid w:val="00EF754D"/>
    <w:rsid w:val="00F60EFF"/>
    <w:rsid w:val="00F97F52"/>
    <w:rsid w:val="00FA1892"/>
    <w:rsid w:val="00FB7E8A"/>
    <w:rsid w:val="00FF69A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C0C7D"/>
  <w15:chartTrackingRefBased/>
  <w15:docId w15:val="{52A76141-0B82-4DD1-8BB2-F7F523B1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MU Sans Serif" w:eastAsiaTheme="minorHAnsi" w:hAnsi="CMU Sans Serif" w:cs="CMU Sans Serif"/>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1">
    <w:name w:val="heading 1"/>
    <w:basedOn w:val="Navaden"/>
    <w:next w:val="Navaden"/>
    <w:link w:val="Naslov1Znak"/>
    <w:uiPriority w:val="9"/>
    <w:qFormat/>
    <w:rsid w:val="00967C12"/>
    <w:pPr>
      <w:keepNext/>
      <w:keepLines/>
      <w:spacing w:before="240" w:after="0"/>
      <w:outlineLvl w:val="0"/>
    </w:pPr>
    <w:rPr>
      <w:rFonts w:asciiTheme="majorHAnsi" w:eastAsiaTheme="majorEastAsia" w:hAnsiTheme="majorHAnsi" w:cstheme="majorBidi"/>
      <w:color w:val="2F5496" w:themeColor="accent1" w:themeShade="BF"/>
      <w:sz w:val="32"/>
      <w:szCs w:val="32"/>
      <w:lang w:val="da-DK"/>
    </w:rPr>
  </w:style>
  <w:style w:type="paragraph" w:styleId="Naslov2">
    <w:name w:val="heading 2"/>
    <w:basedOn w:val="Navaden"/>
    <w:next w:val="Navaden"/>
    <w:link w:val="Naslov2Znak"/>
    <w:uiPriority w:val="9"/>
    <w:unhideWhenUsed/>
    <w:qFormat/>
    <w:rsid w:val="00563C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1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74EEA"/>
    <w:rPr>
      <w:color w:val="808080"/>
    </w:rPr>
  </w:style>
  <w:style w:type="character" w:customStyle="1" w:styleId="Naslov1Znak">
    <w:name w:val="Naslov 1 Znak"/>
    <w:basedOn w:val="Privzetapisavaodstavka"/>
    <w:link w:val="Naslov1"/>
    <w:uiPriority w:val="9"/>
    <w:rsid w:val="00967C12"/>
    <w:rPr>
      <w:rFonts w:asciiTheme="majorHAnsi" w:eastAsiaTheme="majorEastAsia" w:hAnsiTheme="majorHAnsi" w:cstheme="majorBidi"/>
      <w:color w:val="2F5496" w:themeColor="accent1" w:themeShade="BF"/>
      <w:sz w:val="32"/>
      <w:szCs w:val="32"/>
      <w:lang w:val="da-DK"/>
    </w:rPr>
  </w:style>
  <w:style w:type="paragraph" w:styleId="NaslovTOC">
    <w:name w:val="TOC Heading"/>
    <w:basedOn w:val="Naslov1"/>
    <w:next w:val="Navaden"/>
    <w:uiPriority w:val="39"/>
    <w:unhideWhenUsed/>
    <w:qFormat/>
    <w:rsid w:val="00563C09"/>
    <w:pPr>
      <w:outlineLvl w:val="9"/>
    </w:pPr>
    <w:rPr>
      <w:lang w:val="en-US"/>
    </w:rPr>
  </w:style>
  <w:style w:type="paragraph" w:styleId="Kazalovsebine1">
    <w:name w:val="toc 1"/>
    <w:basedOn w:val="Navaden"/>
    <w:next w:val="Navaden"/>
    <w:autoRedefine/>
    <w:uiPriority w:val="39"/>
    <w:unhideWhenUsed/>
    <w:rsid w:val="00563C09"/>
    <w:pPr>
      <w:spacing w:after="100"/>
    </w:pPr>
  </w:style>
  <w:style w:type="character" w:styleId="Hiperpovezava">
    <w:name w:val="Hyperlink"/>
    <w:basedOn w:val="Privzetapisavaodstavka"/>
    <w:uiPriority w:val="99"/>
    <w:unhideWhenUsed/>
    <w:rsid w:val="00563C09"/>
    <w:rPr>
      <w:color w:val="0563C1" w:themeColor="hyperlink"/>
      <w:u w:val="single"/>
    </w:rPr>
  </w:style>
  <w:style w:type="character" w:customStyle="1" w:styleId="Naslov2Znak">
    <w:name w:val="Naslov 2 Znak"/>
    <w:basedOn w:val="Privzetapisavaodstavka"/>
    <w:link w:val="Naslov2"/>
    <w:uiPriority w:val="9"/>
    <w:rsid w:val="00563C09"/>
    <w:rPr>
      <w:rFonts w:asciiTheme="majorHAnsi" w:eastAsiaTheme="majorEastAsia" w:hAnsiTheme="majorHAnsi" w:cstheme="majorBidi"/>
      <w:color w:val="2F5496" w:themeColor="accent1" w:themeShade="BF"/>
      <w:sz w:val="26"/>
      <w:szCs w:val="26"/>
      <w:lang w:val="sl-SI"/>
    </w:rPr>
  </w:style>
  <w:style w:type="paragraph" w:styleId="Glava">
    <w:name w:val="header"/>
    <w:basedOn w:val="Navaden"/>
    <w:link w:val="GlavaZnak"/>
    <w:uiPriority w:val="99"/>
    <w:unhideWhenUsed/>
    <w:rsid w:val="00A71B1B"/>
    <w:pPr>
      <w:tabs>
        <w:tab w:val="center" w:pos="4513"/>
        <w:tab w:val="right" w:pos="9026"/>
      </w:tabs>
      <w:spacing w:after="0" w:line="240" w:lineRule="auto"/>
    </w:pPr>
  </w:style>
  <w:style w:type="character" w:customStyle="1" w:styleId="GlavaZnak">
    <w:name w:val="Glava Znak"/>
    <w:basedOn w:val="Privzetapisavaodstavka"/>
    <w:link w:val="Glava"/>
    <w:uiPriority w:val="99"/>
    <w:rsid w:val="00A71B1B"/>
    <w:rPr>
      <w:lang w:val="sl-SI"/>
    </w:rPr>
  </w:style>
  <w:style w:type="paragraph" w:styleId="Noga">
    <w:name w:val="footer"/>
    <w:basedOn w:val="Navaden"/>
    <w:link w:val="NogaZnak"/>
    <w:uiPriority w:val="99"/>
    <w:unhideWhenUsed/>
    <w:rsid w:val="00A71B1B"/>
    <w:pPr>
      <w:tabs>
        <w:tab w:val="center" w:pos="4513"/>
        <w:tab w:val="right" w:pos="9026"/>
      </w:tabs>
      <w:spacing w:after="0" w:line="240" w:lineRule="auto"/>
    </w:pPr>
  </w:style>
  <w:style w:type="character" w:customStyle="1" w:styleId="NogaZnak">
    <w:name w:val="Noga Znak"/>
    <w:basedOn w:val="Privzetapisavaodstavka"/>
    <w:link w:val="Noga"/>
    <w:uiPriority w:val="99"/>
    <w:rsid w:val="00A71B1B"/>
    <w:rPr>
      <w:lang w:val="sl-SI"/>
    </w:rPr>
  </w:style>
  <w:style w:type="paragraph" w:styleId="Kazalovsebine2">
    <w:name w:val="toc 2"/>
    <w:basedOn w:val="Navaden"/>
    <w:next w:val="Navaden"/>
    <w:autoRedefine/>
    <w:uiPriority w:val="39"/>
    <w:unhideWhenUsed/>
    <w:rsid w:val="00674672"/>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398885">
      <w:bodyDiv w:val="1"/>
      <w:marLeft w:val="0"/>
      <w:marRight w:val="0"/>
      <w:marTop w:val="0"/>
      <w:marBottom w:val="0"/>
      <w:divBdr>
        <w:top w:val="none" w:sz="0" w:space="0" w:color="auto"/>
        <w:left w:val="none" w:sz="0" w:space="0" w:color="auto"/>
        <w:bottom w:val="none" w:sz="0" w:space="0" w:color="auto"/>
        <w:right w:val="none" w:sz="0" w:space="0" w:color="auto"/>
      </w:divBdr>
    </w:div>
    <w:div w:id="1568495168">
      <w:bodyDiv w:val="1"/>
      <w:marLeft w:val="0"/>
      <w:marRight w:val="0"/>
      <w:marTop w:val="0"/>
      <w:marBottom w:val="0"/>
      <w:divBdr>
        <w:top w:val="none" w:sz="0" w:space="0" w:color="auto"/>
        <w:left w:val="none" w:sz="0" w:space="0" w:color="auto"/>
        <w:bottom w:val="none" w:sz="0" w:space="0" w:color="auto"/>
        <w:right w:val="none" w:sz="0" w:space="0" w:color="auto"/>
      </w:divBdr>
    </w:div>
    <w:div w:id="164130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i.dothan@jur.ku.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k.spruk@ef.uni-lj.si" TargetMode="External"/><Relationship Id="rId4" Type="http://schemas.openxmlformats.org/officeDocument/2006/relationships/settings" Target="settings.xml"/><Relationship Id="rId9" Type="http://schemas.openxmlformats.org/officeDocument/2006/relationships/hyperlink" Target="mailto:mitja.kovac@ef.uni-lj.s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C6137-73A6-498B-A4E5-6AF9C137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10965</Words>
  <Characters>62502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Spruk, Rok</dc:creator>
  <cp:keywords/>
  <dc:description/>
  <cp:lastModifiedBy>Kovač, Mitja</cp:lastModifiedBy>
  <cp:revision>2</cp:revision>
  <dcterms:created xsi:type="dcterms:W3CDTF">2026-01-13T17:09:00Z</dcterms:created>
  <dcterms:modified xsi:type="dcterms:W3CDTF">2026-01-13T17:09:00Z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GrammarlyDocumentId">
    <vt:lpwstr>3eace096-b1e5-46e0-bb8b-3b7263498ce0</vt:lpwstr>
  </property>
</Properties>
</file>