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B573E" w14:textId="5345A3E5" w:rsidR="006854F7" w:rsidRPr="00136E31" w:rsidRDefault="00136E31" w:rsidP="00DC7958">
      <w:pPr>
        <w:tabs>
          <w:tab w:val="left" w:pos="990"/>
        </w:tabs>
        <w:ind w:left="990" w:hanging="990"/>
        <w:jc w:val="both"/>
        <w:rPr>
          <w:rFonts w:asciiTheme="minorHAnsi" w:hAnsiTheme="minorHAnsi"/>
          <w:b/>
          <w:bCs/>
        </w:rPr>
      </w:pPr>
      <w:r w:rsidRPr="005B6874">
        <w:rPr>
          <w:rFonts w:asciiTheme="minorHAnsi" w:hAnsiTheme="minorHAnsi"/>
          <w:i/>
          <w:iCs/>
        </w:rPr>
        <w:t>Title:</w:t>
      </w:r>
      <w:r w:rsidRPr="00136E31">
        <w:rPr>
          <w:rFonts w:asciiTheme="minorHAnsi" w:hAnsiTheme="minorHAnsi"/>
        </w:rPr>
        <w:t xml:space="preserve"> </w:t>
      </w:r>
      <w:r w:rsidRPr="00136E31">
        <w:rPr>
          <w:rFonts w:asciiTheme="minorHAnsi" w:hAnsiTheme="minorHAnsi"/>
        </w:rPr>
        <w:tab/>
      </w:r>
      <w:r w:rsidRPr="00136E31">
        <w:rPr>
          <w:rFonts w:asciiTheme="minorHAnsi" w:hAnsiTheme="minorHAnsi"/>
          <w:b/>
          <w:bCs/>
        </w:rPr>
        <w:t xml:space="preserve">Between Evolution and Efficiency: </w:t>
      </w:r>
      <w:r w:rsidR="003B3559">
        <w:rPr>
          <w:rFonts w:asciiTheme="minorHAnsi" w:hAnsiTheme="minorHAnsi"/>
          <w:b/>
          <w:bCs/>
        </w:rPr>
        <w:br/>
      </w:r>
      <w:r w:rsidRPr="00136E31">
        <w:rPr>
          <w:rFonts w:asciiTheme="minorHAnsi" w:hAnsiTheme="minorHAnsi"/>
          <w:b/>
          <w:bCs/>
        </w:rPr>
        <w:t>Belonging, Non-Verbal Communication, and Organizational Design</w:t>
      </w:r>
    </w:p>
    <w:p w14:paraId="5EF5950E" w14:textId="77777777" w:rsidR="00136E31" w:rsidRPr="00136E31" w:rsidRDefault="00136E31" w:rsidP="00DC7958">
      <w:pPr>
        <w:tabs>
          <w:tab w:val="left" w:pos="990"/>
        </w:tabs>
        <w:jc w:val="both"/>
        <w:rPr>
          <w:rFonts w:asciiTheme="minorHAnsi" w:hAnsiTheme="minorHAnsi"/>
        </w:rPr>
      </w:pPr>
    </w:p>
    <w:p w14:paraId="3079FB7A" w14:textId="481D35D7" w:rsidR="00136E31" w:rsidRPr="00136E31" w:rsidRDefault="00136E31" w:rsidP="00DC7958">
      <w:pPr>
        <w:tabs>
          <w:tab w:val="left" w:pos="990"/>
        </w:tabs>
        <w:jc w:val="both"/>
        <w:rPr>
          <w:rFonts w:asciiTheme="minorHAnsi" w:hAnsiTheme="minorHAnsi"/>
        </w:rPr>
      </w:pPr>
      <w:r w:rsidRPr="005B6874">
        <w:rPr>
          <w:rFonts w:asciiTheme="minorHAnsi" w:hAnsiTheme="minorHAnsi"/>
          <w:i/>
          <w:iCs/>
        </w:rPr>
        <w:t>Author</w:t>
      </w:r>
      <w:r w:rsidR="005B6874">
        <w:rPr>
          <w:rFonts w:asciiTheme="minorHAnsi" w:hAnsiTheme="minorHAnsi"/>
        </w:rPr>
        <w:t>:</w:t>
      </w:r>
      <w:r w:rsidRPr="00136E31">
        <w:rPr>
          <w:rFonts w:asciiTheme="minorHAnsi" w:hAnsiTheme="minorHAnsi"/>
        </w:rPr>
        <w:tab/>
        <w:t>Karen Bernhardt-Walther, York University, Department of Economics</w:t>
      </w:r>
    </w:p>
    <w:p w14:paraId="18E644FB" w14:textId="77777777" w:rsidR="00136E31" w:rsidRPr="00136E31" w:rsidRDefault="00136E31" w:rsidP="00DC7958">
      <w:pPr>
        <w:jc w:val="both"/>
        <w:rPr>
          <w:rFonts w:asciiTheme="minorHAnsi" w:hAnsiTheme="minorHAnsi"/>
        </w:rPr>
      </w:pPr>
    </w:p>
    <w:p w14:paraId="3CC57F25" w14:textId="25F1224C" w:rsidR="00136E31" w:rsidRPr="005B6874" w:rsidRDefault="00136E31" w:rsidP="00DC7958">
      <w:pPr>
        <w:jc w:val="both"/>
        <w:rPr>
          <w:rFonts w:asciiTheme="minorHAnsi" w:hAnsiTheme="minorHAnsi"/>
          <w:i/>
          <w:iCs/>
        </w:rPr>
      </w:pPr>
      <w:r w:rsidRPr="005B6874">
        <w:rPr>
          <w:rFonts w:asciiTheme="minorHAnsi" w:hAnsiTheme="minorHAnsi"/>
          <w:i/>
          <w:iCs/>
        </w:rPr>
        <w:t>Abstract:</w:t>
      </w:r>
    </w:p>
    <w:p w14:paraId="54A59B97" w14:textId="17A0E403" w:rsidR="00136E31" w:rsidRPr="00136E31" w:rsidRDefault="00136E31" w:rsidP="00DC7958">
      <w:pPr>
        <w:jc w:val="both"/>
        <w:rPr>
          <w:rFonts w:asciiTheme="minorHAnsi" w:hAnsiTheme="minorHAnsi"/>
        </w:rPr>
      </w:pPr>
      <w:r w:rsidRPr="00136E31">
        <w:rPr>
          <w:rFonts w:asciiTheme="minorHAnsi" w:hAnsiTheme="minorHAnsi"/>
        </w:rPr>
        <w:t>Organizations are typically modeled as efficiency-seeking structures that rely on monitoring, specialization, and incentives to align individual behavior with organizational objectives. Yet across many modern organizations</w:t>
      </w:r>
      <w:r w:rsidR="005B6874">
        <w:rPr>
          <w:rFonts w:asciiTheme="minorHAnsi" w:hAnsiTheme="minorHAnsi"/>
        </w:rPr>
        <w:t xml:space="preserve"> – </w:t>
      </w:r>
      <w:r w:rsidRPr="00136E31">
        <w:rPr>
          <w:rFonts w:asciiTheme="minorHAnsi" w:hAnsiTheme="minorHAnsi"/>
        </w:rPr>
        <w:t>particularly</w:t>
      </w:r>
      <w:r w:rsidR="005B6874">
        <w:rPr>
          <w:rFonts w:asciiTheme="minorHAnsi" w:hAnsiTheme="minorHAnsi"/>
        </w:rPr>
        <w:t xml:space="preserve"> </w:t>
      </w:r>
      <w:r w:rsidRPr="00136E31">
        <w:rPr>
          <w:rFonts w:asciiTheme="minorHAnsi" w:hAnsiTheme="minorHAnsi"/>
        </w:rPr>
        <w:t>those reliant on judgment, creativity, and coordination</w:t>
      </w:r>
      <w:r w:rsidR="005B6874">
        <w:rPr>
          <w:rFonts w:asciiTheme="minorHAnsi" w:hAnsiTheme="minorHAnsi"/>
        </w:rPr>
        <w:t xml:space="preserve"> – </w:t>
      </w:r>
      <w:r w:rsidRPr="00136E31">
        <w:rPr>
          <w:rFonts w:asciiTheme="minorHAnsi" w:hAnsiTheme="minorHAnsi"/>
        </w:rPr>
        <w:t>these</w:t>
      </w:r>
      <w:r w:rsidR="005B6874">
        <w:rPr>
          <w:rFonts w:asciiTheme="minorHAnsi" w:hAnsiTheme="minorHAnsi"/>
        </w:rPr>
        <w:t xml:space="preserve"> </w:t>
      </w:r>
      <w:r w:rsidRPr="00136E31">
        <w:rPr>
          <w:rFonts w:asciiTheme="minorHAnsi" w:hAnsiTheme="minorHAnsi"/>
        </w:rPr>
        <w:t>tools often produce systematically weaker performance than standard models predict. I argue that such failures reflect predictable interactions between organizational design choices and evolved features of human cognition and motivation.</w:t>
      </w:r>
    </w:p>
    <w:p w14:paraId="251697BD" w14:textId="77777777" w:rsidR="00136E31" w:rsidRPr="00136E31" w:rsidRDefault="00136E31" w:rsidP="00DC7958">
      <w:pPr>
        <w:jc w:val="both"/>
        <w:rPr>
          <w:rFonts w:asciiTheme="minorHAnsi" w:hAnsiTheme="minorHAnsi"/>
        </w:rPr>
      </w:pPr>
    </w:p>
    <w:p w14:paraId="704EDC46" w14:textId="77777777" w:rsidR="00136E31" w:rsidRPr="00136E31" w:rsidRDefault="00136E31" w:rsidP="00DC7958">
      <w:pPr>
        <w:jc w:val="both"/>
        <w:rPr>
          <w:rFonts w:asciiTheme="minorHAnsi" w:hAnsiTheme="minorHAnsi"/>
        </w:rPr>
      </w:pPr>
      <w:r w:rsidRPr="00136E31">
        <w:rPr>
          <w:rFonts w:asciiTheme="minorHAnsi" w:hAnsiTheme="minorHAnsi"/>
        </w:rPr>
        <w:t>The framework highlights three mechanisms through which commonly used organizational instruments generate second-order effects. First, monitoring technologies that substitute for relational supervision can undermine trust and psychological safety, reducing performance in tasks that depend on discretionary effort or complex judgment. Second, extensive outsourcing and hyper-specialization can weaken group identity and belonging, diminishing motivation in ways not captured by standard incentive models. Third, high-powered incentives and scarcity-inducing environments can narrow attention and crowd out the higher-order cognitive processes many organizations increasingly rely on.</w:t>
      </w:r>
    </w:p>
    <w:p w14:paraId="5CF3AE1A" w14:textId="77777777" w:rsidR="00136E31" w:rsidRPr="00136E31" w:rsidRDefault="00136E31" w:rsidP="00DC7958">
      <w:pPr>
        <w:jc w:val="both"/>
        <w:rPr>
          <w:rFonts w:asciiTheme="minorHAnsi" w:hAnsiTheme="minorHAnsi"/>
        </w:rPr>
      </w:pPr>
    </w:p>
    <w:p w14:paraId="72933B67" w14:textId="4E652BED" w:rsidR="00136E31" w:rsidRDefault="005B6874" w:rsidP="00DC7958">
      <w:pPr>
        <w:jc w:val="both"/>
        <w:rPr>
          <w:rFonts w:asciiTheme="minorHAnsi" w:hAnsiTheme="minorHAnsi"/>
        </w:rPr>
      </w:pPr>
      <w:r w:rsidRPr="005B6874">
        <w:rPr>
          <w:rFonts w:asciiTheme="minorHAnsi" w:hAnsiTheme="minorHAnsi"/>
        </w:rPr>
        <w:t>Drawing on evidence from psychology, neuroscience, and behavioral economics, this work synthesizes these mechanisms into a unified perspective on monitoring regimes, task allocation, and organizational boundaries. The objective is to integrate cognitive and relational constraints into institutional and organizational economics, and to inform organizational designs that are not only efficient on paper, but robust to the human cognitive systems that inhabit them.</w:t>
      </w:r>
    </w:p>
    <w:p w14:paraId="43DC7472" w14:textId="77777777" w:rsidR="005B6874" w:rsidRPr="00136E31" w:rsidRDefault="005B6874" w:rsidP="00DC7958">
      <w:pPr>
        <w:jc w:val="both"/>
        <w:rPr>
          <w:rFonts w:asciiTheme="minorHAnsi" w:hAnsiTheme="minorHAnsi"/>
        </w:rPr>
      </w:pPr>
    </w:p>
    <w:p w14:paraId="48238ACD" w14:textId="77777777" w:rsidR="005B6874" w:rsidRPr="005B6874" w:rsidRDefault="00136E31" w:rsidP="00DC7958">
      <w:pPr>
        <w:jc w:val="both"/>
        <w:rPr>
          <w:rFonts w:asciiTheme="minorHAnsi" w:hAnsiTheme="minorHAnsi"/>
          <w:i/>
          <w:iCs/>
        </w:rPr>
      </w:pPr>
      <w:r w:rsidRPr="005B6874">
        <w:rPr>
          <w:rFonts w:asciiTheme="minorHAnsi" w:hAnsiTheme="minorHAnsi"/>
          <w:i/>
          <w:iCs/>
        </w:rPr>
        <w:t>Note on Contribution:</w:t>
      </w:r>
    </w:p>
    <w:p w14:paraId="581302FE" w14:textId="1690B284" w:rsidR="00136E31" w:rsidRPr="00136E31" w:rsidRDefault="00136E31" w:rsidP="00DC7958">
      <w:pPr>
        <w:jc w:val="both"/>
        <w:rPr>
          <w:rFonts w:asciiTheme="minorHAnsi" w:hAnsiTheme="minorHAnsi"/>
        </w:rPr>
      </w:pPr>
      <w:r w:rsidRPr="00136E31">
        <w:rPr>
          <w:rFonts w:asciiTheme="minorHAnsi" w:hAnsiTheme="minorHAnsi"/>
        </w:rPr>
        <w:t xml:space="preserve">This is a conceptual, framework-building presentation that synthesizes evidence from psychology, neuroscience, and behavioral economics and proposes an agenda of testable hypotheses for organizational economics, particularly around monitoring, incentives, and task allocation. The goal is to organize </w:t>
      </w:r>
      <w:proofErr w:type="spellStart"/>
      <w:r w:rsidRPr="00136E31">
        <w:rPr>
          <w:rFonts w:asciiTheme="minorHAnsi" w:hAnsiTheme="minorHAnsi"/>
        </w:rPr>
        <w:t>microfoundations</w:t>
      </w:r>
      <w:proofErr w:type="spellEnd"/>
      <w:r w:rsidRPr="00136E31">
        <w:rPr>
          <w:rFonts w:asciiTheme="minorHAnsi" w:hAnsiTheme="minorHAnsi"/>
        </w:rPr>
        <w:t xml:space="preserve"> of human cognition and motivation into an accessible framework that helps contextualize observed second-order effects of commonly used organizational instruments and inform future field and lab-in-the-field work.</w:t>
      </w:r>
    </w:p>
    <w:sectPr w:rsidR="00136E31" w:rsidRPr="00136E31" w:rsidSect="005B6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C4F65"/>
    <w:multiLevelType w:val="multilevel"/>
    <w:tmpl w:val="16D2B5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82546417">
    <w:abstractNumId w:val="0"/>
  </w:num>
  <w:num w:numId="2" w16cid:durableId="119677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31"/>
    <w:rsid w:val="000A60A8"/>
    <w:rsid w:val="0010125D"/>
    <w:rsid w:val="00133319"/>
    <w:rsid w:val="00136E31"/>
    <w:rsid w:val="001E6406"/>
    <w:rsid w:val="00220636"/>
    <w:rsid w:val="00267C52"/>
    <w:rsid w:val="003B3559"/>
    <w:rsid w:val="005644FF"/>
    <w:rsid w:val="005B6874"/>
    <w:rsid w:val="005E63DE"/>
    <w:rsid w:val="006854F7"/>
    <w:rsid w:val="00753AE1"/>
    <w:rsid w:val="007A4EF6"/>
    <w:rsid w:val="00812E87"/>
    <w:rsid w:val="00912C41"/>
    <w:rsid w:val="00933D43"/>
    <w:rsid w:val="00B05159"/>
    <w:rsid w:val="00B70722"/>
    <w:rsid w:val="00BE1608"/>
    <w:rsid w:val="00D05861"/>
    <w:rsid w:val="00D25002"/>
    <w:rsid w:val="00DC7958"/>
    <w:rsid w:val="00E4672F"/>
    <w:rsid w:val="00E70F3D"/>
    <w:rsid w:val="00F3350F"/>
    <w:rsid w:val="00F41960"/>
    <w:rsid w:val="00FC6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CC685"/>
  <w15:chartTrackingRefBased/>
  <w15:docId w15:val="{9EB47C8C-DB28-4A92-8C37-F2B20289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002"/>
    <w:pPr>
      <w:spacing w:after="0" w:line="276" w:lineRule="auto"/>
    </w:pPr>
    <w:rPr>
      <w:rFonts w:ascii="calib" w:eastAsiaTheme="minorEastAsia" w:hAnsi="calib"/>
      <w:kern w:val="0"/>
      <w:sz w:val="24"/>
      <w:szCs w:val="24"/>
      <w14:ligatures w14:val="none"/>
    </w:rPr>
  </w:style>
  <w:style w:type="paragraph" w:styleId="Heading1">
    <w:name w:val="heading 1"/>
    <w:basedOn w:val="Normal"/>
    <w:next w:val="Normal"/>
    <w:link w:val="Heading1Char"/>
    <w:uiPriority w:val="9"/>
    <w:qFormat/>
    <w:rsid w:val="00136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E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E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36E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36E3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36E3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36E3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36E3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E31"/>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136E31"/>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136E31"/>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136E31"/>
    <w:rPr>
      <w:rFonts w:eastAsiaTheme="majorEastAsia" w:cstheme="majorBidi"/>
      <w:i/>
      <w:iCs/>
      <w:color w:val="0F4761" w:themeColor="accent1" w:themeShade="BF"/>
      <w:kern w:val="0"/>
      <w:sz w:val="24"/>
      <w:szCs w:val="24"/>
      <w14:ligatures w14:val="none"/>
    </w:rPr>
  </w:style>
  <w:style w:type="character" w:customStyle="1" w:styleId="Heading5Char">
    <w:name w:val="Heading 5 Char"/>
    <w:basedOn w:val="DefaultParagraphFont"/>
    <w:link w:val="Heading5"/>
    <w:uiPriority w:val="9"/>
    <w:semiHidden/>
    <w:rsid w:val="00136E31"/>
    <w:rPr>
      <w:rFonts w:eastAsiaTheme="majorEastAsia" w:cstheme="majorBidi"/>
      <w:color w:val="0F4761" w:themeColor="accent1" w:themeShade="BF"/>
      <w:kern w:val="0"/>
      <w:sz w:val="24"/>
      <w:szCs w:val="24"/>
      <w14:ligatures w14:val="none"/>
    </w:rPr>
  </w:style>
  <w:style w:type="character" w:customStyle="1" w:styleId="Heading6Char">
    <w:name w:val="Heading 6 Char"/>
    <w:basedOn w:val="DefaultParagraphFont"/>
    <w:link w:val="Heading6"/>
    <w:uiPriority w:val="9"/>
    <w:semiHidden/>
    <w:rsid w:val="00136E31"/>
    <w:rPr>
      <w:rFonts w:eastAsiaTheme="majorEastAsia"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uiPriority w:val="9"/>
    <w:semiHidden/>
    <w:rsid w:val="00136E31"/>
    <w:rPr>
      <w:rFonts w:eastAsiaTheme="majorEastAsia" w:cstheme="majorBidi"/>
      <w:color w:val="595959" w:themeColor="text1" w:themeTint="A6"/>
      <w:kern w:val="0"/>
      <w:sz w:val="24"/>
      <w:szCs w:val="24"/>
      <w14:ligatures w14:val="none"/>
    </w:rPr>
  </w:style>
  <w:style w:type="character" w:customStyle="1" w:styleId="Heading8Char">
    <w:name w:val="Heading 8 Char"/>
    <w:basedOn w:val="DefaultParagraphFont"/>
    <w:link w:val="Heading8"/>
    <w:uiPriority w:val="9"/>
    <w:semiHidden/>
    <w:rsid w:val="00136E31"/>
    <w:rPr>
      <w:rFonts w:eastAsiaTheme="majorEastAsia"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uiPriority w:val="9"/>
    <w:semiHidden/>
    <w:rsid w:val="00136E31"/>
    <w:rPr>
      <w:rFonts w:eastAsiaTheme="majorEastAsia" w:cstheme="majorBidi"/>
      <w:color w:val="272727" w:themeColor="text1" w:themeTint="D8"/>
      <w:kern w:val="0"/>
      <w:sz w:val="24"/>
      <w:szCs w:val="24"/>
      <w14:ligatures w14:val="none"/>
    </w:rPr>
  </w:style>
  <w:style w:type="paragraph" w:styleId="Title">
    <w:name w:val="Title"/>
    <w:basedOn w:val="Normal"/>
    <w:next w:val="Normal"/>
    <w:link w:val="TitleChar"/>
    <w:uiPriority w:val="10"/>
    <w:qFormat/>
    <w:rsid w:val="00136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E3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36E3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E31"/>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36E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6E31"/>
    <w:rPr>
      <w:rFonts w:ascii="calib" w:eastAsiaTheme="minorEastAsia" w:hAnsi="calib"/>
      <w:i/>
      <w:iCs/>
      <w:color w:val="404040" w:themeColor="text1" w:themeTint="BF"/>
      <w:kern w:val="0"/>
      <w:sz w:val="24"/>
      <w:szCs w:val="24"/>
      <w14:ligatures w14:val="none"/>
    </w:rPr>
  </w:style>
  <w:style w:type="paragraph" w:styleId="ListParagraph">
    <w:name w:val="List Paragraph"/>
    <w:basedOn w:val="Normal"/>
    <w:uiPriority w:val="34"/>
    <w:qFormat/>
    <w:rsid w:val="00136E31"/>
    <w:pPr>
      <w:ind w:left="720"/>
      <w:contextualSpacing/>
    </w:pPr>
  </w:style>
  <w:style w:type="character" w:styleId="IntenseEmphasis">
    <w:name w:val="Intense Emphasis"/>
    <w:basedOn w:val="DefaultParagraphFont"/>
    <w:uiPriority w:val="21"/>
    <w:qFormat/>
    <w:rsid w:val="00136E31"/>
    <w:rPr>
      <w:i/>
      <w:iCs/>
      <w:color w:val="0F4761" w:themeColor="accent1" w:themeShade="BF"/>
    </w:rPr>
  </w:style>
  <w:style w:type="paragraph" w:styleId="IntenseQuote">
    <w:name w:val="Intense Quote"/>
    <w:basedOn w:val="Normal"/>
    <w:next w:val="Normal"/>
    <w:link w:val="IntenseQuoteChar"/>
    <w:uiPriority w:val="30"/>
    <w:qFormat/>
    <w:rsid w:val="00136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E31"/>
    <w:rPr>
      <w:rFonts w:ascii="calib" w:eastAsiaTheme="minorEastAsia" w:hAnsi="calib"/>
      <w:i/>
      <w:iCs/>
      <w:color w:val="0F4761" w:themeColor="accent1" w:themeShade="BF"/>
      <w:kern w:val="0"/>
      <w:sz w:val="24"/>
      <w:szCs w:val="24"/>
      <w14:ligatures w14:val="none"/>
    </w:rPr>
  </w:style>
  <w:style w:type="character" w:styleId="IntenseReference">
    <w:name w:val="Intense Reference"/>
    <w:basedOn w:val="DefaultParagraphFont"/>
    <w:uiPriority w:val="32"/>
    <w:qFormat/>
    <w:rsid w:val="00136E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363</Words>
  <Characters>2075</Characters>
  <Application>Microsoft Office Word</Application>
  <DocSecurity>0</DocSecurity>
  <Lines>159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Bernhardt-Walther</dc:creator>
  <cp:keywords/>
  <dc:description/>
  <cp:lastModifiedBy>Karen Bernhardt-Walther</cp:lastModifiedBy>
  <cp:revision>2</cp:revision>
  <dcterms:created xsi:type="dcterms:W3CDTF">2026-01-15T20:40:00Z</dcterms:created>
  <dcterms:modified xsi:type="dcterms:W3CDTF">2026-01-15T21:02:00Z</dcterms:modified>
</cp:coreProperties>
</file>