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E2810" w14:textId="77777777" w:rsidR="005363A6" w:rsidRDefault="005363A6" w:rsidP="00F11CDD">
      <w:pPr>
        <w:spacing w:line="480" w:lineRule="auto"/>
        <w:jc w:val="center"/>
        <w:rPr>
          <w:b/>
          <w:color w:val="000000" w:themeColor="text1"/>
          <w:sz w:val="28"/>
          <w:szCs w:val="28"/>
          <w:lang w:val="en-GB"/>
        </w:rPr>
      </w:pPr>
      <w:r w:rsidRPr="00F11CDD">
        <w:rPr>
          <w:b/>
          <w:color w:val="000000" w:themeColor="text1"/>
          <w:sz w:val="28"/>
          <w:szCs w:val="28"/>
          <w:lang w:val="en-GB"/>
        </w:rPr>
        <w:t>Entitlements</w:t>
      </w:r>
      <w:r w:rsidR="00FF7F7E"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E43579">
        <w:rPr>
          <w:b/>
          <w:color w:val="000000" w:themeColor="text1"/>
          <w:sz w:val="28"/>
          <w:szCs w:val="28"/>
          <w:lang w:val="en-GB"/>
        </w:rPr>
        <w:t xml:space="preserve">and </w:t>
      </w:r>
      <w:r w:rsidR="008B61E5">
        <w:rPr>
          <w:b/>
          <w:color w:val="000000" w:themeColor="text1"/>
          <w:sz w:val="28"/>
          <w:szCs w:val="28"/>
          <w:lang w:val="en-GB"/>
        </w:rPr>
        <w:t>I</w:t>
      </w:r>
      <w:r w:rsidR="002C6DE0">
        <w:rPr>
          <w:b/>
          <w:color w:val="000000" w:themeColor="text1"/>
          <w:sz w:val="28"/>
          <w:szCs w:val="28"/>
          <w:lang w:val="en-GB"/>
        </w:rPr>
        <w:t>ntangible</w:t>
      </w:r>
      <w:r w:rsidR="00447608"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E43579">
        <w:rPr>
          <w:b/>
          <w:color w:val="000000" w:themeColor="text1"/>
          <w:sz w:val="28"/>
          <w:szCs w:val="28"/>
          <w:lang w:val="en-GB"/>
        </w:rPr>
        <w:t>Assets</w:t>
      </w:r>
    </w:p>
    <w:p w14:paraId="5EA3DDAE" w14:textId="28B3FF80" w:rsidR="00C35516" w:rsidRPr="00C35516" w:rsidRDefault="00C35516" w:rsidP="00F11CDD">
      <w:pPr>
        <w:spacing w:line="480" w:lineRule="auto"/>
        <w:jc w:val="center"/>
        <w:rPr>
          <w:color w:val="000000" w:themeColor="text1"/>
          <w:sz w:val="28"/>
          <w:szCs w:val="28"/>
          <w:lang w:val="en-GB"/>
        </w:rPr>
      </w:pPr>
      <w:r w:rsidRPr="00C35516">
        <w:rPr>
          <w:color w:val="000000" w:themeColor="text1"/>
          <w:sz w:val="28"/>
          <w:szCs w:val="28"/>
          <w:lang w:val="en-GB"/>
        </w:rPr>
        <w:t>Stefanos Mouzas</w:t>
      </w:r>
      <w:r w:rsidR="0020490E">
        <w:rPr>
          <w:rStyle w:val="FootnoteReference"/>
          <w:color w:val="000000" w:themeColor="text1"/>
          <w:sz w:val="28"/>
          <w:szCs w:val="28"/>
          <w:lang w:val="en-GB"/>
        </w:rPr>
        <w:footnoteReference w:id="1"/>
      </w:r>
    </w:p>
    <w:p w14:paraId="323EF5C5" w14:textId="2DDDDC25" w:rsidR="000A68D1" w:rsidRDefault="001E7EAB" w:rsidP="001E4B64">
      <w:pPr>
        <w:spacing w:line="480" w:lineRule="auto"/>
        <w:rPr>
          <w:color w:val="000000" w:themeColor="text1"/>
        </w:rPr>
      </w:pPr>
      <w:r>
        <w:rPr>
          <w:color w:val="000000" w:themeColor="text1"/>
          <w:lang w:eastAsia="en-GB"/>
        </w:rPr>
        <w:t>The idea of e</w:t>
      </w:r>
      <w:r w:rsidR="008C2BD0">
        <w:rPr>
          <w:color w:val="000000" w:themeColor="text1"/>
          <w:lang w:eastAsia="en-GB"/>
        </w:rPr>
        <w:t xml:space="preserve">ntitlements </w:t>
      </w:r>
      <w:r w:rsidR="002B5C76">
        <w:rPr>
          <w:bCs/>
          <w:color w:val="000000" w:themeColor="text1"/>
          <w:lang w:val="en-GB"/>
        </w:rPr>
        <w:t>offer</w:t>
      </w:r>
      <w:r>
        <w:rPr>
          <w:bCs/>
          <w:color w:val="000000" w:themeColor="text1"/>
          <w:lang w:val="en-GB"/>
        </w:rPr>
        <w:t>s</w:t>
      </w:r>
      <w:r w:rsidR="002B5C76">
        <w:rPr>
          <w:bCs/>
          <w:color w:val="000000" w:themeColor="text1"/>
          <w:lang w:val="en-GB"/>
        </w:rPr>
        <w:t xml:space="preserve"> a theoretical lens that </w:t>
      </w:r>
      <w:r w:rsidR="002B5C76" w:rsidRPr="00A94802">
        <w:rPr>
          <w:bCs/>
          <w:color w:val="000000" w:themeColor="text1"/>
          <w:lang w:val="en-GB"/>
        </w:rPr>
        <w:t>establish</w:t>
      </w:r>
      <w:r w:rsidR="008C2BD0">
        <w:rPr>
          <w:bCs/>
          <w:color w:val="000000" w:themeColor="text1"/>
          <w:lang w:val="en-GB"/>
        </w:rPr>
        <w:t>es</w:t>
      </w:r>
      <w:r w:rsidR="002B5C76" w:rsidRPr="00A94802">
        <w:rPr>
          <w:bCs/>
          <w:color w:val="000000" w:themeColor="text1"/>
          <w:lang w:val="en-GB"/>
        </w:rPr>
        <w:t xml:space="preserve"> a connection between actors and </w:t>
      </w:r>
      <w:r w:rsidR="00E43579">
        <w:rPr>
          <w:bCs/>
          <w:color w:val="000000" w:themeColor="text1"/>
          <w:lang w:val="en-GB"/>
        </w:rPr>
        <w:t>assets</w:t>
      </w:r>
      <w:r>
        <w:rPr>
          <w:bCs/>
          <w:color w:val="000000" w:themeColor="text1"/>
          <w:lang w:val="en-GB"/>
        </w:rPr>
        <w:t xml:space="preserve">.  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Entitlements </w:t>
      </w:r>
      <w:r w:rsidR="008C2BD0">
        <w:rPr>
          <w:rFonts w:eastAsia="Times New Roman"/>
          <w:bCs/>
          <w:color w:val="000000" w:themeColor="text1"/>
          <w:shd w:val="clear" w:color="auto" w:fill="FFFFFF"/>
        </w:rPr>
        <w:t>to int</w:t>
      </w:r>
      <w:r w:rsidR="009D5639">
        <w:rPr>
          <w:rFonts w:eastAsia="Times New Roman"/>
          <w:bCs/>
          <w:color w:val="000000" w:themeColor="text1"/>
          <w:shd w:val="clear" w:color="auto" w:fill="FFFFFF"/>
        </w:rPr>
        <w:t>angible assets</w:t>
      </w:r>
      <w:r w:rsidR="008C2BD0">
        <w:rPr>
          <w:rFonts w:eastAsia="Times New Roman"/>
          <w:bCs/>
          <w:color w:val="000000" w:themeColor="text1"/>
          <w:shd w:val="clear" w:color="auto" w:fill="FFFFFF"/>
        </w:rPr>
        <w:t xml:space="preserve"> may 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include </w:t>
      </w:r>
      <w:r w:rsidR="009D5639" w:rsidRPr="00AB28AC">
        <w:rPr>
          <w:rFonts w:eastAsia="Times New Roman"/>
          <w:bCs/>
          <w:i/>
          <w:iCs/>
          <w:color w:val="000000" w:themeColor="text1"/>
          <w:shd w:val="clear" w:color="auto" w:fill="FFFFFF"/>
        </w:rPr>
        <w:t>market-based assets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e.g. </w:t>
      </w:r>
      <w:r w:rsidR="009D5639" w:rsidRPr="00AB28AC">
        <w:rPr>
          <w:color w:val="000000" w:themeColor="text1"/>
          <w:shd w:val="clear" w:color="auto" w:fill="FFFFFF"/>
        </w:rPr>
        <w:t>brands</w:t>
      </w:r>
      <w:r w:rsidR="009D5639">
        <w:rPr>
          <w:color w:val="000000" w:themeColor="text1"/>
          <w:shd w:val="clear" w:color="auto" w:fill="FFFFFF"/>
        </w:rPr>
        <w:t>,</w:t>
      </w:r>
      <w:r w:rsidR="009D5639" w:rsidRPr="00AB28AC">
        <w:rPr>
          <w:color w:val="000000" w:themeColor="text1"/>
          <w:shd w:val="clear" w:color="auto" w:fill="FFFFFF"/>
        </w:rPr>
        <w:t xml:space="preserve"> channel relationships</w:t>
      </w:r>
      <w:r w:rsidR="009D5639">
        <w:rPr>
          <w:color w:val="000000" w:themeColor="text1"/>
          <w:shd w:val="clear" w:color="auto" w:fill="FFFFFF"/>
        </w:rPr>
        <w:t xml:space="preserve"> and reputations</w:t>
      </w:r>
      <w:r w:rsidR="009D5639">
        <w:rPr>
          <w:rFonts w:eastAsia="Times New Roman"/>
          <w:bCs/>
          <w:color w:val="000000" w:themeColor="text1"/>
          <w:shd w:val="clear" w:color="auto" w:fill="FFFFFF"/>
        </w:rPr>
        <w:t>,</w:t>
      </w:r>
      <w:r w:rsidR="009D5639" w:rsidRPr="00AB28AC">
        <w:rPr>
          <w:color w:val="000000" w:themeColor="text1"/>
          <w:shd w:val="clear" w:color="auto" w:fill="FFFFFF"/>
        </w:rPr>
        <w:t xml:space="preserve"> </w:t>
      </w:r>
      <w:r w:rsidR="009D5639">
        <w:rPr>
          <w:color w:val="000000" w:themeColor="text1"/>
          <w:shd w:val="clear" w:color="auto" w:fill="FFFFFF"/>
        </w:rPr>
        <w:t xml:space="preserve">as well as </w:t>
      </w:r>
      <w:r w:rsidR="009D5639" w:rsidRPr="00AB28AC">
        <w:rPr>
          <w:rFonts w:eastAsia="Times New Roman"/>
          <w:bCs/>
          <w:i/>
          <w:iCs/>
          <w:color w:val="000000" w:themeColor="text1"/>
          <w:shd w:val="clear" w:color="auto" w:fill="FFFFFF"/>
        </w:rPr>
        <w:t>knowledge-based resources</w:t>
      </w:r>
      <w:r w:rsidR="009D5639">
        <w:rPr>
          <w:rFonts w:eastAsia="Times New Roman"/>
          <w:bCs/>
          <w:i/>
          <w:iCs/>
          <w:color w:val="000000" w:themeColor="text1"/>
          <w:shd w:val="clear" w:color="auto" w:fill="FFFFFF"/>
        </w:rPr>
        <w:t>,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</w:t>
      </w:r>
      <w:r w:rsidR="009D5639">
        <w:rPr>
          <w:rFonts w:eastAsia="Times New Roman"/>
          <w:bCs/>
          <w:color w:val="000000" w:themeColor="text1"/>
          <w:shd w:val="clear" w:color="auto" w:fill="FFFFFF"/>
        </w:rPr>
        <w:t>e.g.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intellectual property, know-how, </w:t>
      </w:r>
      <w:r w:rsidR="008C2BD0">
        <w:rPr>
          <w:rFonts w:eastAsia="Times New Roman"/>
          <w:bCs/>
          <w:color w:val="000000" w:themeColor="text1"/>
          <w:shd w:val="clear" w:color="auto" w:fill="FFFFFF"/>
        </w:rPr>
        <w:t>or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information</w:t>
      </w:r>
      <w:r w:rsidR="008C2BD0">
        <w:rPr>
          <w:rFonts w:eastAsia="Times New Roman"/>
          <w:bCs/>
          <w:color w:val="000000" w:themeColor="text1"/>
          <w:shd w:val="clear" w:color="auto" w:fill="FFFFFF"/>
        </w:rPr>
        <w:t xml:space="preserve">. 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Some of these </w:t>
      </w:r>
      <w:r w:rsidR="008C2BD0">
        <w:rPr>
          <w:rFonts w:eastAsia="Times New Roman"/>
          <w:bCs/>
          <w:color w:val="000000" w:themeColor="text1"/>
          <w:shd w:val="clear" w:color="auto" w:fill="FFFFFF"/>
        </w:rPr>
        <w:t>intangibles</w:t>
      </w:r>
      <w:r w:rsidR="009D5639">
        <w:rPr>
          <w:rFonts w:eastAsia="Times New Roman"/>
          <w:bCs/>
          <w:color w:val="000000" w:themeColor="text1"/>
          <w:shd w:val="clear" w:color="auto" w:fill="FFFFFF"/>
        </w:rPr>
        <w:t>,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</w:t>
      </w:r>
      <w:r w:rsidR="009D5639">
        <w:rPr>
          <w:rFonts w:eastAsia="Times New Roman"/>
          <w:bCs/>
          <w:color w:val="000000" w:themeColor="text1"/>
          <w:shd w:val="clear" w:color="auto" w:fill="FFFFFF"/>
        </w:rPr>
        <w:t>e.g.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</w:t>
      </w:r>
      <w:r w:rsidR="009D5639" w:rsidRPr="008F593B">
        <w:rPr>
          <w:rFonts w:eastAsia="Times New Roman"/>
          <w:bCs/>
          <w:i/>
          <w:color w:val="000000" w:themeColor="text1"/>
          <w:shd w:val="clear" w:color="auto" w:fill="FFFFFF"/>
        </w:rPr>
        <w:t>knowledge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or </w:t>
      </w:r>
      <w:r w:rsidR="009D5639" w:rsidRPr="008F593B">
        <w:rPr>
          <w:rFonts w:eastAsia="Times New Roman"/>
          <w:bCs/>
          <w:i/>
          <w:color w:val="000000" w:themeColor="text1"/>
          <w:shd w:val="clear" w:color="auto" w:fill="FFFFFF"/>
        </w:rPr>
        <w:t>design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, may be seen by actors as ‘non-rival </w:t>
      </w:r>
      <w:proofErr w:type="gramStart"/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>goods’</w:t>
      </w:r>
      <w:proofErr w:type="gramEnd"/>
      <w:r w:rsidR="008C2BD0" w:rsidRPr="00AB28AC">
        <w:rPr>
          <w:rFonts w:eastAsia="Times New Roman"/>
          <w:bCs/>
          <w:color w:val="000000" w:themeColor="text1"/>
          <w:shd w:val="clear" w:color="auto" w:fill="FFFFFF"/>
        </w:rPr>
        <w:t>.</w:t>
      </w:r>
      <w:r w:rsidR="009D5639" w:rsidRPr="00AB28AC">
        <w:rPr>
          <w:rFonts w:eastAsia="Times New Roman"/>
          <w:bCs/>
          <w:color w:val="000000" w:themeColor="text1"/>
          <w:shd w:val="clear" w:color="auto" w:fill="FFFFFF"/>
        </w:rPr>
        <w:t xml:space="preserve"> </w:t>
      </w:r>
      <w:r w:rsidR="00F11CDD">
        <w:rPr>
          <w:rFonts w:eastAsia="Times New Roman"/>
          <w:bCs/>
          <w:color w:val="000000" w:themeColor="text1"/>
          <w:shd w:val="clear" w:color="auto" w:fill="FFFFFF"/>
        </w:rPr>
        <w:t xml:space="preserve">Firms and individuals </w:t>
      </w:r>
      <w:r w:rsidR="009D5639">
        <w:rPr>
          <w:rFonts w:eastAsia="Times New Roman"/>
          <w:bCs/>
          <w:color w:val="000000" w:themeColor="text1"/>
          <w:shd w:val="clear" w:color="auto" w:fill="FFFFFF"/>
        </w:rPr>
        <w:t>bring e</w:t>
      </w:r>
      <w:r w:rsidR="009D5639" w:rsidRPr="00AB28AC">
        <w:rPr>
          <w:color w:val="000000" w:themeColor="text1"/>
        </w:rPr>
        <w:t xml:space="preserve">ntitlements </w:t>
      </w:r>
      <w:r w:rsidR="009D5639">
        <w:rPr>
          <w:color w:val="000000" w:themeColor="text1"/>
        </w:rPr>
        <w:t xml:space="preserve">into their exchange relationships with others </w:t>
      </w:r>
      <w:r w:rsidR="009D5639" w:rsidRPr="00AB28AC">
        <w:rPr>
          <w:color w:val="000000" w:themeColor="text1"/>
        </w:rPr>
        <w:t>in various forms</w:t>
      </w:r>
      <w:r w:rsidR="00F11CDD">
        <w:rPr>
          <w:color w:val="000000" w:themeColor="text1"/>
        </w:rPr>
        <w:t>.</w:t>
      </w:r>
      <w:r w:rsidR="0060550C">
        <w:rPr>
          <w:color w:val="000000" w:themeColor="text1"/>
        </w:rPr>
        <w:t xml:space="preserve"> </w:t>
      </w:r>
      <w:r w:rsidR="00F11CDD" w:rsidRPr="00AB28AC">
        <w:rPr>
          <w:color w:val="000000" w:themeColor="text1"/>
        </w:rPr>
        <w:t xml:space="preserve">In the </w:t>
      </w:r>
      <w:proofErr w:type="spellStart"/>
      <w:r w:rsidR="00F11CDD" w:rsidRPr="00AB28AC">
        <w:rPr>
          <w:color w:val="000000" w:themeColor="text1"/>
        </w:rPr>
        <w:t>Hohfeldian</w:t>
      </w:r>
      <w:proofErr w:type="spellEnd"/>
      <w:r w:rsidR="00F11CDD" w:rsidRPr="00AB28AC">
        <w:rPr>
          <w:color w:val="000000" w:themeColor="text1"/>
        </w:rPr>
        <w:t xml:space="preserve"> framework of entitlements</w:t>
      </w:r>
      <w:r w:rsidR="00156844">
        <w:rPr>
          <w:color w:val="000000" w:themeColor="text1"/>
        </w:rPr>
        <w:t xml:space="preserve"> </w:t>
      </w:r>
      <w:r w:rsidR="00156844" w:rsidRPr="00AB28AC">
        <w:rPr>
          <w:color w:val="000000" w:themeColor="text1"/>
        </w:rPr>
        <w:t xml:space="preserve">as </w:t>
      </w:r>
      <w:r w:rsidR="00156844" w:rsidRPr="00AB28AC">
        <w:rPr>
          <w:i/>
          <w:iCs/>
          <w:color w:val="000000" w:themeColor="text1"/>
        </w:rPr>
        <w:t>rights</w:t>
      </w:r>
      <w:r w:rsidR="00156844" w:rsidRPr="00AB28AC">
        <w:rPr>
          <w:color w:val="000000" w:themeColor="text1"/>
        </w:rPr>
        <w:t xml:space="preserve">, </w:t>
      </w:r>
      <w:r w:rsidR="00156844" w:rsidRPr="00AB28AC">
        <w:rPr>
          <w:i/>
          <w:iCs/>
          <w:color w:val="000000" w:themeColor="text1"/>
        </w:rPr>
        <w:t>privileges</w:t>
      </w:r>
      <w:r w:rsidR="00156844" w:rsidRPr="00AB28AC">
        <w:rPr>
          <w:color w:val="000000" w:themeColor="text1"/>
        </w:rPr>
        <w:t xml:space="preserve">, </w:t>
      </w:r>
      <w:r w:rsidR="00156844" w:rsidRPr="00AB28AC">
        <w:rPr>
          <w:i/>
          <w:iCs/>
          <w:color w:val="000000" w:themeColor="text1"/>
        </w:rPr>
        <w:t>powers</w:t>
      </w:r>
      <w:r w:rsidR="00156844" w:rsidRPr="00AB28AC">
        <w:rPr>
          <w:color w:val="000000" w:themeColor="text1"/>
        </w:rPr>
        <w:t xml:space="preserve"> and </w:t>
      </w:r>
      <w:r w:rsidR="00156844" w:rsidRPr="00AB28AC">
        <w:rPr>
          <w:i/>
          <w:iCs/>
          <w:color w:val="000000" w:themeColor="text1"/>
        </w:rPr>
        <w:t>immunitie</w:t>
      </w:r>
      <w:r w:rsidR="00156844" w:rsidRPr="00AB28AC">
        <w:rPr>
          <w:color w:val="000000" w:themeColor="text1"/>
        </w:rPr>
        <w:t>s</w:t>
      </w:r>
      <w:r w:rsidR="00F11CDD" w:rsidRPr="00AB28AC">
        <w:rPr>
          <w:color w:val="000000" w:themeColor="text1"/>
        </w:rPr>
        <w:t>, to have a right means that other</w:t>
      </w:r>
      <w:r w:rsidR="00F11CDD">
        <w:rPr>
          <w:color w:val="000000" w:themeColor="text1"/>
        </w:rPr>
        <w:t>s</w:t>
      </w:r>
      <w:r w:rsidR="00F11CDD" w:rsidRPr="00AB28AC">
        <w:rPr>
          <w:color w:val="000000" w:themeColor="text1"/>
        </w:rPr>
        <w:t xml:space="preserve"> have a corresponding duty. </w:t>
      </w:r>
      <w:r w:rsidR="001E4B64">
        <w:rPr>
          <w:color w:val="000000" w:themeColor="text1"/>
        </w:rPr>
        <w:t xml:space="preserve">Nowadays, </w:t>
      </w:r>
      <w:r w:rsidR="00344B51">
        <w:rPr>
          <w:iCs/>
          <w:color w:val="000000" w:themeColor="text1"/>
        </w:rPr>
        <w:t xml:space="preserve">there are calls for </w:t>
      </w:r>
      <w:r w:rsidR="00B86E08">
        <w:rPr>
          <w:iCs/>
          <w:color w:val="000000" w:themeColor="text1"/>
        </w:rPr>
        <w:t xml:space="preserve">an extension of </w:t>
      </w:r>
      <w:r w:rsidR="001E4B64">
        <w:rPr>
          <w:iCs/>
          <w:color w:val="000000" w:themeColor="text1"/>
        </w:rPr>
        <w:t xml:space="preserve">our theoretical </w:t>
      </w:r>
      <w:r w:rsidR="00344B51">
        <w:rPr>
          <w:iCs/>
          <w:color w:val="000000" w:themeColor="text1"/>
        </w:rPr>
        <w:t xml:space="preserve">framework </w:t>
      </w:r>
      <w:r w:rsidR="005C7A66" w:rsidRPr="005C7A66">
        <w:rPr>
          <w:iCs/>
          <w:color w:val="000000" w:themeColor="text1"/>
        </w:rPr>
        <w:t xml:space="preserve">to </w:t>
      </w:r>
      <w:r w:rsidR="00D602C2">
        <w:rPr>
          <w:iCs/>
          <w:color w:val="000000" w:themeColor="text1"/>
        </w:rPr>
        <w:t xml:space="preserve">incorporate the complexity of law </w:t>
      </w:r>
      <w:r w:rsidR="00E55992">
        <w:rPr>
          <w:iCs/>
          <w:color w:val="000000" w:themeColor="text1"/>
        </w:rPr>
        <w:t xml:space="preserve">and equity </w:t>
      </w:r>
      <w:r w:rsidR="008028EB">
        <w:rPr>
          <w:iCs/>
          <w:color w:val="000000" w:themeColor="text1"/>
        </w:rPr>
        <w:t>as institutional responses</w:t>
      </w:r>
      <w:r w:rsidR="005C7A66" w:rsidRPr="005C7A66">
        <w:rPr>
          <w:iCs/>
          <w:color w:val="000000" w:themeColor="text1"/>
        </w:rPr>
        <w:t>.</w:t>
      </w:r>
      <w:r w:rsidR="00344B51">
        <w:rPr>
          <w:iCs/>
          <w:color w:val="000000" w:themeColor="text1"/>
        </w:rPr>
        <w:t xml:space="preserve"> </w:t>
      </w:r>
      <w:r w:rsidR="0060550C" w:rsidRPr="005C7A66">
        <w:rPr>
          <w:iCs/>
          <w:color w:val="000000" w:themeColor="text1"/>
        </w:rPr>
        <w:t xml:space="preserve">Interestingly, scholarly work has </w:t>
      </w:r>
      <w:r w:rsidR="001E4B64">
        <w:rPr>
          <w:iCs/>
          <w:color w:val="000000" w:themeColor="text1"/>
        </w:rPr>
        <w:t xml:space="preserve">started to </w:t>
      </w:r>
      <w:r w:rsidR="0060550C" w:rsidRPr="005C7A66">
        <w:rPr>
          <w:iCs/>
          <w:color w:val="000000" w:themeColor="text1"/>
        </w:rPr>
        <w:t xml:space="preserve">expand the application of entitlements to </w:t>
      </w:r>
      <w:r w:rsidR="0060550C" w:rsidRPr="005C7A66">
        <w:rPr>
          <w:i/>
          <w:iCs/>
          <w:color w:val="000000" w:themeColor="text1"/>
        </w:rPr>
        <w:t>justice</w:t>
      </w:r>
      <w:r w:rsidR="0060550C" w:rsidRPr="005C7A66">
        <w:rPr>
          <w:iCs/>
          <w:color w:val="000000" w:themeColor="text1"/>
        </w:rPr>
        <w:t xml:space="preserve">, </w:t>
      </w:r>
      <w:r w:rsidR="0060550C" w:rsidRPr="005C7A66">
        <w:rPr>
          <w:i/>
          <w:iCs/>
          <w:color w:val="000000" w:themeColor="text1"/>
        </w:rPr>
        <w:t>fairness</w:t>
      </w:r>
      <w:r w:rsidR="008028EB">
        <w:rPr>
          <w:iCs/>
          <w:color w:val="000000" w:themeColor="text1"/>
        </w:rPr>
        <w:t xml:space="preserve">, </w:t>
      </w:r>
      <w:r w:rsidR="008028EB" w:rsidRPr="005C7A66">
        <w:rPr>
          <w:i/>
          <w:iCs/>
          <w:color w:val="000000" w:themeColor="text1"/>
        </w:rPr>
        <w:t>environmental goods</w:t>
      </w:r>
      <w:r w:rsidR="008028EB" w:rsidRPr="005C7A66">
        <w:rPr>
          <w:iCs/>
          <w:color w:val="000000" w:themeColor="text1"/>
        </w:rPr>
        <w:t xml:space="preserve">, </w:t>
      </w:r>
      <w:r w:rsidR="0060550C" w:rsidRPr="005C7A66">
        <w:rPr>
          <w:iCs/>
          <w:color w:val="000000" w:themeColor="text1"/>
        </w:rPr>
        <w:t xml:space="preserve">and </w:t>
      </w:r>
      <w:r w:rsidR="0060550C" w:rsidRPr="005C7A66">
        <w:rPr>
          <w:i/>
          <w:iCs/>
          <w:color w:val="000000" w:themeColor="text1"/>
        </w:rPr>
        <w:t>capabilities</w:t>
      </w:r>
      <w:r w:rsidR="0060550C" w:rsidRPr="005C7A66">
        <w:rPr>
          <w:iCs/>
          <w:color w:val="000000" w:themeColor="text1"/>
        </w:rPr>
        <w:t xml:space="preserve">. For example, </w:t>
      </w:r>
      <w:r w:rsidR="008028EB">
        <w:rPr>
          <w:iCs/>
          <w:color w:val="000000" w:themeColor="text1"/>
        </w:rPr>
        <w:t>c</w:t>
      </w:r>
      <w:r w:rsidR="0060550C" w:rsidRPr="005C7A66">
        <w:rPr>
          <w:iCs/>
          <w:color w:val="000000" w:themeColor="text1"/>
        </w:rPr>
        <w:t xml:space="preserve">ommunity standards of fairness </w:t>
      </w:r>
      <w:r w:rsidR="008028EB">
        <w:rPr>
          <w:iCs/>
          <w:color w:val="000000" w:themeColor="text1"/>
        </w:rPr>
        <w:t xml:space="preserve">can be considered as </w:t>
      </w:r>
      <w:r w:rsidR="0060550C" w:rsidRPr="008028EB">
        <w:rPr>
          <w:i/>
          <w:iCs/>
          <w:color w:val="000000" w:themeColor="text1"/>
        </w:rPr>
        <w:t>entitlements in the market</w:t>
      </w:r>
      <w:r w:rsidR="0060550C" w:rsidRPr="005C7A66">
        <w:rPr>
          <w:iCs/>
          <w:color w:val="000000" w:themeColor="text1"/>
        </w:rPr>
        <w:t xml:space="preserve">. </w:t>
      </w:r>
      <w:r w:rsidR="008028EB">
        <w:rPr>
          <w:iCs/>
          <w:color w:val="000000" w:themeColor="text1"/>
        </w:rPr>
        <w:t xml:space="preserve">Similarly, </w:t>
      </w:r>
      <w:r w:rsidR="008028EB" w:rsidRPr="005C7A66">
        <w:rPr>
          <w:iCs/>
          <w:color w:val="000000" w:themeColor="text1"/>
        </w:rPr>
        <w:t xml:space="preserve">individuals and organizations may be entitled to and claim </w:t>
      </w:r>
      <w:r w:rsidR="008028EB" w:rsidRPr="008028EB">
        <w:rPr>
          <w:i/>
          <w:iCs/>
          <w:color w:val="000000" w:themeColor="text1"/>
        </w:rPr>
        <w:t>environmental goods</w:t>
      </w:r>
      <w:r w:rsidR="008028EB" w:rsidRPr="005C7A66">
        <w:rPr>
          <w:iCs/>
          <w:color w:val="000000" w:themeColor="text1"/>
        </w:rPr>
        <w:t xml:space="preserve"> or services that are instrumental to their </w:t>
      </w:r>
      <w:r w:rsidR="008028EB" w:rsidRPr="008028EB">
        <w:rPr>
          <w:i/>
          <w:iCs/>
          <w:color w:val="000000" w:themeColor="text1"/>
        </w:rPr>
        <w:t>well-being</w:t>
      </w:r>
      <w:r w:rsidR="0060550C" w:rsidRPr="005C7A66">
        <w:rPr>
          <w:iCs/>
          <w:color w:val="000000" w:themeColor="text1"/>
        </w:rPr>
        <w:t>.</w:t>
      </w:r>
      <w:r w:rsidR="001E4B64">
        <w:rPr>
          <w:iCs/>
          <w:color w:val="000000" w:themeColor="text1"/>
        </w:rPr>
        <w:t xml:space="preserve"> </w:t>
      </w:r>
      <w:r w:rsidR="00854A63">
        <w:rPr>
          <w:iCs/>
          <w:color w:val="000000" w:themeColor="text1"/>
        </w:rPr>
        <w:t xml:space="preserve">This paper </w:t>
      </w:r>
      <w:r w:rsidR="00136402">
        <w:rPr>
          <w:iCs/>
          <w:color w:val="000000" w:themeColor="text1"/>
        </w:rPr>
        <w:t xml:space="preserve">takes </w:t>
      </w:r>
      <w:r w:rsidR="00854A63">
        <w:rPr>
          <w:iCs/>
          <w:color w:val="000000" w:themeColor="text1"/>
        </w:rPr>
        <w:t xml:space="preserve">entitlements </w:t>
      </w:r>
      <w:r w:rsidR="00136402">
        <w:rPr>
          <w:iCs/>
          <w:color w:val="000000" w:themeColor="text1"/>
        </w:rPr>
        <w:t xml:space="preserve">as intellectual lens </w:t>
      </w:r>
      <w:r w:rsidR="00854A63">
        <w:rPr>
          <w:iCs/>
          <w:color w:val="000000" w:themeColor="text1"/>
        </w:rPr>
        <w:t xml:space="preserve">to </w:t>
      </w:r>
      <w:r w:rsidR="000A68D1">
        <w:rPr>
          <w:iCs/>
          <w:color w:val="000000" w:themeColor="text1"/>
        </w:rPr>
        <w:t xml:space="preserve">investigate </w:t>
      </w:r>
      <w:r w:rsidR="00E43579">
        <w:rPr>
          <w:iCs/>
          <w:color w:val="000000" w:themeColor="text1"/>
        </w:rPr>
        <w:t xml:space="preserve">the use of </w:t>
      </w:r>
      <w:r w:rsidR="00136402">
        <w:rPr>
          <w:iCs/>
          <w:color w:val="000000" w:themeColor="text1"/>
        </w:rPr>
        <w:t xml:space="preserve">intangible </w:t>
      </w:r>
      <w:r w:rsidR="00E43579">
        <w:rPr>
          <w:iCs/>
          <w:color w:val="000000" w:themeColor="text1"/>
        </w:rPr>
        <w:t>assets</w:t>
      </w:r>
      <w:r w:rsidR="00136402">
        <w:rPr>
          <w:iCs/>
          <w:color w:val="000000" w:themeColor="text1"/>
        </w:rPr>
        <w:t xml:space="preserve"> </w:t>
      </w:r>
      <w:r w:rsidR="00FA2026">
        <w:rPr>
          <w:iCs/>
          <w:color w:val="000000" w:themeColor="text1"/>
        </w:rPr>
        <w:t xml:space="preserve">in the information age </w:t>
      </w:r>
      <w:r w:rsidR="00104DC5">
        <w:rPr>
          <w:iCs/>
          <w:color w:val="000000" w:themeColor="text1"/>
        </w:rPr>
        <w:t xml:space="preserve">and </w:t>
      </w:r>
      <w:r w:rsidR="00854A63" w:rsidRPr="00854A63">
        <w:rPr>
          <w:iCs/>
          <w:color w:val="000000" w:themeColor="text1"/>
        </w:rPr>
        <w:t>illustrate</w:t>
      </w:r>
      <w:r w:rsidR="00104DC5">
        <w:rPr>
          <w:iCs/>
          <w:color w:val="000000" w:themeColor="text1"/>
        </w:rPr>
        <w:t>s</w:t>
      </w:r>
      <w:r w:rsidR="00854A63" w:rsidRPr="00854A63">
        <w:rPr>
          <w:iCs/>
          <w:color w:val="000000" w:themeColor="text1"/>
        </w:rPr>
        <w:t xml:space="preserve"> the theoretical analysis with empirical evidence </w:t>
      </w:r>
      <w:r w:rsidR="000A68D1">
        <w:rPr>
          <w:iCs/>
          <w:color w:val="000000" w:themeColor="text1"/>
        </w:rPr>
        <w:t xml:space="preserve">of how </w:t>
      </w:r>
      <w:r w:rsidR="00E1538D">
        <w:rPr>
          <w:iCs/>
          <w:color w:val="000000" w:themeColor="text1"/>
        </w:rPr>
        <w:t xml:space="preserve">organizations </w:t>
      </w:r>
      <w:r w:rsidR="000A68D1">
        <w:rPr>
          <w:bCs/>
          <w:color w:val="000000" w:themeColor="text1"/>
          <w:lang w:val="en-GB"/>
        </w:rPr>
        <w:t>adapt and transform themsel</w:t>
      </w:r>
      <w:r w:rsidR="00E1538D">
        <w:rPr>
          <w:bCs/>
          <w:color w:val="000000" w:themeColor="text1"/>
          <w:lang w:val="en-GB"/>
        </w:rPr>
        <w:t>ves.</w:t>
      </w:r>
      <w:bookmarkStart w:id="0" w:name="_GoBack"/>
      <w:bookmarkEnd w:id="0"/>
    </w:p>
    <w:p w14:paraId="346757A4" w14:textId="77777777" w:rsidR="006A5990" w:rsidRPr="00136402" w:rsidRDefault="006A5990" w:rsidP="00673DB7">
      <w:pPr>
        <w:spacing w:after="0" w:line="360" w:lineRule="auto"/>
        <w:ind w:left="720" w:hanging="720"/>
        <w:rPr>
          <w:color w:val="000000" w:themeColor="text1"/>
        </w:rPr>
      </w:pPr>
    </w:p>
    <w:sectPr w:rsidR="006A5990" w:rsidRPr="00136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0CEF8" w14:textId="77777777" w:rsidR="00CB7418" w:rsidRDefault="00CB7418" w:rsidP="0020490E">
      <w:pPr>
        <w:spacing w:after="0" w:line="240" w:lineRule="auto"/>
      </w:pPr>
      <w:r>
        <w:separator/>
      </w:r>
    </w:p>
  </w:endnote>
  <w:endnote w:type="continuationSeparator" w:id="0">
    <w:p w14:paraId="1635B9B7" w14:textId="77777777" w:rsidR="00CB7418" w:rsidRDefault="00CB7418" w:rsidP="0020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C3DB" w14:textId="77777777" w:rsidR="00CB7418" w:rsidRDefault="00CB7418" w:rsidP="0020490E">
      <w:pPr>
        <w:spacing w:after="0" w:line="240" w:lineRule="auto"/>
      </w:pPr>
      <w:r>
        <w:separator/>
      </w:r>
    </w:p>
  </w:footnote>
  <w:footnote w:type="continuationSeparator" w:id="0">
    <w:p w14:paraId="04E51776" w14:textId="77777777" w:rsidR="00CB7418" w:rsidRDefault="00CB7418" w:rsidP="0020490E">
      <w:pPr>
        <w:spacing w:after="0" w:line="240" w:lineRule="auto"/>
      </w:pPr>
      <w:r>
        <w:continuationSeparator/>
      </w:r>
    </w:p>
  </w:footnote>
  <w:footnote w:id="1">
    <w:p w14:paraId="1C5D9CCE" w14:textId="27BD82CC" w:rsidR="0020490E" w:rsidRPr="0020490E" w:rsidRDefault="0020490E">
      <w:pPr>
        <w:pStyle w:val="FootnoteText"/>
      </w:pPr>
      <w:r w:rsidRPr="0020490E">
        <w:rPr>
          <w:rStyle w:val="FootnoteReference"/>
        </w:rPr>
        <w:footnoteRef/>
      </w:r>
      <w:r w:rsidRPr="0020490E">
        <w:t xml:space="preserve"> </w:t>
      </w:r>
      <w:r w:rsidR="00977B08">
        <w:t>Lancaster University M</w:t>
      </w:r>
      <w:r w:rsidRPr="0020490E">
        <w:rPr>
          <w:shd w:val="clear" w:color="auto" w:fill="FFFFFF"/>
        </w:rPr>
        <w:t>anagement School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A6"/>
    <w:rsid w:val="00005328"/>
    <w:rsid w:val="00053A66"/>
    <w:rsid w:val="00096EF0"/>
    <w:rsid w:val="000A68D1"/>
    <w:rsid w:val="00104DC5"/>
    <w:rsid w:val="00136402"/>
    <w:rsid w:val="00156844"/>
    <w:rsid w:val="00163B99"/>
    <w:rsid w:val="00191A69"/>
    <w:rsid w:val="001A6E76"/>
    <w:rsid w:val="001E4B64"/>
    <w:rsid w:val="001E7EAB"/>
    <w:rsid w:val="0020490E"/>
    <w:rsid w:val="002A55CF"/>
    <w:rsid w:val="002B5C76"/>
    <w:rsid w:val="002C6DE0"/>
    <w:rsid w:val="00344B51"/>
    <w:rsid w:val="00447608"/>
    <w:rsid w:val="00454144"/>
    <w:rsid w:val="0048071B"/>
    <w:rsid w:val="005363A6"/>
    <w:rsid w:val="00545FAE"/>
    <w:rsid w:val="005615BB"/>
    <w:rsid w:val="005C7A66"/>
    <w:rsid w:val="0060550C"/>
    <w:rsid w:val="006246F7"/>
    <w:rsid w:val="00673DB7"/>
    <w:rsid w:val="006A5990"/>
    <w:rsid w:val="00745C60"/>
    <w:rsid w:val="007C381F"/>
    <w:rsid w:val="007D1C36"/>
    <w:rsid w:val="008028EB"/>
    <w:rsid w:val="00854A63"/>
    <w:rsid w:val="008B61E5"/>
    <w:rsid w:val="008C2BD0"/>
    <w:rsid w:val="008F593B"/>
    <w:rsid w:val="0090696B"/>
    <w:rsid w:val="0091554C"/>
    <w:rsid w:val="0095545F"/>
    <w:rsid w:val="00977B08"/>
    <w:rsid w:val="009C0EF8"/>
    <w:rsid w:val="009D5639"/>
    <w:rsid w:val="00A600AD"/>
    <w:rsid w:val="00AF3949"/>
    <w:rsid w:val="00B86E08"/>
    <w:rsid w:val="00BC036A"/>
    <w:rsid w:val="00C35516"/>
    <w:rsid w:val="00CB7418"/>
    <w:rsid w:val="00CD337A"/>
    <w:rsid w:val="00CD55D2"/>
    <w:rsid w:val="00CF0D6E"/>
    <w:rsid w:val="00CF3187"/>
    <w:rsid w:val="00D602C2"/>
    <w:rsid w:val="00E1538D"/>
    <w:rsid w:val="00E43543"/>
    <w:rsid w:val="00E43579"/>
    <w:rsid w:val="00E55992"/>
    <w:rsid w:val="00F11CDD"/>
    <w:rsid w:val="00FA2026"/>
    <w:rsid w:val="00FD4C3B"/>
    <w:rsid w:val="00FE4BC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8345"/>
  <w15:chartTrackingRefBased/>
  <w15:docId w15:val="{A08DF354-0862-4C11-90AD-A288843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8D1"/>
    <w:pPr>
      <w:spacing w:after="200" w:line="27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DB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49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90E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04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1813-4044-4418-9975-515CC93C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1283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Mouzas, Stefanos</dc:creator>
  <cp:keywords/>
  <dc:description/>
  <cp:lastModifiedBy>Mouzas, Stefanos</cp:lastModifiedBy>
  <cp:revision>4</cp:revision>
  <dcterms:created xsi:type="dcterms:W3CDTF">2023-03-30T00:36:00Z</dcterms:created>
  <dcterms:modified xsi:type="dcterms:W3CDTF">2023-03-30T00:50:00Z</dcterms:modified>
</cp:coreProperties>
</file>