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14492A9" w14:textId="7A90F08A" w:rsidR="009D28E9" w:rsidRDefault="009D28E9" w:rsidP="00DD7EE6">
      <w:pPr>
        <w:spacing w:after="0"/>
        <w:jc w:val="center"/>
      </w:pPr>
      <w:r>
        <w:rPr>
          <w:b/>
        </w:rPr>
        <w:t xml:space="preserve">Estimating the Effects of Political Instability on Institutional Quality: Subnational Evidence from </w:t>
      </w:r>
      <w:r w:rsidR="003B1494">
        <w:rPr>
          <w:b/>
        </w:rPr>
        <w:t>Immature Democracy</w:t>
      </w:r>
      <w:r w:rsidR="00DD7EE6">
        <w:rPr>
          <w:rStyle w:val="Sprotnaopomba-sklic"/>
          <w:b/>
        </w:rPr>
        <w:footnoteReference w:id="1"/>
      </w:r>
    </w:p>
    <w:p w14:paraId="7EBB44F1" w14:textId="77777777" w:rsidR="009D28E9" w:rsidRDefault="009D28E9" w:rsidP="00455DCE">
      <w:pPr>
        <w:spacing w:after="0"/>
      </w:pPr>
    </w:p>
    <w:p w14:paraId="7150D2CD" w14:textId="77777777" w:rsidR="00DD7EE6" w:rsidRDefault="00DD7EE6" w:rsidP="00455DCE">
      <w:pPr>
        <w:spacing w:after="0"/>
      </w:pPr>
    </w:p>
    <w:p w14:paraId="44B3E90D" w14:textId="77777777" w:rsidR="00DD7EE6" w:rsidRDefault="00DD7EE6" w:rsidP="00455DCE">
      <w:pPr>
        <w:spacing w:after="0"/>
      </w:pPr>
    </w:p>
    <w:p w14:paraId="450064D3" w14:textId="77777777" w:rsidR="00DD7EE6" w:rsidRDefault="00DD7EE6" w:rsidP="00455DCE">
      <w:pPr>
        <w:spacing w:after="0"/>
      </w:pPr>
    </w:p>
    <w:p w14:paraId="3B28C8F8" w14:textId="77777777" w:rsidR="00DD7EE6" w:rsidRDefault="00DD7EE6" w:rsidP="00455DCE">
      <w:pPr>
        <w:spacing w:after="0"/>
      </w:pPr>
    </w:p>
    <w:p w14:paraId="26B2B587" w14:textId="77777777" w:rsidR="009D28E9" w:rsidRDefault="00DD7EE6" w:rsidP="00DD7EE6">
      <w:pPr>
        <w:spacing w:after="0"/>
        <w:jc w:val="center"/>
      </w:pPr>
      <w:r>
        <w:t>Thomas J. Emery</w:t>
      </w:r>
      <w:r>
        <w:tab/>
      </w:r>
      <w:r>
        <w:tab/>
        <w:t>Mitja Kovac</w:t>
      </w:r>
      <w:r>
        <w:tab/>
      </w:r>
      <w:r>
        <w:tab/>
      </w:r>
      <w:r>
        <w:tab/>
        <w:t>Rok Spruk</w:t>
      </w:r>
    </w:p>
    <w:p w14:paraId="30EAB0F2" w14:textId="77777777" w:rsidR="00DD7EE6" w:rsidRDefault="00DD7EE6" w:rsidP="00455DCE">
      <w:pPr>
        <w:spacing w:after="0"/>
      </w:pPr>
    </w:p>
    <w:p w14:paraId="3692F088" w14:textId="77777777" w:rsidR="00DD7EE6" w:rsidRDefault="00DD7EE6" w:rsidP="00455DCE">
      <w:pPr>
        <w:spacing w:after="0"/>
      </w:pPr>
    </w:p>
    <w:p w14:paraId="3E226939" w14:textId="77777777" w:rsidR="00DD7EE6" w:rsidRDefault="00DD7EE6" w:rsidP="00455DCE">
      <w:pPr>
        <w:spacing w:after="0"/>
      </w:pPr>
    </w:p>
    <w:p w14:paraId="492B850D" w14:textId="77777777" w:rsidR="00DD7EE6" w:rsidRPr="00DD7EE6" w:rsidRDefault="00DD7EE6" w:rsidP="00DD7EE6">
      <w:pPr>
        <w:spacing w:after="0"/>
        <w:jc w:val="center"/>
        <w:rPr>
          <w:b/>
        </w:rPr>
      </w:pPr>
      <w:r w:rsidRPr="00DD7EE6">
        <w:rPr>
          <w:b/>
        </w:rPr>
        <w:t>Abstract</w:t>
      </w:r>
    </w:p>
    <w:p w14:paraId="259C194B" w14:textId="77777777" w:rsidR="00DD7EE6" w:rsidRDefault="00DD7EE6" w:rsidP="00455DCE">
      <w:pPr>
        <w:spacing w:after="0"/>
      </w:pPr>
    </w:p>
    <w:p w14:paraId="7083165A" w14:textId="77777777" w:rsidR="009D28E9" w:rsidRPr="00DD7EE6" w:rsidRDefault="009D28E9" w:rsidP="00DD7EE6">
      <w:pPr>
        <w:spacing w:after="0"/>
        <w:ind w:left="567" w:right="567"/>
        <w:jc w:val="both"/>
        <w:rPr>
          <w:i/>
          <w:sz w:val="22"/>
        </w:rPr>
      </w:pPr>
      <w:r w:rsidRPr="00DD7EE6">
        <w:rPr>
          <w:i/>
          <w:sz w:val="22"/>
        </w:rPr>
        <w:t xml:space="preserve">In this paper, we revisit and examine the effect of political instability on institutional quality. To this end, we exploit the crackdown of government cabinet in 2008 that led to almost two decades of pervasive political instability using the unique case of </w:t>
      </w:r>
      <w:proofErr w:type="gramStart"/>
      <w:r w:rsidRPr="00DD7EE6">
        <w:rPr>
          <w:i/>
          <w:sz w:val="22"/>
        </w:rPr>
        <w:t>Slovenia, and</w:t>
      </w:r>
      <w:proofErr w:type="gramEnd"/>
      <w:r w:rsidRPr="00DD7EE6">
        <w:rPr>
          <w:i/>
          <w:sz w:val="22"/>
        </w:rPr>
        <w:t xml:space="preserve"> estimate the average treatment effect of political instability and the missing counterfactual scenario for the period 1996-2020. Based on large-scale Bayesian analysis with Metropolis-</w:t>
      </w:r>
      <w:proofErr w:type="gramStart"/>
      <w:r w:rsidRPr="00DD7EE6">
        <w:rPr>
          <w:i/>
          <w:sz w:val="22"/>
        </w:rPr>
        <w:t>Hastings</w:t>
      </w:r>
      <w:proofErr w:type="gramEnd"/>
      <w:r w:rsidRPr="00DD7EE6">
        <w:rPr>
          <w:i/>
          <w:sz w:val="22"/>
        </w:rPr>
        <w:t xml:space="preserve"> algorithm, we extract the residual component of institutional quality from the variation in pre-determined unobserved characteristics. Across more than 1.5 million sequenced random samples, we construct novel time-varying estimates of institutional quality at the local and regional level. Our difference-in-differences and synthetic control estimates emphasize a rampant deterioration of institutional quality in response to political instability with evidence of weakened rule of law, less effective public sector, decreased political accountability and more widespread prevalence of power abuses. </w:t>
      </w:r>
      <w:r w:rsidR="00DD7EE6" w:rsidRPr="00DD7EE6">
        <w:rPr>
          <w:i/>
          <w:sz w:val="22"/>
        </w:rPr>
        <w:t>The estimated negative effects of political instability are robust to a variety of placebo checks across more than 12 billion placebo averages for institutional quality outcome variable using random sampling method of treatment permutation.</w:t>
      </w:r>
    </w:p>
    <w:p w14:paraId="6FFD7F2A" w14:textId="77777777" w:rsidR="009D28E9" w:rsidRDefault="009D28E9" w:rsidP="00455DCE">
      <w:pPr>
        <w:spacing w:after="0"/>
        <w:rPr>
          <w:b/>
        </w:rPr>
      </w:pPr>
    </w:p>
    <w:p w14:paraId="6B0473DA" w14:textId="77777777" w:rsidR="009D28E9" w:rsidRDefault="009D28E9" w:rsidP="00455DCE">
      <w:pPr>
        <w:spacing w:after="0"/>
        <w:rPr>
          <w:b/>
        </w:rPr>
      </w:pPr>
    </w:p>
    <w:p w14:paraId="24DD6D4E" w14:textId="77777777" w:rsidR="009D28E9" w:rsidRDefault="009D28E9" w:rsidP="00455DCE">
      <w:pPr>
        <w:spacing w:after="0"/>
        <w:rPr>
          <w:b/>
        </w:rPr>
        <w:sectPr w:rsidR="009D28E9">
          <w:footnotePr>
            <w:numFmt w:val="chicago"/>
          </w:footnotePr>
          <w:pgSz w:w="11906" w:h="16838"/>
          <w:pgMar w:top="1440" w:right="1440" w:bottom="1440" w:left="1440" w:header="708" w:footer="708" w:gutter="0"/>
          <w:cols w:space="708"/>
          <w:docGrid w:linePitch="360"/>
        </w:sectPr>
      </w:pPr>
    </w:p>
    <w:p w14:paraId="5DB70D98" w14:textId="77777777" w:rsidR="00D1007E" w:rsidRPr="00D1007E" w:rsidRDefault="00455DCE" w:rsidP="00455DCE">
      <w:pPr>
        <w:spacing w:after="0"/>
        <w:rPr>
          <w:b/>
        </w:rPr>
      </w:pPr>
      <w:r>
        <w:rPr>
          <w:b/>
        </w:rPr>
        <w:lastRenderedPageBreak/>
        <w:t>1</w:t>
      </w:r>
      <w:r>
        <w:rPr>
          <w:b/>
        </w:rPr>
        <w:tab/>
      </w:r>
      <w:r w:rsidR="00D1007E" w:rsidRPr="00D1007E">
        <w:rPr>
          <w:b/>
        </w:rPr>
        <w:t>Introduction</w:t>
      </w:r>
    </w:p>
    <w:p w14:paraId="52916C44" w14:textId="77777777" w:rsidR="00D1007E" w:rsidRPr="0071026C" w:rsidRDefault="00D1007E" w:rsidP="0067749B">
      <w:pPr>
        <w:spacing w:after="0"/>
        <w:rPr>
          <w:sz w:val="22"/>
        </w:rPr>
      </w:pPr>
    </w:p>
    <w:p w14:paraId="2FF343B2" w14:textId="77777777" w:rsidR="00D1007E" w:rsidRDefault="0071026C" w:rsidP="00CF2187">
      <w:pPr>
        <w:spacing w:after="0"/>
        <w:jc w:val="both"/>
        <w:rPr>
          <w:sz w:val="22"/>
        </w:rPr>
      </w:pPr>
      <w:r>
        <w:rPr>
          <w:sz w:val="22"/>
        </w:rPr>
        <w:t>Political instability and its consequences for economic and social outcomes has been a subject of rigorous scholarly debate. The conventional wisdom suggests that political instability undermines economic outcomes (</w:t>
      </w:r>
      <w:r w:rsidRPr="00F76FF3">
        <w:rPr>
          <w:color w:val="4472C4" w:themeColor="accent5"/>
          <w:sz w:val="22"/>
        </w:rPr>
        <w:t>Barro 1991</w:t>
      </w:r>
      <w:r>
        <w:rPr>
          <w:sz w:val="22"/>
        </w:rPr>
        <w:t xml:space="preserve">, </w:t>
      </w:r>
      <w:r w:rsidRPr="00F76FF3">
        <w:rPr>
          <w:color w:val="4472C4" w:themeColor="accent5"/>
          <w:sz w:val="22"/>
        </w:rPr>
        <w:t>Alesina et. al. 1996</w:t>
      </w:r>
      <w:r>
        <w:rPr>
          <w:sz w:val="22"/>
        </w:rPr>
        <w:t xml:space="preserve">, </w:t>
      </w:r>
      <w:r w:rsidRPr="00F76FF3">
        <w:rPr>
          <w:color w:val="4472C4" w:themeColor="accent5"/>
          <w:sz w:val="22"/>
        </w:rPr>
        <w:t>Ades and Chua 1997</w:t>
      </w:r>
      <w:r>
        <w:rPr>
          <w:sz w:val="22"/>
        </w:rPr>
        <w:t xml:space="preserve">, </w:t>
      </w:r>
      <w:r w:rsidRPr="00D02F2D">
        <w:rPr>
          <w:color w:val="4472C4" w:themeColor="accent5"/>
          <w:sz w:val="22"/>
        </w:rPr>
        <w:t>Jong-A-Pin 2009</w:t>
      </w:r>
      <w:r>
        <w:rPr>
          <w:sz w:val="22"/>
        </w:rPr>
        <w:t xml:space="preserve">, </w:t>
      </w:r>
      <w:r w:rsidRPr="00D02F2D">
        <w:rPr>
          <w:color w:val="4472C4" w:themeColor="accent5"/>
          <w:sz w:val="22"/>
        </w:rPr>
        <w:t>Aisen and Ve</w:t>
      </w:r>
      <w:r w:rsidR="00D02F2D" w:rsidRPr="00D02F2D">
        <w:rPr>
          <w:color w:val="4472C4" w:themeColor="accent5"/>
          <w:sz w:val="22"/>
        </w:rPr>
        <w:t>i</w:t>
      </w:r>
      <w:r w:rsidRPr="00D02F2D">
        <w:rPr>
          <w:color w:val="4472C4" w:themeColor="accent5"/>
          <w:sz w:val="22"/>
        </w:rPr>
        <w:t>ga 2013</w:t>
      </w:r>
      <w:r>
        <w:rPr>
          <w:sz w:val="22"/>
        </w:rPr>
        <w:t>). By disrupting the production, increasing the uncertainty, it distorts the incentives to invest, save and acquire various forms of capital. Hence, episodes of political instability exacerbate slow economic growth (</w:t>
      </w:r>
      <w:r w:rsidRPr="00D02F2D">
        <w:rPr>
          <w:color w:val="4472C4" w:themeColor="accent5"/>
          <w:sz w:val="22"/>
        </w:rPr>
        <w:t>Asteriou and Price 2001</w:t>
      </w:r>
      <w:r>
        <w:rPr>
          <w:sz w:val="22"/>
        </w:rPr>
        <w:t>), lower the rate of investment, undermine the incentives to engage in productive economic act</w:t>
      </w:r>
      <w:r w:rsidR="00163C0D">
        <w:rPr>
          <w:sz w:val="22"/>
        </w:rPr>
        <w:t>ivities (</w:t>
      </w:r>
      <w:r w:rsidR="00163C0D" w:rsidRPr="00D02F2D">
        <w:rPr>
          <w:color w:val="4472C4" w:themeColor="accent5"/>
          <w:sz w:val="22"/>
        </w:rPr>
        <w:t>Carmignani 2003</w:t>
      </w:r>
      <w:r w:rsidR="00163C0D">
        <w:rPr>
          <w:sz w:val="22"/>
        </w:rPr>
        <w:t>), lead</w:t>
      </w:r>
      <w:r>
        <w:rPr>
          <w:sz w:val="22"/>
        </w:rPr>
        <w:t xml:space="preserve"> to a more volatile macroeconomic environment </w:t>
      </w:r>
      <w:r w:rsidR="00163C0D">
        <w:rPr>
          <w:sz w:val="22"/>
        </w:rPr>
        <w:t>(</w:t>
      </w:r>
      <w:r w:rsidR="00163C0D" w:rsidRPr="00D02F2D">
        <w:rPr>
          <w:color w:val="4472C4" w:themeColor="accent5"/>
          <w:sz w:val="22"/>
        </w:rPr>
        <w:t>Campos et. al. 2012</w:t>
      </w:r>
      <w:r w:rsidR="00163C0D">
        <w:rPr>
          <w:sz w:val="22"/>
        </w:rPr>
        <w:t>), increase</w:t>
      </w:r>
      <w:r>
        <w:rPr>
          <w:sz w:val="22"/>
        </w:rPr>
        <w:t xml:space="preserve"> the rewards from rent-seeking behaviour (</w:t>
      </w:r>
      <w:r w:rsidRPr="00075387">
        <w:rPr>
          <w:color w:val="4472C4" w:themeColor="accent5"/>
          <w:sz w:val="22"/>
        </w:rPr>
        <w:t>Capor</w:t>
      </w:r>
      <w:r w:rsidR="00163C0D" w:rsidRPr="00075387">
        <w:rPr>
          <w:color w:val="4472C4" w:themeColor="accent5"/>
          <w:sz w:val="22"/>
        </w:rPr>
        <w:t>ale and Leirer 2010</w:t>
      </w:r>
      <w:r w:rsidR="00163C0D">
        <w:rPr>
          <w:sz w:val="22"/>
        </w:rPr>
        <w:t>), suppress</w:t>
      </w:r>
      <w:r>
        <w:rPr>
          <w:sz w:val="22"/>
        </w:rPr>
        <w:t xml:space="preserve"> talent acquis</w:t>
      </w:r>
      <w:r w:rsidR="00075387">
        <w:rPr>
          <w:sz w:val="22"/>
        </w:rPr>
        <w:t>ition (</w:t>
      </w:r>
      <w:r w:rsidR="00075387" w:rsidRPr="00075387">
        <w:rPr>
          <w:color w:val="4472C4" w:themeColor="accent5"/>
          <w:sz w:val="22"/>
        </w:rPr>
        <w:t>Benhabib and Spiegel 1994</w:t>
      </w:r>
      <w:r>
        <w:rPr>
          <w:sz w:val="22"/>
        </w:rPr>
        <w:t>), and may even displace human capital (</w:t>
      </w:r>
      <w:r w:rsidRPr="00075387">
        <w:rPr>
          <w:color w:val="4472C4" w:themeColor="accent5"/>
          <w:sz w:val="22"/>
        </w:rPr>
        <w:t>Docquier et. al. 2007</w:t>
      </w:r>
      <w:r>
        <w:rPr>
          <w:sz w:val="22"/>
        </w:rPr>
        <w:t xml:space="preserve">). </w:t>
      </w:r>
    </w:p>
    <w:p w14:paraId="2278D916" w14:textId="77777777" w:rsidR="00163C0D" w:rsidRDefault="00163C0D" w:rsidP="00CF2187">
      <w:pPr>
        <w:spacing w:after="0"/>
        <w:jc w:val="both"/>
        <w:rPr>
          <w:sz w:val="22"/>
        </w:rPr>
      </w:pPr>
    </w:p>
    <w:p w14:paraId="112CD72B" w14:textId="77777777" w:rsidR="00163C0D" w:rsidRDefault="00163C0D" w:rsidP="00CF2187">
      <w:pPr>
        <w:spacing w:after="0"/>
        <w:jc w:val="both"/>
        <w:rPr>
          <w:sz w:val="22"/>
        </w:rPr>
      </w:pPr>
      <w:r>
        <w:rPr>
          <w:sz w:val="22"/>
        </w:rPr>
        <w:t>Political instability has been linked with lower independence of central banks (</w:t>
      </w:r>
      <w:r w:rsidRPr="00075387">
        <w:rPr>
          <w:color w:val="4472C4" w:themeColor="accent5"/>
          <w:sz w:val="22"/>
        </w:rPr>
        <w:t>Cukierman and Webb 1995</w:t>
      </w:r>
      <w:r>
        <w:rPr>
          <w:sz w:val="22"/>
        </w:rPr>
        <w:t xml:space="preserve">, </w:t>
      </w:r>
      <w:r w:rsidRPr="00075387">
        <w:rPr>
          <w:color w:val="4472C4" w:themeColor="accent5"/>
          <w:sz w:val="22"/>
        </w:rPr>
        <w:t>Cukierman et. al. 1992b</w:t>
      </w:r>
      <w:r>
        <w:rPr>
          <w:sz w:val="22"/>
        </w:rPr>
        <w:t>), heavier reliance on seignorage (</w:t>
      </w:r>
      <w:r w:rsidRPr="00075387">
        <w:rPr>
          <w:color w:val="4472C4" w:themeColor="accent5"/>
          <w:sz w:val="22"/>
        </w:rPr>
        <w:t>Cukierman et. al. 1992a</w:t>
      </w:r>
      <w:r>
        <w:rPr>
          <w:sz w:val="22"/>
        </w:rPr>
        <w:t>), reduced aggregate investment (</w:t>
      </w:r>
      <w:r w:rsidRPr="00A478E6">
        <w:rPr>
          <w:color w:val="4472C4" w:themeColor="accent5"/>
          <w:sz w:val="22"/>
        </w:rPr>
        <w:t>Özler and Rodrik 1992</w:t>
      </w:r>
      <w:r>
        <w:rPr>
          <w:sz w:val="22"/>
        </w:rPr>
        <w:t>), heightened fiscal deficits (</w:t>
      </w:r>
      <w:r w:rsidRPr="00A478E6">
        <w:rPr>
          <w:color w:val="4472C4" w:themeColor="accent5"/>
          <w:sz w:val="22"/>
        </w:rPr>
        <w:t>Roubini 1991</w:t>
      </w:r>
      <w:r>
        <w:rPr>
          <w:sz w:val="22"/>
        </w:rPr>
        <w:t>), higher external debt (</w:t>
      </w:r>
      <w:r w:rsidRPr="00A478E6">
        <w:rPr>
          <w:color w:val="4472C4" w:themeColor="accent5"/>
          <w:sz w:val="22"/>
        </w:rPr>
        <w:t>Alesina and Tabellini 1989</w:t>
      </w:r>
      <w:r>
        <w:rPr>
          <w:sz w:val="22"/>
        </w:rPr>
        <w:t>), more widespread inequality (</w:t>
      </w:r>
      <w:r w:rsidRPr="00A478E6">
        <w:rPr>
          <w:color w:val="4472C4" w:themeColor="accent5"/>
          <w:sz w:val="22"/>
        </w:rPr>
        <w:t>Alesina and Perotti 1996</w:t>
      </w:r>
      <w:r>
        <w:rPr>
          <w:sz w:val="22"/>
        </w:rPr>
        <w:t>), and more volatile exchange rate regime (</w:t>
      </w:r>
      <w:r w:rsidRPr="00A478E6">
        <w:rPr>
          <w:color w:val="4472C4" w:themeColor="accent5"/>
          <w:sz w:val="22"/>
        </w:rPr>
        <w:t>Collins 1996</w:t>
      </w:r>
      <w:r>
        <w:rPr>
          <w:sz w:val="22"/>
        </w:rPr>
        <w:t xml:space="preserve">). In the long-term perspective, political and institutional instability </w:t>
      </w:r>
      <w:r w:rsidR="00A478E6">
        <w:rPr>
          <w:sz w:val="22"/>
        </w:rPr>
        <w:t>is costly (</w:t>
      </w:r>
      <w:r w:rsidR="00A478E6" w:rsidRPr="00A478E6">
        <w:rPr>
          <w:color w:val="4472C4" w:themeColor="accent5"/>
          <w:sz w:val="22"/>
        </w:rPr>
        <w:t>Berggren et. al. 2012</w:t>
      </w:r>
      <w:r>
        <w:rPr>
          <w:sz w:val="22"/>
        </w:rPr>
        <w:t>) whilst even modest increase in instability may reduce per capita income up to 25 per</w:t>
      </w:r>
      <w:r w:rsidR="00A478E6">
        <w:rPr>
          <w:sz w:val="22"/>
        </w:rPr>
        <w:t>cent (</w:t>
      </w:r>
      <w:r w:rsidR="00A478E6" w:rsidRPr="00A478E6">
        <w:rPr>
          <w:color w:val="4472C4" w:themeColor="accent5"/>
          <w:sz w:val="22"/>
        </w:rPr>
        <w:t>Hartmann and Spruk 2021</w:t>
      </w:r>
      <w:r>
        <w:rPr>
          <w:sz w:val="22"/>
        </w:rPr>
        <w:t>).</w:t>
      </w:r>
    </w:p>
    <w:p w14:paraId="00474C9D" w14:textId="77777777" w:rsidR="00163C0D" w:rsidRDefault="00163C0D" w:rsidP="00CF2187">
      <w:pPr>
        <w:spacing w:after="0"/>
        <w:jc w:val="both"/>
        <w:rPr>
          <w:sz w:val="22"/>
        </w:rPr>
      </w:pPr>
    </w:p>
    <w:p w14:paraId="4A52DB28" w14:textId="77777777" w:rsidR="00163C0D" w:rsidRDefault="00163C0D" w:rsidP="00CF2187">
      <w:pPr>
        <w:spacing w:after="0"/>
        <w:jc w:val="both"/>
        <w:rPr>
          <w:sz w:val="22"/>
        </w:rPr>
      </w:pPr>
      <w:r>
        <w:rPr>
          <w:sz w:val="22"/>
        </w:rPr>
        <w:t>Not everyone agrees that political instability is harmful to economic and social development. The general thrust of the argument is that vibrant economic growth and social changes necessitate vital structural changes that break the status quo of existing political coalitions and promulgate the adjustment in the balance of power among the interest groups that influence economic and political elites (</w:t>
      </w:r>
      <w:r w:rsidRPr="00A478E6">
        <w:rPr>
          <w:color w:val="4472C4" w:themeColor="accent5"/>
          <w:sz w:val="22"/>
        </w:rPr>
        <w:t>Olson 1963</w:t>
      </w:r>
      <w:r>
        <w:rPr>
          <w:sz w:val="22"/>
        </w:rPr>
        <w:t xml:space="preserve">, </w:t>
      </w:r>
      <w:r w:rsidRPr="00C67003">
        <w:rPr>
          <w:color w:val="4472C4" w:themeColor="accent5"/>
          <w:sz w:val="22"/>
        </w:rPr>
        <w:t>North 1981</w:t>
      </w:r>
      <w:r>
        <w:rPr>
          <w:sz w:val="22"/>
        </w:rPr>
        <w:t xml:space="preserve">). Without the loss of generality, distinguishing between positive and negative type of instability need not be left to scholarly neglect. </w:t>
      </w:r>
      <w:r w:rsidR="005A45D2">
        <w:rPr>
          <w:sz w:val="22"/>
        </w:rPr>
        <w:t>T</w:t>
      </w:r>
      <w:r>
        <w:rPr>
          <w:sz w:val="22"/>
        </w:rPr>
        <w:t xml:space="preserve">he negative type of instability is characterized by the insecurity of </w:t>
      </w:r>
      <w:r w:rsidR="005A45D2">
        <w:rPr>
          <w:sz w:val="22"/>
        </w:rPr>
        <w:t>property rights, undermined existing institutions by political or economic elites and their co-opted networks. Thus, the negative type of instability leads to the institutional weakening, generates insecure property rights and high transaction costs (</w:t>
      </w:r>
      <w:r w:rsidR="005A45D2" w:rsidRPr="00C67003">
        <w:rPr>
          <w:color w:val="4472C4" w:themeColor="accent5"/>
          <w:sz w:val="22"/>
        </w:rPr>
        <w:t>Olson 1982</w:t>
      </w:r>
      <w:r w:rsidR="005A45D2">
        <w:rPr>
          <w:sz w:val="22"/>
        </w:rPr>
        <w:t>).</w:t>
      </w:r>
    </w:p>
    <w:p w14:paraId="67AE693E" w14:textId="77777777" w:rsidR="005A45D2" w:rsidRDefault="005A45D2" w:rsidP="00CF2187">
      <w:pPr>
        <w:spacing w:after="0"/>
        <w:jc w:val="both"/>
        <w:rPr>
          <w:sz w:val="22"/>
        </w:rPr>
      </w:pPr>
    </w:p>
    <w:p w14:paraId="29086457" w14:textId="77777777" w:rsidR="005A45D2" w:rsidRDefault="005A45D2" w:rsidP="00CF2187">
      <w:pPr>
        <w:spacing w:after="0"/>
        <w:jc w:val="both"/>
        <w:rPr>
          <w:sz w:val="22"/>
        </w:rPr>
      </w:pPr>
      <w:r>
        <w:rPr>
          <w:sz w:val="22"/>
        </w:rPr>
        <w:t xml:space="preserve">On the contrary, the positive type of instability promulgates improvements in the existing institutions through greater adaptive efficiency to counteract unexpected economic and external shocks, break away from status quo and adjust to altered reality. For instance, in Understanding the Process of Economic Change, </w:t>
      </w:r>
      <w:r w:rsidRPr="00C67003">
        <w:rPr>
          <w:color w:val="4472C4" w:themeColor="accent5"/>
          <w:sz w:val="22"/>
        </w:rPr>
        <w:t>North (2005)</w:t>
      </w:r>
      <w:r>
        <w:rPr>
          <w:sz w:val="22"/>
        </w:rPr>
        <w:t xml:space="preserve"> defines adaptive efficiency as the ability of societies “</w:t>
      </w:r>
      <w:r w:rsidRPr="005A45D2">
        <w:rPr>
          <w:i/>
          <w:sz w:val="22"/>
        </w:rPr>
        <w:t>to flexibly adjust in the face of shocks and evolve institutions that effectively deal with altered reality</w:t>
      </w:r>
      <w:r>
        <w:rPr>
          <w:sz w:val="22"/>
        </w:rPr>
        <w:t xml:space="preserve">.” Hence, the positive type of instability promulgates the necessary structural changes that readjust the balance of political power, break the existing rent-seeking </w:t>
      </w:r>
      <w:proofErr w:type="gramStart"/>
      <w:r>
        <w:rPr>
          <w:sz w:val="22"/>
        </w:rPr>
        <w:t>coalitions</w:t>
      </w:r>
      <w:proofErr w:type="gramEnd"/>
      <w:r>
        <w:rPr>
          <w:sz w:val="22"/>
        </w:rPr>
        <w:t xml:space="preserve"> and induce growth-enhancing institutional and policy reforms.</w:t>
      </w:r>
    </w:p>
    <w:p w14:paraId="41FE17E6" w14:textId="77777777" w:rsidR="005A45D2" w:rsidRDefault="005A45D2" w:rsidP="00CF2187">
      <w:pPr>
        <w:spacing w:after="0"/>
        <w:jc w:val="both"/>
        <w:rPr>
          <w:sz w:val="22"/>
        </w:rPr>
      </w:pPr>
    </w:p>
    <w:p w14:paraId="4BE7B888" w14:textId="77777777" w:rsidR="00D1007E" w:rsidRDefault="005A45D2" w:rsidP="00CF2187">
      <w:pPr>
        <w:spacing w:after="0"/>
        <w:jc w:val="both"/>
        <w:rPr>
          <w:sz w:val="22"/>
        </w:rPr>
      </w:pPr>
      <w:r>
        <w:rPr>
          <w:sz w:val="22"/>
        </w:rPr>
        <w:t>If the notion that institutions may be one of the root causes of long-run development may be taken for granted (</w:t>
      </w:r>
      <w:r w:rsidRPr="00C67003">
        <w:rPr>
          <w:color w:val="4472C4" w:themeColor="accent5"/>
          <w:sz w:val="22"/>
        </w:rPr>
        <w:t>Acemoglu et. al. 2001, 2002</w:t>
      </w:r>
      <w:r>
        <w:rPr>
          <w:sz w:val="22"/>
        </w:rPr>
        <w:t>), the obvious question to ask is whether political instability erodes or improves institutional quality. Existing evidence suggests that political instability tends to deteriorate and weaken labor market institutions, creating incentives for the government to introduce more distortionary regulation (</w:t>
      </w:r>
      <w:r w:rsidRPr="00A273F9">
        <w:rPr>
          <w:color w:val="4472C4" w:themeColor="accent5"/>
          <w:sz w:val="22"/>
        </w:rPr>
        <w:t>Lucifora and Moriconi 2015</w:t>
      </w:r>
      <w:r>
        <w:rPr>
          <w:sz w:val="22"/>
        </w:rPr>
        <w:t>), and impedes financial development (</w:t>
      </w:r>
      <w:r w:rsidRPr="00A273F9">
        <w:rPr>
          <w:color w:val="4472C4" w:themeColor="accent5"/>
          <w:sz w:val="22"/>
        </w:rPr>
        <w:t>Roe and Siegel 2011</w:t>
      </w:r>
      <w:r>
        <w:rPr>
          <w:sz w:val="22"/>
        </w:rPr>
        <w:t xml:space="preserve">). </w:t>
      </w:r>
      <w:r w:rsidRPr="00A273F9">
        <w:rPr>
          <w:color w:val="4472C4" w:themeColor="accent5"/>
          <w:sz w:val="22"/>
        </w:rPr>
        <w:t>Gates et. al. (2006)</w:t>
      </w:r>
      <w:r>
        <w:rPr>
          <w:sz w:val="22"/>
        </w:rPr>
        <w:t xml:space="preserve"> show that political regimes lacking self-enforcing equilibria characterized by a small electorate and highly constrained executive may be prone to prolonged political instability. The net effect of prolon</w:t>
      </w:r>
      <w:r w:rsidR="00CF2187">
        <w:rPr>
          <w:sz w:val="22"/>
        </w:rPr>
        <w:t>ged instability includes more volatile inflation rates (</w:t>
      </w:r>
      <w:r w:rsidR="00CF2187" w:rsidRPr="00A273F9">
        <w:rPr>
          <w:color w:val="4472C4" w:themeColor="accent5"/>
          <w:sz w:val="22"/>
        </w:rPr>
        <w:t>Aisen and Veiga 2006</w:t>
      </w:r>
      <w:r w:rsidR="00CF2187">
        <w:rPr>
          <w:sz w:val="22"/>
        </w:rPr>
        <w:t>, 2008), crowded-out private investment (</w:t>
      </w:r>
      <w:r w:rsidR="00CF2187" w:rsidRPr="00A273F9">
        <w:rPr>
          <w:color w:val="4472C4" w:themeColor="accent5"/>
          <w:sz w:val="22"/>
        </w:rPr>
        <w:t>Svensson 1998</w:t>
      </w:r>
      <w:r w:rsidR="00CF2187">
        <w:rPr>
          <w:sz w:val="22"/>
        </w:rPr>
        <w:t>), increased output share of government spending (Devereux and Wen 1999), increased incentives for informality (</w:t>
      </w:r>
      <w:r w:rsidR="00A273F9" w:rsidRPr="00A273F9">
        <w:rPr>
          <w:color w:val="4472C4" w:themeColor="accent5"/>
          <w:sz w:val="22"/>
        </w:rPr>
        <w:t>Alberola and Urrutia 2020</w:t>
      </w:r>
      <w:r w:rsidR="00CF2187">
        <w:rPr>
          <w:sz w:val="22"/>
        </w:rPr>
        <w:t xml:space="preserve">), </w:t>
      </w:r>
      <w:r w:rsidR="00CF2187">
        <w:rPr>
          <w:sz w:val="22"/>
        </w:rPr>
        <w:lastRenderedPageBreak/>
        <w:t>reduced security of property rights and costly contract enforcement (</w:t>
      </w:r>
      <w:r w:rsidR="00CF2187" w:rsidRPr="00A273F9">
        <w:rPr>
          <w:color w:val="4472C4" w:themeColor="accent5"/>
          <w:sz w:val="22"/>
        </w:rPr>
        <w:t>Knack and Keefer 2002</w:t>
      </w:r>
      <w:r w:rsidR="00CF2187">
        <w:rPr>
          <w:sz w:val="22"/>
        </w:rPr>
        <w:t>) with substantial output, consumption and welfare losses (</w:t>
      </w:r>
      <w:r w:rsidR="00CF2187" w:rsidRPr="00A273F9">
        <w:rPr>
          <w:color w:val="4472C4" w:themeColor="accent5"/>
          <w:sz w:val="22"/>
        </w:rPr>
        <w:t>Azzimonti 2011</w:t>
      </w:r>
      <w:r w:rsidR="00CF2187">
        <w:rPr>
          <w:sz w:val="22"/>
        </w:rPr>
        <w:t>).</w:t>
      </w:r>
    </w:p>
    <w:p w14:paraId="139F1B6A" w14:textId="77777777" w:rsidR="00CF2187" w:rsidRDefault="00CF2187" w:rsidP="00CF2187">
      <w:pPr>
        <w:spacing w:after="0"/>
        <w:jc w:val="both"/>
        <w:rPr>
          <w:sz w:val="22"/>
        </w:rPr>
      </w:pPr>
    </w:p>
    <w:p w14:paraId="59EB7B76" w14:textId="77777777" w:rsidR="005A559B" w:rsidRDefault="00CF2187" w:rsidP="00CF2187">
      <w:pPr>
        <w:spacing w:after="0"/>
        <w:jc w:val="both"/>
        <w:rPr>
          <w:sz w:val="22"/>
        </w:rPr>
      </w:pPr>
      <w:r>
        <w:rPr>
          <w:sz w:val="22"/>
        </w:rPr>
        <w:t>In this paper, we examine the effects of political instability on institutional quality at the local and regional level by exploiting the reform-blockade voice in the government cabinet as a quasi-random political shock using the case of Slovenia for the period 1996-2020. Our approach to capture subnational institutional quality relies on the extraction of the residual component of institutional quality (</w:t>
      </w:r>
      <w:r w:rsidRPr="005C0E1B">
        <w:rPr>
          <w:color w:val="4472C4" w:themeColor="accent5"/>
          <w:sz w:val="22"/>
        </w:rPr>
        <w:t>Magnusson and Tarverdi 2020</w:t>
      </w:r>
      <w:r>
        <w:rPr>
          <w:sz w:val="22"/>
        </w:rPr>
        <w:t xml:space="preserve">) from geo-coded data using the repeated year-by-year variation in pre-determined exogenous geographic characteristics. Such approach allows capturing the residual component and determining whether regions and provinces institutional quality is above or below the threshold implied by their geographic and climatic characteristics. In doing so, we build a large dataset that tracks the evolution of residual component of institutional quality for 468 regions worldwide where a relatively high degree of political stability is present. For the treatment and control sample, we estimate the posterior densities of institutional quality through the application of Monte Carlo Markov Chain (MCMC) sampling methods, and build posterior density distributions based on Metropolis-Hastings algorithm with flat, non-informative priors. </w:t>
      </w:r>
      <w:r w:rsidR="005A559B">
        <w:rPr>
          <w:sz w:val="22"/>
        </w:rPr>
        <w:t xml:space="preserve">We perform a large number of iterations to estimate the posterior densities of institutional quality with around 1.5 million random sequences of samples. </w:t>
      </w:r>
      <w:r>
        <w:rPr>
          <w:sz w:val="22"/>
        </w:rPr>
        <w:t>Subsequently, we match the treatment sample of Slovenian regions and municipalities with the control sample of regions where political stability scores is in the 80</w:t>
      </w:r>
      <w:r w:rsidRPr="00CF2187">
        <w:rPr>
          <w:sz w:val="22"/>
          <w:vertAlign w:val="superscript"/>
        </w:rPr>
        <w:t>th</w:t>
      </w:r>
      <w:r>
        <w:rPr>
          <w:sz w:val="22"/>
        </w:rPr>
        <w:t xml:space="preserve"> percentile of the global distribution (</w:t>
      </w:r>
      <w:r w:rsidRPr="005C0E1B">
        <w:rPr>
          <w:color w:val="4472C4" w:themeColor="accent5"/>
          <w:sz w:val="22"/>
        </w:rPr>
        <w:t xml:space="preserve">Kaufmann et. al. </w:t>
      </w:r>
      <w:r w:rsidR="005C0E1B" w:rsidRPr="005C0E1B">
        <w:rPr>
          <w:color w:val="4472C4" w:themeColor="accent5"/>
          <w:sz w:val="22"/>
        </w:rPr>
        <w:t>2011</w:t>
      </w:r>
      <w:r>
        <w:rPr>
          <w:sz w:val="22"/>
        </w:rPr>
        <w:t>)</w:t>
      </w:r>
      <w:r w:rsidR="005A559B">
        <w:rPr>
          <w:sz w:val="22"/>
        </w:rPr>
        <w:t>.</w:t>
      </w:r>
    </w:p>
    <w:p w14:paraId="39EC426C" w14:textId="77777777" w:rsidR="005A559B" w:rsidRDefault="005A559B" w:rsidP="00CF2187">
      <w:pPr>
        <w:spacing w:after="0"/>
        <w:jc w:val="both"/>
        <w:rPr>
          <w:sz w:val="22"/>
        </w:rPr>
      </w:pPr>
    </w:p>
    <w:p w14:paraId="37BCF9EF" w14:textId="77777777" w:rsidR="00CF2187" w:rsidRDefault="00CF2187" w:rsidP="00CF2187">
      <w:pPr>
        <w:spacing w:after="0"/>
        <w:jc w:val="both"/>
        <w:rPr>
          <w:sz w:val="22"/>
        </w:rPr>
      </w:pPr>
      <w:r>
        <w:rPr>
          <w:sz w:val="22"/>
        </w:rPr>
        <w:t xml:space="preserve">Using a variety of difference-in-differences and </w:t>
      </w:r>
      <w:r w:rsidR="005A559B">
        <w:rPr>
          <w:sz w:val="22"/>
        </w:rPr>
        <w:t xml:space="preserve">synthetic control specifications, we find significant evidence of deteriorating institutional quality in response to political instability. </w:t>
      </w:r>
      <w:proofErr w:type="gramStart"/>
      <w:r w:rsidR="005A559B">
        <w:rPr>
          <w:sz w:val="22"/>
        </w:rPr>
        <w:t>In particular, after</w:t>
      </w:r>
      <w:proofErr w:type="gramEnd"/>
      <w:r w:rsidR="005A559B">
        <w:rPr>
          <w:sz w:val="22"/>
        </w:rPr>
        <w:t xml:space="preserve"> the blockade of structural reforms that led to early elections and opened doors to prolonged instability, our evidence highlights deteriorated voice and accountability, lower effectiveness of government administration, reduced quality of regulation, weakened rule of law and substantially more widespread prevalence of corruption. A battery of estimated synthetic control specifications highlights that the negative institutional quality effect of political instability appears to be permanent with ample evidence of institutional breakdown. </w:t>
      </w:r>
      <w:r w:rsidR="00455DCE">
        <w:rPr>
          <w:sz w:val="22"/>
        </w:rPr>
        <w:t>Compared to the regional level, local-level evidence indicates some improvement in government effectiveness, which appears to be entirely downgraded by increases in corruption, weakening of the rule of law and debilitated voice and accountability. Hence, our analysis offers no evidence in support of the positive type of political instability and suggests that political instability, by increasing the cost of cooperation, does not foster the necessary adjustment and improvement of institutional quality, and appears to be persistent.</w:t>
      </w:r>
    </w:p>
    <w:p w14:paraId="67CD115A" w14:textId="77777777" w:rsidR="00455DCE" w:rsidRDefault="00455DCE" w:rsidP="00CF2187">
      <w:pPr>
        <w:spacing w:after="0"/>
        <w:jc w:val="both"/>
        <w:rPr>
          <w:sz w:val="22"/>
        </w:rPr>
      </w:pPr>
    </w:p>
    <w:p w14:paraId="411F8722" w14:textId="77777777" w:rsidR="00D1007E" w:rsidRPr="00CF2187" w:rsidRDefault="00455DCE" w:rsidP="00CF2187">
      <w:pPr>
        <w:spacing w:after="0"/>
        <w:jc w:val="both"/>
        <w:rPr>
          <w:sz w:val="22"/>
        </w:rPr>
      </w:pPr>
      <w:r>
        <w:rPr>
          <w:sz w:val="22"/>
        </w:rPr>
        <w:t>The rest of the paper is organized as follows. Section 2 describes the background. Section 3 presents the data and samples. Section 4 discusses the identification strategy. Section 5 presents the results. Section 6 concludes.</w:t>
      </w:r>
      <w:r w:rsidR="00D1007E">
        <w:br w:type="page"/>
      </w:r>
    </w:p>
    <w:p w14:paraId="718FEA3B" w14:textId="77777777" w:rsidR="00D1007E" w:rsidRPr="00D1007E" w:rsidRDefault="00455DCE" w:rsidP="0067749B">
      <w:pPr>
        <w:spacing w:after="0"/>
        <w:rPr>
          <w:b/>
        </w:rPr>
      </w:pPr>
      <w:r>
        <w:rPr>
          <w:b/>
        </w:rPr>
        <w:lastRenderedPageBreak/>
        <w:t>2</w:t>
      </w:r>
      <w:r>
        <w:rPr>
          <w:b/>
        </w:rPr>
        <w:tab/>
      </w:r>
      <w:r w:rsidR="00D1007E" w:rsidRPr="00D1007E">
        <w:rPr>
          <w:b/>
        </w:rPr>
        <w:t>Background</w:t>
      </w:r>
    </w:p>
    <w:p w14:paraId="3919D331" w14:textId="77777777" w:rsidR="00D1007E" w:rsidRPr="002F4E54" w:rsidRDefault="00D1007E" w:rsidP="0067749B">
      <w:pPr>
        <w:spacing w:after="0"/>
        <w:rPr>
          <w:sz w:val="24"/>
        </w:rPr>
      </w:pPr>
    </w:p>
    <w:p w14:paraId="2EC7DF16" w14:textId="77777777" w:rsidR="00D1007E" w:rsidRPr="005C0E1B" w:rsidRDefault="002F4E54" w:rsidP="0094386A">
      <w:pPr>
        <w:spacing w:after="0"/>
        <w:jc w:val="both"/>
        <w:rPr>
          <w:sz w:val="22"/>
        </w:rPr>
      </w:pPr>
      <w:r w:rsidRPr="005C0E1B">
        <w:rPr>
          <w:sz w:val="22"/>
        </w:rPr>
        <w:t xml:space="preserve">After the political independence from former Yugoslavia in 1991, Slovenia established liberal democratic institutions that enshrined a respect for human rights supported by the rule of law and multi-party democracy. The period after the rapid transition to market economy between 1991 and 2007 had been characterized by strong economic growth and solid macroeconomic stability. In 2004, Slovenia has been admitted to European Union and NATO as a full member. Prior to 2007, Slovenia fully achieved Maastricht criteria with respect to monetary and fiscal stability and was admitted to European Monetary Union. In 2010, the country also joined the Organization for Economic Cooperation and Development (OECD) as a full member together with Chile, </w:t>
      </w:r>
      <w:proofErr w:type="gramStart"/>
      <w:r w:rsidRPr="005C0E1B">
        <w:rPr>
          <w:sz w:val="22"/>
        </w:rPr>
        <w:t>Israel</w:t>
      </w:r>
      <w:proofErr w:type="gramEnd"/>
      <w:r w:rsidRPr="005C0E1B">
        <w:rPr>
          <w:sz w:val="22"/>
        </w:rPr>
        <w:t xml:space="preserve"> and Estonia. In 2021, Slovenia’s GDP per capita is comparable with that of Spain and Italy, and its inequality-adjusted human development index is high, ranked 9</w:t>
      </w:r>
      <w:r w:rsidRPr="005C0E1B">
        <w:rPr>
          <w:sz w:val="22"/>
          <w:vertAlign w:val="superscript"/>
        </w:rPr>
        <w:t>th</w:t>
      </w:r>
      <w:r w:rsidR="0094386A" w:rsidRPr="005C0E1B">
        <w:rPr>
          <w:sz w:val="22"/>
        </w:rPr>
        <w:t xml:space="preserve"> worldwide together with Netherlands, </w:t>
      </w:r>
      <w:proofErr w:type="gramStart"/>
      <w:r w:rsidR="0094386A" w:rsidRPr="005C0E1B">
        <w:rPr>
          <w:sz w:val="22"/>
        </w:rPr>
        <w:t>Sweden</w:t>
      </w:r>
      <w:proofErr w:type="gramEnd"/>
      <w:r w:rsidR="0094386A" w:rsidRPr="005C0E1B">
        <w:rPr>
          <w:sz w:val="22"/>
        </w:rPr>
        <w:t xml:space="preserve"> and Australia.</w:t>
      </w:r>
    </w:p>
    <w:p w14:paraId="44C61221" w14:textId="77777777" w:rsidR="0094386A" w:rsidRPr="005C0E1B" w:rsidRDefault="0094386A" w:rsidP="0094386A">
      <w:pPr>
        <w:spacing w:after="0"/>
        <w:jc w:val="both"/>
        <w:rPr>
          <w:sz w:val="22"/>
        </w:rPr>
      </w:pPr>
    </w:p>
    <w:p w14:paraId="7DB24C3C" w14:textId="77777777" w:rsidR="0094386A" w:rsidRPr="005C0E1B" w:rsidRDefault="0094386A" w:rsidP="0094386A">
      <w:pPr>
        <w:spacing w:after="0"/>
        <w:jc w:val="both"/>
        <w:rPr>
          <w:sz w:val="22"/>
        </w:rPr>
      </w:pPr>
      <w:r w:rsidRPr="005C0E1B">
        <w:rPr>
          <w:sz w:val="22"/>
        </w:rPr>
        <w:t xml:space="preserve">Political development after 1991 has been characterized by a period of relative stability between 1991 and 2008 when the balance of power shifted between centre-left coalition of Liberal Democratic Party and Social Democracy (1991-2004) and the center-right coalition of Democratic Party and Christian Democratic party New Slovenia (2004-2008). In 2008, the center-left Social Democrats won the election with a relative majority of votes, heeding a </w:t>
      </w:r>
      <w:r w:rsidR="00D4789D" w:rsidRPr="005C0E1B">
        <w:rPr>
          <w:sz w:val="22"/>
        </w:rPr>
        <w:t xml:space="preserve">fragile </w:t>
      </w:r>
      <w:r w:rsidRPr="005C0E1B">
        <w:rPr>
          <w:sz w:val="22"/>
        </w:rPr>
        <w:t xml:space="preserve">coalition with substantial tensions between the coalition partners. Amid the economic and financial crisis, the government cabinet proposed economic reforms for the structural adjustment of public finance and austerity policies to counteract the economic losses from the crisis. The reforms were rejected by the opposition leaders and brought to the referendum, where the reform package failed. With the assistance of the veto-player in the government cabinet, Democratic Party of Pensioners, the parliament did not support the confidence vote in favor of the government mandate and headed for early elections. </w:t>
      </w:r>
      <w:r w:rsidR="00D4789D" w:rsidRPr="005C0E1B">
        <w:rPr>
          <w:sz w:val="22"/>
        </w:rPr>
        <w:t>In 2011, faced with the loss of several ministers and falling public support, the government cabinet ultimately collapsed. The new mandate to form the government coalition was assigned to the center-right Democratic Party which led another fragile coalition between February 2012 and March 2013, marred by numerous corruption scandals.</w:t>
      </w:r>
    </w:p>
    <w:p w14:paraId="3C23883E" w14:textId="77777777" w:rsidR="00D4789D" w:rsidRPr="005C0E1B" w:rsidRDefault="00D4789D" w:rsidP="0094386A">
      <w:pPr>
        <w:spacing w:after="0"/>
        <w:jc w:val="both"/>
        <w:rPr>
          <w:sz w:val="22"/>
        </w:rPr>
      </w:pPr>
    </w:p>
    <w:p w14:paraId="3A2E8279" w14:textId="77777777" w:rsidR="00D4789D" w:rsidRPr="005C0E1B" w:rsidRDefault="00D4789D" w:rsidP="0094386A">
      <w:pPr>
        <w:spacing w:after="0"/>
        <w:jc w:val="both"/>
        <w:rPr>
          <w:sz w:val="22"/>
        </w:rPr>
      </w:pPr>
      <w:r w:rsidRPr="005C0E1B">
        <w:rPr>
          <w:sz w:val="22"/>
        </w:rPr>
        <w:t xml:space="preserve">The obvious response to the pervasive political instability beginning in 2008 led to a series of minority governments dominated by veto-playing political parties and coupled with widespread government interference in the economy, deteriorating control of corruption and even imprisonment of former prime minister. Former prime minister was convicted on bribery charges related 2006 arms deal and spent six months in prison. From September 2014 until March 2018, the government coalition comprised of the centrist party (SMC), Social Democrats and a few minor parties. In 2018, the center-right Democratic Party won the elections but was unable to form a government coalition, leading to a minority government formed in August 2018 which collapsed and resigned in January 2020 because of the weaknesses and disagreements in pushing through the structural and institutional reforms to boost economic growth. In March 2020, formerly imprisoned head of Slovenian Democratic Party became the prime minister for the third time </w:t>
      </w:r>
      <w:r w:rsidR="00A83402" w:rsidRPr="005C0E1B">
        <w:rPr>
          <w:sz w:val="22"/>
        </w:rPr>
        <w:t>and headed a coalition with a policy agenda emphasizing populist right-wing rhetoric and substantial Euroscepticism. In 2020, Varieties of Democracy report ranked Slovenia’s level of electoral and liberal democracy 42</w:t>
      </w:r>
      <w:r w:rsidR="00A83402" w:rsidRPr="005C0E1B">
        <w:rPr>
          <w:sz w:val="22"/>
          <w:vertAlign w:val="superscript"/>
        </w:rPr>
        <w:t>nd</w:t>
      </w:r>
      <w:r w:rsidR="00A83402" w:rsidRPr="005C0E1B">
        <w:rPr>
          <w:sz w:val="22"/>
        </w:rPr>
        <w:t xml:space="preserve"> worldwide together with countries such as Malta, Argentina, Tunisia, </w:t>
      </w:r>
      <w:proofErr w:type="gramStart"/>
      <w:r w:rsidR="00A83402" w:rsidRPr="005C0E1B">
        <w:rPr>
          <w:sz w:val="22"/>
        </w:rPr>
        <w:t>Peru</w:t>
      </w:r>
      <w:proofErr w:type="gramEnd"/>
      <w:r w:rsidR="00A83402" w:rsidRPr="005C0E1B">
        <w:rPr>
          <w:sz w:val="22"/>
        </w:rPr>
        <w:t xml:space="preserve"> and Cape Verde.</w:t>
      </w:r>
    </w:p>
    <w:p w14:paraId="25502E88" w14:textId="77777777" w:rsidR="00A83402" w:rsidRPr="005C0E1B" w:rsidRDefault="00A83402" w:rsidP="0094386A">
      <w:pPr>
        <w:spacing w:after="0"/>
        <w:jc w:val="both"/>
        <w:rPr>
          <w:sz w:val="22"/>
        </w:rPr>
      </w:pPr>
    </w:p>
    <w:p w14:paraId="1015D154" w14:textId="77777777" w:rsidR="00A83402" w:rsidRPr="005C0E1B" w:rsidRDefault="00A83402" w:rsidP="0094386A">
      <w:pPr>
        <w:spacing w:after="0"/>
        <w:jc w:val="both"/>
        <w:rPr>
          <w:sz w:val="22"/>
        </w:rPr>
      </w:pPr>
      <w:r w:rsidRPr="005C0E1B">
        <w:rPr>
          <w:sz w:val="22"/>
        </w:rPr>
        <w:t xml:space="preserve">To estimate a rough aggregate effect of political instability, we first compare Slovenia’s economic growth </w:t>
      </w:r>
      <w:r w:rsidR="00B01068" w:rsidRPr="005C0E1B">
        <w:rPr>
          <w:sz w:val="22"/>
        </w:rPr>
        <w:t>trajectory with the OECD peers and apply the synthetic control estimator (</w:t>
      </w:r>
      <w:r w:rsidR="00B01068" w:rsidRPr="005C0E1B">
        <w:rPr>
          <w:color w:val="4472C4" w:themeColor="accent5"/>
          <w:sz w:val="22"/>
        </w:rPr>
        <w:t>Abadie and Gardeazabal 2003</w:t>
      </w:r>
      <w:r w:rsidR="00B01068" w:rsidRPr="005C0E1B">
        <w:rPr>
          <w:sz w:val="22"/>
        </w:rPr>
        <w:t xml:space="preserve">, </w:t>
      </w:r>
      <w:r w:rsidR="00B01068" w:rsidRPr="005C0E1B">
        <w:rPr>
          <w:color w:val="4472C4" w:themeColor="accent5"/>
          <w:sz w:val="22"/>
        </w:rPr>
        <w:t>Abadie et. al. 2015</w:t>
      </w:r>
      <w:r w:rsidR="00B01068" w:rsidRPr="005C0E1B">
        <w:rPr>
          <w:sz w:val="22"/>
        </w:rPr>
        <w:t xml:space="preserve">) using the year 2008 as the treatment year when instability began. </w:t>
      </w:r>
      <w:r w:rsidR="00B01068" w:rsidRPr="005C0E1B">
        <w:rPr>
          <w:sz w:val="22"/>
        </w:rPr>
        <w:lastRenderedPageBreak/>
        <w:t>We build a simple dataset of 30 OECD countries</w:t>
      </w:r>
      <w:r w:rsidR="00B01068" w:rsidRPr="005C0E1B">
        <w:rPr>
          <w:rStyle w:val="Sprotnaopomba-sklic"/>
          <w:sz w:val="22"/>
        </w:rPr>
        <w:footnoteReference w:id="2"/>
      </w:r>
      <w:r w:rsidR="00B01068" w:rsidRPr="005C0E1B">
        <w:rPr>
          <w:sz w:val="22"/>
        </w:rPr>
        <w:t xml:space="preserve"> for the period 1992-2020 and use GDP per capita from </w:t>
      </w:r>
      <w:r w:rsidR="005C0E1B" w:rsidRPr="005C0E1B">
        <w:rPr>
          <w:color w:val="4472C4" w:themeColor="accent5"/>
          <w:sz w:val="22"/>
        </w:rPr>
        <w:t>Feenstra</w:t>
      </w:r>
      <w:r w:rsidR="00B01068" w:rsidRPr="005C0E1B">
        <w:rPr>
          <w:color w:val="4472C4" w:themeColor="accent5"/>
          <w:sz w:val="22"/>
        </w:rPr>
        <w:t xml:space="preserve"> et. al. (</w:t>
      </w:r>
      <w:r w:rsidR="005C0E1B" w:rsidRPr="005C0E1B">
        <w:rPr>
          <w:color w:val="4472C4" w:themeColor="accent5"/>
          <w:sz w:val="22"/>
        </w:rPr>
        <w:t>2015</w:t>
      </w:r>
      <w:r w:rsidR="00B01068" w:rsidRPr="005C0E1B">
        <w:rPr>
          <w:color w:val="4472C4" w:themeColor="accent5"/>
          <w:sz w:val="22"/>
        </w:rPr>
        <w:t>)</w:t>
      </w:r>
      <w:r w:rsidR="00B01068" w:rsidRPr="005C0E1B">
        <w:rPr>
          <w:sz w:val="22"/>
        </w:rPr>
        <w:t xml:space="preserve"> as the outcome whilst the predictors include its lagged levels along with institutional quality and physical geographic characteristics. The evidence suggests two important insights. First, political instability appears to be a permanent shock derailing the growth trajectory downward, offering somewhat more support for the theoretical notion of the negative, insecurity-generating type of instability. Second, by the end-of-sample instability period, the observed GDP per capita is 3164 USD (=32608-29444) lower than the implied counterfactual without political instability. The synthetic control group for Slovenia comprises a hybrid mixture of other OECD member states growth trajectories with similar characteristics in the following order: Slovakia (41 percent), Portugal (20 percent), </w:t>
      </w:r>
      <w:r w:rsidR="008B6D48" w:rsidRPr="005C0E1B">
        <w:rPr>
          <w:sz w:val="22"/>
        </w:rPr>
        <w:t>Costa Rica (12 percent), South Korea (8 percent), Ireland (5 percent), Denmark (5 percent), Luxembourg (4 percent), Norway (4 percent), and Austria (&lt;1 percent), respectively. Hence, political instability entails a substantial negative effect on the trajectory of economic growth.</w:t>
      </w:r>
    </w:p>
    <w:p w14:paraId="300C46A7" w14:textId="77777777" w:rsidR="00A83402" w:rsidRPr="009D28E9" w:rsidRDefault="00A83402" w:rsidP="0094386A">
      <w:pPr>
        <w:spacing w:after="0"/>
        <w:jc w:val="both"/>
        <w:rPr>
          <w:sz w:val="22"/>
        </w:rPr>
      </w:pPr>
    </w:p>
    <w:p w14:paraId="61FF44EA" w14:textId="77777777" w:rsidR="008B6D48" w:rsidRPr="009D28E9" w:rsidRDefault="008B6D48" w:rsidP="0094386A">
      <w:pPr>
        <w:spacing w:after="0"/>
        <w:jc w:val="both"/>
        <w:rPr>
          <w:sz w:val="22"/>
        </w:rPr>
      </w:pPr>
      <w:r w:rsidRPr="009D28E9">
        <w:rPr>
          <w:b/>
          <w:sz w:val="22"/>
        </w:rPr>
        <w:t>Figure 1</w:t>
      </w:r>
      <w:r w:rsidRPr="009D28E9">
        <w:rPr>
          <w:sz w:val="22"/>
        </w:rPr>
        <w:t>: Economic growth impact of political instability in Slovenia, 1992-2020</w:t>
      </w:r>
    </w:p>
    <w:p w14:paraId="1903B374" w14:textId="77777777" w:rsidR="00A83402" w:rsidRPr="002F4E54" w:rsidRDefault="00A83402" w:rsidP="0094386A">
      <w:pPr>
        <w:spacing w:after="0"/>
        <w:jc w:val="both"/>
        <w:rPr>
          <w:sz w:val="24"/>
        </w:rPr>
      </w:pPr>
      <w:r w:rsidRPr="00A83402">
        <w:rPr>
          <w:noProof/>
          <w:sz w:val="24"/>
          <w:lang w:eastAsia="en-GB"/>
        </w:rPr>
        <w:drawing>
          <wp:inline distT="0" distB="0" distL="0" distR="0" wp14:anchorId="0015C786" wp14:editId="5E9419F9">
            <wp:extent cx="2712720" cy="1972887"/>
            <wp:effectExtent l="0" t="0" r="0" b="889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720490" cy="1978538"/>
                    </a:xfrm>
                    <a:prstGeom prst="rect">
                      <a:avLst/>
                    </a:prstGeom>
                    <a:noFill/>
                    <a:ln>
                      <a:noFill/>
                    </a:ln>
                  </pic:spPr>
                </pic:pic>
              </a:graphicData>
            </a:graphic>
          </wp:inline>
        </w:drawing>
      </w:r>
    </w:p>
    <w:p w14:paraId="3E0838F1" w14:textId="77777777" w:rsidR="009D28E9" w:rsidRDefault="009D28E9" w:rsidP="009D28E9">
      <w:pPr>
        <w:spacing w:after="0" w:line="240" w:lineRule="auto"/>
        <w:jc w:val="both"/>
      </w:pPr>
    </w:p>
    <w:p w14:paraId="5C7D3A2F" w14:textId="77777777" w:rsidR="008B6D48" w:rsidRDefault="008B6D48" w:rsidP="009D28E9">
      <w:pPr>
        <w:spacing w:after="0" w:line="240" w:lineRule="auto"/>
        <w:jc w:val="both"/>
        <w:rPr>
          <w:sz w:val="22"/>
        </w:rPr>
      </w:pPr>
      <w:r w:rsidRPr="008B6D48">
        <w:rPr>
          <w:sz w:val="22"/>
        </w:rPr>
        <w:t xml:space="preserve">Given the apparent macroeconomic losses emanating from political instability, the obvious question to ask revolves around the effect of instability on institutional quality whilst adopting a disaggregated approach where the effect can be assessed at the subnational level rather than </w:t>
      </w:r>
      <w:proofErr w:type="gramStart"/>
      <w:r w:rsidRPr="008B6D48">
        <w:rPr>
          <w:sz w:val="22"/>
        </w:rPr>
        <w:t>an the</w:t>
      </w:r>
      <w:proofErr w:type="gramEnd"/>
      <w:r w:rsidRPr="008B6D48">
        <w:rPr>
          <w:sz w:val="22"/>
        </w:rPr>
        <w:t xml:space="preserve"> aggregate level per se. Such analysis may provide further insights into the variation of institutional quality in both space and time in response to a sudden shock posite</w:t>
      </w:r>
      <w:r>
        <w:rPr>
          <w:sz w:val="22"/>
        </w:rPr>
        <w:t>d by the political instability.</w:t>
      </w:r>
    </w:p>
    <w:p w14:paraId="4B2E0599" w14:textId="77777777" w:rsidR="008B6D48" w:rsidRDefault="008B6D48" w:rsidP="009D28E9">
      <w:pPr>
        <w:spacing w:after="0"/>
        <w:jc w:val="both"/>
        <w:rPr>
          <w:sz w:val="22"/>
        </w:rPr>
      </w:pPr>
    </w:p>
    <w:p w14:paraId="3F99A755" w14:textId="77777777" w:rsidR="008B6D48" w:rsidRPr="008B6D48" w:rsidRDefault="008B6D48" w:rsidP="009D28E9">
      <w:pPr>
        <w:spacing w:after="0"/>
        <w:jc w:val="both"/>
        <w:rPr>
          <w:sz w:val="22"/>
        </w:rPr>
      </w:pPr>
      <w:r>
        <w:rPr>
          <w:sz w:val="22"/>
        </w:rPr>
        <w:t>In this respect, our analysis adds three dimensions to the existing body of literature. First, we examine the effect of political instability by disaggregating the institutional quality to the regional and local level which provides important insights into the heterogeneity of the effect in space. Second, we employ Bayesian approach to measure institutional quality as a latent trait approximated by Monte Carlo Markov Chain (MCMC) sampling algorithm where the quality is captured through large-sca</w:t>
      </w:r>
      <w:r w:rsidR="009D28E9">
        <w:rPr>
          <w:sz w:val="22"/>
        </w:rPr>
        <w:t>le sequence of random samples based on the extraction of institutional quality component from pre-determined exogenous geographic characteristics that usually fall within the scope of unobserved effects.</w:t>
      </w:r>
      <w:r>
        <w:rPr>
          <w:sz w:val="22"/>
        </w:rPr>
        <w:t xml:space="preserve"> Whilst such approach has found ample support in political science literature, its application in empirical domain of institutional economics has not been widesp</w:t>
      </w:r>
      <w:r w:rsidR="009D28E9">
        <w:rPr>
          <w:sz w:val="22"/>
        </w:rPr>
        <w:t>read. And third, we incorporate</w:t>
      </w:r>
      <w:r>
        <w:rPr>
          <w:sz w:val="22"/>
        </w:rPr>
        <w:t xml:space="preserve"> latent scores</w:t>
      </w:r>
      <w:r w:rsidR="009D28E9">
        <w:rPr>
          <w:sz w:val="22"/>
        </w:rPr>
        <w:t xml:space="preserve"> into the standard impact evaluation techniques of difference-in-differences and synthetic control estimators and use them as the outcomes of interest where the causal effect of policies or interventions such as political instability can be learned and estimated under the plausible assumptions.</w:t>
      </w:r>
    </w:p>
    <w:p w14:paraId="04B53F2D" w14:textId="77777777" w:rsidR="008B6D48" w:rsidRDefault="008B6D48"/>
    <w:p w14:paraId="384545EA" w14:textId="77777777" w:rsidR="00D1007E" w:rsidRPr="00455DCE" w:rsidRDefault="00455DCE" w:rsidP="006F3135">
      <w:pPr>
        <w:spacing w:after="0"/>
        <w:jc w:val="both"/>
        <w:rPr>
          <w:b/>
        </w:rPr>
      </w:pPr>
      <w:r w:rsidRPr="00455DCE">
        <w:rPr>
          <w:b/>
        </w:rPr>
        <w:lastRenderedPageBreak/>
        <w:t>3</w:t>
      </w:r>
      <w:r w:rsidRPr="00455DCE">
        <w:rPr>
          <w:b/>
        </w:rPr>
        <w:tab/>
      </w:r>
      <w:r w:rsidR="00D1007E" w:rsidRPr="00455DCE">
        <w:rPr>
          <w:b/>
        </w:rPr>
        <w:t>Data and samples</w:t>
      </w:r>
    </w:p>
    <w:p w14:paraId="5497EE0F" w14:textId="77777777" w:rsidR="00D1007E" w:rsidRPr="00F8217C" w:rsidRDefault="00D1007E" w:rsidP="006F3135">
      <w:pPr>
        <w:spacing w:after="0"/>
        <w:jc w:val="both"/>
        <w:rPr>
          <w:sz w:val="22"/>
        </w:rPr>
      </w:pPr>
    </w:p>
    <w:p w14:paraId="63949D4C" w14:textId="77777777" w:rsidR="00D1007E" w:rsidRPr="00F8217C" w:rsidRDefault="00D1007E" w:rsidP="006F3135">
      <w:pPr>
        <w:spacing w:after="0"/>
        <w:jc w:val="both"/>
        <w:rPr>
          <w:i/>
          <w:sz w:val="22"/>
        </w:rPr>
      </w:pPr>
      <w:r w:rsidRPr="00F8217C">
        <w:rPr>
          <w:i/>
          <w:sz w:val="22"/>
        </w:rPr>
        <w:tab/>
        <w:t>Outcome variables</w:t>
      </w:r>
    </w:p>
    <w:p w14:paraId="5763635F" w14:textId="77777777" w:rsidR="00D1007E" w:rsidRPr="00F8217C" w:rsidRDefault="00D1007E" w:rsidP="006F3135">
      <w:pPr>
        <w:spacing w:after="0"/>
        <w:jc w:val="both"/>
        <w:rPr>
          <w:sz w:val="22"/>
        </w:rPr>
      </w:pPr>
    </w:p>
    <w:p w14:paraId="1AE80988" w14:textId="77777777" w:rsidR="000176BF" w:rsidRPr="00F8217C" w:rsidRDefault="000176BF" w:rsidP="006F3135">
      <w:pPr>
        <w:spacing w:after="0"/>
        <w:jc w:val="both"/>
        <w:rPr>
          <w:sz w:val="22"/>
        </w:rPr>
      </w:pPr>
      <w:r w:rsidRPr="00F8217C">
        <w:rPr>
          <w:sz w:val="22"/>
        </w:rPr>
        <w:t xml:space="preserve">Our approach to measure the institutional quality of Slovenian municipalities and regions is per se constrained by the lack of observable and measurable characteristics of subnational institutional quality that may provide plausible insights in the variation of institutional quality across space and time. In a seminal contribution, </w:t>
      </w:r>
      <w:r w:rsidRPr="005C0E1B">
        <w:rPr>
          <w:color w:val="4472C4" w:themeColor="accent5"/>
          <w:sz w:val="22"/>
        </w:rPr>
        <w:t xml:space="preserve">Magnusson and Tarverdi (2020) </w:t>
      </w:r>
      <w:r w:rsidRPr="00F8217C">
        <w:rPr>
          <w:sz w:val="22"/>
        </w:rPr>
        <w:t xml:space="preserve">highlight the problems arising from aggregate baseline indicators of institutional quality that reflect some information about quality as the underlying latent variable. Although aggregate indicators have been used extensively in cross-country empirical analysis of institutional quality and its economic effects, the aggregation method implicitly assumes that the errors linked with the baseline indicators are independently distributed which is both questionable and subject to rigorous scholarly debate. </w:t>
      </w:r>
      <w:r w:rsidR="005C0E1B">
        <w:rPr>
          <w:sz w:val="22"/>
        </w:rPr>
        <w:t>They also</w:t>
      </w:r>
      <w:r w:rsidRPr="00F8217C">
        <w:rPr>
          <w:sz w:val="22"/>
        </w:rPr>
        <w:t xml:space="preserve"> propose the extension of the method with non-zero cluster dependence among the error terms.</w:t>
      </w:r>
    </w:p>
    <w:p w14:paraId="52C26DF6" w14:textId="77777777" w:rsidR="000176BF" w:rsidRPr="00F8217C" w:rsidRDefault="000176BF" w:rsidP="006F3135">
      <w:pPr>
        <w:spacing w:after="0"/>
        <w:jc w:val="both"/>
        <w:rPr>
          <w:sz w:val="22"/>
        </w:rPr>
      </w:pPr>
    </w:p>
    <w:p w14:paraId="0801621E" w14:textId="77777777" w:rsidR="000176BF" w:rsidRPr="00F8217C" w:rsidRDefault="000176BF" w:rsidP="006F3135">
      <w:pPr>
        <w:spacing w:after="0"/>
        <w:jc w:val="both"/>
        <w:rPr>
          <w:sz w:val="22"/>
        </w:rPr>
      </w:pPr>
      <w:r w:rsidRPr="00F8217C">
        <w:rPr>
          <w:sz w:val="22"/>
        </w:rPr>
        <w:t xml:space="preserve">Our approach to measure subnational institutional quality combines </w:t>
      </w:r>
      <w:r w:rsidRPr="005C0E1B">
        <w:rPr>
          <w:color w:val="4472C4" w:themeColor="accent5"/>
          <w:sz w:val="22"/>
        </w:rPr>
        <w:t>Magnusson and Tarverdi (2020)</w:t>
      </w:r>
      <w:r w:rsidRPr="00F8217C">
        <w:rPr>
          <w:sz w:val="22"/>
        </w:rPr>
        <w:t xml:space="preserve"> cluster dependence approach with the extraction of the residual component of institutional quality from the observable aggregate baseline indicators. The approach we propose hinges on the extraction of the latent variable component of institutional quality from the aggregate baseline level through the linear projection onto the local level using the set of pre-determined and plausibly exogenous characteristics that are usually considered “fixed” </w:t>
      </w:r>
      <w:proofErr w:type="gramStart"/>
      <w:r w:rsidRPr="00F8217C">
        <w:rPr>
          <w:sz w:val="22"/>
        </w:rPr>
        <w:t>effect</w:t>
      </w:r>
      <w:r w:rsidR="001C50F0" w:rsidRPr="00F8217C">
        <w:rPr>
          <w:sz w:val="22"/>
        </w:rPr>
        <w:t>,</w:t>
      </w:r>
      <w:r w:rsidRPr="00F8217C">
        <w:rPr>
          <w:sz w:val="22"/>
        </w:rPr>
        <w:t xml:space="preserve"> and</w:t>
      </w:r>
      <w:proofErr w:type="gramEnd"/>
      <w:r w:rsidRPr="00F8217C">
        <w:rPr>
          <w:sz w:val="22"/>
        </w:rPr>
        <w:t xml:space="preserve"> cannot be manipulated at the same time to minimize the measurement error.</w:t>
      </w:r>
    </w:p>
    <w:p w14:paraId="381DD405" w14:textId="77777777" w:rsidR="001C50F0" w:rsidRPr="00F8217C" w:rsidRDefault="001C50F0" w:rsidP="006F3135">
      <w:pPr>
        <w:spacing w:after="0"/>
        <w:jc w:val="both"/>
        <w:rPr>
          <w:sz w:val="22"/>
        </w:rPr>
      </w:pPr>
    </w:p>
    <w:p w14:paraId="6B5B835A" w14:textId="77777777" w:rsidR="000176BF" w:rsidRPr="00F8217C" w:rsidRDefault="001C50F0" w:rsidP="006F3135">
      <w:pPr>
        <w:spacing w:after="0"/>
        <w:jc w:val="both"/>
        <w:rPr>
          <w:sz w:val="22"/>
        </w:rPr>
      </w:pPr>
      <w:r w:rsidRPr="00F8217C">
        <w:rPr>
          <w:sz w:val="22"/>
        </w:rPr>
        <w:t xml:space="preserve">In a similar vein, our set of institutional quality variables is from </w:t>
      </w:r>
      <w:r w:rsidRPr="005C0E1B">
        <w:rPr>
          <w:color w:val="4472C4" w:themeColor="accent5"/>
          <w:sz w:val="22"/>
        </w:rPr>
        <w:t xml:space="preserve">Kaufmann et. al. (2011) </w:t>
      </w:r>
      <w:r w:rsidRPr="00F8217C">
        <w:rPr>
          <w:sz w:val="22"/>
        </w:rPr>
        <w:t>and comprises well-recognized and established baseline indicators of institutional quality, namely, (i) voice and accountability</w:t>
      </w:r>
      <w:r w:rsidRPr="00F8217C">
        <w:rPr>
          <w:rStyle w:val="Sprotnaopomba-sklic"/>
          <w:sz w:val="22"/>
        </w:rPr>
        <w:footnoteReference w:id="3"/>
      </w:r>
      <w:r w:rsidRPr="00F8217C">
        <w:rPr>
          <w:sz w:val="22"/>
        </w:rPr>
        <w:t>, (ii) rule of law</w:t>
      </w:r>
      <w:r w:rsidRPr="00F8217C">
        <w:rPr>
          <w:rStyle w:val="Sprotnaopomba-sklic"/>
          <w:sz w:val="22"/>
        </w:rPr>
        <w:footnoteReference w:id="4"/>
      </w:r>
      <w:r w:rsidRPr="00F8217C">
        <w:rPr>
          <w:sz w:val="22"/>
        </w:rPr>
        <w:t>, (iii) regulator quality</w:t>
      </w:r>
      <w:r w:rsidRPr="00F8217C">
        <w:rPr>
          <w:rStyle w:val="Sprotnaopomba-sklic"/>
          <w:sz w:val="22"/>
        </w:rPr>
        <w:footnoteReference w:id="5"/>
      </w:r>
      <w:r w:rsidRPr="00F8217C">
        <w:rPr>
          <w:sz w:val="22"/>
        </w:rPr>
        <w:t>, (iv) government effectiveness</w:t>
      </w:r>
      <w:r w:rsidRPr="00F8217C">
        <w:rPr>
          <w:rStyle w:val="Sprotnaopomba-sklic"/>
          <w:sz w:val="22"/>
        </w:rPr>
        <w:footnoteReference w:id="6"/>
      </w:r>
      <w:r w:rsidRPr="00F8217C">
        <w:rPr>
          <w:sz w:val="22"/>
        </w:rPr>
        <w:t>, and (v) control of corruption.</w:t>
      </w:r>
      <w:r w:rsidRPr="00F8217C">
        <w:rPr>
          <w:rStyle w:val="Sprotnaopomba-sklic"/>
          <w:sz w:val="22"/>
        </w:rPr>
        <w:footnoteReference w:id="7"/>
      </w:r>
      <w:r w:rsidR="00F8217C">
        <w:rPr>
          <w:sz w:val="22"/>
        </w:rPr>
        <w:t xml:space="preserve"> </w:t>
      </w:r>
      <w:r w:rsidR="006F3135" w:rsidRPr="00F8217C">
        <w:rPr>
          <w:sz w:val="22"/>
        </w:rPr>
        <w:t xml:space="preserve">Our set of pre-determined characteristics exploited as a source of variation in institutional quality consists of region-level and municipal-level geographic covariates and, specifically, include latitude and longitude coordinates (in degrees), precipitation amount (in mm), duration of sunshine (in hours per year), mean annual temperature (in °C), landlocked binary indicator, and Köppen-Geiger climatic zone. These characteristics are collected from large-scale </w:t>
      </w:r>
      <w:r w:rsidR="006F3135" w:rsidRPr="005C0E1B">
        <w:rPr>
          <w:color w:val="4472C4" w:themeColor="accent5"/>
          <w:sz w:val="22"/>
        </w:rPr>
        <w:t>Beck et. al. (2018)</w:t>
      </w:r>
      <w:r w:rsidR="006F3135" w:rsidRPr="00F8217C">
        <w:rPr>
          <w:sz w:val="22"/>
        </w:rPr>
        <w:t xml:space="preserve"> climate classification at 1km resolution of topographically corrected climatic maps for the period 1980-2016. Using 1km resolution of global map, we assemble hand-coded climatic characteristics for 2,097 regions, </w:t>
      </w:r>
      <w:proofErr w:type="gramStart"/>
      <w:r w:rsidR="006F3135" w:rsidRPr="00F8217C">
        <w:rPr>
          <w:sz w:val="22"/>
        </w:rPr>
        <w:t>provinces</w:t>
      </w:r>
      <w:proofErr w:type="gramEnd"/>
      <w:r w:rsidR="006F3135" w:rsidRPr="00F8217C">
        <w:rPr>
          <w:sz w:val="22"/>
        </w:rPr>
        <w:t xml:space="preserve"> or states from 121 countries for the period 1996-2020 and match it together with the </w:t>
      </w:r>
      <w:r w:rsidR="006F3135" w:rsidRPr="00481178">
        <w:rPr>
          <w:color w:val="4472C4" w:themeColor="accent5"/>
          <w:sz w:val="22"/>
        </w:rPr>
        <w:t>Kaufmann et. al. (2011)</w:t>
      </w:r>
      <w:r w:rsidR="006F3135" w:rsidRPr="00F8217C">
        <w:rPr>
          <w:sz w:val="22"/>
        </w:rPr>
        <w:t xml:space="preserve"> governance dataset that yields the potential donor pool with roughly 50,328 year-region/state/province-matched observations.</w:t>
      </w:r>
    </w:p>
    <w:p w14:paraId="30CB1519" w14:textId="77777777" w:rsidR="000176BF" w:rsidRPr="00F8217C" w:rsidRDefault="000176BF" w:rsidP="0067749B">
      <w:pPr>
        <w:spacing w:after="0"/>
        <w:rPr>
          <w:sz w:val="22"/>
        </w:rPr>
      </w:pPr>
    </w:p>
    <w:p w14:paraId="79F52E3B" w14:textId="77777777" w:rsidR="000176BF" w:rsidRPr="00F8217C" w:rsidRDefault="00FE6280" w:rsidP="00804B57">
      <w:pPr>
        <w:spacing w:after="0"/>
        <w:jc w:val="both"/>
        <w:rPr>
          <w:sz w:val="22"/>
        </w:rPr>
      </w:pPr>
      <w:r w:rsidRPr="00F8217C">
        <w:rPr>
          <w:sz w:val="22"/>
        </w:rPr>
        <w:lastRenderedPageBreak/>
        <w:t>Since the institutional quality can be only partially observed at the subnational level given the measurement error and ex-ante constraints, our goal is to extract the residual component of baseline governance indicator from the aggregate level from the variation in pre-determined subnational geographic covariates that are orthogonal to the institutional quality variable of interest. Residulasing the series of institutional quality to the subnational level allows us to examine whether projected institutional quality at the lower level of aggregation is higher or lower compared to the expected level implied by the multi-country and cross-regional comparison. If the underlying institutional quality residual recovered from the variation in geographic characteristics is positive, our interpretation is that the institutional quality at the subnational level is better than expected in geographically similar environment elsewhere. If the respective residual component is negative, then our interpretation is that the quality of institutions is worse than one can expect elsewhere with geographically similar characteristics. By contrast, zero residual may indicate the level of institutional quality as predicted by geographic endowments.</w:t>
      </w:r>
    </w:p>
    <w:p w14:paraId="4DFB7895" w14:textId="77777777" w:rsidR="00FE6280" w:rsidRPr="00F8217C" w:rsidRDefault="00FE6280" w:rsidP="0067749B">
      <w:pPr>
        <w:spacing w:after="0"/>
        <w:rPr>
          <w:sz w:val="22"/>
        </w:rPr>
      </w:pPr>
    </w:p>
    <w:p w14:paraId="434DBC61" w14:textId="77777777" w:rsidR="00FE6280" w:rsidRPr="00F8217C" w:rsidRDefault="00FE6280" w:rsidP="0067749B">
      <w:pPr>
        <w:spacing w:after="0"/>
        <w:rPr>
          <w:rFonts w:eastAsiaTheme="minorEastAsia"/>
          <w:sz w:val="22"/>
        </w:rPr>
      </w:pPr>
      <w:r w:rsidRPr="00F8217C">
        <w:rPr>
          <w:sz w:val="22"/>
        </w:rPr>
        <w:t xml:space="preserve">Suppose we observe a continuum of treated regions or municipalities indexed by </w:t>
      </w:r>
      <m:oMath>
        <m:r>
          <w:rPr>
            <w:rFonts w:ascii="Cambria Math" w:hAnsi="Cambria Math"/>
            <w:sz w:val="22"/>
          </w:rPr>
          <m:t>i=1,2,…N</m:t>
        </m:r>
      </m:oMath>
      <w:r w:rsidRPr="00F8217C">
        <w:rPr>
          <w:rFonts w:eastAsiaTheme="minorEastAsia"/>
          <w:sz w:val="22"/>
        </w:rPr>
        <w:t xml:space="preserve"> and a continuum of control units denoted by </w:t>
      </w:r>
      <m:oMath>
        <m:r>
          <w:rPr>
            <w:rFonts w:ascii="Cambria Math" w:eastAsiaTheme="minorEastAsia" w:hAnsi="Cambria Math"/>
            <w:sz w:val="22"/>
          </w:rPr>
          <m:t>j=1,2,…J</m:t>
        </m:r>
      </m:oMath>
      <w:r w:rsidRPr="00F8217C">
        <w:rPr>
          <w:rFonts w:eastAsiaTheme="minorEastAsia"/>
          <w:sz w:val="22"/>
        </w:rPr>
        <w:t>. Since some of the geographic characteristics are time-invariant, we extract the institutional quality residual for k-th baseline governance indicator through the canonical r</w:t>
      </w:r>
      <w:r w:rsidR="001A1EFD" w:rsidRPr="00F8217C">
        <w:rPr>
          <w:rFonts w:eastAsiaTheme="minorEastAsia"/>
          <w:sz w:val="22"/>
        </w:rPr>
        <w:t xml:space="preserve">egression of the following form for each </w:t>
      </w:r>
      <m:oMath>
        <m:r>
          <w:rPr>
            <w:rFonts w:ascii="Cambria Math" w:eastAsiaTheme="minorEastAsia" w:hAnsi="Cambria Math"/>
            <w:sz w:val="22"/>
          </w:rPr>
          <m:t>t=1,2,…T</m:t>
        </m:r>
      </m:oMath>
      <w:r w:rsidR="001A1EFD" w:rsidRPr="00F8217C">
        <w:rPr>
          <w:rFonts w:eastAsiaTheme="minorEastAsia"/>
          <w:sz w:val="22"/>
        </w:rPr>
        <w:t>:</w:t>
      </w:r>
    </w:p>
    <w:p w14:paraId="18409D52" w14:textId="77777777" w:rsidR="00FE6280" w:rsidRPr="00F8217C" w:rsidRDefault="00FE6280" w:rsidP="0067749B">
      <w:pPr>
        <w:spacing w:after="0"/>
        <w:rPr>
          <w:rFonts w:eastAsiaTheme="minorEastAsia"/>
          <w:sz w:val="22"/>
        </w:rPr>
      </w:pPr>
    </w:p>
    <w:p w14:paraId="01E02298" w14:textId="77777777" w:rsidR="00FE6280" w:rsidRPr="00F8217C" w:rsidRDefault="00000000" w:rsidP="0067749B">
      <w:pPr>
        <w:spacing w:after="0"/>
        <w:rPr>
          <w:sz w:val="22"/>
        </w:rPr>
      </w:pPr>
      <m:oMathPara>
        <m:oMath>
          <m:sSub>
            <m:sSubPr>
              <m:ctrlPr>
                <w:rPr>
                  <w:rFonts w:ascii="Cambria Math" w:hAnsi="Cambria Math"/>
                  <w:i/>
                  <w:sz w:val="22"/>
                </w:rPr>
              </m:ctrlPr>
            </m:sSubPr>
            <m:e>
              <m:r>
                <w:rPr>
                  <w:rFonts w:ascii="Cambria Math" w:hAnsi="Cambria Math"/>
                  <w:sz w:val="22"/>
                </w:rPr>
                <m:t>q</m:t>
              </m:r>
            </m:e>
            <m:sub>
              <m:r>
                <w:rPr>
                  <w:rFonts w:ascii="Cambria Math" w:hAnsi="Cambria Math"/>
                  <w:sz w:val="22"/>
                </w:rPr>
                <m:t>jϵJ</m:t>
              </m:r>
            </m:sub>
          </m:sSub>
          <m:r>
            <w:rPr>
              <w:rFonts w:ascii="Cambria Math" w:hAnsi="Cambria Math"/>
              <w:sz w:val="22"/>
            </w:rPr>
            <m:t>=</m:t>
          </m:r>
          <m:sSub>
            <m:sSubPr>
              <m:ctrlPr>
                <w:rPr>
                  <w:rFonts w:ascii="Cambria Math" w:hAnsi="Cambria Math"/>
                  <w:i/>
                  <w:sz w:val="22"/>
                </w:rPr>
              </m:ctrlPr>
            </m:sSubPr>
            <m:e>
              <m:r>
                <w:rPr>
                  <w:rFonts w:ascii="Cambria Math" w:hAnsi="Cambria Math"/>
                  <w:sz w:val="22"/>
                </w:rPr>
                <m:t>η</m:t>
              </m:r>
            </m:e>
            <m:sub>
              <m:r>
                <w:rPr>
                  <w:rFonts w:ascii="Cambria Math" w:hAnsi="Cambria Math"/>
                  <w:sz w:val="22"/>
                </w:rPr>
                <m:t>0</m:t>
              </m:r>
            </m:sub>
          </m:sSub>
          <m:r>
            <w:rPr>
              <w:rFonts w:ascii="Cambria Math" w:hAnsi="Cambria Math"/>
              <w:sz w:val="22"/>
            </w:rPr>
            <m:t>+</m:t>
          </m:r>
          <m:sSubSup>
            <m:sSubSupPr>
              <m:ctrlPr>
                <w:rPr>
                  <w:rFonts w:ascii="Cambria Math" w:hAnsi="Cambria Math"/>
                  <w:i/>
                  <w:sz w:val="22"/>
                </w:rPr>
              </m:ctrlPr>
            </m:sSubSupPr>
            <m:e>
              <m:r>
                <m:rPr>
                  <m:sty m:val="b"/>
                </m:rPr>
                <w:rPr>
                  <w:rFonts w:ascii="Cambria Math" w:hAnsi="Cambria Math"/>
                  <w:sz w:val="22"/>
                </w:rPr>
                <m:t>X</m:t>
              </m:r>
            </m:e>
            <m:sub>
              <m:r>
                <w:rPr>
                  <w:rFonts w:ascii="Cambria Math" w:hAnsi="Cambria Math"/>
                  <w:sz w:val="22"/>
                </w:rPr>
                <m:t>j,iϵN</m:t>
              </m:r>
            </m:sub>
            <m:sup>
              <m:r>
                <w:rPr>
                  <w:rFonts w:ascii="Cambria Math" w:hAnsi="Cambria Math"/>
                  <w:sz w:val="22"/>
                </w:rPr>
                <m:t>'</m:t>
              </m:r>
            </m:sup>
          </m:sSubSup>
          <m:r>
            <w:rPr>
              <w:rFonts w:ascii="Cambria Math" w:hAnsi="Cambria Math"/>
              <w:sz w:val="22"/>
            </w:rPr>
            <m:t>×α+</m:t>
          </m:r>
          <m:sSub>
            <m:sSubPr>
              <m:ctrlPr>
                <w:rPr>
                  <w:rFonts w:ascii="Cambria Math" w:hAnsi="Cambria Math"/>
                  <w:i/>
                  <w:sz w:val="22"/>
                </w:rPr>
              </m:ctrlPr>
            </m:sSubPr>
            <m:e>
              <m:r>
                <w:rPr>
                  <w:rFonts w:ascii="Cambria Math" w:hAnsi="Cambria Math"/>
                  <w:sz w:val="22"/>
                </w:rPr>
                <m:t>ε</m:t>
              </m:r>
            </m:e>
            <m:sub>
              <m:r>
                <w:rPr>
                  <w:rFonts w:ascii="Cambria Math" w:hAnsi="Cambria Math"/>
                  <w:sz w:val="22"/>
                </w:rPr>
                <m:t>j,iϵN</m:t>
              </m:r>
            </m:sub>
          </m:sSub>
        </m:oMath>
      </m:oMathPara>
    </w:p>
    <w:p w14:paraId="0E9BBF7E" w14:textId="77777777" w:rsidR="00FE6280" w:rsidRPr="00F8217C" w:rsidRDefault="00FE6280" w:rsidP="0067749B">
      <w:pPr>
        <w:spacing w:after="0"/>
        <w:rPr>
          <w:sz w:val="22"/>
        </w:rPr>
      </w:pPr>
    </w:p>
    <w:p w14:paraId="080E06F1" w14:textId="77777777" w:rsidR="001A1EFD" w:rsidRPr="00F8217C" w:rsidRDefault="008D64A5" w:rsidP="008D64A5">
      <w:pPr>
        <w:spacing w:after="0"/>
        <w:jc w:val="both"/>
        <w:rPr>
          <w:rFonts w:eastAsiaTheme="minorEastAsia"/>
          <w:sz w:val="22"/>
        </w:rPr>
      </w:pPr>
      <w:r w:rsidRPr="00F8217C">
        <w:rPr>
          <w:sz w:val="22"/>
        </w:rPr>
        <w:t>w</w:t>
      </w:r>
      <w:r w:rsidR="001A1EFD" w:rsidRPr="00F8217C">
        <w:rPr>
          <w:sz w:val="22"/>
        </w:rPr>
        <w:t xml:space="preserve">here </w:t>
      </w:r>
      <m:oMath>
        <m:r>
          <w:rPr>
            <w:rFonts w:ascii="Cambria Math" w:hAnsi="Cambria Math"/>
            <w:sz w:val="22"/>
          </w:rPr>
          <m:t>q</m:t>
        </m:r>
      </m:oMath>
      <w:r w:rsidR="001A1EFD" w:rsidRPr="00F8217C">
        <w:rPr>
          <w:rFonts w:eastAsiaTheme="minorEastAsia"/>
          <w:sz w:val="22"/>
        </w:rPr>
        <w:t xml:space="preserve"> denotes the institutional quality as a latent variable, </w:t>
      </w:r>
      <m:oMath>
        <m:sSub>
          <m:sSubPr>
            <m:ctrlPr>
              <w:rPr>
                <w:rFonts w:ascii="Cambria Math" w:hAnsi="Cambria Math"/>
                <w:i/>
                <w:sz w:val="22"/>
              </w:rPr>
            </m:ctrlPr>
          </m:sSubPr>
          <m:e>
            <m:r>
              <w:rPr>
                <w:rFonts w:ascii="Cambria Math" w:hAnsi="Cambria Math"/>
                <w:sz w:val="22"/>
              </w:rPr>
              <m:t>η</m:t>
            </m:r>
          </m:e>
          <m:sub>
            <m:r>
              <w:rPr>
                <w:rFonts w:ascii="Cambria Math" w:hAnsi="Cambria Math"/>
                <w:sz w:val="22"/>
              </w:rPr>
              <m:t>0</m:t>
            </m:r>
          </m:sub>
        </m:sSub>
      </m:oMath>
      <w:r w:rsidR="001A1EFD" w:rsidRPr="00F8217C">
        <w:rPr>
          <w:rFonts w:eastAsiaTheme="minorEastAsia"/>
          <w:sz w:val="22"/>
        </w:rPr>
        <w:t xml:space="preserve"> is the level of institutional quality, </w:t>
      </w:r>
      <m:oMath>
        <m:r>
          <m:rPr>
            <m:sty m:val="b"/>
          </m:rPr>
          <w:rPr>
            <w:rFonts w:ascii="Cambria Math" w:hAnsi="Cambria Math"/>
            <w:sz w:val="22"/>
          </w:rPr>
          <m:t>X</m:t>
        </m:r>
      </m:oMath>
      <w:r w:rsidR="001A1EFD" w:rsidRPr="00F8217C">
        <w:rPr>
          <w:rFonts w:eastAsiaTheme="minorEastAsia"/>
          <w:sz w:val="22"/>
        </w:rPr>
        <w:t xml:space="preserve"> is the vector of geographic characteristics, </w:t>
      </w:r>
      <m:oMath>
        <m:r>
          <w:rPr>
            <w:rFonts w:ascii="Cambria Math" w:hAnsi="Cambria Math"/>
            <w:sz w:val="22"/>
          </w:rPr>
          <m:t>α</m:t>
        </m:r>
      </m:oMath>
      <w:r w:rsidR="001A1EFD" w:rsidRPr="00F8217C">
        <w:rPr>
          <w:rFonts w:eastAsiaTheme="minorEastAsia"/>
          <w:sz w:val="22"/>
        </w:rPr>
        <w:t xml:space="preserve"> is the set of quality response coefficients, and </w:t>
      </w:r>
      <m:oMath>
        <m:r>
          <w:rPr>
            <w:rFonts w:ascii="Cambria Math" w:eastAsiaTheme="minorEastAsia" w:hAnsi="Cambria Math"/>
            <w:sz w:val="22"/>
          </w:rPr>
          <m:t>ε</m:t>
        </m:r>
      </m:oMath>
      <w:r w:rsidR="001A1EFD" w:rsidRPr="00F8217C">
        <w:rPr>
          <w:rFonts w:eastAsiaTheme="minorEastAsia"/>
          <w:sz w:val="22"/>
        </w:rPr>
        <w:t xml:space="preserve"> is the canonical error term. From the canonical regression of institutional on the pre-determined physical geographic characteristics, the residual component for the full repeated cross-section of treated regions and municipalities is recovered as the difference between the observed baseline indicators and its predicted counterpart implied from the variation in exogenous geographic characteristics:</w:t>
      </w:r>
    </w:p>
    <w:p w14:paraId="1D2CFE94" w14:textId="77777777" w:rsidR="001A1EFD" w:rsidRPr="00F8217C" w:rsidRDefault="001A1EFD" w:rsidP="0067749B">
      <w:pPr>
        <w:spacing w:after="0"/>
        <w:rPr>
          <w:rFonts w:eastAsiaTheme="minorEastAsia"/>
          <w:sz w:val="22"/>
        </w:rPr>
      </w:pPr>
    </w:p>
    <w:p w14:paraId="622F41FD" w14:textId="77777777" w:rsidR="001A1EFD" w:rsidRPr="00F8217C" w:rsidRDefault="00000000" w:rsidP="0067749B">
      <w:pPr>
        <w:spacing w:after="0"/>
        <w:rPr>
          <w:rFonts w:eastAsiaTheme="minorEastAsia"/>
          <w:sz w:val="22"/>
        </w:rPr>
      </w:pPr>
      <m:oMathPara>
        <m:oMath>
          <m:sSub>
            <m:sSubPr>
              <m:ctrlPr>
                <w:rPr>
                  <w:rFonts w:ascii="Cambria Math" w:eastAsiaTheme="minorEastAsia" w:hAnsi="Cambria Math"/>
                  <w:i/>
                  <w:sz w:val="22"/>
                </w:rPr>
              </m:ctrlPr>
            </m:sSubPr>
            <m:e>
              <m:r>
                <w:rPr>
                  <w:rFonts w:ascii="Cambria Math" w:eastAsiaTheme="minorEastAsia" w:hAnsi="Cambria Math"/>
                  <w:sz w:val="22"/>
                </w:rPr>
                <m:t>e</m:t>
              </m:r>
            </m:e>
            <m:sub>
              <m:r>
                <w:rPr>
                  <w:rFonts w:ascii="Cambria Math" w:eastAsiaTheme="minorEastAsia" w:hAnsi="Cambria Math"/>
                  <w:sz w:val="22"/>
                </w:rPr>
                <m:t>iϵN</m:t>
              </m:r>
            </m:sub>
          </m:sSub>
          <m:r>
            <w:rPr>
              <w:rFonts w:ascii="Cambria Math" w:eastAsiaTheme="minorEastAsia" w:hAnsi="Cambria Math"/>
              <w:sz w:val="22"/>
            </w:rPr>
            <m:t>=</m:t>
          </m:r>
          <m:sSubSup>
            <m:sSubSupPr>
              <m:ctrlPr>
                <w:rPr>
                  <w:rFonts w:ascii="Cambria Math" w:eastAsiaTheme="minorEastAsia" w:hAnsi="Cambria Math"/>
                  <w:i/>
                  <w:sz w:val="22"/>
                </w:rPr>
              </m:ctrlPr>
            </m:sSubSupPr>
            <m:e>
              <m:r>
                <w:rPr>
                  <w:rFonts w:ascii="Cambria Math" w:eastAsiaTheme="minorEastAsia" w:hAnsi="Cambria Math"/>
                  <w:sz w:val="22"/>
                </w:rPr>
                <m:t>q</m:t>
              </m:r>
            </m:e>
            <m:sub>
              <m:r>
                <w:rPr>
                  <w:rFonts w:ascii="Cambria Math" w:eastAsiaTheme="minorEastAsia" w:hAnsi="Cambria Math"/>
                  <w:sz w:val="22"/>
                </w:rPr>
                <m:t>jϵJ,N</m:t>
              </m:r>
            </m:sub>
            <m:sup>
              <m:r>
                <w:rPr>
                  <w:rFonts w:ascii="Cambria Math" w:eastAsiaTheme="minorEastAsia" w:hAnsi="Cambria Math"/>
                  <w:sz w:val="22"/>
                </w:rPr>
                <m:t>observed</m:t>
              </m:r>
            </m:sup>
          </m:sSubSup>
          <m:r>
            <w:rPr>
              <w:rFonts w:ascii="Cambria Math" w:eastAsiaTheme="minorEastAsia" w:hAnsi="Cambria Math"/>
              <w:sz w:val="22"/>
            </w:rPr>
            <m:t>-</m:t>
          </m:r>
          <m:sSubSup>
            <m:sSubSupPr>
              <m:ctrlPr>
                <w:rPr>
                  <w:rFonts w:ascii="Cambria Math" w:eastAsiaTheme="minorEastAsia" w:hAnsi="Cambria Math"/>
                  <w:i/>
                  <w:sz w:val="22"/>
                </w:rPr>
              </m:ctrlPr>
            </m:sSubSupPr>
            <m:e>
              <m:r>
                <w:rPr>
                  <w:rFonts w:ascii="Cambria Math" w:eastAsiaTheme="minorEastAsia" w:hAnsi="Cambria Math"/>
                  <w:sz w:val="22"/>
                </w:rPr>
                <m:t>q</m:t>
              </m:r>
            </m:e>
            <m:sub>
              <m:r>
                <w:rPr>
                  <w:rFonts w:ascii="Cambria Math" w:eastAsiaTheme="minorEastAsia" w:hAnsi="Cambria Math"/>
                  <w:sz w:val="22"/>
                </w:rPr>
                <m:t>iϵN∪jϵJ</m:t>
              </m:r>
            </m:sub>
            <m:sup>
              <m:r>
                <w:rPr>
                  <w:rFonts w:ascii="Cambria Math" w:eastAsiaTheme="minorEastAsia" w:hAnsi="Cambria Math"/>
                  <w:sz w:val="22"/>
                </w:rPr>
                <m:t>predicted</m:t>
              </m:r>
            </m:sup>
          </m:sSubSup>
        </m:oMath>
      </m:oMathPara>
    </w:p>
    <w:p w14:paraId="4A037907" w14:textId="77777777" w:rsidR="001A1EFD" w:rsidRPr="00F8217C" w:rsidRDefault="001A1EFD" w:rsidP="0067749B">
      <w:pPr>
        <w:spacing w:after="0"/>
        <w:rPr>
          <w:rFonts w:eastAsiaTheme="minorEastAsia"/>
          <w:sz w:val="22"/>
        </w:rPr>
      </w:pPr>
    </w:p>
    <w:p w14:paraId="0246CD86" w14:textId="77777777" w:rsidR="001A1EFD" w:rsidRPr="00F8217C" w:rsidRDefault="008D64A5" w:rsidP="008D64A5">
      <w:pPr>
        <w:spacing w:after="0"/>
        <w:jc w:val="both"/>
        <w:rPr>
          <w:rFonts w:eastAsiaTheme="minorEastAsia"/>
          <w:sz w:val="22"/>
        </w:rPr>
      </w:pPr>
      <w:r w:rsidRPr="00F8217C">
        <w:rPr>
          <w:rFonts w:eastAsiaTheme="minorEastAsia"/>
          <w:sz w:val="22"/>
        </w:rPr>
        <w:t xml:space="preserve">where </w:t>
      </w:r>
      <m:oMath>
        <m:sSubSup>
          <m:sSubSupPr>
            <m:ctrlPr>
              <w:rPr>
                <w:rFonts w:ascii="Cambria Math" w:eastAsiaTheme="minorEastAsia" w:hAnsi="Cambria Math"/>
                <w:i/>
                <w:sz w:val="22"/>
              </w:rPr>
            </m:ctrlPr>
          </m:sSubSupPr>
          <m:e>
            <m:r>
              <w:rPr>
                <w:rFonts w:ascii="Cambria Math" w:eastAsiaTheme="minorEastAsia" w:hAnsi="Cambria Math"/>
                <w:sz w:val="22"/>
              </w:rPr>
              <m:t>q</m:t>
            </m:r>
          </m:e>
          <m:sub>
            <m:r>
              <w:rPr>
                <w:rFonts w:ascii="Cambria Math" w:eastAsiaTheme="minorEastAsia" w:hAnsi="Cambria Math"/>
                <w:sz w:val="22"/>
              </w:rPr>
              <m:t>jϵJ,N</m:t>
            </m:r>
          </m:sub>
          <m:sup>
            <m:r>
              <w:rPr>
                <w:rFonts w:ascii="Cambria Math" w:eastAsiaTheme="minorEastAsia" w:hAnsi="Cambria Math"/>
                <w:sz w:val="22"/>
              </w:rPr>
              <m:t>observed</m:t>
            </m:r>
          </m:sup>
        </m:sSubSup>
      </m:oMath>
      <w:r w:rsidRPr="00F8217C">
        <w:rPr>
          <w:rFonts w:eastAsiaTheme="minorEastAsia"/>
          <w:sz w:val="22"/>
        </w:rPr>
        <w:t xml:space="preserve"> is the observed level of institutional quality from the baseline indicator, and </w:t>
      </w:r>
      <m:oMath>
        <m:sSubSup>
          <m:sSubSupPr>
            <m:ctrlPr>
              <w:rPr>
                <w:rFonts w:ascii="Cambria Math" w:eastAsiaTheme="minorEastAsia" w:hAnsi="Cambria Math"/>
                <w:i/>
                <w:sz w:val="22"/>
              </w:rPr>
            </m:ctrlPr>
          </m:sSubSupPr>
          <m:e>
            <m:r>
              <w:rPr>
                <w:rFonts w:ascii="Cambria Math" w:eastAsiaTheme="minorEastAsia" w:hAnsi="Cambria Math"/>
                <w:sz w:val="22"/>
              </w:rPr>
              <m:t>q</m:t>
            </m:r>
          </m:e>
          <m:sub>
            <m:r>
              <w:rPr>
                <w:rFonts w:ascii="Cambria Math" w:eastAsiaTheme="minorEastAsia" w:hAnsi="Cambria Math"/>
                <w:sz w:val="22"/>
              </w:rPr>
              <m:t>iϵN∪jϵJ</m:t>
            </m:r>
          </m:sub>
          <m:sup>
            <m:r>
              <w:rPr>
                <w:rFonts w:ascii="Cambria Math" w:eastAsiaTheme="minorEastAsia" w:hAnsi="Cambria Math"/>
                <w:sz w:val="22"/>
              </w:rPr>
              <m:t>predicted</m:t>
            </m:r>
          </m:sup>
        </m:sSubSup>
      </m:oMath>
      <w:r w:rsidRPr="00F8217C">
        <w:rPr>
          <w:rFonts w:eastAsiaTheme="minorEastAsia"/>
          <w:sz w:val="22"/>
        </w:rPr>
        <w:t xml:space="preserve"> is the predicted level of institutional quality for i-th municipality that belongs to j-th region and for the j-th region only. The general thrust of the residual component is that is can be used to determine spatial disparities and spreads of institutional quality over time based on the difference between the observed and predicted level of institutional quality. By the same analogy, the overall level of institutional quality can be recovered as the sum of the observed component at j-th level and the exogenous residual component at i-th level such that </w:t>
      </w:r>
      <m:oMath>
        <m:sSub>
          <m:sSubPr>
            <m:ctrlPr>
              <w:rPr>
                <w:rFonts w:ascii="Cambria Math" w:eastAsiaTheme="minorEastAsia" w:hAnsi="Cambria Math"/>
                <w:i/>
                <w:sz w:val="22"/>
              </w:rPr>
            </m:ctrlPr>
          </m:sSubPr>
          <m:e>
            <m:r>
              <w:rPr>
                <w:rFonts w:ascii="Cambria Math" w:eastAsiaTheme="minorEastAsia" w:hAnsi="Cambria Math"/>
                <w:sz w:val="22"/>
              </w:rPr>
              <m:t>Q</m:t>
            </m:r>
          </m:e>
          <m:sub>
            <m:r>
              <w:rPr>
                <w:rFonts w:ascii="Cambria Math" w:eastAsiaTheme="minorEastAsia" w:hAnsi="Cambria Math"/>
                <w:sz w:val="22"/>
              </w:rPr>
              <m:t>i∈N</m:t>
            </m:r>
          </m:sub>
        </m:sSub>
        <m:r>
          <w:rPr>
            <w:rFonts w:ascii="Cambria Math" w:eastAsiaTheme="minorEastAsia" w:hAnsi="Cambria Math"/>
            <w:sz w:val="22"/>
          </w:rPr>
          <m:t>=</m:t>
        </m:r>
        <m:sSub>
          <m:sSubPr>
            <m:ctrlPr>
              <w:rPr>
                <w:rFonts w:ascii="Cambria Math" w:eastAsiaTheme="minorEastAsia" w:hAnsi="Cambria Math"/>
                <w:i/>
                <w:sz w:val="22"/>
              </w:rPr>
            </m:ctrlPr>
          </m:sSubPr>
          <m:e>
            <m:r>
              <w:rPr>
                <w:rFonts w:ascii="Cambria Math" w:eastAsiaTheme="minorEastAsia" w:hAnsi="Cambria Math"/>
                <w:sz w:val="22"/>
              </w:rPr>
              <m:t>q</m:t>
            </m:r>
          </m:e>
          <m:sub>
            <m:r>
              <w:rPr>
                <w:rFonts w:ascii="Cambria Math" w:eastAsiaTheme="minorEastAsia" w:hAnsi="Cambria Math"/>
                <w:sz w:val="22"/>
              </w:rPr>
              <m:t>j∈J</m:t>
            </m:r>
          </m:sub>
        </m:sSub>
        <m:r>
          <w:rPr>
            <w:rFonts w:ascii="Cambria Math" w:eastAsiaTheme="minorEastAsia" w:hAnsi="Cambria Math"/>
            <w:sz w:val="22"/>
          </w:rPr>
          <m:t>+</m:t>
        </m:r>
        <m:sSub>
          <m:sSubPr>
            <m:ctrlPr>
              <w:rPr>
                <w:rFonts w:ascii="Cambria Math" w:eastAsiaTheme="minorEastAsia" w:hAnsi="Cambria Math"/>
                <w:i/>
                <w:sz w:val="22"/>
              </w:rPr>
            </m:ctrlPr>
          </m:sSubPr>
          <m:e>
            <m:r>
              <w:rPr>
                <w:rFonts w:ascii="Cambria Math" w:eastAsiaTheme="minorEastAsia" w:hAnsi="Cambria Math"/>
                <w:sz w:val="22"/>
              </w:rPr>
              <m:t>e</m:t>
            </m:r>
          </m:e>
          <m:sub>
            <m:r>
              <w:rPr>
                <w:rFonts w:ascii="Cambria Math" w:eastAsiaTheme="minorEastAsia" w:hAnsi="Cambria Math"/>
                <w:sz w:val="22"/>
              </w:rPr>
              <m:t>i∈N∪j∈J</m:t>
            </m:r>
          </m:sub>
        </m:sSub>
      </m:oMath>
      <w:r w:rsidRPr="00F8217C">
        <w:rPr>
          <w:rFonts w:eastAsiaTheme="minorEastAsia"/>
          <w:sz w:val="22"/>
        </w:rPr>
        <w:t>.</w:t>
      </w:r>
    </w:p>
    <w:p w14:paraId="71474832" w14:textId="77777777" w:rsidR="008D64A5" w:rsidRPr="00F8217C" w:rsidRDefault="008D64A5" w:rsidP="008D64A5">
      <w:pPr>
        <w:spacing w:after="0"/>
        <w:jc w:val="both"/>
        <w:rPr>
          <w:rFonts w:eastAsiaTheme="minorEastAsia"/>
          <w:sz w:val="22"/>
        </w:rPr>
      </w:pPr>
    </w:p>
    <w:p w14:paraId="56A9A10C" w14:textId="77777777" w:rsidR="008D64A5" w:rsidRPr="00F8217C" w:rsidRDefault="008D64A5" w:rsidP="008D64A5">
      <w:pPr>
        <w:spacing w:after="0"/>
        <w:jc w:val="both"/>
        <w:rPr>
          <w:rFonts w:eastAsiaTheme="minorEastAsia"/>
          <w:sz w:val="22"/>
        </w:rPr>
      </w:pPr>
      <w:r w:rsidRPr="00F8217C">
        <w:rPr>
          <w:rFonts w:eastAsiaTheme="minorEastAsia"/>
          <w:sz w:val="22"/>
        </w:rPr>
        <w:t xml:space="preserve">One of the limitations of the repeated cross-sectional estimation of the residual component arises from the time-invariance of some geographic characteristics such as latitude and longitude or binary indicators of coastal access and landlocked status. Without the loss of generality, repeating the cross-sectional canonical regression may only shift the intercept </w:t>
      </w:r>
      <m:oMath>
        <m:sSub>
          <m:sSubPr>
            <m:ctrlPr>
              <w:rPr>
                <w:rFonts w:ascii="Cambria Math" w:hAnsi="Cambria Math"/>
                <w:i/>
                <w:sz w:val="22"/>
              </w:rPr>
            </m:ctrlPr>
          </m:sSubPr>
          <m:e>
            <m:r>
              <w:rPr>
                <w:rFonts w:ascii="Cambria Math" w:hAnsi="Cambria Math"/>
                <w:sz w:val="22"/>
              </w:rPr>
              <m:t>η</m:t>
            </m:r>
          </m:e>
          <m:sub>
            <m:r>
              <w:rPr>
                <w:rFonts w:ascii="Cambria Math" w:hAnsi="Cambria Math"/>
                <w:sz w:val="22"/>
              </w:rPr>
              <m:t>0</m:t>
            </m:r>
          </m:sub>
        </m:sSub>
      </m:oMath>
      <w:r w:rsidRPr="00F8217C">
        <w:rPr>
          <w:rFonts w:eastAsiaTheme="minorEastAsia"/>
          <w:sz w:val="22"/>
        </w:rPr>
        <w:t xml:space="preserve"> upward or downward in each </w:t>
      </w:r>
      <m:oMath>
        <m:r>
          <w:rPr>
            <w:rFonts w:ascii="Cambria Math" w:eastAsiaTheme="minorEastAsia" w:hAnsi="Cambria Math"/>
            <w:sz w:val="22"/>
          </w:rPr>
          <m:t>t=1,2,…T</m:t>
        </m:r>
      </m:oMath>
      <w:r w:rsidR="00804B57" w:rsidRPr="00F8217C">
        <w:rPr>
          <w:rFonts w:eastAsiaTheme="minorEastAsia"/>
          <w:sz w:val="22"/>
        </w:rPr>
        <w:t xml:space="preserve"> whilst the variation in </w:t>
      </w:r>
      <m:oMath>
        <m:sSub>
          <m:sSubPr>
            <m:ctrlPr>
              <w:rPr>
                <w:rFonts w:ascii="Cambria Math" w:eastAsiaTheme="minorEastAsia" w:hAnsi="Cambria Math"/>
                <w:i/>
                <w:sz w:val="22"/>
              </w:rPr>
            </m:ctrlPr>
          </m:sSubPr>
          <m:e>
            <m:r>
              <w:rPr>
                <w:rFonts w:ascii="Cambria Math" w:eastAsiaTheme="minorEastAsia" w:hAnsi="Cambria Math"/>
                <w:sz w:val="22"/>
              </w:rPr>
              <m:t>Q</m:t>
            </m:r>
          </m:e>
          <m:sub>
            <m:r>
              <w:rPr>
                <w:rFonts w:ascii="Cambria Math" w:eastAsiaTheme="minorEastAsia" w:hAnsi="Cambria Math"/>
                <w:sz w:val="22"/>
              </w:rPr>
              <m:t>i∈N</m:t>
            </m:r>
          </m:sub>
        </m:sSub>
      </m:oMath>
      <w:r w:rsidR="00804B57" w:rsidRPr="00F8217C">
        <w:rPr>
          <w:rFonts w:eastAsiaTheme="minorEastAsia"/>
          <w:sz w:val="22"/>
        </w:rPr>
        <w:t xml:space="preserve"> may be the same as in </w:t>
      </w:r>
      <m:oMath>
        <m:sSub>
          <m:sSubPr>
            <m:ctrlPr>
              <w:rPr>
                <w:rFonts w:ascii="Cambria Math" w:eastAsiaTheme="minorEastAsia" w:hAnsi="Cambria Math"/>
                <w:i/>
                <w:sz w:val="22"/>
              </w:rPr>
            </m:ctrlPr>
          </m:sSubPr>
          <m:e>
            <m:r>
              <w:rPr>
                <w:rFonts w:ascii="Cambria Math" w:eastAsiaTheme="minorEastAsia" w:hAnsi="Cambria Math"/>
                <w:sz w:val="22"/>
              </w:rPr>
              <m:t>q</m:t>
            </m:r>
          </m:e>
          <m:sub>
            <m:r>
              <w:rPr>
                <w:rFonts w:ascii="Cambria Math" w:eastAsiaTheme="minorEastAsia" w:hAnsi="Cambria Math"/>
                <w:sz w:val="22"/>
              </w:rPr>
              <m:t>j∈J</m:t>
            </m:r>
          </m:sub>
        </m:sSub>
      </m:oMath>
      <w:r w:rsidR="00804B57" w:rsidRPr="00F8217C">
        <w:rPr>
          <w:rFonts w:eastAsiaTheme="minorEastAsia"/>
          <w:sz w:val="22"/>
        </w:rPr>
        <w:t>. Consequently, any attempt to isolate the effect of institutional quality from the observables and unobservables would be impossible per se since institutional differences would be treated as a set of fixed effects in panel-level analysis.</w:t>
      </w:r>
    </w:p>
    <w:p w14:paraId="44943615" w14:textId="77777777" w:rsidR="00804B57" w:rsidRPr="00F8217C" w:rsidRDefault="00804B57" w:rsidP="008D64A5">
      <w:pPr>
        <w:spacing w:after="0"/>
        <w:jc w:val="both"/>
        <w:rPr>
          <w:rFonts w:eastAsiaTheme="minorEastAsia"/>
          <w:sz w:val="22"/>
        </w:rPr>
      </w:pPr>
    </w:p>
    <w:p w14:paraId="04EB8C9D" w14:textId="77777777" w:rsidR="00804B57" w:rsidRPr="00F8217C" w:rsidRDefault="00804B57" w:rsidP="008D64A5">
      <w:pPr>
        <w:spacing w:after="0"/>
        <w:jc w:val="both"/>
        <w:rPr>
          <w:rFonts w:eastAsiaTheme="minorEastAsia"/>
          <w:sz w:val="22"/>
        </w:rPr>
      </w:pPr>
      <w:r w:rsidRPr="00F8217C">
        <w:rPr>
          <w:rFonts w:eastAsiaTheme="minorEastAsia"/>
          <w:sz w:val="22"/>
        </w:rPr>
        <w:t xml:space="preserve">To partially overcome these intrinsic limitations, we use Monte Carlo Markov Chain (MCMC) sampling algorithm for the probability distribution of the recovered residual component of institutional quality. Through the construction of Markov chain with the desired distribution as the equilibrium distribution, </w:t>
      </w:r>
      <w:r w:rsidRPr="00F8217C">
        <w:rPr>
          <w:rFonts w:eastAsiaTheme="minorEastAsia"/>
          <w:sz w:val="22"/>
        </w:rPr>
        <w:lastRenderedPageBreak/>
        <w:t>sample of target distribution can be obtained by recording the states from the chain</w:t>
      </w:r>
      <w:r w:rsidR="00481178">
        <w:rPr>
          <w:rFonts w:eastAsiaTheme="minorEastAsia"/>
          <w:sz w:val="22"/>
        </w:rPr>
        <w:t xml:space="preserve"> (</w:t>
      </w:r>
      <w:r w:rsidR="00481178" w:rsidRPr="00481178">
        <w:rPr>
          <w:rFonts w:eastAsiaTheme="minorEastAsia"/>
          <w:color w:val="4472C4" w:themeColor="accent5"/>
          <w:sz w:val="22"/>
        </w:rPr>
        <w:t>Jarner et. al. 2007</w:t>
      </w:r>
      <w:r w:rsidR="00481178">
        <w:rPr>
          <w:rFonts w:eastAsiaTheme="minorEastAsia"/>
          <w:sz w:val="22"/>
        </w:rPr>
        <w:t>)</w:t>
      </w:r>
      <w:r w:rsidRPr="00F8217C">
        <w:rPr>
          <w:rFonts w:eastAsiaTheme="minorEastAsia"/>
          <w:sz w:val="22"/>
        </w:rPr>
        <w:t xml:space="preserve">. We aim at obtaining a sequence of random samples from a probability distribution where random sampling is difficult, and thus adopt the well-known </w:t>
      </w:r>
      <w:r w:rsidRPr="00481178">
        <w:rPr>
          <w:rFonts w:eastAsiaTheme="minorEastAsia"/>
          <w:color w:val="4472C4" w:themeColor="accent5"/>
          <w:sz w:val="22"/>
        </w:rPr>
        <w:t xml:space="preserve">Metropolis et. al. (1953) </w:t>
      </w:r>
      <w:r w:rsidRPr="00F8217C">
        <w:rPr>
          <w:rFonts w:eastAsiaTheme="minorEastAsia"/>
          <w:sz w:val="22"/>
        </w:rPr>
        <w:t xml:space="preserve">and </w:t>
      </w:r>
      <w:r w:rsidRPr="00481178">
        <w:rPr>
          <w:rFonts w:eastAsiaTheme="minorEastAsia"/>
          <w:color w:val="4472C4" w:themeColor="accent5"/>
          <w:sz w:val="22"/>
        </w:rPr>
        <w:t>Hastings (1970)</w:t>
      </w:r>
      <w:r w:rsidRPr="00F8217C">
        <w:rPr>
          <w:rFonts w:eastAsiaTheme="minorEastAsia"/>
          <w:sz w:val="22"/>
        </w:rPr>
        <w:t xml:space="preserve"> algorithm to approximate the true distribution of institutional quality at the subnational level. Randomly sequenced samples can be drawn from any probability distribution that has a known probability density for which a function must be known and proportional rather than exactly equal to its density and values. Metropolis-Hastings algorithm’s ability lies in generating a sequence of random sample in such way that as more samples are produced, the distribution of values more closely approximates the target distribution through an iterative procedure that produces a Markov chain. At each iteration, the algorithm selects a candidate for the next sample value from the current sample value. Provided that probability threshold is specified ex-ante, the candidate value of institutional quality is either accepted or rejected</w:t>
      </w:r>
      <w:r w:rsidR="009115A7" w:rsidRPr="00F8217C">
        <w:rPr>
          <w:rFonts w:eastAsiaTheme="minorEastAsia"/>
          <w:sz w:val="22"/>
        </w:rPr>
        <w:t xml:space="preserve">. </w:t>
      </w:r>
    </w:p>
    <w:p w14:paraId="5B7E135D" w14:textId="77777777" w:rsidR="009115A7" w:rsidRPr="00F8217C" w:rsidRDefault="009115A7" w:rsidP="008D64A5">
      <w:pPr>
        <w:spacing w:after="0"/>
        <w:jc w:val="both"/>
        <w:rPr>
          <w:rFonts w:eastAsiaTheme="minorEastAsia"/>
          <w:sz w:val="22"/>
        </w:rPr>
      </w:pPr>
    </w:p>
    <w:p w14:paraId="0EB9B6B2" w14:textId="77777777" w:rsidR="009115A7" w:rsidRPr="00F8217C" w:rsidRDefault="009115A7" w:rsidP="008D64A5">
      <w:pPr>
        <w:spacing w:after="0"/>
        <w:jc w:val="both"/>
        <w:rPr>
          <w:rFonts w:eastAsiaTheme="minorEastAsia"/>
          <w:sz w:val="22"/>
        </w:rPr>
      </w:pPr>
      <w:r w:rsidRPr="00F8217C">
        <w:rPr>
          <w:rFonts w:eastAsiaTheme="minorEastAsia"/>
          <w:sz w:val="22"/>
        </w:rPr>
        <w:t xml:space="preserve">Let </w:t>
      </w:r>
      <m:oMath>
        <m:r>
          <w:rPr>
            <w:rFonts w:ascii="Cambria Math" w:eastAsiaTheme="minorEastAsia" w:hAnsi="Cambria Math"/>
            <w:sz w:val="22"/>
          </w:rPr>
          <m:t>f</m:t>
        </m:r>
        <m:d>
          <m:dPr>
            <m:ctrlPr>
              <w:rPr>
                <w:rFonts w:ascii="Cambria Math" w:eastAsiaTheme="minorEastAsia" w:hAnsi="Cambria Math"/>
                <w:i/>
                <w:sz w:val="22"/>
              </w:rPr>
            </m:ctrlPr>
          </m:dPr>
          <m:e>
            <m:r>
              <w:rPr>
                <w:rFonts w:ascii="Cambria Math" w:eastAsiaTheme="minorEastAsia" w:hAnsi="Cambria Math"/>
                <w:sz w:val="22"/>
              </w:rPr>
              <m:t>Q=</m:t>
            </m:r>
            <m:sSub>
              <m:sSubPr>
                <m:ctrlPr>
                  <w:rPr>
                    <w:rFonts w:ascii="Cambria Math" w:eastAsiaTheme="minorEastAsia" w:hAnsi="Cambria Math"/>
                    <w:i/>
                    <w:sz w:val="22"/>
                  </w:rPr>
                </m:ctrlPr>
              </m:sSubPr>
              <m:e>
                <m:r>
                  <w:rPr>
                    <w:rFonts w:ascii="Cambria Math" w:eastAsiaTheme="minorEastAsia" w:hAnsi="Cambria Math"/>
                    <w:sz w:val="22"/>
                  </w:rPr>
                  <m:t>e</m:t>
                </m:r>
              </m:e>
              <m:sub>
                <m:r>
                  <w:rPr>
                    <w:rFonts w:ascii="Cambria Math" w:eastAsiaTheme="minorEastAsia" w:hAnsi="Cambria Math"/>
                    <w:sz w:val="22"/>
                  </w:rPr>
                  <m:t>iϵN</m:t>
                </m:r>
              </m:sub>
            </m:sSub>
          </m:e>
        </m:d>
      </m:oMath>
      <w:r w:rsidRPr="00F8217C">
        <w:rPr>
          <w:rFonts w:eastAsiaTheme="minorEastAsia"/>
          <w:sz w:val="22"/>
        </w:rPr>
        <w:t xml:space="preserve"> be a function proportional to the target probability distribution denoted by </w:t>
      </w:r>
      <m:oMath>
        <m:r>
          <w:rPr>
            <w:rFonts w:ascii="Cambria Math" w:eastAsiaTheme="minorEastAsia" w:hAnsi="Cambria Math"/>
            <w:sz w:val="22"/>
          </w:rPr>
          <m:t>P</m:t>
        </m:r>
        <m:d>
          <m:dPr>
            <m:ctrlPr>
              <w:rPr>
                <w:rFonts w:ascii="Cambria Math" w:eastAsiaTheme="minorEastAsia" w:hAnsi="Cambria Math"/>
                <w:i/>
                <w:sz w:val="22"/>
              </w:rPr>
            </m:ctrlPr>
          </m:dPr>
          <m:e>
            <m:r>
              <w:rPr>
                <w:rFonts w:ascii="Cambria Math" w:eastAsiaTheme="minorEastAsia" w:hAnsi="Cambria Math"/>
                <w:sz w:val="22"/>
              </w:rPr>
              <m:t>Q=</m:t>
            </m:r>
            <m:sSub>
              <m:sSubPr>
                <m:ctrlPr>
                  <w:rPr>
                    <w:rFonts w:ascii="Cambria Math" w:eastAsiaTheme="minorEastAsia" w:hAnsi="Cambria Math"/>
                    <w:i/>
                    <w:sz w:val="22"/>
                  </w:rPr>
                </m:ctrlPr>
              </m:sSubPr>
              <m:e>
                <m:r>
                  <w:rPr>
                    <w:rFonts w:ascii="Cambria Math" w:eastAsiaTheme="minorEastAsia" w:hAnsi="Cambria Math"/>
                    <w:sz w:val="22"/>
                  </w:rPr>
                  <m:t>e</m:t>
                </m:r>
              </m:e>
              <m:sub>
                <m:r>
                  <w:rPr>
                    <w:rFonts w:ascii="Cambria Math" w:eastAsiaTheme="minorEastAsia" w:hAnsi="Cambria Math"/>
                    <w:sz w:val="22"/>
                  </w:rPr>
                  <m:t>iϵN</m:t>
                </m:r>
              </m:sub>
            </m:sSub>
          </m:e>
        </m:d>
      </m:oMath>
      <w:r w:rsidRPr="00F8217C">
        <w:rPr>
          <w:rFonts w:eastAsiaTheme="minorEastAsia"/>
          <w:sz w:val="22"/>
        </w:rPr>
        <w:t xml:space="preserve">. Our goal is to obtain a posterior parameter of institutional quality at the subnational level to be evaluated, </w:t>
      </w:r>
      <m:oMath>
        <m:r>
          <w:rPr>
            <w:rFonts w:ascii="Cambria Math" w:eastAsiaTheme="minorEastAsia" w:hAnsi="Cambria Math"/>
            <w:sz w:val="22"/>
          </w:rPr>
          <m:t>π</m:t>
        </m:r>
        <m:d>
          <m:dPr>
            <m:ctrlPr>
              <w:rPr>
                <w:rFonts w:ascii="Cambria Math" w:eastAsiaTheme="minorEastAsia" w:hAnsi="Cambria Math"/>
                <w:i/>
                <w:sz w:val="22"/>
              </w:rPr>
            </m:ctrlPr>
          </m:dPr>
          <m:e>
            <m:sSub>
              <m:sSubPr>
                <m:ctrlPr>
                  <w:rPr>
                    <w:rFonts w:ascii="Cambria Math" w:eastAsiaTheme="minorEastAsia" w:hAnsi="Cambria Math"/>
                    <w:sz w:val="22"/>
                  </w:rPr>
                </m:ctrlPr>
              </m:sSubPr>
              <m:e>
                <m:r>
                  <m:rPr>
                    <m:sty m:val="p"/>
                  </m:rPr>
                  <w:rPr>
                    <w:rFonts w:ascii="Cambria Math" w:eastAsiaTheme="minorEastAsia" w:hAnsi="Cambria Math"/>
                    <w:sz w:val="22"/>
                  </w:rPr>
                  <m:t>Θ</m:t>
                </m:r>
              </m:e>
              <m:sub>
                <m:r>
                  <w:rPr>
                    <w:rFonts w:ascii="Cambria Math" w:eastAsiaTheme="minorEastAsia" w:hAnsi="Cambria Math"/>
                    <w:sz w:val="22"/>
                  </w:rPr>
                  <m:t>i</m:t>
                </m:r>
              </m:sub>
            </m:sSub>
          </m:e>
        </m:d>
        <m:r>
          <w:rPr>
            <w:rFonts w:ascii="Cambria Math" w:eastAsiaTheme="minorEastAsia" w:hAnsi="Cambria Math"/>
            <w:sz w:val="22"/>
          </w:rPr>
          <m:t>=p</m:t>
        </m:r>
        <m:d>
          <m:dPr>
            <m:ctrlPr>
              <w:rPr>
                <w:rFonts w:ascii="Cambria Math" w:eastAsiaTheme="minorEastAsia" w:hAnsi="Cambria Math"/>
                <w:i/>
                <w:sz w:val="22"/>
              </w:rPr>
            </m:ctrlPr>
          </m:dPr>
          <m:e>
            <m:sSub>
              <m:sSubPr>
                <m:ctrlPr>
                  <w:rPr>
                    <w:rFonts w:ascii="Cambria Math" w:eastAsiaTheme="minorEastAsia" w:hAnsi="Cambria Math"/>
                    <w:sz w:val="22"/>
                  </w:rPr>
                </m:ctrlPr>
              </m:sSubPr>
              <m:e>
                <m:r>
                  <m:rPr>
                    <m:sty m:val="p"/>
                  </m:rPr>
                  <w:rPr>
                    <w:rFonts w:ascii="Cambria Math" w:eastAsiaTheme="minorEastAsia" w:hAnsi="Cambria Math"/>
                    <w:sz w:val="22"/>
                  </w:rPr>
                  <m:t>Θ</m:t>
                </m:r>
              </m:e>
              <m:sub>
                <m:r>
                  <w:rPr>
                    <w:rFonts w:ascii="Cambria Math" w:eastAsiaTheme="minorEastAsia" w:hAnsi="Cambria Math"/>
                    <w:sz w:val="22"/>
                  </w:rPr>
                  <m:t>i</m:t>
                </m:r>
              </m:sub>
            </m:sSub>
            <m:r>
              <w:rPr>
                <w:rFonts w:ascii="Cambria Math" w:eastAsiaTheme="minorEastAsia" w:hAnsi="Cambria Math"/>
                <w:sz w:val="22"/>
              </w:rPr>
              <m:t>|</m:t>
            </m:r>
            <m:sSub>
              <m:sSubPr>
                <m:ctrlPr>
                  <w:rPr>
                    <w:rFonts w:ascii="Cambria Math" w:eastAsiaTheme="minorEastAsia" w:hAnsi="Cambria Math"/>
                    <w:sz w:val="22"/>
                  </w:rPr>
                </m:ctrlPr>
              </m:sSubPr>
              <m:e>
                <m:r>
                  <m:rPr>
                    <m:sty m:val="p"/>
                  </m:rPr>
                  <w:rPr>
                    <w:rFonts w:ascii="Cambria Math" w:eastAsiaTheme="minorEastAsia" w:hAnsi="Cambria Math"/>
                    <w:sz w:val="22"/>
                  </w:rPr>
                  <m:t>Θ</m:t>
                </m:r>
              </m:e>
              <m:sub>
                <m:r>
                  <w:rPr>
                    <w:rFonts w:ascii="Cambria Math" w:eastAsiaTheme="minorEastAsia" w:hAnsi="Cambria Math"/>
                    <w:sz w:val="22"/>
                  </w:rPr>
                  <m:t>i-1</m:t>
                </m:r>
              </m:sub>
            </m:sSub>
            <m:r>
              <w:rPr>
                <w:rFonts w:ascii="Cambria Math" w:eastAsiaTheme="minorEastAsia" w:hAnsi="Cambria Math"/>
                <w:sz w:val="22"/>
              </w:rPr>
              <m:t>,</m:t>
            </m:r>
            <m:r>
              <m:rPr>
                <m:sty m:val="b"/>
              </m:rPr>
              <w:rPr>
                <w:rFonts w:ascii="Cambria Math" w:eastAsiaTheme="minorEastAsia" w:hAnsi="Cambria Math"/>
                <w:sz w:val="22"/>
              </w:rPr>
              <m:t>X</m:t>
            </m:r>
            <m:r>
              <w:rPr>
                <w:rFonts w:ascii="Cambria Math" w:eastAsiaTheme="minorEastAsia" w:hAnsi="Cambria Math"/>
                <w:sz w:val="22"/>
              </w:rPr>
              <m:t>,Q</m:t>
            </m:r>
          </m:e>
        </m:d>
      </m:oMath>
      <w:r w:rsidRPr="00F8217C">
        <w:rPr>
          <w:rFonts w:eastAsiaTheme="minorEastAsia"/>
          <w:sz w:val="22"/>
        </w:rPr>
        <w:t xml:space="preserve"> where a single parameter is sampled from one-dimensional distribution </w:t>
      </w:r>
      <m:oMath>
        <m:r>
          <w:rPr>
            <w:rFonts w:ascii="Cambria Math" w:eastAsiaTheme="minorEastAsia" w:hAnsi="Cambria Math"/>
            <w:sz w:val="22"/>
          </w:rPr>
          <m:t>π</m:t>
        </m:r>
        <m:d>
          <m:dPr>
            <m:ctrlPr>
              <w:rPr>
                <w:rFonts w:ascii="Cambria Math" w:eastAsiaTheme="minorEastAsia" w:hAnsi="Cambria Math"/>
                <w:i/>
                <w:sz w:val="22"/>
              </w:rPr>
            </m:ctrlPr>
          </m:dPr>
          <m:e>
            <m:r>
              <m:rPr>
                <m:sty m:val="p"/>
              </m:rPr>
              <w:rPr>
                <w:rFonts w:ascii="Cambria Math" w:eastAsiaTheme="minorEastAsia" w:hAnsi="Cambria Math"/>
                <w:sz w:val="22"/>
              </w:rPr>
              <m:t>Θ</m:t>
            </m:r>
          </m:e>
        </m:d>
      </m:oMath>
      <w:r w:rsidRPr="00F8217C">
        <w:rPr>
          <w:rFonts w:eastAsiaTheme="minorEastAsia"/>
          <w:sz w:val="22"/>
        </w:rPr>
        <w:t xml:space="preserve">. To generate samples from </w:t>
      </w:r>
      <m:oMath>
        <m:r>
          <w:rPr>
            <w:rFonts w:ascii="Cambria Math" w:eastAsiaTheme="minorEastAsia" w:hAnsi="Cambria Math"/>
            <w:sz w:val="22"/>
          </w:rPr>
          <m:t>π</m:t>
        </m:r>
        <m:d>
          <m:dPr>
            <m:ctrlPr>
              <w:rPr>
                <w:rFonts w:ascii="Cambria Math" w:eastAsiaTheme="minorEastAsia" w:hAnsi="Cambria Math"/>
                <w:i/>
                <w:sz w:val="22"/>
              </w:rPr>
            </m:ctrlPr>
          </m:dPr>
          <m:e>
            <m:r>
              <m:rPr>
                <m:sty m:val="p"/>
              </m:rPr>
              <w:rPr>
                <w:rFonts w:ascii="Cambria Math" w:eastAsiaTheme="minorEastAsia" w:hAnsi="Cambria Math"/>
                <w:sz w:val="22"/>
              </w:rPr>
              <m:t>Θ</m:t>
            </m:r>
          </m:e>
        </m:d>
      </m:oMath>
      <w:r w:rsidRPr="00F8217C">
        <w:rPr>
          <w:rFonts w:eastAsiaTheme="minorEastAsia"/>
          <w:sz w:val="22"/>
        </w:rPr>
        <w:t xml:space="preserve">, the algorithm specifies a recognizable proposed probability density denoted as </w:t>
      </w:r>
      <m:oMath>
        <m:r>
          <w:rPr>
            <w:rFonts w:ascii="Cambria Math" w:eastAsiaTheme="minorEastAsia" w:hAnsi="Cambria Math"/>
            <w:sz w:val="22"/>
          </w:rPr>
          <m:t>q</m:t>
        </m:r>
        <m:d>
          <m:dPr>
            <m:ctrlPr>
              <w:rPr>
                <w:rFonts w:ascii="Cambria Math" w:eastAsiaTheme="minorEastAsia" w:hAnsi="Cambria Math"/>
                <w:i/>
                <w:sz w:val="22"/>
              </w:rPr>
            </m:ctrlPr>
          </m:dPr>
          <m:e>
            <m:sSup>
              <m:sSupPr>
                <m:ctrlPr>
                  <w:rPr>
                    <w:rFonts w:ascii="Cambria Math" w:eastAsiaTheme="minorEastAsia" w:hAnsi="Cambria Math"/>
                    <w:sz w:val="22"/>
                  </w:rPr>
                </m:ctrlPr>
              </m:sSupPr>
              <m:e>
                <m:r>
                  <m:rPr>
                    <m:sty m:val="p"/>
                  </m:rPr>
                  <w:rPr>
                    <w:rFonts w:ascii="Cambria Math" w:eastAsiaTheme="minorEastAsia" w:hAnsi="Cambria Math"/>
                    <w:sz w:val="22"/>
                  </w:rPr>
                  <m:t>Θ</m:t>
                </m:r>
              </m:e>
              <m:sup>
                <m:r>
                  <w:rPr>
                    <w:rFonts w:ascii="Cambria Math" w:eastAsiaTheme="minorEastAsia" w:hAnsi="Cambria Math"/>
                    <w:sz w:val="22"/>
                  </w:rPr>
                  <m:t>g+1</m:t>
                </m:r>
              </m:sup>
            </m:sSup>
            <m:r>
              <w:rPr>
                <w:rFonts w:ascii="Cambria Math" w:eastAsiaTheme="minorEastAsia" w:hAnsi="Cambria Math"/>
                <w:sz w:val="22"/>
              </w:rPr>
              <m:t>|</m:t>
            </m:r>
            <m:sSup>
              <m:sSupPr>
                <m:ctrlPr>
                  <w:rPr>
                    <w:rFonts w:ascii="Cambria Math" w:eastAsiaTheme="minorEastAsia" w:hAnsi="Cambria Math"/>
                    <w:sz w:val="22"/>
                  </w:rPr>
                </m:ctrlPr>
              </m:sSupPr>
              <m:e>
                <m:r>
                  <m:rPr>
                    <m:sty m:val="p"/>
                  </m:rPr>
                  <w:rPr>
                    <w:rFonts w:ascii="Cambria Math" w:eastAsiaTheme="minorEastAsia" w:hAnsi="Cambria Math"/>
                    <w:sz w:val="22"/>
                  </w:rPr>
                  <m:t>Θ</m:t>
                </m:r>
              </m:e>
              <m:sup>
                <m:r>
                  <w:rPr>
                    <w:rFonts w:ascii="Cambria Math" w:eastAsiaTheme="minorEastAsia" w:hAnsi="Cambria Math"/>
                    <w:sz w:val="22"/>
                  </w:rPr>
                  <m:t>g</m:t>
                </m:r>
              </m:sup>
            </m:sSup>
          </m:e>
        </m:d>
      </m:oMath>
      <w:r w:rsidR="00610689" w:rsidRPr="00F8217C">
        <w:rPr>
          <w:rFonts w:eastAsiaTheme="minorEastAsia"/>
          <w:sz w:val="22"/>
        </w:rPr>
        <w:t xml:space="preserve"> with the density ratio requirement </w:t>
      </w:r>
      <m:oMath>
        <m:f>
          <m:fPr>
            <m:ctrlPr>
              <w:rPr>
                <w:rFonts w:ascii="Cambria Math" w:eastAsiaTheme="minorEastAsia" w:hAnsi="Cambria Math"/>
                <w:i/>
                <w:sz w:val="22"/>
              </w:rPr>
            </m:ctrlPr>
          </m:fPr>
          <m:num>
            <m:r>
              <w:rPr>
                <w:rFonts w:ascii="Cambria Math" w:eastAsiaTheme="minorEastAsia" w:hAnsi="Cambria Math"/>
                <w:sz w:val="22"/>
              </w:rPr>
              <m:t>π</m:t>
            </m:r>
            <m:d>
              <m:dPr>
                <m:ctrlPr>
                  <w:rPr>
                    <w:rFonts w:ascii="Cambria Math" w:eastAsiaTheme="minorEastAsia" w:hAnsi="Cambria Math"/>
                    <w:i/>
                    <w:sz w:val="22"/>
                  </w:rPr>
                </m:ctrlPr>
              </m:dPr>
              <m:e>
                <m:sSup>
                  <m:sSupPr>
                    <m:ctrlPr>
                      <w:rPr>
                        <w:rFonts w:ascii="Cambria Math" w:eastAsiaTheme="minorEastAsia" w:hAnsi="Cambria Math"/>
                        <w:sz w:val="22"/>
                      </w:rPr>
                    </m:ctrlPr>
                  </m:sSupPr>
                  <m:e>
                    <m:r>
                      <m:rPr>
                        <m:sty m:val="p"/>
                      </m:rPr>
                      <w:rPr>
                        <w:rFonts w:ascii="Cambria Math" w:eastAsiaTheme="minorEastAsia" w:hAnsi="Cambria Math"/>
                        <w:sz w:val="22"/>
                      </w:rPr>
                      <m:t>Θ</m:t>
                    </m:r>
                  </m:e>
                  <m:sup>
                    <m:r>
                      <w:rPr>
                        <w:rFonts w:ascii="Cambria Math" w:eastAsiaTheme="minorEastAsia" w:hAnsi="Cambria Math"/>
                        <w:sz w:val="22"/>
                      </w:rPr>
                      <m:t>g+1</m:t>
                    </m:r>
                  </m:sup>
                </m:sSup>
              </m:e>
            </m:d>
          </m:num>
          <m:den>
            <m:r>
              <w:rPr>
                <w:rFonts w:ascii="Cambria Math" w:eastAsiaTheme="minorEastAsia" w:hAnsi="Cambria Math"/>
                <w:sz w:val="22"/>
              </w:rPr>
              <m:t>π</m:t>
            </m:r>
            <m:d>
              <m:dPr>
                <m:ctrlPr>
                  <w:rPr>
                    <w:rFonts w:ascii="Cambria Math" w:eastAsiaTheme="minorEastAsia" w:hAnsi="Cambria Math"/>
                    <w:i/>
                    <w:sz w:val="22"/>
                  </w:rPr>
                </m:ctrlPr>
              </m:dPr>
              <m:e>
                <m:sSup>
                  <m:sSupPr>
                    <m:ctrlPr>
                      <w:rPr>
                        <w:rFonts w:ascii="Cambria Math" w:eastAsiaTheme="minorEastAsia" w:hAnsi="Cambria Math"/>
                        <w:sz w:val="22"/>
                      </w:rPr>
                    </m:ctrlPr>
                  </m:sSupPr>
                  <m:e>
                    <m:r>
                      <m:rPr>
                        <m:sty m:val="p"/>
                      </m:rPr>
                      <w:rPr>
                        <w:rFonts w:ascii="Cambria Math" w:eastAsiaTheme="minorEastAsia" w:hAnsi="Cambria Math"/>
                        <w:sz w:val="22"/>
                      </w:rPr>
                      <m:t>Θ</m:t>
                    </m:r>
                  </m:e>
                  <m:sup>
                    <m:r>
                      <w:rPr>
                        <w:rFonts w:ascii="Cambria Math" w:eastAsiaTheme="minorEastAsia" w:hAnsi="Cambria Math"/>
                        <w:sz w:val="22"/>
                      </w:rPr>
                      <m:t>g</m:t>
                    </m:r>
                  </m:sup>
                </m:sSup>
              </m:e>
            </m:d>
          </m:den>
        </m:f>
      </m:oMath>
      <w:r w:rsidR="00610689" w:rsidRPr="00F8217C">
        <w:rPr>
          <w:rFonts w:eastAsiaTheme="minorEastAsia"/>
          <w:sz w:val="22"/>
        </w:rPr>
        <w:t xml:space="preserve">. In this respect, the algorithm is similar to the Gibbs </w:t>
      </w:r>
      <w:proofErr w:type="gramStart"/>
      <w:r w:rsidR="00610689" w:rsidRPr="00F8217C">
        <w:rPr>
          <w:rFonts w:eastAsiaTheme="minorEastAsia"/>
          <w:sz w:val="22"/>
        </w:rPr>
        <w:t>sampler</w:t>
      </w:r>
      <w:proofErr w:type="gramEnd"/>
      <w:r w:rsidR="00610689" w:rsidRPr="00F8217C">
        <w:rPr>
          <w:rFonts w:eastAsiaTheme="minorEastAsia"/>
          <w:sz w:val="22"/>
        </w:rPr>
        <w:t xml:space="preserve"> but it draws a candidate value first that will be accepted or rejected based on the acceptance probability. For the sake of brevity, we adopt a two-stage sampling procedure:</w:t>
      </w:r>
    </w:p>
    <w:p w14:paraId="05A29153" w14:textId="77777777" w:rsidR="00610689" w:rsidRPr="00F8217C" w:rsidRDefault="00610689" w:rsidP="008D64A5">
      <w:pPr>
        <w:spacing w:after="0"/>
        <w:jc w:val="both"/>
        <w:rPr>
          <w:rFonts w:eastAsiaTheme="minorEastAsia"/>
          <w:sz w:val="22"/>
        </w:rPr>
      </w:pPr>
    </w:p>
    <w:p w14:paraId="48ADDBA4" w14:textId="77777777" w:rsidR="00610689" w:rsidRPr="00F8217C" w:rsidRDefault="00610689" w:rsidP="008D64A5">
      <w:pPr>
        <w:spacing w:after="0"/>
        <w:jc w:val="both"/>
        <w:rPr>
          <w:rFonts w:eastAsiaTheme="minorEastAsia"/>
          <w:sz w:val="22"/>
        </w:rPr>
      </w:pPr>
      <w:r w:rsidRPr="00F8217C">
        <w:rPr>
          <w:rFonts w:eastAsiaTheme="minorEastAsia"/>
          <w:b/>
          <w:sz w:val="22"/>
        </w:rPr>
        <w:t>Step #1</w:t>
      </w:r>
      <w:r w:rsidRPr="00F8217C">
        <w:rPr>
          <w:rFonts w:eastAsiaTheme="minorEastAsia"/>
          <w:sz w:val="22"/>
        </w:rPr>
        <w:t xml:space="preserve">: Draw </w:t>
      </w:r>
      <m:oMath>
        <m:sSup>
          <m:sSupPr>
            <m:ctrlPr>
              <w:rPr>
                <w:rFonts w:ascii="Cambria Math" w:eastAsiaTheme="minorEastAsia" w:hAnsi="Cambria Math"/>
                <w:sz w:val="22"/>
              </w:rPr>
            </m:ctrlPr>
          </m:sSupPr>
          <m:e>
            <m:r>
              <m:rPr>
                <m:sty m:val="p"/>
              </m:rPr>
              <w:rPr>
                <w:rFonts w:ascii="Cambria Math" w:eastAsiaTheme="minorEastAsia" w:hAnsi="Cambria Math"/>
                <w:sz w:val="22"/>
              </w:rPr>
              <m:t>Θ</m:t>
            </m:r>
          </m:e>
          <m:sup>
            <m:r>
              <w:rPr>
                <w:rFonts w:ascii="Cambria Math" w:eastAsiaTheme="minorEastAsia" w:hAnsi="Cambria Math"/>
                <w:sz w:val="22"/>
              </w:rPr>
              <m:t>g+1</m:t>
            </m:r>
          </m:sup>
        </m:sSup>
      </m:oMath>
      <w:r w:rsidRPr="00F8217C">
        <w:rPr>
          <w:rFonts w:eastAsiaTheme="minorEastAsia"/>
          <w:sz w:val="22"/>
        </w:rPr>
        <w:t xml:space="preserve"> from the proposal density </w:t>
      </w:r>
      <m:oMath>
        <m:r>
          <w:rPr>
            <w:rFonts w:ascii="Cambria Math" w:eastAsiaTheme="minorEastAsia" w:hAnsi="Cambria Math"/>
            <w:sz w:val="22"/>
          </w:rPr>
          <m:t>q</m:t>
        </m:r>
        <m:d>
          <m:dPr>
            <m:ctrlPr>
              <w:rPr>
                <w:rFonts w:ascii="Cambria Math" w:eastAsiaTheme="minorEastAsia" w:hAnsi="Cambria Math"/>
                <w:i/>
                <w:sz w:val="22"/>
              </w:rPr>
            </m:ctrlPr>
          </m:dPr>
          <m:e>
            <m:sSup>
              <m:sSupPr>
                <m:ctrlPr>
                  <w:rPr>
                    <w:rFonts w:ascii="Cambria Math" w:eastAsiaTheme="minorEastAsia" w:hAnsi="Cambria Math"/>
                    <w:sz w:val="22"/>
                  </w:rPr>
                </m:ctrlPr>
              </m:sSupPr>
              <m:e>
                <m:r>
                  <m:rPr>
                    <m:sty m:val="p"/>
                  </m:rPr>
                  <w:rPr>
                    <w:rFonts w:ascii="Cambria Math" w:eastAsiaTheme="minorEastAsia" w:hAnsi="Cambria Math"/>
                    <w:sz w:val="22"/>
                  </w:rPr>
                  <m:t>Θ</m:t>
                </m:r>
              </m:e>
              <m:sup>
                <m:r>
                  <w:rPr>
                    <w:rFonts w:ascii="Cambria Math" w:eastAsiaTheme="minorEastAsia" w:hAnsi="Cambria Math"/>
                    <w:sz w:val="22"/>
                  </w:rPr>
                  <m:t>g+1</m:t>
                </m:r>
              </m:sup>
            </m:sSup>
            <m:r>
              <w:rPr>
                <w:rFonts w:ascii="Cambria Math" w:eastAsiaTheme="minorEastAsia" w:hAnsi="Cambria Math"/>
                <w:sz w:val="22"/>
              </w:rPr>
              <m:t>|</m:t>
            </m:r>
            <m:sSup>
              <m:sSupPr>
                <m:ctrlPr>
                  <w:rPr>
                    <w:rFonts w:ascii="Cambria Math" w:eastAsiaTheme="minorEastAsia" w:hAnsi="Cambria Math"/>
                    <w:sz w:val="22"/>
                  </w:rPr>
                </m:ctrlPr>
              </m:sSupPr>
              <m:e>
                <m:r>
                  <m:rPr>
                    <m:sty m:val="p"/>
                  </m:rPr>
                  <w:rPr>
                    <w:rFonts w:ascii="Cambria Math" w:eastAsiaTheme="minorEastAsia" w:hAnsi="Cambria Math"/>
                    <w:sz w:val="22"/>
                  </w:rPr>
                  <m:t>Θ</m:t>
                </m:r>
              </m:e>
              <m:sup>
                <m:r>
                  <w:rPr>
                    <w:rFonts w:ascii="Cambria Math" w:eastAsiaTheme="minorEastAsia" w:hAnsi="Cambria Math"/>
                    <w:sz w:val="22"/>
                  </w:rPr>
                  <m:t>g</m:t>
                </m:r>
              </m:sup>
            </m:sSup>
          </m:e>
        </m:d>
      </m:oMath>
    </w:p>
    <w:p w14:paraId="50D00F26" w14:textId="77777777" w:rsidR="00610689" w:rsidRPr="00F8217C" w:rsidRDefault="00441E40" w:rsidP="00610689">
      <w:pPr>
        <w:spacing w:after="0"/>
        <w:jc w:val="both"/>
        <w:rPr>
          <w:rFonts w:eastAsiaTheme="minorEastAsia"/>
          <w:sz w:val="22"/>
        </w:rPr>
      </w:pPr>
      <w:r w:rsidRPr="00F8217C">
        <w:rPr>
          <w:rFonts w:eastAsiaTheme="minorEastAsia"/>
          <w:b/>
          <w:sz w:val="22"/>
        </w:rPr>
        <w:t xml:space="preserve">Step </w:t>
      </w:r>
      <w:r w:rsidR="00610689" w:rsidRPr="00F8217C">
        <w:rPr>
          <w:rFonts w:eastAsiaTheme="minorEastAsia"/>
          <w:b/>
          <w:sz w:val="22"/>
        </w:rPr>
        <w:t>#2</w:t>
      </w:r>
      <w:r w:rsidR="00610689" w:rsidRPr="00F8217C">
        <w:rPr>
          <w:rFonts w:eastAsiaTheme="minorEastAsia"/>
          <w:sz w:val="22"/>
        </w:rPr>
        <w:t xml:space="preserve">: Accept </w:t>
      </w:r>
      <m:oMath>
        <m:sSup>
          <m:sSupPr>
            <m:ctrlPr>
              <w:rPr>
                <w:rFonts w:ascii="Cambria Math" w:eastAsiaTheme="minorEastAsia" w:hAnsi="Cambria Math"/>
                <w:sz w:val="22"/>
              </w:rPr>
            </m:ctrlPr>
          </m:sSupPr>
          <m:e>
            <m:r>
              <m:rPr>
                <m:sty m:val="p"/>
              </m:rPr>
              <w:rPr>
                <w:rFonts w:ascii="Cambria Math" w:eastAsiaTheme="minorEastAsia" w:hAnsi="Cambria Math"/>
                <w:sz w:val="22"/>
              </w:rPr>
              <m:t>Θ</m:t>
            </m:r>
          </m:e>
          <m:sup>
            <m:r>
              <w:rPr>
                <w:rFonts w:ascii="Cambria Math" w:eastAsiaTheme="minorEastAsia" w:hAnsi="Cambria Math"/>
                <w:sz w:val="22"/>
              </w:rPr>
              <m:t>g+1</m:t>
            </m:r>
          </m:sup>
        </m:sSup>
      </m:oMath>
      <w:r w:rsidR="00610689" w:rsidRPr="00F8217C">
        <w:rPr>
          <w:rFonts w:eastAsiaTheme="minorEastAsia"/>
          <w:sz w:val="22"/>
        </w:rPr>
        <w:t xml:space="preserve"> with probability </w:t>
      </w:r>
      <m:oMath>
        <m:r>
          <w:rPr>
            <w:rFonts w:ascii="Cambria Math" w:eastAsiaTheme="minorEastAsia" w:hAnsi="Cambria Math"/>
            <w:sz w:val="22"/>
          </w:rPr>
          <m:t>γ</m:t>
        </m:r>
        <m:d>
          <m:dPr>
            <m:ctrlPr>
              <w:rPr>
                <w:rFonts w:ascii="Cambria Math" w:eastAsiaTheme="minorEastAsia" w:hAnsi="Cambria Math"/>
                <w:sz w:val="22"/>
              </w:rPr>
            </m:ctrlPr>
          </m:dPr>
          <m:e>
            <m:sSup>
              <m:sSupPr>
                <m:ctrlPr>
                  <w:rPr>
                    <w:rFonts w:ascii="Cambria Math" w:eastAsiaTheme="minorEastAsia" w:hAnsi="Cambria Math"/>
                    <w:sz w:val="22"/>
                  </w:rPr>
                </m:ctrlPr>
              </m:sSupPr>
              <m:e>
                <m:r>
                  <m:rPr>
                    <m:sty m:val="p"/>
                  </m:rPr>
                  <w:rPr>
                    <w:rFonts w:ascii="Cambria Math" w:eastAsiaTheme="minorEastAsia" w:hAnsi="Cambria Math"/>
                    <w:sz w:val="22"/>
                  </w:rPr>
                  <m:t>Θ</m:t>
                </m:r>
              </m:e>
              <m:sup>
                <m:r>
                  <w:rPr>
                    <w:rFonts w:ascii="Cambria Math" w:eastAsiaTheme="minorEastAsia" w:hAnsi="Cambria Math"/>
                    <w:sz w:val="22"/>
                  </w:rPr>
                  <m:t>g+1</m:t>
                </m:r>
              </m:sup>
            </m:sSup>
            <m:r>
              <w:rPr>
                <w:rFonts w:ascii="Cambria Math" w:eastAsiaTheme="minorEastAsia" w:hAnsi="Cambria Math"/>
                <w:sz w:val="22"/>
              </w:rPr>
              <m:t>|</m:t>
            </m:r>
            <m:sSup>
              <m:sSupPr>
                <m:ctrlPr>
                  <w:rPr>
                    <w:rFonts w:ascii="Cambria Math" w:eastAsiaTheme="minorEastAsia" w:hAnsi="Cambria Math"/>
                    <w:sz w:val="22"/>
                  </w:rPr>
                </m:ctrlPr>
              </m:sSupPr>
              <m:e>
                <m:r>
                  <m:rPr>
                    <m:sty m:val="p"/>
                  </m:rPr>
                  <w:rPr>
                    <w:rFonts w:ascii="Cambria Math" w:eastAsiaTheme="minorEastAsia" w:hAnsi="Cambria Math"/>
                    <w:sz w:val="22"/>
                  </w:rPr>
                  <m:t>Θ</m:t>
                </m:r>
              </m:e>
              <m:sup>
                <m:r>
                  <w:rPr>
                    <w:rFonts w:ascii="Cambria Math" w:eastAsiaTheme="minorEastAsia" w:hAnsi="Cambria Math"/>
                    <w:sz w:val="22"/>
                  </w:rPr>
                  <m:t>g</m:t>
                </m:r>
              </m:sup>
            </m:sSup>
          </m:e>
        </m:d>
      </m:oMath>
      <w:r w:rsidR="00FF365C" w:rsidRPr="00F8217C">
        <w:rPr>
          <w:rFonts w:eastAsiaTheme="minorEastAsia"/>
          <w:sz w:val="22"/>
        </w:rPr>
        <w:t xml:space="preserve"> </w:t>
      </w:r>
      <w:r w:rsidR="00610689" w:rsidRPr="00F8217C">
        <w:rPr>
          <w:rFonts w:eastAsiaTheme="minorEastAsia"/>
          <w:sz w:val="22"/>
        </w:rPr>
        <w:t>w</w:t>
      </w:r>
      <w:r w:rsidR="00FF365C" w:rsidRPr="00F8217C">
        <w:rPr>
          <w:rFonts w:eastAsiaTheme="minorEastAsia"/>
          <w:sz w:val="22"/>
        </w:rPr>
        <w:t xml:space="preserve">here: </w:t>
      </w:r>
      <m:oMath>
        <m:r>
          <w:rPr>
            <w:rFonts w:ascii="Cambria Math" w:eastAsiaTheme="minorEastAsia" w:hAnsi="Cambria Math"/>
            <w:sz w:val="22"/>
          </w:rPr>
          <m:t>γ</m:t>
        </m:r>
        <m:d>
          <m:dPr>
            <m:ctrlPr>
              <w:rPr>
                <w:rFonts w:ascii="Cambria Math" w:eastAsiaTheme="minorEastAsia" w:hAnsi="Cambria Math"/>
                <w:sz w:val="22"/>
              </w:rPr>
            </m:ctrlPr>
          </m:dPr>
          <m:e>
            <m:sSup>
              <m:sSupPr>
                <m:ctrlPr>
                  <w:rPr>
                    <w:rFonts w:ascii="Cambria Math" w:eastAsiaTheme="minorEastAsia" w:hAnsi="Cambria Math"/>
                    <w:sz w:val="22"/>
                  </w:rPr>
                </m:ctrlPr>
              </m:sSupPr>
              <m:e>
                <m:r>
                  <m:rPr>
                    <m:sty m:val="p"/>
                  </m:rPr>
                  <w:rPr>
                    <w:rFonts w:ascii="Cambria Math" w:eastAsiaTheme="minorEastAsia" w:hAnsi="Cambria Math"/>
                    <w:sz w:val="22"/>
                  </w:rPr>
                  <m:t>Θ</m:t>
                </m:r>
              </m:e>
              <m:sup>
                <m:r>
                  <w:rPr>
                    <w:rFonts w:ascii="Cambria Math" w:eastAsiaTheme="minorEastAsia" w:hAnsi="Cambria Math"/>
                    <w:sz w:val="22"/>
                  </w:rPr>
                  <m:t>g+1</m:t>
                </m:r>
              </m:sup>
            </m:sSup>
            <m:r>
              <w:rPr>
                <w:rFonts w:ascii="Cambria Math" w:eastAsiaTheme="minorEastAsia" w:hAnsi="Cambria Math"/>
                <w:sz w:val="22"/>
              </w:rPr>
              <m:t>|</m:t>
            </m:r>
            <m:sSup>
              <m:sSupPr>
                <m:ctrlPr>
                  <w:rPr>
                    <w:rFonts w:ascii="Cambria Math" w:eastAsiaTheme="minorEastAsia" w:hAnsi="Cambria Math"/>
                    <w:sz w:val="22"/>
                  </w:rPr>
                </m:ctrlPr>
              </m:sSupPr>
              <m:e>
                <m:r>
                  <m:rPr>
                    <m:sty m:val="p"/>
                  </m:rPr>
                  <w:rPr>
                    <w:rFonts w:ascii="Cambria Math" w:eastAsiaTheme="minorEastAsia" w:hAnsi="Cambria Math"/>
                    <w:sz w:val="22"/>
                  </w:rPr>
                  <m:t>Θ</m:t>
                </m:r>
              </m:e>
              <m:sup>
                <m:r>
                  <w:rPr>
                    <w:rFonts w:ascii="Cambria Math" w:eastAsiaTheme="minorEastAsia" w:hAnsi="Cambria Math"/>
                    <w:sz w:val="22"/>
                  </w:rPr>
                  <m:t>g</m:t>
                </m:r>
              </m:sup>
            </m:sSup>
          </m:e>
        </m:d>
        <m:r>
          <w:rPr>
            <w:rFonts w:ascii="Cambria Math" w:eastAsiaTheme="minorEastAsia" w:hAnsi="Cambria Math"/>
            <w:sz w:val="22"/>
          </w:rPr>
          <m:t>=</m:t>
        </m:r>
        <m:r>
          <m:rPr>
            <m:sty m:val="p"/>
          </m:rPr>
          <w:rPr>
            <w:rFonts w:ascii="Cambria Math" w:eastAsiaTheme="minorEastAsia" w:hAnsi="Cambria Math"/>
            <w:sz w:val="22"/>
          </w:rPr>
          <m:t>min</m:t>
        </m:r>
        <m:d>
          <m:dPr>
            <m:ctrlPr>
              <w:rPr>
                <w:rFonts w:ascii="Cambria Math" w:eastAsiaTheme="minorEastAsia" w:hAnsi="Cambria Math"/>
                <w:i/>
                <w:sz w:val="22"/>
              </w:rPr>
            </m:ctrlPr>
          </m:dPr>
          <m:e>
            <m:f>
              <m:fPr>
                <m:type m:val="lin"/>
                <m:ctrlPr>
                  <w:rPr>
                    <w:rFonts w:ascii="Cambria Math" w:eastAsiaTheme="minorEastAsia" w:hAnsi="Cambria Math"/>
                    <w:i/>
                    <w:sz w:val="22"/>
                  </w:rPr>
                </m:ctrlPr>
              </m:fPr>
              <m:num>
                <m:f>
                  <m:fPr>
                    <m:ctrlPr>
                      <w:rPr>
                        <w:rFonts w:ascii="Cambria Math" w:eastAsiaTheme="minorEastAsia" w:hAnsi="Cambria Math"/>
                        <w:i/>
                        <w:sz w:val="22"/>
                      </w:rPr>
                    </m:ctrlPr>
                  </m:fPr>
                  <m:num>
                    <m:r>
                      <w:rPr>
                        <w:rFonts w:ascii="Cambria Math" w:eastAsiaTheme="minorEastAsia" w:hAnsi="Cambria Math"/>
                        <w:sz w:val="22"/>
                      </w:rPr>
                      <m:t>π</m:t>
                    </m:r>
                    <m:d>
                      <m:dPr>
                        <m:ctrlPr>
                          <w:rPr>
                            <w:rFonts w:ascii="Cambria Math" w:eastAsiaTheme="minorEastAsia" w:hAnsi="Cambria Math"/>
                            <w:i/>
                            <w:sz w:val="22"/>
                          </w:rPr>
                        </m:ctrlPr>
                      </m:dPr>
                      <m:e>
                        <m:sSup>
                          <m:sSupPr>
                            <m:ctrlPr>
                              <w:rPr>
                                <w:rFonts w:ascii="Cambria Math" w:eastAsiaTheme="minorEastAsia" w:hAnsi="Cambria Math"/>
                                <w:sz w:val="22"/>
                              </w:rPr>
                            </m:ctrlPr>
                          </m:sSupPr>
                          <m:e>
                            <m:r>
                              <m:rPr>
                                <m:sty m:val="p"/>
                              </m:rPr>
                              <w:rPr>
                                <w:rFonts w:ascii="Cambria Math" w:eastAsiaTheme="minorEastAsia" w:hAnsi="Cambria Math"/>
                                <w:sz w:val="22"/>
                              </w:rPr>
                              <m:t>Θ</m:t>
                            </m:r>
                          </m:e>
                          <m:sup>
                            <m:r>
                              <w:rPr>
                                <w:rFonts w:ascii="Cambria Math" w:eastAsiaTheme="minorEastAsia" w:hAnsi="Cambria Math"/>
                                <w:sz w:val="22"/>
                              </w:rPr>
                              <m:t>g+1</m:t>
                            </m:r>
                          </m:sup>
                        </m:sSup>
                      </m:e>
                    </m:d>
                  </m:num>
                  <m:den>
                    <m:r>
                      <w:rPr>
                        <w:rFonts w:ascii="Cambria Math" w:eastAsiaTheme="minorEastAsia" w:hAnsi="Cambria Math"/>
                        <w:sz w:val="22"/>
                      </w:rPr>
                      <m:t>q</m:t>
                    </m:r>
                    <m:d>
                      <m:dPr>
                        <m:ctrlPr>
                          <w:rPr>
                            <w:rFonts w:ascii="Cambria Math" w:eastAsiaTheme="minorEastAsia" w:hAnsi="Cambria Math"/>
                            <w:i/>
                            <w:sz w:val="22"/>
                          </w:rPr>
                        </m:ctrlPr>
                      </m:dPr>
                      <m:e>
                        <m:sSup>
                          <m:sSupPr>
                            <m:ctrlPr>
                              <w:rPr>
                                <w:rFonts w:ascii="Cambria Math" w:eastAsiaTheme="minorEastAsia" w:hAnsi="Cambria Math"/>
                                <w:sz w:val="22"/>
                              </w:rPr>
                            </m:ctrlPr>
                          </m:sSupPr>
                          <m:e>
                            <m:r>
                              <m:rPr>
                                <m:sty m:val="p"/>
                              </m:rPr>
                              <w:rPr>
                                <w:rFonts w:ascii="Cambria Math" w:eastAsiaTheme="minorEastAsia" w:hAnsi="Cambria Math"/>
                                <w:sz w:val="22"/>
                              </w:rPr>
                              <m:t>Θ</m:t>
                            </m:r>
                          </m:e>
                          <m:sup>
                            <m:r>
                              <w:rPr>
                                <w:rFonts w:ascii="Cambria Math" w:eastAsiaTheme="minorEastAsia" w:hAnsi="Cambria Math"/>
                                <w:sz w:val="22"/>
                              </w:rPr>
                              <m:t>g+1</m:t>
                            </m:r>
                          </m:sup>
                        </m:sSup>
                        <m:r>
                          <w:rPr>
                            <w:rFonts w:ascii="Cambria Math" w:eastAsiaTheme="minorEastAsia" w:hAnsi="Cambria Math"/>
                            <w:sz w:val="22"/>
                          </w:rPr>
                          <m:t>|</m:t>
                        </m:r>
                        <m:sSup>
                          <m:sSupPr>
                            <m:ctrlPr>
                              <w:rPr>
                                <w:rFonts w:ascii="Cambria Math" w:eastAsiaTheme="minorEastAsia" w:hAnsi="Cambria Math"/>
                                <w:sz w:val="22"/>
                              </w:rPr>
                            </m:ctrlPr>
                          </m:sSupPr>
                          <m:e>
                            <m:r>
                              <m:rPr>
                                <m:sty m:val="p"/>
                              </m:rPr>
                              <w:rPr>
                                <w:rFonts w:ascii="Cambria Math" w:eastAsiaTheme="minorEastAsia" w:hAnsi="Cambria Math"/>
                                <w:sz w:val="22"/>
                              </w:rPr>
                              <m:t>Θ</m:t>
                            </m:r>
                          </m:e>
                          <m:sup>
                            <m:r>
                              <w:rPr>
                                <w:rFonts w:ascii="Cambria Math" w:eastAsiaTheme="minorEastAsia" w:hAnsi="Cambria Math"/>
                                <w:sz w:val="22"/>
                              </w:rPr>
                              <m:t>g</m:t>
                            </m:r>
                          </m:sup>
                        </m:sSup>
                      </m:e>
                    </m:d>
                  </m:den>
                </m:f>
              </m:num>
              <m:den>
                <m:f>
                  <m:fPr>
                    <m:ctrlPr>
                      <w:rPr>
                        <w:rFonts w:ascii="Cambria Math" w:eastAsiaTheme="minorEastAsia" w:hAnsi="Cambria Math"/>
                        <w:i/>
                        <w:sz w:val="22"/>
                      </w:rPr>
                    </m:ctrlPr>
                  </m:fPr>
                  <m:num>
                    <m:r>
                      <w:rPr>
                        <w:rFonts w:ascii="Cambria Math" w:eastAsiaTheme="minorEastAsia" w:hAnsi="Cambria Math"/>
                        <w:sz w:val="22"/>
                      </w:rPr>
                      <m:t>π</m:t>
                    </m:r>
                    <m:d>
                      <m:dPr>
                        <m:ctrlPr>
                          <w:rPr>
                            <w:rFonts w:ascii="Cambria Math" w:eastAsiaTheme="minorEastAsia" w:hAnsi="Cambria Math"/>
                            <w:i/>
                            <w:sz w:val="22"/>
                          </w:rPr>
                        </m:ctrlPr>
                      </m:dPr>
                      <m:e>
                        <m:sSup>
                          <m:sSupPr>
                            <m:ctrlPr>
                              <w:rPr>
                                <w:rFonts w:ascii="Cambria Math" w:eastAsiaTheme="minorEastAsia" w:hAnsi="Cambria Math"/>
                                <w:sz w:val="22"/>
                              </w:rPr>
                            </m:ctrlPr>
                          </m:sSupPr>
                          <m:e>
                            <m:r>
                              <m:rPr>
                                <m:sty m:val="p"/>
                              </m:rPr>
                              <w:rPr>
                                <w:rFonts w:ascii="Cambria Math" w:eastAsiaTheme="minorEastAsia" w:hAnsi="Cambria Math"/>
                                <w:sz w:val="22"/>
                              </w:rPr>
                              <m:t>Θ</m:t>
                            </m:r>
                          </m:e>
                          <m:sup>
                            <m:r>
                              <w:rPr>
                                <w:rFonts w:ascii="Cambria Math" w:eastAsiaTheme="minorEastAsia" w:hAnsi="Cambria Math"/>
                                <w:sz w:val="22"/>
                              </w:rPr>
                              <m:t>g</m:t>
                            </m:r>
                          </m:sup>
                        </m:sSup>
                      </m:e>
                    </m:d>
                  </m:num>
                  <m:den>
                    <m:r>
                      <w:rPr>
                        <w:rFonts w:ascii="Cambria Math" w:eastAsiaTheme="minorEastAsia" w:hAnsi="Cambria Math"/>
                        <w:sz w:val="22"/>
                      </w:rPr>
                      <m:t>q</m:t>
                    </m:r>
                    <m:d>
                      <m:dPr>
                        <m:ctrlPr>
                          <w:rPr>
                            <w:rFonts w:ascii="Cambria Math" w:eastAsiaTheme="minorEastAsia" w:hAnsi="Cambria Math"/>
                            <w:i/>
                            <w:sz w:val="22"/>
                          </w:rPr>
                        </m:ctrlPr>
                      </m:dPr>
                      <m:e>
                        <m:sSup>
                          <m:sSupPr>
                            <m:ctrlPr>
                              <w:rPr>
                                <w:rFonts w:ascii="Cambria Math" w:eastAsiaTheme="minorEastAsia" w:hAnsi="Cambria Math"/>
                                <w:sz w:val="22"/>
                              </w:rPr>
                            </m:ctrlPr>
                          </m:sSupPr>
                          <m:e>
                            <m:r>
                              <m:rPr>
                                <m:sty m:val="p"/>
                              </m:rPr>
                              <w:rPr>
                                <w:rFonts w:ascii="Cambria Math" w:eastAsiaTheme="minorEastAsia" w:hAnsi="Cambria Math"/>
                                <w:sz w:val="22"/>
                              </w:rPr>
                              <m:t>Θ</m:t>
                            </m:r>
                          </m:e>
                          <m:sup>
                            <m:r>
                              <w:rPr>
                                <w:rFonts w:ascii="Cambria Math" w:eastAsiaTheme="minorEastAsia" w:hAnsi="Cambria Math"/>
                                <w:sz w:val="22"/>
                              </w:rPr>
                              <m:t>g</m:t>
                            </m:r>
                          </m:sup>
                        </m:sSup>
                        <m:r>
                          <w:rPr>
                            <w:rFonts w:ascii="Cambria Math" w:eastAsiaTheme="minorEastAsia" w:hAnsi="Cambria Math"/>
                            <w:sz w:val="22"/>
                          </w:rPr>
                          <m:t>|</m:t>
                        </m:r>
                        <m:sSup>
                          <m:sSupPr>
                            <m:ctrlPr>
                              <w:rPr>
                                <w:rFonts w:ascii="Cambria Math" w:eastAsiaTheme="minorEastAsia" w:hAnsi="Cambria Math"/>
                                <w:sz w:val="22"/>
                              </w:rPr>
                            </m:ctrlPr>
                          </m:sSupPr>
                          <m:e>
                            <m:r>
                              <m:rPr>
                                <m:sty m:val="p"/>
                              </m:rPr>
                              <w:rPr>
                                <w:rFonts w:ascii="Cambria Math" w:eastAsiaTheme="minorEastAsia" w:hAnsi="Cambria Math"/>
                                <w:sz w:val="22"/>
                              </w:rPr>
                              <m:t>Θ</m:t>
                            </m:r>
                          </m:e>
                          <m:sup>
                            <m:r>
                              <w:rPr>
                                <w:rFonts w:ascii="Cambria Math" w:eastAsiaTheme="minorEastAsia" w:hAnsi="Cambria Math"/>
                                <w:sz w:val="22"/>
                              </w:rPr>
                              <m:t>g+1</m:t>
                            </m:r>
                          </m:sup>
                        </m:sSup>
                      </m:e>
                    </m:d>
                  </m:den>
                </m:f>
              </m:den>
            </m:f>
            <m:r>
              <w:rPr>
                <w:rFonts w:ascii="Cambria Math" w:eastAsiaTheme="minorEastAsia" w:hAnsi="Cambria Math"/>
                <w:sz w:val="22"/>
              </w:rPr>
              <m:t>,1</m:t>
            </m:r>
          </m:e>
        </m:d>
      </m:oMath>
    </w:p>
    <w:p w14:paraId="58E20636" w14:textId="77777777" w:rsidR="00610689" w:rsidRPr="00F8217C" w:rsidRDefault="00610689" w:rsidP="008D64A5">
      <w:pPr>
        <w:spacing w:after="0"/>
        <w:jc w:val="both"/>
        <w:rPr>
          <w:rFonts w:eastAsiaTheme="minorEastAsia"/>
          <w:sz w:val="22"/>
        </w:rPr>
      </w:pPr>
    </w:p>
    <w:p w14:paraId="7215248C" w14:textId="77777777" w:rsidR="001A1EFD" w:rsidRPr="00F8217C" w:rsidRDefault="0081084A" w:rsidP="0081084A">
      <w:pPr>
        <w:spacing w:after="0"/>
        <w:jc w:val="both"/>
        <w:rPr>
          <w:rFonts w:eastAsiaTheme="minorEastAsia"/>
          <w:sz w:val="22"/>
        </w:rPr>
      </w:pPr>
      <w:r w:rsidRPr="00F8217C">
        <w:rPr>
          <w:sz w:val="22"/>
        </w:rPr>
        <w:t>w</w:t>
      </w:r>
      <w:r w:rsidR="00FF365C" w:rsidRPr="00F8217C">
        <w:rPr>
          <w:sz w:val="22"/>
        </w:rPr>
        <w:t xml:space="preserve">here the requirement to generate a sequence of random samples is that the values of the posterior parameter are drawn from the proposal distribution of the uniform random variable to evaluate the acceptance and rejection criteria. In the two designated steps, the algorithm decomposes the unrecognizable conditional distribution into recognizable distribution through the sequenced generation of candidate points and unrecognizable part from which the acceptance criteria </w:t>
      </w:r>
      <w:proofErr w:type="gramStart"/>
      <w:r w:rsidR="00FF365C" w:rsidRPr="00F8217C">
        <w:rPr>
          <w:sz w:val="22"/>
        </w:rPr>
        <w:t>is</w:t>
      </w:r>
      <w:proofErr w:type="gramEnd"/>
      <w:r w:rsidR="00FF365C" w:rsidRPr="00F8217C">
        <w:rPr>
          <w:sz w:val="22"/>
        </w:rPr>
        <w:t xml:space="preserve"> set. Such iterative procedure corrects the equilibrium distribution by allowing the functional form of the model to be non-analytic. One notable advantage of the algorithm is that sampling can be conducted on specific tail of the distribution to analyse parameter restrictions imposed by the prior values. Since imposing prior values requires a complete information set and may be driven by subjective beliefs, our approach is to abstain from the imposition of priors. Instead, to enable the generation of random samples through the Markov chain, our approach is to impose a non-informative</w:t>
      </w:r>
      <w:r w:rsidRPr="00F8217C">
        <w:rPr>
          <w:sz w:val="22"/>
        </w:rPr>
        <w:t xml:space="preserve"> objective</w:t>
      </w:r>
      <w:r w:rsidR="00FF365C" w:rsidRPr="00F8217C">
        <w:rPr>
          <w:sz w:val="22"/>
        </w:rPr>
        <w:t xml:space="preserve"> prior distribution on parameter space (</w:t>
      </w:r>
      <w:r w:rsidR="00FF365C" w:rsidRPr="00481178">
        <w:rPr>
          <w:color w:val="4472C4" w:themeColor="accent5"/>
          <w:sz w:val="22"/>
        </w:rPr>
        <w:t>Jeffreys 1946</w:t>
      </w:r>
      <w:r w:rsidR="00FF365C" w:rsidRPr="00F8217C">
        <w:rPr>
          <w:sz w:val="22"/>
        </w:rPr>
        <w:t xml:space="preserve">) </w:t>
      </w:r>
      <w:r w:rsidRPr="00F8217C">
        <w:rPr>
          <w:sz w:val="22"/>
        </w:rPr>
        <w:t xml:space="preserve">with the density function proportional to the square root of the determinant from Fisher information matrix </w:t>
      </w:r>
      <m:oMath>
        <m:r>
          <w:rPr>
            <w:rFonts w:ascii="Cambria Math" w:hAnsi="Cambria Math"/>
            <w:sz w:val="22"/>
          </w:rPr>
          <m:t>p</m:t>
        </m:r>
        <m:d>
          <m:dPr>
            <m:ctrlPr>
              <w:rPr>
                <w:rFonts w:ascii="Cambria Math" w:hAnsi="Cambria Math"/>
                <w:i/>
                <w:sz w:val="22"/>
              </w:rPr>
            </m:ctrlPr>
          </m:dPr>
          <m:e>
            <m:acc>
              <m:accPr>
                <m:chr m:val="⃗"/>
                <m:ctrlPr>
                  <w:rPr>
                    <w:rFonts w:ascii="Cambria Math" w:hAnsi="Cambria Math"/>
                    <w:sz w:val="22"/>
                  </w:rPr>
                </m:ctrlPr>
              </m:accPr>
              <m:e>
                <m:box>
                  <m:boxPr>
                    <m:opEmu m:val="1"/>
                    <m:ctrlPr>
                      <w:rPr>
                        <w:rFonts w:ascii="Cambria Math" w:hAnsi="Cambria Math"/>
                        <w:sz w:val="22"/>
                      </w:rPr>
                    </m:ctrlPr>
                  </m:boxPr>
                  <m:e>
                    <m:r>
                      <m:rPr>
                        <m:sty m:val="p"/>
                      </m:rPr>
                      <w:rPr>
                        <w:rFonts w:ascii="Cambria Math" w:hAnsi="Cambria Math"/>
                        <w:sz w:val="22"/>
                      </w:rPr>
                      <m:t>Θ</m:t>
                    </m:r>
                  </m:e>
                </m:box>
              </m:e>
            </m:acc>
          </m:e>
        </m:d>
        <m:r>
          <w:rPr>
            <w:rFonts w:ascii="Cambria Math" w:eastAsiaTheme="minorEastAsia" w:hAnsi="Cambria Math"/>
            <w:sz w:val="22"/>
          </w:rPr>
          <m:t>∝</m:t>
        </m:r>
        <m:rad>
          <m:radPr>
            <m:degHide m:val="1"/>
            <m:ctrlPr>
              <w:rPr>
                <w:rFonts w:ascii="Cambria Math" w:eastAsiaTheme="minorEastAsia" w:hAnsi="Cambria Math"/>
                <w:i/>
                <w:sz w:val="22"/>
              </w:rPr>
            </m:ctrlPr>
          </m:radPr>
          <m:deg/>
          <m:e>
            <m:func>
              <m:funcPr>
                <m:ctrlPr>
                  <w:rPr>
                    <w:rFonts w:ascii="Cambria Math" w:eastAsiaTheme="minorEastAsia" w:hAnsi="Cambria Math"/>
                    <w:sz w:val="22"/>
                  </w:rPr>
                </m:ctrlPr>
              </m:funcPr>
              <m:fName>
                <m:r>
                  <m:rPr>
                    <m:sty m:val="p"/>
                  </m:rPr>
                  <w:rPr>
                    <w:rFonts w:ascii="Cambria Math" w:eastAsiaTheme="minorEastAsia" w:hAnsi="Cambria Math"/>
                    <w:sz w:val="22"/>
                  </w:rPr>
                  <m:t>det</m:t>
                </m:r>
              </m:fName>
              <m:e>
                <m:r>
                  <m:rPr>
                    <m:scr m:val="script"/>
                  </m:rPr>
                  <w:rPr>
                    <w:rFonts w:ascii="Cambria Math" w:eastAsiaTheme="minorEastAsia" w:hAnsi="Cambria Math"/>
                    <w:sz w:val="22"/>
                  </w:rPr>
                  <m:t>I</m:t>
                </m:r>
                <m:d>
                  <m:dPr>
                    <m:ctrlPr>
                      <w:rPr>
                        <w:rFonts w:ascii="Cambria Math" w:eastAsiaTheme="minorEastAsia" w:hAnsi="Cambria Math"/>
                        <w:i/>
                        <w:sz w:val="22"/>
                      </w:rPr>
                    </m:ctrlPr>
                  </m:dPr>
                  <m:e>
                    <m:acc>
                      <m:accPr>
                        <m:chr m:val="⃗"/>
                        <m:ctrlPr>
                          <w:rPr>
                            <w:rFonts w:ascii="Cambria Math" w:hAnsi="Cambria Math"/>
                            <w:sz w:val="22"/>
                          </w:rPr>
                        </m:ctrlPr>
                      </m:accPr>
                      <m:e>
                        <m:r>
                          <m:rPr>
                            <m:sty m:val="p"/>
                          </m:rPr>
                          <w:rPr>
                            <w:rFonts w:ascii="Cambria Math" w:hAnsi="Cambria Math"/>
                            <w:sz w:val="22"/>
                          </w:rPr>
                          <m:t>Θ</m:t>
                        </m:r>
                      </m:e>
                    </m:acc>
                  </m:e>
                </m:d>
              </m:e>
            </m:func>
          </m:e>
        </m:rad>
      </m:oMath>
      <w:r w:rsidRPr="00F8217C">
        <w:rPr>
          <w:rFonts w:eastAsiaTheme="minorEastAsia"/>
          <w:sz w:val="22"/>
        </w:rPr>
        <w:t>. The key advantage of the objective non-informative prior is posed by the relatively non-thin tails of the distribution compared to its target counterpart, which ensures a straightforward and fast convergence of the algorithm.</w:t>
      </w:r>
    </w:p>
    <w:p w14:paraId="30281462" w14:textId="77777777" w:rsidR="0081084A" w:rsidRPr="00F8217C" w:rsidRDefault="0081084A" w:rsidP="0081084A">
      <w:pPr>
        <w:spacing w:after="0"/>
        <w:jc w:val="both"/>
        <w:rPr>
          <w:rFonts w:eastAsiaTheme="minorEastAsia"/>
          <w:sz w:val="22"/>
        </w:rPr>
      </w:pPr>
    </w:p>
    <w:p w14:paraId="0CA2C175" w14:textId="77777777" w:rsidR="0081084A" w:rsidRPr="00F8217C" w:rsidRDefault="0081084A" w:rsidP="0081084A">
      <w:pPr>
        <w:spacing w:after="0"/>
        <w:jc w:val="both"/>
        <w:rPr>
          <w:rFonts w:eastAsiaTheme="minorEastAsia"/>
          <w:sz w:val="22"/>
        </w:rPr>
      </w:pPr>
      <w:r w:rsidRPr="00F8217C">
        <w:rPr>
          <w:rFonts w:eastAsiaTheme="minorEastAsia"/>
          <w:sz w:val="22"/>
        </w:rPr>
        <w:t xml:space="preserve">By imposing objective non-informative prior to approximate the target distribution of institutional quality, we adopt an adaptive random-walk version of the Metropolis-Hastings algorithm where a candidate value of institutional quality for each region and municipality is drawn from a simple random-walk model </w:t>
      </w:r>
      <m:oMath>
        <m:sSubSup>
          <m:sSubSupPr>
            <m:ctrlPr>
              <w:rPr>
                <w:rFonts w:ascii="Cambria Math" w:eastAsiaTheme="minorEastAsia" w:hAnsi="Cambria Math"/>
                <w:sz w:val="22"/>
              </w:rPr>
            </m:ctrlPr>
          </m:sSubSupPr>
          <m:e>
            <m:r>
              <m:rPr>
                <m:sty m:val="p"/>
              </m:rPr>
              <w:rPr>
                <w:rFonts w:ascii="Cambria Math" w:eastAsiaTheme="minorEastAsia" w:hAnsi="Cambria Math"/>
                <w:sz w:val="22"/>
              </w:rPr>
              <m:t>Θ</m:t>
            </m:r>
          </m:e>
          <m:sub>
            <m:r>
              <w:rPr>
                <w:rFonts w:ascii="Cambria Math" w:eastAsiaTheme="minorEastAsia" w:hAnsi="Cambria Math"/>
                <w:sz w:val="22"/>
              </w:rPr>
              <m:t>iϵN,t</m:t>
            </m:r>
          </m:sub>
          <m:sup>
            <m:r>
              <w:rPr>
                <w:rFonts w:ascii="Cambria Math" w:eastAsiaTheme="minorEastAsia" w:hAnsi="Cambria Math"/>
                <w:sz w:val="22"/>
              </w:rPr>
              <m:t>g+1</m:t>
            </m:r>
          </m:sup>
        </m:sSubSup>
        <m:r>
          <w:rPr>
            <w:rFonts w:ascii="Cambria Math" w:eastAsiaTheme="minorEastAsia" w:hAnsi="Cambria Math"/>
            <w:sz w:val="22"/>
          </w:rPr>
          <m:t>=</m:t>
        </m:r>
        <m:sSubSup>
          <m:sSubSupPr>
            <m:ctrlPr>
              <w:rPr>
                <w:rFonts w:ascii="Cambria Math" w:eastAsiaTheme="minorEastAsia" w:hAnsi="Cambria Math"/>
                <w:sz w:val="22"/>
              </w:rPr>
            </m:ctrlPr>
          </m:sSubSupPr>
          <m:e>
            <m:r>
              <m:rPr>
                <m:sty m:val="p"/>
              </m:rPr>
              <w:rPr>
                <w:rFonts w:ascii="Cambria Math" w:eastAsiaTheme="minorEastAsia" w:hAnsi="Cambria Math"/>
                <w:sz w:val="22"/>
              </w:rPr>
              <m:t>Θ</m:t>
            </m:r>
          </m:e>
          <m:sub>
            <m:r>
              <w:rPr>
                <w:rFonts w:ascii="Cambria Math" w:eastAsiaTheme="minorEastAsia" w:hAnsi="Cambria Math"/>
                <w:sz w:val="22"/>
              </w:rPr>
              <m:t>iϵN,t</m:t>
            </m:r>
          </m:sub>
          <m:sup>
            <m:r>
              <w:rPr>
                <w:rFonts w:ascii="Cambria Math" w:eastAsiaTheme="minorEastAsia" w:hAnsi="Cambria Math"/>
                <w:sz w:val="22"/>
              </w:rPr>
              <m:t>g</m:t>
            </m:r>
          </m:sup>
        </m:sSubSup>
        <m:r>
          <w:rPr>
            <w:rFonts w:ascii="Cambria Math" w:eastAsiaTheme="minorEastAsia" w:hAnsi="Cambria Math"/>
            <w:sz w:val="22"/>
          </w:rPr>
          <m:t>+</m:t>
        </m:r>
        <m:sSub>
          <m:sSubPr>
            <m:ctrlPr>
              <w:rPr>
                <w:rFonts w:ascii="Cambria Math" w:eastAsiaTheme="minorEastAsia" w:hAnsi="Cambria Math"/>
                <w:i/>
                <w:sz w:val="22"/>
              </w:rPr>
            </m:ctrlPr>
          </m:sSubPr>
          <m:e>
            <m:r>
              <w:rPr>
                <w:rFonts w:ascii="Cambria Math" w:eastAsiaTheme="minorEastAsia" w:hAnsi="Cambria Math"/>
                <w:sz w:val="22"/>
              </w:rPr>
              <m:t>ε</m:t>
            </m:r>
          </m:e>
          <m:sub>
            <m:r>
              <w:rPr>
                <w:rFonts w:ascii="Cambria Math" w:eastAsiaTheme="minorEastAsia" w:hAnsi="Cambria Math"/>
                <w:sz w:val="22"/>
              </w:rPr>
              <m:t>iϵN,t</m:t>
            </m:r>
          </m:sub>
        </m:sSub>
      </m:oMath>
      <w:r w:rsidR="00441E40" w:rsidRPr="00F8217C">
        <w:rPr>
          <w:rFonts w:eastAsiaTheme="minorEastAsia"/>
          <w:sz w:val="22"/>
        </w:rPr>
        <w:t xml:space="preserve"> where </w:t>
      </w:r>
      <m:oMath>
        <m:sSub>
          <m:sSubPr>
            <m:ctrlPr>
              <w:rPr>
                <w:rFonts w:ascii="Cambria Math" w:eastAsiaTheme="minorEastAsia" w:hAnsi="Cambria Math"/>
                <w:i/>
                <w:sz w:val="22"/>
              </w:rPr>
            </m:ctrlPr>
          </m:sSubPr>
          <m:e>
            <m:r>
              <w:rPr>
                <w:rFonts w:ascii="Cambria Math" w:eastAsiaTheme="minorEastAsia" w:hAnsi="Cambria Math"/>
                <w:sz w:val="22"/>
              </w:rPr>
              <m:t>ε</m:t>
            </m:r>
          </m:e>
          <m:sub>
            <m:r>
              <w:rPr>
                <w:rFonts w:ascii="Cambria Math" w:eastAsiaTheme="minorEastAsia" w:hAnsi="Cambria Math"/>
                <w:sz w:val="22"/>
              </w:rPr>
              <m:t>iϵN,t</m:t>
            </m:r>
          </m:sub>
        </m:sSub>
        <m:r>
          <w:rPr>
            <w:rFonts w:ascii="Cambria Math" w:eastAsiaTheme="minorEastAsia" w:hAnsi="Cambria Math"/>
            <w:sz w:val="22"/>
          </w:rPr>
          <m:t>=i.i.d~</m:t>
        </m:r>
        <m:d>
          <m:dPr>
            <m:ctrlPr>
              <w:rPr>
                <w:rFonts w:ascii="Cambria Math" w:eastAsiaTheme="minorEastAsia" w:hAnsi="Cambria Math"/>
                <w:i/>
                <w:sz w:val="22"/>
              </w:rPr>
            </m:ctrlPr>
          </m:dPr>
          <m:e>
            <m:r>
              <w:rPr>
                <w:rFonts w:ascii="Cambria Math" w:eastAsiaTheme="minorEastAsia" w:hAnsi="Cambria Math"/>
                <w:sz w:val="22"/>
              </w:rPr>
              <m:t>0,</m:t>
            </m:r>
            <m:sSup>
              <m:sSupPr>
                <m:ctrlPr>
                  <w:rPr>
                    <w:rFonts w:ascii="Cambria Math" w:eastAsiaTheme="minorEastAsia" w:hAnsi="Cambria Math"/>
                    <w:i/>
                    <w:sz w:val="22"/>
                  </w:rPr>
                </m:ctrlPr>
              </m:sSupPr>
              <m:e>
                <m:r>
                  <w:rPr>
                    <w:rFonts w:ascii="Cambria Math" w:eastAsiaTheme="minorEastAsia" w:hAnsi="Cambria Math"/>
                    <w:sz w:val="22"/>
                  </w:rPr>
                  <m:t>σ</m:t>
                </m:r>
              </m:e>
              <m:sup>
                <m:r>
                  <w:rPr>
                    <w:rFonts w:ascii="Cambria Math" w:eastAsiaTheme="minorEastAsia" w:hAnsi="Cambria Math"/>
                    <w:sz w:val="22"/>
                  </w:rPr>
                  <m:t>2</m:t>
                </m:r>
              </m:sup>
            </m:sSup>
          </m:e>
        </m:d>
      </m:oMath>
      <w:r w:rsidR="00441E40" w:rsidRPr="00F8217C">
        <w:rPr>
          <w:rFonts w:eastAsiaTheme="minorEastAsia"/>
          <w:sz w:val="22"/>
        </w:rPr>
        <w:t xml:space="preserve"> is the random component taken to be a symmetric density function with thick tails of t-distribution. Our choice of the density function is generic. As such, it ignores the structural features of the target density. Due to the symmetry in the </w:t>
      </w:r>
      <w:r w:rsidR="00441E40" w:rsidRPr="00F8217C">
        <w:rPr>
          <w:rFonts w:eastAsiaTheme="minorEastAsia"/>
          <w:sz w:val="22"/>
        </w:rPr>
        <w:lastRenderedPageBreak/>
        <w:t xml:space="preserve">proposal density functions, </w:t>
      </w:r>
      <m:oMath>
        <m:r>
          <w:rPr>
            <w:rFonts w:ascii="Cambria Math" w:eastAsiaTheme="minorEastAsia" w:hAnsi="Cambria Math"/>
            <w:sz w:val="22"/>
          </w:rPr>
          <m:t>q</m:t>
        </m:r>
        <m:d>
          <m:dPr>
            <m:ctrlPr>
              <w:rPr>
                <w:rFonts w:ascii="Cambria Math" w:eastAsiaTheme="minorEastAsia" w:hAnsi="Cambria Math"/>
                <w:i/>
                <w:sz w:val="22"/>
              </w:rPr>
            </m:ctrlPr>
          </m:dPr>
          <m:e>
            <m:sSup>
              <m:sSupPr>
                <m:ctrlPr>
                  <w:rPr>
                    <w:rFonts w:ascii="Cambria Math" w:eastAsiaTheme="minorEastAsia" w:hAnsi="Cambria Math"/>
                    <w:sz w:val="22"/>
                  </w:rPr>
                </m:ctrlPr>
              </m:sSupPr>
              <m:e>
                <m:r>
                  <m:rPr>
                    <m:sty m:val="p"/>
                  </m:rPr>
                  <w:rPr>
                    <w:rFonts w:ascii="Cambria Math" w:eastAsiaTheme="minorEastAsia" w:hAnsi="Cambria Math"/>
                    <w:sz w:val="22"/>
                  </w:rPr>
                  <m:t>Θ</m:t>
                </m:r>
              </m:e>
              <m:sup>
                <m:r>
                  <w:rPr>
                    <w:rFonts w:ascii="Cambria Math" w:eastAsiaTheme="minorEastAsia" w:hAnsi="Cambria Math"/>
                    <w:sz w:val="22"/>
                  </w:rPr>
                  <m:t>g+1</m:t>
                </m:r>
              </m:sup>
            </m:sSup>
            <m:r>
              <w:rPr>
                <w:rFonts w:ascii="Cambria Math" w:eastAsiaTheme="minorEastAsia" w:hAnsi="Cambria Math"/>
                <w:sz w:val="22"/>
              </w:rPr>
              <m:t>|</m:t>
            </m:r>
            <m:sSup>
              <m:sSupPr>
                <m:ctrlPr>
                  <w:rPr>
                    <w:rFonts w:ascii="Cambria Math" w:eastAsiaTheme="minorEastAsia" w:hAnsi="Cambria Math"/>
                    <w:sz w:val="22"/>
                  </w:rPr>
                </m:ctrlPr>
              </m:sSupPr>
              <m:e>
                <m:r>
                  <m:rPr>
                    <m:sty m:val="p"/>
                  </m:rPr>
                  <w:rPr>
                    <w:rFonts w:ascii="Cambria Math" w:eastAsiaTheme="minorEastAsia" w:hAnsi="Cambria Math"/>
                    <w:sz w:val="22"/>
                  </w:rPr>
                  <m:t>Θ</m:t>
                </m:r>
              </m:e>
              <m:sup>
                <m:r>
                  <w:rPr>
                    <w:rFonts w:ascii="Cambria Math" w:eastAsiaTheme="minorEastAsia" w:hAnsi="Cambria Math"/>
                    <w:sz w:val="22"/>
                  </w:rPr>
                  <m:t>g</m:t>
                </m:r>
              </m:sup>
            </m:sSup>
          </m:e>
        </m:d>
        <m:r>
          <w:rPr>
            <w:rFonts w:ascii="Cambria Math" w:eastAsiaTheme="minorEastAsia" w:hAnsi="Cambria Math"/>
            <w:sz w:val="22"/>
          </w:rPr>
          <m:t>=q</m:t>
        </m:r>
        <m:d>
          <m:dPr>
            <m:ctrlPr>
              <w:rPr>
                <w:rFonts w:ascii="Cambria Math" w:eastAsiaTheme="minorEastAsia" w:hAnsi="Cambria Math"/>
                <w:i/>
                <w:sz w:val="22"/>
              </w:rPr>
            </m:ctrlPr>
          </m:dPr>
          <m:e>
            <m:sSup>
              <m:sSupPr>
                <m:ctrlPr>
                  <w:rPr>
                    <w:rFonts w:ascii="Cambria Math" w:eastAsiaTheme="minorEastAsia" w:hAnsi="Cambria Math"/>
                    <w:sz w:val="22"/>
                  </w:rPr>
                </m:ctrlPr>
              </m:sSupPr>
              <m:e>
                <m:r>
                  <m:rPr>
                    <m:sty m:val="p"/>
                  </m:rPr>
                  <w:rPr>
                    <w:rFonts w:ascii="Cambria Math" w:eastAsiaTheme="minorEastAsia" w:hAnsi="Cambria Math"/>
                    <w:sz w:val="22"/>
                  </w:rPr>
                  <m:t>Θ</m:t>
                </m:r>
              </m:e>
              <m:sup>
                <m:r>
                  <w:rPr>
                    <w:rFonts w:ascii="Cambria Math" w:eastAsiaTheme="minorEastAsia" w:hAnsi="Cambria Math"/>
                    <w:sz w:val="22"/>
                  </w:rPr>
                  <m:t>g</m:t>
                </m:r>
              </m:sup>
            </m:sSup>
            <m:r>
              <w:rPr>
                <w:rFonts w:ascii="Cambria Math" w:eastAsiaTheme="minorEastAsia" w:hAnsi="Cambria Math"/>
                <w:sz w:val="22"/>
              </w:rPr>
              <m:t>|</m:t>
            </m:r>
            <m:sSup>
              <m:sSupPr>
                <m:ctrlPr>
                  <w:rPr>
                    <w:rFonts w:ascii="Cambria Math" w:eastAsiaTheme="minorEastAsia" w:hAnsi="Cambria Math"/>
                    <w:sz w:val="22"/>
                  </w:rPr>
                </m:ctrlPr>
              </m:sSupPr>
              <m:e>
                <m:r>
                  <m:rPr>
                    <m:sty m:val="p"/>
                  </m:rPr>
                  <w:rPr>
                    <w:rFonts w:ascii="Cambria Math" w:eastAsiaTheme="minorEastAsia" w:hAnsi="Cambria Math"/>
                    <w:sz w:val="22"/>
                  </w:rPr>
                  <m:t>Θ</m:t>
                </m:r>
              </m:e>
              <m:sup>
                <m:r>
                  <w:rPr>
                    <w:rFonts w:ascii="Cambria Math" w:eastAsiaTheme="minorEastAsia" w:hAnsi="Cambria Math"/>
                    <w:sz w:val="22"/>
                  </w:rPr>
                  <m:t>g+1</m:t>
                </m:r>
              </m:sup>
            </m:sSup>
          </m:e>
        </m:d>
      </m:oMath>
      <w:r w:rsidR="00441E40" w:rsidRPr="00F8217C">
        <w:rPr>
          <w:rFonts w:eastAsiaTheme="minorEastAsia"/>
          <w:sz w:val="22"/>
        </w:rPr>
        <w:t>, the algorithm to estimate the subnational institutional quality converges to:</w:t>
      </w:r>
    </w:p>
    <w:p w14:paraId="5AE44E6A" w14:textId="77777777" w:rsidR="00441E40" w:rsidRPr="00F8217C" w:rsidRDefault="00441E40" w:rsidP="0081084A">
      <w:pPr>
        <w:spacing w:after="0"/>
        <w:jc w:val="both"/>
        <w:rPr>
          <w:rFonts w:eastAsiaTheme="minorEastAsia"/>
          <w:sz w:val="22"/>
        </w:rPr>
      </w:pPr>
    </w:p>
    <w:p w14:paraId="03A11918" w14:textId="77777777" w:rsidR="00441E40" w:rsidRPr="00F8217C" w:rsidRDefault="00441E40" w:rsidP="00441E40">
      <w:pPr>
        <w:spacing w:after="0"/>
        <w:jc w:val="both"/>
        <w:rPr>
          <w:rFonts w:eastAsiaTheme="minorEastAsia"/>
          <w:sz w:val="22"/>
        </w:rPr>
      </w:pPr>
      <w:r w:rsidRPr="00F8217C">
        <w:rPr>
          <w:rFonts w:eastAsiaTheme="minorEastAsia"/>
          <w:b/>
          <w:sz w:val="22"/>
        </w:rPr>
        <w:t>Step #1</w:t>
      </w:r>
      <w:r w:rsidRPr="00F8217C">
        <w:rPr>
          <w:rFonts w:eastAsiaTheme="minorEastAsia"/>
          <w:sz w:val="22"/>
        </w:rPr>
        <w:t xml:space="preserve">: Draw </w:t>
      </w:r>
      <m:oMath>
        <m:sSup>
          <m:sSupPr>
            <m:ctrlPr>
              <w:rPr>
                <w:rFonts w:ascii="Cambria Math" w:eastAsiaTheme="minorEastAsia" w:hAnsi="Cambria Math"/>
                <w:sz w:val="22"/>
              </w:rPr>
            </m:ctrlPr>
          </m:sSupPr>
          <m:e>
            <m:r>
              <m:rPr>
                <m:sty m:val="p"/>
              </m:rPr>
              <w:rPr>
                <w:rFonts w:ascii="Cambria Math" w:eastAsiaTheme="minorEastAsia" w:hAnsi="Cambria Math"/>
                <w:sz w:val="22"/>
              </w:rPr>
              <m:t>Θ</m:t>
            </m:r>
          </m:e>
          <m:sup>
            <m:r>
              <w:rPr>
                <w:rFonts w:ascii="Cambria Math" w:eastAsiaTheme="minorEastAsia" w:hAnsi="Cambria Math"/>
                <w:sz w:val="22"/>
              </w:rPr>
              <m:t>g+1</m:t>
            </m:r>
          </m:sup>
        </m:sSup>
      </m:oMath>
      <w:r w:rsidRPr="00F8217C">
        <w:rPr>
          <w:rFonts w:eastAsiaTheme="minorEastAsia"/>
          <w:sz w:val="22"/>
        </w:rPr>
        <w:t xml:space="preserve"> from the proposal density </w:t>
      </w:r>
      <m:oMath>
        <m:r>
          <w:rPr>
            <w:rFonts w:ascii="Cambria Math" w:eastAsiaTheme="minorEastAsia" w:hAnsi="Cambria Math"/>
            <w:sz w:val="22"/>
          </w:rPr>
          <m:t>q</m:t>
        </m:r>
        <m:d>
          <m:dPr>
            <m:ctrlPr>
              <w:rPr>
                <w:rFonts w:ascii="Cambria Math" w:eastAsiaTheme="minorEastAsia" w:hAnsi="Cambria Math"/>
                <w:i/>
                <w:sz w:val="22"/>
              </w:rPr>
            </m:ctrlPr>
          </m:dPr>
          <m:e>
            <m:sSup>
              <m:sSupPr>
                <m:ctrlPr>
                  <w:rPr>
                    <w:rFonts w:ascii="Cambria Math" w:eastAsiaTheme="minorEastAsia" w:hAnsi="Cambria Math"/>
                    <w:sz w:val="22"/>
                  </w:rPr>
                </m:ctrlPr>
              </m:sSupPr>
              <m:e>
                <m:r>
                  <m:rPr>
                    <m:sty m:val="p"/>
                  </m:rPr>
                  <w:rPr>
                    <w:rFonts w:ascii="Cambria Math" w:eastAsiaTheme="minorEastAsia" w:hAnsi="Cambria Math"/>
                    <w:sz w:val="22"/>
                  </w:rPr>
                  <m:t>Θ</m:t>
                </m:r>
              </m:e>
              <m:sup>
                <m:r>
                  <w:rPr>
                    <w:rFonts w:ascii="Cambria Math" w:eastAsiaTheme="minorEastAsia" w:hAnsi="Cambria Math"/>
                    <w:sz w:val="22"/>
                  </w:rPr>
                  <m:t>g+1</m:t>
                </m:r>
              </m:sup>
            </m:sSup>
            <m:r>
              <w:rPr>
                <w:rFonts w:ascii="Cambria Math" w:eastAsiaTheme="minorEastAsia" w:hAnsi="Cambria Math"/>
                <w:sz w:val="22"/>
              </w:rPr>
              <m:t>|</m:t>
            </m:r>
            <m:sSup>
              <m:sSupPr>
                <m:ctrlPr>
                  <w:rPr>
                    <w:rFonts w:ascii="Cambria Math" w:eastAsiaTheme="minorEastAsia" w:hAnsi="Cambria Math"/>
                    <w:sz w:val="22"/>
                  </w:rPr>
                </m:ctrlPr>
              </m:sSupPr>
              <m:e>
                <m:r>
                  <m:rPr>
                    <m:sty m:val="p"/>
                  </m:rPr>
                  <w:rPr>
                    <w:rFonts w:ascii="Cambria Math" w:eastAsiaTheme="minorEastAsia" w:hAnsi="Cambria Math"/>
                    <w:sz w:val="22"/>
                  </w:rPr>
                  <m:t>Θ</m:t>
                </m:r>
              </m:e>
              <m:sup>
                <m:r>
                  <w:rPr>
                    <w:rFonts w:ascii="Cambria Math" w:eastAsiaTheme="minorEastAsia" w:hAnsi="Cambria Math"/>
                    <w:sz w:val="22"/>
                  </w:rPr>
                  <m:t>g</m:t>
                </m:r>
              </m:sup>
            </m:sSup>
          </m:e>
        </m:d>
      </m:oMath>
    </w:p>
    <w:p w14:paraId="564C665D" w14:textId="77777777" w:rsidR="00441E40" w:rsidRPr="00F8217C" w:rsidRDefault="00441E40" w:rsidP="00441E40">
      <w:pPr>
        <w:spacing w:after="0"/>
        <w:jc w:val="both"/>
        <w:rPr>
          <w:rFonts w:eastAsiaTheme="minorEastAsia"/>
          <w:sz w:val="22"/>
        </w:rPr>
      </w:pPr>
      <w:r w:rsidRPr="00F8217C">
        <w:rPr>
          <w:rFonts w:eastAsiaTheme="minorEastAsia"/>
          <w:b/>
          <w:sz w:val="22"/>
        </w:rPr>
        <w:t>Step #2</w:t>
      </w:r>
      <w:r w:rsidRPr="00F8217C">
        <w:rPr>
          <w:rFonts w:eastAsiaTheme="minorEastAsia"/>
          <w:sz w:val="22"/>
        </w:rPr>
        <w:t xml:space="preserve">: Accept </w:t>
      </w:r>
      <m:oMath>
        <m:sSup>
          <m:sSupPr>
            <m:ctrlPr>
              <w:rPr>
                <w:rFonts w:ascii="Cambria Math" w:eastAsiaTheme="minorEastAsia" w:hAnsi="Cambria Math"/>
                <w:sz w:val="22"/>
              </w:rPr>
            </m:ctrlPr>
          </m:sSupPr>
          <m:e>
            <m:r>
              <m:rPr>
                <m:sty m:val="p"/>
              </m:rPr>
              <w:rPr>
                <w:rFonts w:ascii="Cambria Math" w:eastAsiaTheme="minorEastAsia" w:hAnsi="Cambria Math"/>
                <w:sz w:val="22"/>
              </w:rPr>
              <m:t>Θ</m:t>
            </m:r>
          </m:e>
          <m:sup>
            <m:r>
              <w:rPr>
                <w:rFonts w:ascii="Cambria Math" w:eastAsiaTheme="minorEastAsia" w:hAnsi="Cambria Math"/>
                <w:sz w:val="22"/>
              </w:rPr>
              <m:t>g+1</m:t>
            </m:r>
          </m:sup>
        </m:sSup>
      </m:oMath>
      <w:r w:rsidRPr="00F8217C">
        <w:rPr>
          <w:rFonts w:eastAsiaTheme="minorEastAsia"/>
          <w:sz w:val="22"/>
        </w:rPr>
        <w:t xml:space="preserve"> with probability </w:t>
      </w:r>
      <m:oMath>
        <m:r>
          <w:rPr>
            <w:rFonts w:ascii="Cambria Math" w:eastAsiaTheme="minorEastAsia" w:hAnsi="Cambria Math"/>
            <w:sz w:val="22"/>
          </w:rPr>
          <m:t>γ</m:t>
        </m:r>
        <m:d>
          <m:dPr>
            <m:ctrlPr>
              <w:rPr>
                <w:rFonts w:ascii="Cambria Math" w:eastAsiaTheme="minorEastAsia" w:hAnsi="Cambria Math"/>
                <w:sz w:val="22"/>
              </w:rPr>
            </m:ctrlPr>
          </m:dPr>
          <m:e>
            <m:sSup>
              <m:sSupPr>
                <m:ctrlPr>
                  <w:rPr>
                    <w:rFonts w:ascii="Cambria Math" w:eastAsiaTheme="minorEastAsia" w:hAnsi="Cambria Math"/>
                    <w:sz w:val="22"/>
                  </w:rPr>
                </m:ctrlPr>
              </m:sSupPr>
              <m:e>
                <m:r>
                  <m:rPr>
                    <m:sty m:val="p"/>
                  </m:rPr>
                  <w:rPr>
                    <w:rFonts w:ascii="Cambria Math" w:eastAsiaTheme="minorEastAsia" w:hAnsi="Cambria Math"/>
                    <w:sz w:val="22"/>
                  </w:rPr>
                  <m:t>Θ</m:t>
                </m:r>
              </m:e>
              <m:sup>
                <m:r>
                  <w:rPr>
                    <w:rFonts w:ascii="Cambria Math" w:eastAsiaTheme="minorEastAsia" w:hAnsi="Cambria Math"/>
                    <w:sz w:val="22"/>
                  </w:rPr>
                  <m:t>g+1</m:t>
                </m:r>
              </m:sup>
            </m:sSup>
            <m:r>
              <w:rPr>
                <w:rFonts w:ascii="Cambria Math" w:eastAsiaTheme="minorEastAsia" w:hAnsi="Cambria Math"/>
                <w:sz w:val="22"/>
              </w:rPr>
              <m:t>,</m:t>
            </m:r>
            <m:sSup>
              <m:sSupPr>
                <m:ctrlPr>
                  <w:rPr>
                    <w:rFonts w:ascii="Cambria Math" w:eastAsiaTheme="minorEastAsia" w:hAnsi="Cambria Math"/>
                    <w:sz w:val="22"/>
                  </w:rPr>
                </m:ctrlPr>
              </m:sSupPr>
              <m:e>
                <m:r>
                  <m:rPr>
                    <m:sty m:val="p"/>
                  </m:rPr>
                  <w:rPr>
                    <w:rFonts w:ascii="Cambria Math" w:eastAsiaTheme="minorEastAsia" w:hAnsi="Cambria Math"/>
                    <w:sz w:val="22"/>
                  </w:rPr>
                  <m:t>Θ</m:t>
                </m:r>
              </m:e>
              <m:sup>
                <m:r>
                  <w:rPr>
                    <w:rFonts w:ascii="Cambria Math" w:eastAsiaTheme="minorEastAsia" w:hAnsi="Cambria Math"/>
                    <w:sz w:val="22"/>
                  </w:rPr>
                  <m:t>g</m:t>
                </m:r>
              </m:sup>
            </m:sSup>
          </m:e>
        </m:d>
      </m:oMath>
      <w:r w:rsidRPr="00F8217C">
        <w:rPr>
          <w:rFonts w:eastAsiaTheme="minorEastAsia"/>
          <w:sz w:val="22"/>
        </w:rPr>
        <w:t xml:space="preserve"> where: </w:t>
      </w:r>
      <m:oMath>
        <m:r>
          <w:rPr>
            <w:rFonts w:ascii="Cambria Math" w:eastAsiaTheme="minorEastAsia" w:hAnsi="Cambria Math"/>
            <w:sz w:val="22"/>
          </w:rPr>
          <m:t>γ</m:t>
        </m:r>
        <m:d>
          <m:dPr>
            <m:ctrlPr>
              <w:rPr>
                <w:rFonts w:ascii="Cambria Math" w:eastAsiaTheme="minorEastAsia" w:hAnsi="Cambria Math"/>
                <w:sz w:val="22"/>
              </w:rPr>
            </m:ctrlPr>
          </m:dPr>
          <m:e>
            <m:sSup>
              <m:sSupPr>
                <m:ctrlPr>
                  <w:rPr>
                    <w:rFonts w:ascii="Cambria Math" w:eastAsiaTheme="minorEastAsia" w:hAnsi="Cambria Math"/>
                    <w:sz w:val="22"/>
                  </w:rPr>
                </m:ctrlPr>
              </m:sSupPr>
              <m:e>
                <m:r>
                  <m:rPr>
                    <m:sty m:val="p"/>
                  </m:rPr>
                  <w:rPr>
                    <w:rFonts w:ascii="Cambria Math" w:eastAsiaTheme="minorEastAsia" w:hAnsi="Cambria Math"/>
                    <w:sz w:val="22"/>
                  </w:rPr>
                  <m:t>Θ</m:t>
                </m:r>
              </m:e>
              <m:sup>
                <m:r>
                  <w:rPr>
                    <w:rFonts w:ascii="Cambria Math" w:eastAsiaTheme="minorEastAsia" w:hAnsi="Cambria Math"/>
                    <w:sz w:val="22"/>
                  </w:rPr>
                  <m:t>g+1</m:t>
                </m:r>
              </m:sup>
            </m:sSup>
            <m:r>
              <w:rPr>
                <w:rFonts w:ascii="Cambria Math" w:eastAsiaTheme="minorEastAsia" w:hAnsi="Cambria Math"/>
                <w:sz w:val="22"/>
              </w:rPr>
              <m:t>,</m:t>
            </m:r>
            <m:sSup>
              <m:sSupPr>
                <m:ctrlPr>
                  <w:rPr>
                    <w:rFonts w:ascii="Cambria Math" w:eastAsiaTheme="minorEastAsia" w:hAnsi="Cambria Math"/>
                    <w:sz w:val="22"/>
                  </w:rPr>
                </m:ctrlPr>
              </m:sSupPr>
              <m:e>
                <m:r>
                  <m:rPr>
                    <m:sty m:val="p"/>
                  </m:rPr>
                  <w:rPr>
                    <w:rFonts w:ascii="Cambria Math" w:eastAsiaTheme="minorEastAsia" w:hAnsi="Cambria Math"/>
                    <w:sz w:val="22"/>
                  </w:rPr>
                  <m:t>Θ</m:t>
                </m:r>
              </m:e>
              <m:sup>
                <m:r>
                  <w:rPr>
                    <w:rFonts w:ascii="Cambria Math" w:eastAsiaTheme="minorEastAsia" w:hAnsi="Cambria Math"/>
                    <w:sz w:val="22"/>
                  </w:rPr>
                  <m:t>g</m:t>
                </m:r>
              </m:sup>
            </m:sSup>
          </m:e>
        </m:d>
        <m:r>
          <w:rPr>
            <w:rFonts w:ascii="Cambria Math" w:eastAsiaTheme="minorEastAsia" w:hAnsi="Cambria Math"/>
            <w:sz w:val="22"/>
          </w:rPr>
          <m:t>=</m:t>
        </m:r>
        <m:r>
          <m:rPr>
            <m:sty m:val="p"/>
          </m:rPr>
          <w:rPr>
            <w:rFonts w:ascii="Cambria Math" w:eastAsiaTheme="minorEastAsia" w:hAnsi="Cambria Math"/>
            <w:sz w:val="22"/>
          </w:rPr>
          <m:t>min</m:t>
        </m:r>
        <m:d>
          <m:dPr>
            <m:begChr m:val="["/>
            <m:endChr m:val="]"/>
            <m:ctrlPr>
              <w:rPr>
                <w:rFonts w:ascii="Cambria Math" w:eastAsiaTheme="minorEastAsia" w:hAnsi="Cambria Math"/>
                <w:sz w:val="22"/>
              </w:rPr>
            </m:ctrlPr>
          </m:dPr>
          <m:e>
            <m:f>
              <m:fPr>
                <m:type m:val="lin"/>
                <m:ctrlPr>
                  <w:rPr>
                    <w:rFonts w:ascii="Cambria Math" w:eastAsiaTheme="minorEastAsia" w:hAnsi="Cambria Math"/>
                    <w:i/>
                    <w:sz w:val="22"/>
                  </w:rPr>
                </m:ctrlPr>
              </m:fPr>
              <m:num>
                <m:r>
                  <w:rPr>
                    <w:rFonts w:ascii="Cambria Math" w:eastAsiaTheme="minorEastAsia" w:hAnsi="Cambria Math"/>
                    <w:sz w:val="22"/>
                  </w:rPr>
                  <m:t>π</m:t>
                </m:r>
                <m:d>
                  <m:dPr>
                    <m:ctrlPr>
                      <w:rPr>
                        <w:rFonts w:ascii="Cambria Math" w:eastAsiaTheme="minorEastAsia" w:hAnsi="Cambria Math"/>
                        <w:i/>
                        <w:sz w:val="22"/>
                      </w:rPr>
                    </m:ctrlPr>
                  </m:dPr>
                  <m:e>
                    <m:sSup>
                      <m:sSupPr>
                        <m:ctrlPr>
                          <w:rPr>
                            <w:rFonts w:ascii="Cambria Math" w:eastAsiaTheme="minorEastAsia" w:hAnsi="Cambria Math"/>
                            <w:sz w:val="22"/>
                          </w:rPr>
                        </m:ctrlPr>
                      </m:sSupPr>
                      <m:e>
                        <m:r>
                          <m:rPr>
                            <m:sty m:val="p"/>
                          </m:rPr>
                          <w:rPr>
                            <w:rFonts w:ascii="Cambria Math" w:eastAsiaTheme="minorEastAsia" w:hAnsi="Cambria Math"/>
                            <w:sz w:val="22"/>
                          </w:rPr>
                          <m:t>Θ</m:t>
                        </m:r>
                      </m:e>
                      <m:sup>
                        <m:r>
                          <w:rPr>
                            <w:rFonts w:ascii="Cambria Math" w:eastAsiaTheme="minorEastAsia" w:hAnsi="Cambria Math"/>
                            <w:sz w:val="22"/>
                          </w:rPr>
                          <m:t>g+1</m:t>
                        </m:r>
                      </m:sup>
                    </m:sSup>
                  </m:e>
                </m:d>
              </m:num>
              <m:den>
                <m:r>
                  <w:rPr>
                    <w:rFonts w:ascii="Cambria Math" w:eastAsiaTheme="minorEastAsia" w:hAnsi="Cambria Math"/>
                    <w:sz w:val="22"/>
                  </w:rPr>
                  <m:t>π</m:t>
                </m:r>
                <m:d>
                  <m:dPr>
                    <m:ctrlPr>
                      <w:rPr>
                        <w:rFonts w:ascii="Cambria Math" w:eastAsiaTheme="minorEastAsia" w:hAnsi="Cambria Math"/>
                        <w:i/>
                        <w:sz w:val="22"/>
                      </w:rPr>
                    </m:ctrlPr>
                  </m:dPr>
                  <m:e>
                    <m:sSup>
                      <m:sSupPr>
                        <m:ctrlPr>
                          <w:rPr>
                            <w:rFonts w:ascii="Cambria Math" w:eastAsiaTheme="minorEastAsia" w:hAnsi="Cambria Math"/>
                            <w:sz w:val="22"/>
                          </w:rPr>
                        </m:ctrlPr>
                      </m:sSupPr>
                      <m:e>
                        <m:r>
                          <m:rPr>
                            <m:sty m:val="p"/>
                          </m:rPr>
                          <w:rPr>
                            <w:rFonts w:ascii="Cambria Math" w:eastAsiaTheme="minorEastAsia" w:hAnsi="Cambria Math"/>
                            <w:sz w:val="22"/>
                          </w:rPr>
                          <m:t>Θ</m:t>
                        </m:r>
                      </m:e>
                      <m:sup>
                        <m:r>
                          <w:rPr>
                            <w:rFonts w:ascii="Cambria Math" w:eastAsiaTheme="minorEastAsia" w:hAnsi="Cambria Math"/>
                            <w:sz w:val="22"/>
                          </w:rPr>
                          <m:t>g</m:t>
                        </m:r>
                      </m:sup>
                    </m:sSup>
                  </m:e>
                </m:d>
              </m:den>
            </m:f>
            <m:r>
              <w:rPr>
                <w:rFonts w:ascii="Cambria Math" w:eastAsiaTheme="minorEastAsia" w:hAnsi="Cambria Math"/>
                <w:sz w:val="22"/>
              </w:rPr>
              <m:t>t,1</m:t>
            </m:r>
          </m:e>
        </m:d>
      </m:oMath>
    </w:p>
    <w:p w14:paraId="4BFFE3E9" w14:textId="77777777" w:rsidR="00441E40" w:rsidRPr="00F8217C" w:rsidRDefault="00441E40" w:rsidP="0081084A">
      <w:pPr>
        <w:spacing w:after="0"/>
        <w:jc w:val="both"/>
        <w:rPr>
          <w:sz w:val="22"/>
        </w:rPr>
      </w:pPr>
    </w:p>
    <w:p w14:paraId="32D75197" w14:textId="77777777" w:rsidR="00FF365C" w:rsidRPr="00F8217C" w:rsidRDefault="001A54C6" w:rsidP="00CE6101">
      <w:pPr>
        <w:spacing w:after="0"/>
        <w:jc w:val="both"/>
        <w:rPr>
          <w:sz w:val="22"/>
        </w:rPr>
      </w:pPr>
      <w:r w:rsidRPr="00F8217C">
        <w:rPr>
          <w:sz w:val="22"/>
        </w:rPr>
        <w:t xml:space="preserve">And conveys two chief advantages in estimating the latent institutional quality. First, the simplified algorithm </w:t>
      </w:r>
      <w:proofErr w:type="gramStart"/>
      <w:r w:rsidRPr="00F8217C">
        <w:rPr>
          <w:sz w:val="22"/>
        </w:rPr>
        <w:t>has the ability to</w:t>
      </w:r>
      <w:proofErr w:type="gramEnd"/>
      <w:r w:rsidRPr="00F8217C">
        <w:rPr>
          <w:sz w:val="22"/>
        </w:rPr>
        <w:t xml:space="preserve"> control the variance of the error term, which substantially reduces the measurement error. And second, the algorithm must be tuned by adjusting the variance of the error term to obtain an acceptable level of accepted draws. Given the size of our sample, we set the number of iterations to obtain a sequence of random samples at 12,500 for each outcome-year combination and set the acceptance rate at 25 percent, which is in the conventional range between 20 and 40 percent. At 12,500 iterations per outcome and year, the number of discarded observations through the burn-in amounts to 2,500. Hence, for 24 years and 5 outcomes under consideration, the overall number of iterations performed in our analysis is around 1,500,000 million random sequences of samples. This allows us to construct the mean and median estimate of the posterior parameter for each region and municipality for each </w:t>
      </w:r>
      <m:oMath>
        <m:r>
          <w:rPr>
            <w:rFonts w:ascii="Cambria Math" w:hAnsi="Cambria Math"/>
            <w:sz w:val="22"/>
          </w:rPr>
          <m:t>t=1,2,…T</m:t>
        </m:r>
      </m:oMath>
      <w:r w:rsidRPr="00F8217C">
        <w:rPr>
          <w:sz w:val="22"/>
        </w:rPr>
        <w:t>. By inverting the test statistics, we also compute the upper and lower confidence bounds of the posterior parameter for each treated and non-treated region and for a full cross-section of municipalities.</w:t>
      </w:r>
      <w:r w:rsidR="00B01DE9" w:rsidRPr="00F8217C">
        <w:rPr>
          <w:sz w:val="22"/>
        </w:rPr>
        <w:t xml:space="preserve"> One of the caveats arises from the stability and composition of the latent component over time. Estimating a repeated sequence of randomly generated samples through MCMC algorithms such as Metropolis-Hastings usually invokes a notable confluence of cyclical and deterministic components that may be inherent in the estimated series with non-informative priors. While the deterministic component captures long-term trend of the series, the cyclical component may capture short-run oscillations of the posterior parameter values from its long-run equilibrium. Suppose that the posterior parameters can be decomposed into the deterministic and cyclical component:</w:t>
      </w:r>
    </w:p>
    <w:p w14:paraId="0961CF92" w14:textId="77777777" w:rsidR="00B01DE9" w:rsidRPr="00F8217C" w:rsidRDefault="00B01DE9" w:rsidP="00CE6101">
      <w:pPr>
        <w:spacing w:after="0"/>
        <w:jc w:val="both"/>
        <w:rPr>
          <w:sz w:val="22"/>
        </w:rPr>
      </w:pPr>
    </w:p>
    <w:p w14:paraId="0864D2FC" w14:textId="77777777" w:rsidR="00B01DE9" w:rsidRPr="00F8217C" w:rsidRDefault="00000000" w:rsidP="00CE6101">
      <w:pPr>
        <w:spacing w:after="0"/>
        <w:jc w:val="both"/>
        <w:rPr>
          <w:sz w:val="22"/>
        </w:rPr>
      </w:pPr>
      <m:oMathPara>
        <m:oMath>
          <m:sSub>
            <m:sSubPr>
              <m:ctrlPr>
                <w:rPr>
                  <w:rFonts w:ascii="Cambria Math" w:hAnsi="Cambria Math"/>
                  <w:i/>
                  <w:sz w:val="22"/>
                </w:rPr>
              </m:ctrlPr>
            </m:sSubPr>
            <m:e>
              <m:r>
                <m:rPr>
                  <m:sty m:val="p"/>
                </m:rPr>
                <w:rPr>
                  <w:rFonts w:ascii="Cambria Math" w:hAnsi="Cambria Math"/>
                  <w:sz w:val="22"/>
                </w:rPr>
                <m:t>Θ</m:t>
              </m:r>
            </m:e>
            <m:sub>
              <m:r>
                <w:rPr>
                  <w:rFonts w:ascii="Cambria Math" w:hAnsi="Cambria Math"/>
                  <w:sz w:val="22"/>
                </w:rPr>
                <m:t>i,j,t</m:t>
              </m:r>
            </m:sub>
          </m:sSub>
          <m:r>
            <w:rPr>
              <w:rFonts w:ascii="Cambria Math" w:hAnsi="Cambria Math"/>
              <w:sz w:val="22"/>
            </w:rPr>
            <m:t>=</m:t>
          </m:r>
          <m:sSub>
            <m:sSubPr>
              <m:ctrlPr>
                <w:rPr>
                  <w:rFonts w:ascii="Cambria Math" w:hAnsi="Cambria Math"/>
                  <w:i/>
                  <w:sz w:val="22"/>
                </w:rPr>
              </m:ctrlPr>
            </m:sSubPr>
            <m:e>
              <m:r>
                <w:rPr>
                  <w:rFonts w:ascii="Cambria Math" w:hAnsi="Cambria Math"/>
                  <w:sz w:val="22"/>
                </w:rPr>
                <m:t>τ</m:t>
              </m:r>
            </m:e>
            <m:sub>
              <m:r>
                <w:rPr>
                  <w:rFonts w:ascii="Cambria Math" w:hAnsi="Cambria Math"/>
                  <w:sz w:val="22"/>
                </w:rPr>
                <m:t>i,j,t</m:t>
              </m:r>
            </m:sub>
          </m:sSub>
          <m:r>
            <w:rPr>
              <w:rFonts w:ascii="Cambria Math" w:hAnsi="Cambria Math"/>
              <w:sz w:val="22"/>
            </w:rPr>
            <m:t>+</m:t>
          </m:r>
          <m:sSub>
            <m:sSubPr>
              <m:ctrlPr>
                <w:rPr>
                  <w:rFonts w:ascii="Cambria Math" w:hAnsi="Cambria Math"/>
                  <w:i/>
                  <w:sz w:val="22"/>
                </w:rPr>
              </m:ctrlPr>
            </m:sSubPr>
            <m:e>
              <m:r>
                <w:rPr>
                  <w:rFonts w:ascii="Cambria Math" w:hAnsi="Cambria Math"/>
                  <w:sz w:val="22"/>
                </w:rPr>
                <m:t>c</m:t>
              </m:r>
            </m:e>
            <m:sub>
              <m:r>
                <w:rPr>
                  <w:rFonts w:ascii="Cambria Math" w:hAnsi="Cambria Math"/>
                  <w:sz w:val="22"/>
                </w:rPr>
                <m:t>i,j,t</m:t>
              </m:r>
            </m:sub>
          </m:sSub>
        </m:oMath>
      </m:oMathPara>
    </w:p>
    <w:p w14:paraId="1EFEB0D7" w14:textId="77777777" w:rsidR="00B01DE9" w:rsidRPr="00F8217C" w:rsidRDefault="00B01DE9" w:rsidP="00CE6101">
      <w:pPr>
        <w:spacing w:after="0"/>
        <w:jc w:val="both"/>
        <w:rPr>
          <w:sz w:val="22"/>
        </w:rPr>
      </w:pPr>
    </w:p>
    <w:p w14:paraId="2BD2F0CA" w14:textId="77777777" w:rsidR="00B01DE9" w:rsidRPr="00F8217C" w:rsidRDefault="00B01DE9" w:rsidP="00CE6101">
      <w:pPr>
        <w:spacing w:after="0"/>
        <w:jc w:val="both"/>
        <w:rPr>
          <w:rFonts w:eastAsiaTheme="minorEastAsia"/>
          <w:sz w:val="22"/>
        </w:rPr>
      </w:pPr>
      <w:r w:rsidRPr="00F8217C">
        <w:rPr>
          <w:sz w:val="22"/>
        </w:rPr>
        <w:t xml:space="preserve">Where </w:t>
      </w:r>
      <m:oMath>
        <m:r>
          <w:rPr>
            <w:rFonts w:ascii="Cambria Math" w:hAnsi="Cambria Math"/>
            <w:sz w:val="22"/>
          </w:rPr>
          <m:t>τ</m:t>
        </m:r>
      </m:oMath>
      <w:r w:rsidRPr="00F8217C">
        <w:rPr>
          <w:rFonts w:eastAsiaTheme="minorEastAsia"/>
          <w:sz w:val="22"/>
        </w:rPr>
        <w:t xml:space="preserve"> captures he deterministic component and </w:t>
      </w:r>
      <m:oMath>
        <m:r>
          <w:rPr>
            <w:rFonts w:ascii="Cambria Math" w:hAnsi="Cambria Math"/>
            <w:sz w:val="22"/>
          </w:rPr>
          <m:t>c</m:t>
        </m:r>
      </m:oMath>
      <w:r w:rsidRPr="00F8217C">
        <w:rPr>
          <w:rFonts w:eastAsiaTheme="minorEastAsia"/>
          <w:sz w:val="22"/>
        </w:rPr>
        <w:t xml:space="preserve"> represents the cyclical component of the parameter. Notice that the deterministic component captures the signal of the institutional quality parameter whereas the latter captures the noise behind the latent quality trait. If the latent tr</w:t>
      </w:r>
      <w:r w:rsidR="00F94576" w:rsidRPr="00F8217C">
        <w:rPr>
          <w:rFonts w:eastAsiaTheme="minorEastAsia"/>
          <w:sz w:val="22"/>
        </w:rPr>
        <w:t xml:space="preserve">ait </w:t>
      </w:r>
      <w:proofErr w:type="gramStart"/>
      <w:r w:rsidR="00F94576" w:rsidRPr="00F8217C">
        <w:rPr>
          <w:rFonts w:eastAsiaTheme="minorEastAsia"/>
          <w:sz w:val="22"/>
        </w:rPr>
        <w:t>denote</w:t>
      </w:r>
      <w:proofErr w:type="gramEnd"/>
      <w:r w:rsidR="00F94576" w:rsidRPr="00F8217C">
        <w:rPr>
          <w:rFonts w:eastAsiaTheme="minorEastAsia"/>
          <w:sz w:val="22"/>
        </w:rPr>
        <w:t xml:space="preserve"> short-term and temporary deviations from the long-run trend, </w:t>
      </w:r>
      <m:oMath>
        <m:r>
          <m:rPr>
            <m:sty m:val="p"/>
          </m:rPr>
          <w:rPr>
            <w:rFonts w:ascii="Cambria Math" w:hAnsi="Cambria Math"/>
            <w:sz w:val="22"/>
          </w:rPr>
          <m:t>Θ</m:t>
        </m:r>
      </m:oMath>
      <w:r w:rsidR="00F94576" w:rsidRPr="00F8217C">
        <w:rPr>
          <w:rFonts w:eastAsiaTheme="minorEastAsia"/>
          <w:sz w:val="22"/>
        </w:rPr>
        <w:t xml:space="preserve"> has a tendency to exhibit a stationary mean-reverting pattern since, in such circumstances, it is determined by </w:t>
      </w:r>
      <m:oMath>
        <m:r>
          <w:rPr>
            <w:rFonts w:ascii="Cambria Math" w:hAnsi="Cambria Math"/>
            <w:sz w:val="22"/>
          </w:rPr>
          <m:t>c</m:t>
        </m:r>
      </m:oMath>
      <w:r w:rsidR="00F94576" w:rsidRPr="00F8217C">
        <w:rPr>
          <w:rFonts w:eastAsiaTheme="minorEastAsia"/>
          <w:sz w:val="22"/>
        </w:rPr>
        <w:t xml:space="preserve"> instead of </w:t>
      </w:r>
      <m:oMath>
        <m:r>
          <w:rPr>
            <w:rFonts w:ascii="Cambria Math" w:hAnsi="Cambria Math"/>
            <w:sz w:val="22"/>
          </w:rPr>
          <m:t>τ</m:t>
        </m:r>
      </m:oMath>
      <w:r w:rsidR="00F94576" w:rsidRPr="00F8217C">
        <w:rPr>
          <w:rFonts w:eastAsiaTheme="minorEastAsia"/>
          <w:sz w:val="22"/>
        </w:rPr>
        <w:t xml:space="preserve">. Hence, if </w:t>
      </w:r>
      <m:oMath>
        <m:r>
          <w:rPr>
            <w:rFonts w:ascii="Cambria Math" w:hAnsi="Cambria Math"/>
            <w:sz w:val="22"/>
          </w:rPr>
          <m:t>c</m:t>
        </m:r>
      </m:oMath>
      <w:r w:rsidR="00F94576" w:rsidRPr="00F8217C">
        <w:rPr>
          <w:rFonts w:eastAsiaTheme="minorEastAsia"/>
          <w:sz w:val="22"/>
        </w:rPr>
        <w:t xml:space="preserve"> component prevails over time, the simulated latent quality trait will converge to the random-walk behaviour. Conversely, if the latent quality trait exhibits little deviation from the cyclical component, the underlying posterior parameter </w:t>
      </w:r>
      <m:oMath>
        <m:r>
          <m:rPr>
            <m:sty m:val="p"/>
          </m:rPr>
          <w:rPr>
            <w:rFonts w:ascii="Cambria Math" w:hAnsi="Cambria Math"/>
            <w:sz w:val="22"/>
          </w:rPr>
          <m:t>Θ</m:t>
        </m:r>
      </m:oMath>
      <w:r w:rsidR="00F94576" w:rsidRPr="00F8217C">
        <w:rPr>
          <w:rFonts w:eastAsiaTheme="minorEastAsia"/>
          <w:sz w:val="22"/>
        </w:rPr>
        <w:t xml:space="preserve"> is dominated by </w:t>
      </w:r>
      <m:oMath>
        <m:r>
          <w:rPr>
            <w:rFonts w:ascii="Cambria Math" w:eastAsiaTheme="minorEastAsia" w:hAnsi="Cambria Math"/>
            <w:sz w:val="22"/>
          </w:rPr>
          <m:t>τ</m:t>
        </m:r>
      </m:oMath>
      <w:r w:rsidR="00F94576" w:rsidRPr="00F8217C">
        <w:rPr>
          <w:rFonts w:eastAsiaTheme="minorEastAsia"/>
          <w:sz w:val="22"/>
        </w:rPr>
        <w:t xml:space="preserve">. Our goal is to recover a smooth long-run trend component of the posterior parameter for i-th municipality and j-th regions which is done by solving </w:t>
      </w:r>
      <w:r w:rsidR="00F94576" w:rsidRPr="00481178">
        <w:rPr>
          <w:rFonts w:eastAsiaTheme="minorEastAsia"/>
          <w:color w:val="4472C4" w:themeColor="accent5"/>
          <w:sz w:val="22"/>
        </w:rPr>
        <w:t xml:space="preserve">Hodrick and Prescott (1997) </w:t>
      </w:r>
      <w:r w:rsidR="00F94576" w:rsidRPr="00F8217C">
        <w:rPr>
          <w:rFonts w:eastAsiaTheme="minorEastAsia"/>
          <w:sz w:val="22"/>
        </w:rPr>
        <w:t>optimization problem:</w:t>
      </w:r>
    </w:p>
    <w:p w14:paraId="566C3033" w14:textId="77777777" w:rsidR="00F94576" w:rsidRPr="00F8217C" w:rsidRDefault="00F94576" w:rsidP="00CE6101">
      <w:pPr>
        <w:spacing w:after="0"/>
        <w:jc w:val="both"/>
        <w:rPr>
          <w:rFonts w:eastAsiaTheme="minorEastAsia"/>
          <w:sz w:val="22"/>
        </w:rPr>
      </w:pPr>
    </w:p>
    <w:p w14:paraId="0F8204EC" w14:textId="77777777" w:rsidR="00F94576" w:rsidRPr="00F8217C" w:rsidRDefault="00F94576" w:rsidP="00CE6101">
      <w:pPr>
        <w:spacing w:after="0"/>
        <w:jc w:val="both"/>
        <w:rPr>
          <w:sz w:val="22"/>
        </w:rPr>
      </w:pPr>
      <m:oMathPara>
        <m:oMath>
          <m:r>
            <m:rPr>
              <m:sty m:val="p"/>
            </m:rPr>
            <w:rPr>
              <w:rFonts w:ascii="Cambria Math" w:hAnsi="Cambria Math"/>
              <w:sz w:val="22"/>
            </w:rPr>
            <m:t>min</m:t>
          </m:r>
          <m:nary>
            <m:naryPr>
              <m:chr m:val="∑"/>
              <m:limLoc m:val="undOvr"/>
              <m:ctrlPr>
                <w:rPr>
                  <w:rFonts w:ascii="Cambria Math" w:hAnsi="Cambria Math"/>
                  <w:i/>
                  <w:sz w:val="22"/>
                </w:rPr>
              </m:ctrlPr>
            </m:naryPr>
            <m:sub>
              <m:r>
                <w:rPr>
                  <w:rFonts w:ascii="Cambria Math" w:hAnsi="Cambria Math"/>
                  <w:sz w:val="22"/>
                </w:rPr>
                <m:t>t-1</m:t>
              </m:r>
            </m:sub>
            <m:sup>
              <m:r>
                <w:rPr>
                  <w:rFonts w:ascii="Cambria Math" w:hAnsi="Cambria Math"/>
                  <w:sz w:val="22"/>
                </w:rPr>
                <m:t>T</m:t>
              </m:r>
            </m:sup>
            <m:e>
              <m:sSup>
                <m:sSupPr>
                  <m:ctrlPr>
                    <w:rPr>
                      <w:rFonts w:ascii="Cambria Math" w:hAnsi="Cambria Math"/>
                      <w:i/>
                      <w:sz w:val="22"/>
                    </w:rPr>
                  </m:ctrlPr>
                </m:sSupPr>
                <m:e>
                  <m:d>
                    <m:dPr>
                      <m:ctrlPr>
                        <w:rPr>
                          <w:rFonts w:ascii="Cambria Math" w:hAnsi="Cambria Math"/>
                          <w:i/>
                          <w:sz w:val="22"/>
                        </w:rPr>
                      </m:ctrlPr>
                    </m:dPr>
                    <m:e>
                      <m:sSub>
                        <m:sSubPr>
                          <m:ctrlPr>
                            <w:rPr>
                              <w:rFonts w:ascii="Cambria Math" w:hAnsi="Cambria Math"/>
                              <w:i/>
                              <w:sz w:val="22"/>
                            </w:rPr>
                          </m:ctrlPr>
                        </m:sSubPr>
                        <m:e>
                          <m:r>
                            <m:rPr>
                              <m:sty m:val="p"/>
                            </m:rPr>
                            <w:rPr>
                              <w:rFonts w:ascii="Cambria Math" w:hAnsi="Cambria Math"/>
                              <w:sz w:val="22"/>
                            </w:rPr>
                            <m:t>Θ</m:t>
                          </m:r>
                        </m:e>
                        <m:sub>
                          <m:r>
                            <w:rPr>
                              <w:rFonts w:ascii="Cambria Math" w:hAnsi="Cambria Math"/>
                              <w:sz w:val="22"/>
                            </w:rPr>
                            <m:t>i,j,t</m:t>
                          </m:r>
                        </m:sub>
                      </m:sSub>
                      <m:r>
                        <w:rPr>
                          <w:rFonts w:ascii="Cambria Math" w:hAnsi="Cambria Math"/>
                          <w:sz w:val="22"/>
                        </w:rPr>
                        <m:t>-</m:t>
                      </m:r>
                      <m:sSub>
                        <m:sSubPr>
                          <m:ctrlPr>
                            <w:rPr>
                              <w:rFonts w:ascii="Cambria Math" w:hAnsi="Cambria Math"/>
                              <w:i/>
                              <w:sz w:val="22"/>
                            </w:rPr>
                          </m:ctrlPr>
                        </m:sSubPr>
                        <m:e>
                          <m:r>
                            <w:rPr>
                              <w:rFonts w:ascii="Cambria Math" w:hAnsi="Cambria Math"/>
                              <w:sz w:val="22"/>
                            </w:rPr>
                            <m:t>τ</m:t>
                          </m:r>
                        </m:e>
                        <m:sub>
                          <m:r>
                            <w:rPr>
                              <w:rFonts w:ascii="Cambria Math" w:hAnsi="Cambria Math"/>
                              <w:sz w:val="22"/>
                            </w:rPr>
                            <m:t>i,j,t</m:t>
                          </m:r>
                        </m:sub>
                      </m:sSub>
                    </m:e>
                  </m:d>
                </m:e>
                <m:sup>
                  <m:r>
                    <w:rPr>
                      <w:rFonts w:ascii="Cambria Math" w:hAnsi="Cambria Math"/>
                      <w:sz w:val="22"/>
                    </w:rPr>
                    <m:t>2</m:t>
                  </m:r>
                </m:sup>
              </m:sSup>
              <m:r>
                <w:rPr>
                  <w:rFonts w:ascii="Cambria Math" w:hAnsi="Cambria Math"/>
                  <w:sz w:val="22"/>
                </w:rPr>
                <m:t>+ϕ</m:t>
              </m:r>
              <m:sSup>
                <m:sSupPr>
                  <m:ctrlPr>
                    <w:rPr>
                      <w:rFonts w:ascii="Cambria Math" w:hAnsi="Cambria Math"/>
                      <w:i/>
                      <w:sz w:val="22"/>
                    </w:rPr>
                  </m:ctrlPr>
                </m:sSupPr>
                <m:e>
                  <m:d>
                    <m:dPr>
                      <m:ctrlPr>
                        <w:rPr>
                          <w:rFonts w:ascii="Cambria Math" w:hAnsi="Cambria Math"/>
                          <w:i/>
                          <w:sz w:val="22"/>
                        </w:rPr>
                      </m:ctrlPr>
                    </m:dPr>
                    <m:e>
                      <m:d>
                        <m:dPr>
                          <m:ctrlPr>
                            <w:rPr>
                              <w:rFonts w:ascii="Cambria Math" w:hAnsi="Cambria Math"/>
                              <w:i/>
                              <w:sz w:val="22"/>
                            </w:rPr>
                          </m:ctrlPr>
                        </m:dPr>
                        <m:e>
                          <m:sSub>
                            <m:sSubPr>
                              <m:ctrlPr>
                                <w:rPr>
                                  <w:rFonts w:ascii="Cambria Math" w:hAnsi="Cambria Math"/>
                                  <w:i/>
                                  <w:sz w:val="22"/>
                                </w:rPr>
                              </m:ctrlPr>
                            </m:sSubPr>
                            <m:e>
                              <m:r>
                                <w:rPr>
                                  <w:rFonts w:ascii="Cambria Math" w:hAnsi="Cambria Math"/>
                                  <w:sz w:val="22"/>
                                </w:rPr>
                                <m:t>τ</m:t>
                              </m:r>
                            </m:e>
                            <m:sub>
                              <m:r>
                                <w:rPr>
                                  <w:rFonts w:ascii="Cambria Math" w:hAnsi="Cambria Math"/>
                                  <w:sz w:val="22"/>
                                </w:rPr>
                                <m:t>i,j,t+1</m:t>
                              </m:r>
                            </m:sub>
                          </m:sSub>
                          <m:r>
                            <w:rPr>
                              <w:rFonts w:ascii="Cambria Math" w:hAnsi="Cambria Math"/>
                              <w:sz w:val="22"/>
                            </w:rPr>
                            <m:t>-</m:t>
                          </m:r>
                          <m:sSub>
                            <m:sSubPr>
                              <m:ctrlPr>
                                <w:rPr>
                                  <w:rFonts w:ascii="Cambria Math" w:hAnsi="Cambria Math"/>
                                  <w:i/>
                                  <w:sz w:val="22"/>
                                </w:rPr>
                              </m:ctrlPr>
                            </m:sSubPr>
                            <m:e>
                              <m:r>
                                <w:rPr>
                                  <w:rFonts w:ascii="Cambria Math" w:hAnsi="Cambria Math"/>
                                  <w:sz w:val="22"/>
                                </w:rPr>
                                <m:t>τ</m:t>
                              </m:r>
                            </m:e>
                            <m:sub>
                              <m:r>
                                <w:rPr>
                                  <w:rFonts w:ascii="Cambria Math" w:hAnsi="Cambria Math"/>
                                  <w:sz w:val="22"/>
                                </w:rPr>
                                <m:t>i,j,t</m:t>
                              </m:r>
                            </m:sub>
                          </m:sSub>
                        </m:e>
                      </m:d>
                      <m:r>
                        <w:rPr>
                          <w:rFonts w:ascii="Cambria Math" w:hAnsi="Cambria Math"/>
                          <w:sz w:val="22"/>
                        </w:rPr>
                        <m:t>-</m:t>
                      </m:r>
                      <m:d>
                        <m:dPr>
                          <m:ctrlPr>
                            <w:rPr>
                              <w:rFonts w:ascii="Cambria Math" w:hAnsi="Cambria Math"/>
                              <w:i/>
                              <w:sz w:val="22"/>
                            </w:rPr>
                          </m:ctrlPr>
                        </m:dPr>
                        <m:e>
                          <m:sSub>
                            <m:sSubPr>
                              <m:ctrlPr>
                                <w:rPr>
                                  <w:rFonts w:ascii="Cambria Math" w:hAnsi="Cambria Math"/>
                                  <w:i/>
                                  <w:sz w:val="22"/>
                                </w:rPr>
                              </m:ctrlPr>
                            </m:sSubPr>
                            <m:e>
                              <m:r>
                                <w:rPr>
                                  <w:rFonts w:ascii="Cambria Math" w:hAnsi="Cambria Math"/>
                                  <w:sz w:val="22"/>
                                </w:rPr>
                                <m:t>τ</m:t>
                              </m:r>
                            </m:e>
                            <m:sub>
                              <m:r>
                                <w:rPr>
                                  <w:rFonts w:ascii="Cambria Math" w:hAnsi="Cambria Math"/>
                                  <w:sz w:val="22"/>
                                </w:rPr>
                                <m:t>i,j,t</m:t>
                              </m:r>
                            </m:sub>
                          </m:sSub>
                          <m:r>
                            <w:rPr>
                              <w:rFonts w:ascii="Cambria Math" w:hAnsi="Cambria Math"/>
                              <w:sz w:val="22"/>
                            </w:rPr>
                            <m:t>-</m:t>
                          </m:r>
                          <m:sSub>
                            <m:sSubPr>
                              <m:ctrlPr>
                                <w:rPr>
                                  <w:rFonts w:ascii="Cambria Math" w:hAnsi="Cambria Math"/>
                                  <w:i/>
                                  <w:sz w:val="22"/>
                                </w:rPr>
                              </m:ctrlPr>
                            </m:sSubPr>
                            <m:e>
                              <m:r>
                                <w:rPr>
                                  <w:rFonts w:ascii="Cambria Math" w:hAnsi="Cambria Math"/>
                                  <w:sz w:val="22"/>
                                </w:rPr>
                                <m:t>τ</m:t>
                              </m:r>
                            </m:e>
                            <m:sub>
                              <m:r>
                                <w:rPr>
                                  <w:rFonts w:ascii="Cambria Math" w:hAnsi="Cambria Math"/>
                                  <w:sz w:val="22"/>
                                </w:rPr>
                                <m:t>i,j,t-1</m:t>
                              </m:r>
                            </m:sub>
                          </m:sSub>
                        </m:e>
                      </m:d>
                    </m:e>
                  </m:d>
                </m:e>
                <m:sup>
                  <m:r>
                    <w:rPr>
                      <w:rFonts w:ascii="Cambria Math" w:hAnsi="Cambria Math"/>
                      <w:sz w:val="22"/>
                    </w:rPr>
                    <m:t>2</m:t>
                  </m:r>
                </m:sup>
              </m:sSup>
            </m:e>
          </m:nary>
        </m:oMath>
      </m:oMathPara>
    </w:p>
    <w:p w14:paraId="0A0396E6" w14:textId="77777777" w:rsidR="00FF365C" w:rsidRPr="00F8217C" w:rsidRDefault="00FF365C" w:rsidP="0067749B">
      <w:pPr>
        <w:spacing w:after="0"/>
        <w:rPr>
          <w:sz w:val="22"/>
        </w:rPr>
      </w:pPr>
    </w:p>
    <w:p w14:paraId="46C09BC5" w14:textId="77777777" w:rsidR="00F94576" w:rsidRPr="00F8217C" w:rsidRDefault="00F94576" w:rsidP="00AD7AD7">
      <w:pPr>
        <w:spacing w:after="0"/>
        <w:jc w:val="both"/>
        <w:rPr>
          <w:sz w:val="22"/>
        </w:rPr>
      </w:pPr>
      <w:r w:rsidRPr="00F8217C">
        <w:rPr>
          <w:sz w:val="22"/>
        </w:rPr>
        <w:t xml:space="preserve">where </w:t>
      </w:r>
      <m:oMath>
        <m:d>
          <m:dPr>
            <m:ctrlPr>
              <w:rPr>
                <w:rFonts w:ascii="Cambria Math" w:hAnsi="Cambria Math"/>
                <w:i/>
                <w:sz w:val="22"/>
              </w:rPr>
            </m:ctrlPr>
          </m:dPr>
          <m:e>
            <m:sSub>
              <m:sSubPr>
                <m:ctrlPr>
                  <w:rPr>
                    <w:rFonts w:ascii="Cambria Math" w:hAnsi="Cambria Math"/>
                    <w:i/>
                    <w:sz w:val="22"/>
                  </w:rPr>
                </m:ctrlPr>
              </m:sSubPr>
              <m:e>
                <m:r>
                  <m:rPr>
                    <m:sty m:val="p"/>
                  </m:rPr>
                  <w:rPr>
                    <w:rFonts w:ascii="Cambria Math" w:hAnsi="Cambria Math"/>
                    <w:sz w:val="22"/>
                  </w:rPr>
                  <m:t>Θ</m:t>
                </m:r>
              </m:e>
              <m:sub>
                <m:r>
                  <w:rPr>
                    <w:rFonts w:ascii="Cambria Math" w:hAnsi="Cambria Math"/>
                    <w:sz w:val="22"/>
                  </w:rPr>
                  <m:t>i,j,t</m:t>
                </m:r>
              </m:sub>
            </m:sSub>
            <m:r>
              <w:rPr>
                <w:rFonts w:ascii="Cambria Math" w:hAnsi="Cambria Math"/>
                <w:sz w:val="22"/>
              </w:rPr>
              <m:t>-</m:t>
            </m:r>
            <m:sSub>
              <m:sSubPr>
                <m:ctrlPr>
                  <w:rPr>
                    <w:rFonts w:ascii="Cambria Math" w:hAnsi="Cambria Math"/>
                    <w:i/>
                    <w:sz w:val="22"/>
                  </w:rPr>
                </m:ctrlPr>
              </m:sSubPr>
              <m:e>
                <m:r>
                  <w:rPr>
                    <w:rFonts w:ascii="Cambria Math" w:hAnsi="Cambria Math"/>
                    <w:sz w:val="22"/>
                  </w:rPr>
                  <m:t>τ</m:t>
                </m:r>
              </m:e>
              <m:sub>
                <m:r>
                  <w:rPr>
                    <w:rFonts w:ascii="Cambria Math" w:hAnsi="Cambria Math"/>
                    <w:sz w:val="22"/>
                  </w:rPr>
                  <m:t>i,j,t</m:t>
                </m:r>
              </m:sub>
            </m:sSub>
          </m:e>
        </m:d>
      </m:oMath>
      <w:r w:rsidRPr="00F8217C">
        <w:rPr>
          <w:rFonts w:eastAsiaTheme="minorEastAsia"/>
          <w:sz w:val="22"/>
        </w:rPr>
        <w:t xml:space="preserve"> denotes the residual component of the latent quality trait in continuous time and satisfies the stability condition such that </w:t>
      </w:r>
      <m:oMath>
        <m:sSub>
          <m:sSubPr>
            <m:ctrlPr>
              <w:rPr>
                <w:rFonts w:ascii="Cambria Math" w:eastAsiaTheme="minorEastAsia" w:hAnsi="Cambria Math"/>
                <w:i/>
                <w:sz w:val="22"/>
              </w:rPr>
            </m:ctrlPr>
          </m:sSubPr>
          <m:e>
            <m:r>
              <w:rPr>
                <w:rFonts w:ascii="Cambria Math" w:eastAsiaTheme="minorEastAsia" w:hAnsi="Cambria Math"/>
                <w:sz w:val="22"/>
              </w:rPr>
              <m:t>c</m:t>
            </m:r>
          </m:e>
          <m:sub>
            <m:r>
              <w:rPr>
                <w:rFonts w:ascii="Cambria Math" w:eastAsiaTheme="minorEastAsia" w:hAnsi="Cambria Math"/>
                <w:sz w:val="22"/>
              </w:rPr>
              <m:t>t</m:t>
            </m:r>
          </m:sub>
        </m:sSub>
        <m:r>
          <w:rPr>
            <w:rFonts w:ascii="Cambria Math" w:eastAsiaTheme="minorEastAsia" w:hAnsi="Cambria Math"/>
            <w:sz w:val="22"/>
          </w:rPr>
          <m:t>~i.i.d</m:t>
        </m:r>
        <m:r>
          <m:rPr>
            <m:scr m:val="double-struck"/>
          </m:rPr>
          <w:rPr>
            <w:rFonts w:ascii="Cambria Math" w:eastAsiaTheme="minorEastAsia" w:hAnsi="Cambria Math"/>
            <w:sz w:val="22"/>
          </w:rPr>
          <m:t>~N</m:t>
        </m:r>
        <m:d>
          <m:dPr>
            <m:ctrlPr>
              <w:rPr>
                <w:rFonts w:ascii="Cambria Math" w:eastAsiaTheme="minorEastAsia" w:hAnsi="Cambria Math"/>
                <w:i/>
                <w:sz w:val="22"/>
              </w:rPr>
            </m:ctrlPr>
          </m:dPr>
          <m:e>
            <m:r>
              <w:rPr>
                <w:rFonts w:ascii="Cambria Math" w:eastAsiaTheme="minorEastAsia" w:hAnsi="Cambria Math"/>
                <w:sz w:val="22"/>
              </w:rPr>
              <m:t>0,1</m:t>
            </m:r>
          </m:e>
        </m:d>
      </m:oMath>
      <w:r w:rsidR="00AD7AD7" w:rsidRPr="00F8217C">
        <w:rPr>
          <w:rFonts w:eastAsiaTheme="minorEastAsia"/>
          <w:sz w:val="22"/>
        </w:rPr>
        <w:t xml:space="preserve">. The parameter </w:t>
      </w:r>
      <m:oMath>
        <m:r>
          <w:rPr>
            <w:rFonts w:ascii="Cambria Math" w:hAnsi="Cambria Math"/>
            <w:sz w:val="22"/>
          </w:rPr>
          <m:t>ϕ</m:t>
        </m:r>
      </m:oMath>
      <w:r w:rsidR="00AD7AD7" w:rsidRPr="00F8217C">
        <w:rPr>
          <w:rFonts w:eastAsiaTheme="minorEastAsia"/>
          <w:sz w:val="22"/>
        </w:rPr>
        <w:t xml:space="preserve"> captures the speed of dynamic quality trait adjustment over time to parse out the cyclical component from its long-run counterpart. </w:t>
      </w:r>
      <w:r w:rsidR="00AD7AD7" w:rsidRPr="00580F19">
        <w:rPr>
          <w:rFonts w:eastAsiaTheme="minorEastAsia"/>
          <w:color w:val="4472C4" w:themeColor="accent5"/>
          <w:sz w:val="22"/>
        </w:rPr>
        <w:t>Ravn and Uhlig (2002)</w:t>
      </w:r>
      <w:r w:rsidR="00AD7AD7" w:rsidRPr="00F8217C">
        <w:rPr>
          <w:rFonts w:eastAsiaTheme="minorEastAsia"/>
          <w:sz w:val="22"/>
        </w:rPr>
        <w:t xml:space="preserve"> state that </w:t>
      </w:r>
      <m:oMath>
        <m:r>
          <w:rPr>
            <w:rFonts w:ascii="Cambria Math" w:hAnsi="Cambria Math"/>
            <w:sz w:val="22"/>
          </w:rPr>
          <m:t>ϕ</m:t>
        </m:r>
      </m:oMath>
      <w:r w:rsidR="00AD7AD7" w:rsidRPr="00F8217C">
        <w:rPr>
          <w:rFonts w:eastAsiaTheme="minorEastAsia"/>
          <w:sz w:val="22"/>
        </w:rPr>
        <w:t xml:space="preserve"> should vary by the fourth power of frequency observation ratio. For annual observations, this implies that </w:t>
      </w:r>
      <m:oMath>
        <m:r>
          <w:rPr>
            <w:rFonts w:ascii="Cambria Math" w:hAnsi="Cambria Math"/>
            <w:sz w:val="22"/>
          </w:rPr>
          <m:t>ϕ=6.25</m:t>
        </m:r>
      </m:oMath>
      <w:r w:rsidR="00AD7AD7" w:rsidRPr="00F8217C">
        <w:rPr>
          <w:rFonts w:eastAsiaTheme="minorEastAsia"/>
          <w:sz w:val="22"/>
        </w:rPr>
        <w:t xml:space="preserve"> (=</w:t>
      </w:r>
      <m:oMath>
        <m:f>
          <m:fPr>
            <m:type m:val="lin"/>
            <m:ctrlPr>
              <w:rPr>
                <w:rFonts w:ascii="Cambria Math" w:eastAsiaTheme="minorEastAsia" w:hAnsi="Cambria Math"/>
                <w:i/>
                <w:sz w:val="22"/>
              </w:rPr>
            </m:ctrlPr>
          </m:fPr>
          <m:num>
            <m:r>
              <w:rPr>
                <w:rFonts w:ascii="Cambria Math" w:eastAsiaTheme="minorEastAsia" w:hAnsi="Cambria Math"/>
                <w:sz w:val="22"/>
              </w:rPr>
              <m:t>1600</m:t>
            </m:r>
          </m:num>
          <m:den>
            <m:sSup>
              <m:sSupPr>
                <m:ctrlPr>
                  <w:rPr>
                    <w:rFonts w:ascii="Cambria Math" w:eastAsiaTheme="minorEastAsia" w:hAnsi="Cambria Math"/>
                    <w:i/>
                    <w:sz w:val="22"/>
                  </w:rPr>
                </m:ctrlPr>
              </m:sSupPr>
              <m:e>
                <m:r>
                  <w:rPr>
                    <w:rFonts w:ascii="Cambria Math" w:eastAsiaTheme="minorEastAsia" w:hAnsi="Cambria Math"/>
                    <w:sz w:val="22"/>
                  </w:rPr>
                  <m:t>4</m:t>
                </m:r>
              </m:e>
              <m:sup>
                <m:r>
                  <w:rPr>
                    <w:rFonts w:ascii="Cambria Math" w:eastAsiaTheme="minorEastAsia" w:hAnsi="Cambria Math"/>
                    <w:sz w:val="22"/>
                  </w:rPr>
                  <m:t>4</m:t>
                </m:r>
              </m:sup>
            </m:sSup>
          </m:den>
        </m:f>
      </m:oMath>
      <w:r w:rsidR="00AD7AD7" w:rsidRPr="00F8217C">
        <w:rPr>
          <w:rFonts w:eastAsiaTheme="minorEastAsia"/>
          <w:sz w:val="22"/>
        </w:rPr>
        <w:t>) which we adopt to smooth the series of latent institutional quality trait for each dimension.</w:t>
      </w:r>
    </w:p>
    <w:p w14:paraId="6624A077" w14:textId="77777777" w:rsidR="00F94576" w:rsidRPr="00F8217C" w:rsidRDefault="00F94576" w:rsidP="0067749B">
      <w:pPr>
        <w:spacing w:after="0"/>
        <w:rPr>
          <w:sz w:val="22"/>
        </w:rPr>
      </w:pPr>
    </w:p>
    <w:p w14:paraId="262CF582" w14:textId="77777777" w:rsidR="00D1007E" w:rsidRPr="00F8217C" w:rsidRDefault="00D1007E" w:rsidP="0067749B">
      <w:pPr>
        <w:spacing w:after="0"/>
        <w:rPr>
          <w:i/>
          <w:sz w:val="22"/>
        </w:rPr>
      </w:pPr>
      <w:r w:rsidRPr="00F8217C">
        <w:rPr>
          <w:i/>
          <w:sz w:val="22"/>
        </w:rPr>
        <w:lastRenderedPageBreak/>
        <w:tab/>
      </w:r>
      <w:r w:rsidR="00DB0C43" w:rsidRPr="00F8217C">
        <w:rPr>
          <w:i/>
          <w:sz w:val="22"/>
        </w:rPr>
        <w:t>Sample</w:t>
      </w:r>
    </w:p>
    <w:p w14:paraId="25D354DE" w14:textId="77777777" w:rsidR="00D1007E" w:rsidRPr="00F8217C" w:rsidRDefault="00D1007E" w:rsidP="0067749B">
      <w:pPr>
        <w:spacing w:after="0"/>
        <w:rPr>
          <w:sz w:val="22"/>
        </w:rPr>
      </w:pPr>
    </w:p>
    <w:p w14:paraId="376B9DEB" w14:textId="77777777" w:rsidR="003414DD" w:rsidRPr="00F8217C" w:rsidRDefault="00DB0C43" w:rsidP="00201ADE">
      <w:pPr>
        <w:spacing w:after="0"/>
        <w:jc w:val="both"/>
        <w:rPr>
          <w:sz w:val="22"/>
        </w:rPr>
      </w:pPr>
      <w:r w:rsidRPr="00F8217C">
        <w:rPr>
          <w:sz w:val="22"/>
        </w:rPr>
        <w:t xml:space="preserve">To isolate the treatment effect of political instability, it is necessary to build a control sample of regions where the prevalence of political instability is imperceptible. This implies that regions from countries that have endured prolonged political instability </w:t>
      </w:r>
      <w:r w:rsidR="00F44F87" w:rsidRPr="00F8217C">
        <w:rPr>
          <w:sz w:val="22"/>
        </w:rPr>
        <w:t xml:space="preserve">such as Italy or Argentina </w:t>
      </w:r>
      <w:r w:rsidRPr="00F8217C">
        <w:rPr>
          <w:sz w:val="22"/>
        </w:rPr>
        <w:t xml:space="preserve">that has persisted over time do not provide a plausible variation in the trajectory of institutional quality to estimate the effects of instability. </w:t>
      </w:r>
      <w:r w:rsidR="00F44F87" w:rsidRPr="00F8217C">
        <w:rPr>
          <w:sz w:val="22"/>
        </w:rPr>
        <w:t xml:space="preserve">To address these concerns, we leverage the variation in the estimated latent institutional quality of Slovenian regions and municipalities against their peers from countries with a high degree of political stability. To this end, we examine the differences in the political stability and absence of violence using </w:t>
      </w:r>
      <w:r w:rsidR="00F44F87" w:rsidRPr="00580F19">
        <w:rPr>
          <w:color w:val="4472C4" w:themeColor="accent5"/>
          <w:sz w:val="22"/>
        </w:rPr>
        <w:t>Kaufmann et. al. (2011)</w:t>
      </w:r>
      <w:r w:rsidR="00F44F87" w:rsidRPr="00F8217C">
        <w:rPr>
          <w:sz w:val="22"/>
        </w:rPr>
        <w:t xml:space="preserve"> indicator of </w:t>
      </w:r>
      <w:r w:rsidR="00056311" w:rsidRPr="00F8217C">
        <w:rPr>
          <w:sz w:val="22"/>
        </w:rPr>
        <w:t>stability, which</w:t>
      </w:r>
      <w:r w:rsidR="00F44F87" w:rsidRPr="00F8217C">
        <w:rPr>
          <w:sz w:val="22"/>
        </w:rPr>
        <w:t xml:space="preserve"> has been used extensively in the literature. In the next step, we build a distribution of political stability through the kernel density function</w:t>
      </w:r>
      <w:r w:rsidR="00A11983" w:rsidRPr="00F8217C">
        <w:rPr>
          <w:sz w:val="22"/>
        </w:rPr>
        <w:t xml:space="preserve"> and eliminate the region-level observations below the 80</w:t>
      </w:r>
      <w:r w:rsidR="00A11983" w:rsidRPr="00F8217C">
        <w:rPr>
          <w:sz w:val="22"/>
          <w:vertAlign w:val="superscript"/>
        </w:rPr>
        <w:t>th</w:t>
      </w:r>
      <w:r w:rsidR="00A11983" w:rsidRPr="00F8217C">
        <w:rPr>
          <w:sz w:val="22"/>
        </w:rPr>
        <w:t xml:space="preserve"> percentile threshold of political instability score. </w:t>
      </w:r>
      <w:r w:rsidR="00667E0E" w:rsidRPr="00F8217C">
        <w:rPr>
          <w:sz w:val="22"/>
        </w:rPr>
        <w:t>Excluding these observations ensures that stable unit treatment value assumption (SUTVA) is reasonably met whilst those observation</w:t>
      </w:r>
      <w:r w:rsidR="00056311" w:rsidRPr="00F8217C">
        <w:rPr>
          <w:sz w:val="22"/>
        </w:rPr>
        <w:t>s where the influence of political instability is apparent</w:t>
      </w:r>
      <w:r w:rsidR="003414DD" w:rsidRPr="00F8217C">
        <w:rPr>
          <w:sz w:val="22"/>
        </w:rPr>
        <w:t xml:space="preserve"> are discarded from the sample.</w:t>
      </w:r>
    </w:p>
    <w:p w14:paraId="36960EF9" w14:textId="77777777" w:rsidR="003414DD" w:rsidRPr="00F8217C" w:rsidRDefault="003414DD" w:rsidP="00201ADE">
      <w:pPr>
        <w:spacing w:after="0"/>
        <w:jc w:val="both"/>
        <w:rPr>
          <w:sz w:val="22"/>
        </w:rPr>
      </w:pPr>
    </w:p>
    <w:p w14:paraId="35C92EB0" w14:textId="77777777" w:rsidR="00F44F87" w:rsidRPr="00F8217C" w:rsidRDefault="00056311" w:rsidP="00201ADE">
      <w:pPr>
        <w:spacing w:after="0"/>
        <w:jc w:val="both"/>
        <w:rPr>
          <w:sz w:val="22"/>
        </w:rPr>
      </w:pPr>
      <w:r w:rsidRPr="00F8217C">
        <w:rPr>
          <w:sz w:val="22"/>
        </w:rPr>
        <w:t xml:space="preserve">Under </w:t>
      </w:r>
      <w:proofErr w:type="gramStart"/>
      <w:r w:rsidRPr="00F8217C">
        <w:rPr>
          <w:sz w:val="22"/>
        </w:rPr>
        <w:t>this particular criteria</w:t>
      </w:r>
      <w:proofErr w:type="gramEnd"/>
      <w:r w:rsidRPr="00F8217C">
        <w:rPr>
          <w:sz w:val="22"/>
        </w:rPr>
        <w:t>, the effective size of the donor pool to 246 regions from 16 countries</w:t>
      </w:r>
      <w:r w:rsidRPr="00F8217C">
        <w:rPr>
          <w:rStyle w:val="Sprotnaopomba-sklic"/>
          <w:sz w:val="22"/>
        </w:rPr>
        <w:footnoteReference w:id="8"/>
      </w:r>
      <w:r w:rsidRPr="00F8217C">
        <w:rPr>
          <w:sz w:val="22"/>
        </w:rPr>
        <w:t xml:space="preserve"> for the period 1996-2020 which yields a donor pool 5,904 matched observations. The treatment sample consists of the 12 regions</w:t>
      </w:r>
      <w:r w:rsidR="003414DD" w:rsidRPr="00F8217C">
        <w:rPr>
          <w:sz w:val="22"/>
        </w:rPr>
        <w:t>,</w:t>
      </w:r>
      <w:r w:rsidR="00201ADE" w:rsidRPr="00F8217C">
        <w:rPr>
          <w:rStyle w:val="Sprotnaopomba-sklic"/>
          <w:sz w:val="22"/>
        </w:rPr>
        <w:footnoteReference w:id="9"/>
      </w:r>
      <w:r w:rsidR="003414DD" w:rsidRPr="00F8217C">
        <w:rPr>
          <w:sz w:val="22"/>
        </w:rPr>
        <w:t xml:space="preserve"> </w:t>
      </w:r>
      <w:r w:rsidR="00201ADE" w:rsidRPr="00F8217C">
        <w:rPr>
          <w:sz w:val="22"/>
        </w:rPr>
        <w:t>201</w:t>
      </w:r>
      <w:r w:rsidRPr="00F8217C">
        <w:rPr>
          <w:sz w:val="22"/>
        </w:rPr>
        <w:t xml:space="preserve"> municipalities</w:t>
      </w:r>
      <w:r w:rsidR="00201ADE" w:rsidRPr="00F8217C">
        <w:rPr>
          <w:rStyle w:val="Sprotnaopomba-sklic"/>
          <w:sz w:val="22"/>
        </w:rPr>
        <w:footnoteReference w:id="10"/>
      </w:r>
      <w:r w:rsidR="00201ADE" w:rsidRPr="00F8217C">
        <w:rPr>
          <w:sz w:val="22"/>
        </w:rPr>
        <w:t xml:space="preserve"> and 11 urban municipalities</w:t>
      </w:r>
      <w:r w:rsidR="00201ADE" w:rsidRPr="00F8217C">
        <w:rPr>
          <w:rStyle w:val="Sprotnaopomba-sklic"/>
          <w:sz w:val="22"/>
        </w:rPr>
        <w:footnoteReference w:id="11"/>
      </w:r>
      <w:r w:rsidRPr="00F8217C">
        <w:rPr>
          <w:sz w:val="22"/>
        </w:rPr>
        <w:t xml:space="preserve"> for the same </w:t>
      </w:r>
      <w:r w:rsidR="003414DD" w:rsidRPr="00F8217C">
        <w:rPr>
          <w:sz w:val="22"/>
        </w:rPr>
        <w:t>period</w:t>
      </w:r>
      <w:r w:rsidRPr="00F8217C">
        <w:rPr>
          <w:sz w:val="22"/>
        </w:rPr>
        <w:t xml:space="preserve">. This yields a region-level treatment sample with 288 observations and a municipal-level treatment sample with 5,088 observations. Hence, the combined size of treatment </w:t>
      </w:r>
      <w:r w:rsidR="00201ADE" w:rsidRPr="00F8217C">
        <w:rPr>
          <w:sz w:val="22"/>
        </w:rPr>
        <w:t>and control samples comprises 11,280 observations.</w:t>
      </w:r>
    </w:p>
    <w:p w14:paraId="0210F3AD" w14:textId="77777777" w:rsidR="00056311" w:rsidRPr="00F8217C" w:rsidRDefault="00056311" w:rsidP="0067749B">
      <w:pPr>
        <w:spacing w:after="0"/>
        <w:rPr>
          <w:sz w:val="22"/>
        </w:rPr>
      </w:pPr>
    </w:p>
    <w:p w14:paraId="5F60F03D" w14:textId="77777777" w:rsidR="00F44F87" w:rsidRPr="00F8217C" w:rsidRDefault="00F44F87" w:rsidP="0067749B">
      <w:pPr>
        <w:spacing w:after="0"/>
        <w:rPr>
          <w:sz w:val="22"/>
        </w:rPr>
      </w:pPr>
      <w:r w:rsidRPr="00F8217C">
        <w:rPr>
          <w:b/>
          <w:sz w:val="22"/>
        </w:rPr>
        <w:t>Figure</w:t>
      </w:r>
      <w:r w:rsidR="00056311" w:rsidRPr="00F8217C">
        <w:rPr>
          <w:b/>
          <w:sz w:val="22"/>
        </w:rPr>
        <w:t xml:space="preserve"> 1</w:t>
      </w:r>
      <w:r w:rsidRPr="00F8217C">
        <w:rPr>
          <w:sz w:val="22"/>
        </w:rPr>
        <w:t>: Global distribution of political stability</w:t>
      </w:r>
    </w:p>
    <w:p w14:paraId="24ED3D70" w14:textId="77777777" w:rsidR="00F44F87" w:rsidRPr="00F8217C" w:rsidRDefault="00F44F87" w:rsidP="0067749B">
      <w:pPr>
        <w:spacing w:after="0"/>
        <w:rPr>
          <w:sz w:val="22"/>
        </w:rPr>
      </w:pPr>
      <w:r w:rsidRPr="00F8217C">
        <w:rPr>
          <w:noProof/>
          <w:sz w:val="22"/>
          <w:lang w:eastAsia="en-GB"/>
        </w:rPr>
        <w:lastRenderedPageBreak/>
        <w:drawing>
          <wp:inline distT="0" distB="0" distL="0" distR="0" wp14:anchorId="72B54B6F" wp14:editId="301BD0F8">
            <wp:extent cx="3810000" cy="2770909"/>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815106" cy="2774623"/>
                    </a:xfrm>
                    <a:prstGeom prst="rect">
                      <a:avLst/>
                    </a:prstGeom>
                    <a:noFill/>
                    <a:ln>
                      <a:noFill/>
                    </a:ln>
                  </pic:spPr>
                </pic:pic>
              </a:graphicData>
            </a:graphic>
          </wp:inline>
        </w:drawing>
      </w:r>
    </w:p>
    <w:p w14:paraId="3C5AC409" w14:textId="77777777" w:rsidR="00580F19" w:rsidRDefault="00580F19" w:rsidP="0067749B">
      <w:pPr>
        <w:spacing w:after="0"/>
        <w:rPr>
          <w:sz w:val="22"/>
        </w:rPr>
      </w:pPr>
    </w:p>
    <w:p w14:paraId="011F58A7" w14:textId="77777777" w:rsidR="00DB0C43" w:rsidRPr="00F8217C" w:rsidRDefault="004733CF" w:rsidP="0067749B">
      <w:pPr>
        <w:spacing w:after="0"/>
        <w:rPr>
          <w:sz w:val="22"/>
        </w:rPr>
      </w:pPr>
      <w:r w:rsidRPr="00F8217C">
        <w:rPr>
          <w:b/>
          <w:sz w:val="22"/>
        </w:rPr>
        <w:t>Figure 2</w:t>
      </w:r>
      <w:r w:rsidRPr="00F8217C">
        <w:rPr>
          <w:sz w:val="22"/>
        </w:rPr>
        <w:t>: Trajectories of regional institutional quality in Slovenia, 1996-2020</w:t>
      </w:r>
    </w:p>
    <w:p w14:paraId="2A98A7CE" w14:textId="77777777" w:rsidR="004733CF" w:rsidRPr="00F8217C" w:rsidRDefault="004733CF" w:rsidP="0067749B">
      <w:pPr>
        <w:spacing w:after="0"/>
        <w:rPr>
          <w:sz w:val="22"/>
        </w:rPr>
      </w:pPr>
      <w:r w:rsidRPr="00F8217C">
        <w:rPr>
          <w:noProof/>
          <w:sz w:val="22"/>
          <w:lang w:eastAsia="en-GB"/>
        </w:rPr>
        <w:drawing>
          <wp:inline distT="0" distB="0" distL="0" distR="0" wp14:anchorId="362C8672" wp14:editId="652EA0C6">
            <wp:extent cx="5020887" cy="3644900"/>
            <wp:effectExtent l="0" t="0" r="889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040196" cy="3658917"/>
                    </a:xfrm>
                    <a:prstGeom prst="rect">
                      <a:avLst/>
                    </a:prstGeom>
                    <a:noFill/>
                    <a:ln>
                      <a:noFill/>
                    </a:ln>
                  </pic:spPr>
                </pic:pic>
              </a:graphicData>
            </a:graphic>
          </wp:inline>
        </w:drawing>
      </w:r>
    </w:p>
    <w:p w14:paraId="3D6A58F6" w14:textId="77777777" w:rsidR="00DB0C43" w:rsidRPr="00F8217C" w:rsidRDefault="00DB0C43" w:rsidP="0067749B">
      <w:pPr>
        <w:spacing w:after="0"/>
        <w:rPr>
          <w:sz w:val="22"/>
        </w:rPr>
      </w:pPr>
    </w:p>
    <w:p w14:paraId="33E3B384" w14:textId="77777777" w:rsidR="00177694" w:rsidRPr="00F8217C" w:rsidRDefault="00177694" w:rsidP="00177694">
      <w:pPr>
        <w:spacing w:after="0"/>
        <w:jc w:val="both"/>
        <w:rPr>
          <w:sz w:val="22"/>
        </w:rPr>
      </w:pPr>
      <w:r w:rsidRPr="00F8217C">
        <w:rPr>
          <w:sz w:val="22"/>
        </w:rPr>
        <w:t xml:space="preserve">Figure 2 exhibits the trajectories of regional institutional quality estimated from the latent quality model using Metropolis-Hastings MCMC algorithm with the objective prior function. Each figure exhibits the mean score of institutional quality obtained from the repeated sequence of randomly generated samples together with the upper and lower bound of the 95% confidence interval. The evidence readily uncovers the signs of deteriorating institutional quality after the onset of political instability in 2008. Declining institutional quality does not seem to be created equal across all respective dimensions. For instance, latent dynamic scores of </w:t>
      </w:r>
      <w:proofErr w:type="gramStart"/>
      <w:r w:rsidRPr="00F8217C">
        <w:rPr>
          <w:sz w:val="22"/>
        </w:rPr>
        <w:t>quality</w:t>
      </w:r>
      <w:proofErr w:type="gramEnd"/>
      <w:r w:rsidRPr="00F8217C">
        <w:rPr>
          <w:sz w:val="22"/>
        </w:rPr>
        <w:t xml:space="preserve"> suggest that voice and accountability, rule of law and the ability to control corruption tend to deteriorate particularly fast. By contrast, the speed of decline in government effectiveness appears to be somewhat slower whilst the trend of regulatory quality tends to improve around the year 2016 amidst persistent decline after 2008. The general thrust of these comparisons invariably advocates a pattern of accelerated deteriorating of subnational institutional quality </w:t>
      </w:r>
      <w:proofErr w:type="gramStart"/>
      <w:r w:rsidRPr="00F8217C">
        <w:rPr>
          <w:sz w:val="22"/>
        </w:rPr>
        <w:t xml:space="preserve">in the </w:t>
      </w:r>
      <w:r w:rsidRPr="00F8217C">
        <w:rPr>
          <w:sz w:val="22"/>
        </w:rPr>
        <w:lastRenderedPageBreak/>
        <w:t>midst of</w:t>
      </w:r>
      <w:proofErr w:type="gramEnd"/>
      <w:r w:rsidRPr="00F8217C">
        <w:rPr>
          <w:sz w:val="22"/>
        </w:rPr>
        <w:t xml:space="preserve"> the rising political instability. In Figure 3, municipal-level latent scores are depicted for the same dimensions of institutional quality. </w:t>
      </w:r>
      <w:proofErr w:type="gramStart"/>
      <w:r w:rsidRPr="00F8217C">
        <w:rPr>
          <w:sz w:val="22"/>
        </w:rPr>
        <w:t>In spi</w:t>
      </w:r>
      <w:r w:rsidR="00A07687" w:rsidRPr="00F8217C">
        <w:rPr>
          <w:sz w:val="22"/>
        </w:rPr>
        <w:t>te of</w:t>
      </w:r>
      <w:proofErr w:type="gramEnd"/>
      <w:r w:rsidR="00A07687" w:rsidRPr="00F8217C">
        <w:rPr>
          <w:sz w:val="22"/>
        </w:rPr>
        <w:t xml:space="preserve"> the notable similarities of the trajectories of institutional quality, several differences are apparent. First, voice and accountability dimension </w:t>
      </w:r>
      <w:proofErr w:type="gramStart"/>
      <w:r w:rsidR="00A07687" w:rsidRPr="00F8217C">
        <w:rPr>
          <w:sz w:val="22"/>
        </w:rPr>
        <w:t>tends</w:t>
      </w:r>
      <w:proofErr w:type="gramEnd"/>
      <w:r w:rsidR="00A07687" w:rsidRPr="00F8217C">
        <w:rPr>
          <w:sz w:val="22"/>
        </w:rPr>
        <w:t xml:space="preserve"> to deteriorate relatively fast in the initial years of the shock whilst it does not seem to decrease further. Second, rule of law and government effectiveness components tend to deteriorate much slower than at the regional level. Third, municipal regulatory quality tends to decrease substantially in the initial years of the shock while it tends to recuperate strongly afterwards and exceeds the pre-instability level in the end-of-sample years. </w:t>
      </w:r>
      <w:r w:rsidR="0004032D" w:rsidRPr="00F8217C">
        <w:rPr>
          <w:sz w:val="22"/>
        </w:rPr>
        <w:t>Fourth</w:t>
      </w:r>
      <w:r w:rsidR="00A07687" w:rsidRPr="00F8217C">
        <w:rPr>
          <w:sz w:val="22"/>
        </w:rPr>
        <w:t>, the control of corruption tends to deteriorate even faster at the municipal level, which suggests that local communities may be even more prone to the rampant deterioration of the control of corruption. Compared to the regional level, municipalities have somewhat lesser drop in political accountability, rule of law and government effectiveness. The estimated latent scores also advocate a somewhat better regulatory capacity of the municipalities amidst a temporary nature of instability shock. However, the deterioration in the ability to control corruption appears to be even stronger than at the regional level.</w:t>
      </w:r>
    </w:p>
    <w:p w14:paraId="416A9E87" w14:textId="77777777" w:rsidR="00177694" w:rsidRPr="00F8217C" w:rsidRDefault="00177694" w:rsidP="0067749B">
      <w:pPr>
        <w:spacing w:after="0"/>
        <w:rPr>
          <w:sz w:val="22"/>
        </w:rPr>
      </w:pPr>
    </w:p>
    <w:p w14:paraId="32507723" w14:textId="77777777" w:rsidR="000B1800" w:rsidRPr="00F8217C" w:rsidRDefault="000B1800" w:rsidP="007F7504">
      <w:pPr>
        <w:spacing w:after="0"/>
        <w:jc w:val="both"/>
        <w:rPr>
          <w:sz w:val="22"/>
        </w:rPr>
      </w:pPr>
      <w:r w:rsidRPr="00F8217C">
        <w:rPr>
          <w:b/>
          <w:sz w:val="22"/>
        </w:rPr>
        <w:t>Figure 3</w:t>
      </w:r>
      <w:r w:rsidRPr="00F8217C">
        <w:rPr>
          <w:sz w:val="22"/>
        </w:rPr>
        <w:t>: Trajectories of municipal institutional quality in Slovenia, 1996-2020</w:t>
      </w:r>
    </w:p>
    <w:p w14:paraId="53F7483D" w14:textId="77777777" w:rsidR="000B1800" w:rsidRPr="000B1800" w:rsidRDefault="000B1800" w:rsidP="007F7504">
      <w:pPr>
        <w:spacing w:after="0"/>
        <w:jc w:val="both"/>
        <w:rPr>
          <w:sz w:val="24"/>
          <w:szCs w:val="24"/>
        </w:rPr>
      </w:pPr>
      <w:r w:rsidRPr="000B1800">
        <w:rPr>
          <w:noProof/>
          <w:sz w:val="24"/>
          <w:szCs w:val="24"/>
          <w:lang w:eastAsia="en-GB"/>
        </w:rPr>
        <w:drawing>
          <wp:inline distT="0" distB="0" distL="0" distR="0" wp14:anchorId="48DAB235" wp14:editId="08F372C6">
            <wp:extent cx="5016500" cy="3650138"/>
            <wp:effectExtent l="0" t="0" r="0" b="762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5019580" cy="3652379"/>
                    </a:xfrm>
                    <a:prstGeom prst="rect">
                      <a:avLst/>
                    </a:prstGeom>
                    <a:noFill/>
                    <a:ln>
                      <a:noFill/>
                    </a:ln>
                  </pic:spPr>
                </pic:pic>
              </a:graphicData>
            </a:graphic>
          </wp:inline>
        </w:drawing>
      </w:r>
    </w:p>
    <w:p w14:paraId="509B33C9" w14:textId="77777777" w:rsidR="000B1800" w:rsidRPr="000B1800" w:rsidRDefault="000B1800" w:rsidP="007F7504">
      <w:pPr>
        <w:spacing w:after="0"/>
        <w:jc w:val="both"/>
        <w:rPr>
          <w:sz w:val="24"/>
          <w:szCs w:val="24"/>
        </w:rPr>
      </w:pPr>
    </w:p>
    <w:p w14:paraId="6D1E87E0" w14:textId="77777777" w:rsidR="00D1007E" w:rsidRPr="00F8217C" w:rsidRDefault="00455DCE" w:rsidP="007F7504">
      <w:pPr>
        <w:spacing w:after="0"/>
        <w:jc w:val="both"/>
        <w:rPr>
          <w:b/>
          <w:sz w:val="22"/>
        </w:rPr>
      </w:pPr>
      <w:r>
        <w:rPr>
          <w:b/>
          <w:sz w:val="22"/>
        </w:rPr>
        <w:t>4</w:t>
      </w:r>
      <w:r>
        <w:rPr>
          <w:b/>
          <w:sz w:val="22"/>
        </w:rPr>
        <w:tab/>
      </w:r>
      <w:r w:rsidR="00D1007E" w:rsidRPr="00F8217C">
        <w:rPr>
          <w:b/>
          <w:sz w:val="22"/>
        </w:rPr>
        <w:t>Identification Strategy</w:t>
      </w:r>
    </w:p>
    <w:p w14:paraId="474F7EC1" w14:textId="77777777" w:rsidR="00D1007E" w:rsidRPr="00F8217C" w:rsidRDefault="00D1007E" w:rsidP="007F7504">
      <w:pPr>
        <w:spacing w:after="0"/>
        <w:jc w:val="both"/>
        <w:rPr>
          <w:sz w:val="22"/>
        </w:rPr>
      </w:pPr>
    </w:p>
    <w:p w14:paraId="4FBE9EFC" w14:textId="77777777" w:rsidR="00D1007E" w:rsidRPr="00F8217C" w:rsidRDefault="00D1007E" w:rsidP="007F7504">
      <w:pPr>
        <w:spacing w:after="0"/>
        <w:ind w:firstLine="720"/>
        <w:jc w:val="both"/>
        <w:rPr>
          <w:i/>
          <w:sz w:val="22"/>
        </w:rPr>
      </w:pPr>
      <w:r w:rsidRPr="00F8217C">
        <w:rPr>
          <w:i/>
          <w:sz w:val="22"/>
        </w:rPr>
        <w:t>Difference-in-differences</w:t>
      </w:r>
    </w:p>
    <w:p w14:paraId="5EE60076" w14:textId="77777777" w:rsidR="00D1007E" w:rsidRPr="00F8217C" w:rsidRDefault="00D1007E" w:rsidP="007F7504">
      <w:pPr>
        <w:spacing w:after="0"/>
        <w:jc w:val="both"/>
        <w:rPr>
          <w:sz w:val="22"/>
        </w:rPr>
      </w:pPr>
    </w:p>
    <w:p w14:paraId="38ACA3AE" w14:textId="77777777" w:rsidR="00A07687" w:rsidRPr="00F8217C" w:rsidRDefault="001D7815" w:rsidP="007F7504">
      <w:pPr>
        <w:spacing w:after="0"/>
        <w:jc w:val="both"/>
        <w:rPr>
          <w:sz w:val="22"/>
        </w:rPr>
      </w:pPr>
      <w:r w:rsidRPr="00F8217C">
        <w:rPr>
          <w:sz w:val="22"/>
        </w:rPr>
        <w:t xml:space="preserve">Our goal is to estimate the contribution of political instability to the institutional quality consistently. To this end, we estimate a simple </w:t>
      </w:r>
      <w:r w:rsidR="00A67017" w:rsidRPr="00F8217C">
        <w:rPr>
          <w:sz w:val="22"/>
        </w:rPr>
        <w:t xml:space="preserve">but compact </w:t>
      </w:r>
      <w:r w:rsidRPr="00F8217C">
        <w:rPr>
          <w:sz w:val="22"/>
        </w:rPr>
        <w:t>difference-in-differences specification in the presence of unobserved effects:</w:t>
      </w:r>
    </w:p>
    <w:p w14:paraId="52102ADE" w14:textId="77777777" w:rsidR="00A07687" w:rsidRPr="00F8217C" w:rsidRDefault="00A07687" w:rsidP="007F7504">
      <w:pPr>
        <w:spacing w:after="0"/>
        <w:jc w:val="both"/>
        <w:rPr>
          <w:sz w:val="22"/>
        </w:rPr>
      </w:pPr>
    </w:p>
    <w:p w14:paraId="51496CA0" w14:textId="77777777" w:rsidR="00D1007E" w:rsidRPr="00F8217C" w:rsidRDefault="00000000" w:rsidP="007F7504">
      <w:pPr>
        <w:spacing w:after="0"/>
        <w:jc w:val="both"/>
        <w:rPr>
          <w:sz w:val="22"/>
        </w:rPr>
      </w:pPr>
      <m:oMathPara>
        <m:oMath>
          <m:sSub>
            <m:sSubPr>
              <m:ctrlPr>
                <w:rPr>
                  <w:rFonts w:ascii="Cambria Math" w:hAnsi="Cambria Math"/>
                  <w:i/>
                  <w:sz w:val="22"/>
                </w:rPr>
              </m:ctrlPr>
            </m:sSubPr>
            <m:e>
              <m:r>
                <w:rPr>
                  <w:rFonts w:ascii="Cambria Math" w:hAnsi="Cambria Math"/>
                  <w:sz w:val="22"/>
                </w:rPr>
                <m:t>Q</m:t>
              </m:r>
            </m:e>
            <m:sub>
              <m:r>
                <w:rPr>
                  <w:rFonts w:ascii="Cambria Math" w:hAnsi="Cambria Math"/>
                  <w:sz w:val="22"/>
                </w:rPr>
                <m:t>i,j,t</m:t>
              </m:r>
            </m:sub>
          </m:sSub>
          <m:r>
            <w:rPr>
              <w:rFonts w:ascii="Cambria Math" w:hAnsi="Cambria Math"/>
              <w:sz w:val="22"/>
            </w:rPr>
            <m:t>=</m:t>
          </m:r>
          <m:sSub>
            <m:sSubPr>
              <m:ctrlPr>
                <w:rPr>
                  <w:rFonts w:ascii="Cambria Math" w:hAnsi="Cambria Math"/>
                  <w:i/>
                  <w:sz w:val="22"/>
                </w:rPr>
              </m:ctrlPr>
            </m:sSubPr>
            <m:e>
              <m:acc>
                <m:accPr>
                  <m:ctrlPr>
                    <w:rPr>
                      <w:rFonts w:ascii="Cambria Math" w:hAnsi="Cambria Math"/>
                      <w:i/>
                      <w:sz w:val="22"/>
                    </w:rPr>
                  </m:ctrlPr>
                </m:accPr>
                <m:e>
                  <m:r>
                    <w:rPr>
                      <w:rFonts w:ascii="Cambria Math" w:hAnsi="Cambria Math"/>
                      <w:sz w:val="22"/>
                    </w:rPr>
                    <m:t>α</m:t>
                  </m:r>
                </m:e>
              </m:acc>
            </m:e>
            <m:sub>
              <m:r>
                <w:rPr>
                  <w:rFonts w:ascii="Cambria Math" w:hAnsi="Cambria Math"/>
                  <w:sz w:val="22"/>
                </w:rPr>
                <m:t>0</m:t>
              </m:r>
            </m:sub>
          </m:sSub>
          <m:r>
            <w:rPr>
              <w:rFonts w:ascii="Cambria Math" w:hAnsi="Cambria Math"/>
              <w:sz w:val="22"/>
            </w:rPr>
            <m:t>+</m:t>
          </m:r>
          <m:sSub>
            <m:sSubPr>
              <m:ctrlPr>
                <w:rPr>
                  <w:rFonts w:ascii="Cambria Math" w:hAnsi="Cambria Math"/>
                  <w:i/>
                  <w:sz w:val="22"/>
                </w:rPr>
              </m:ctrlPr>
            </m:sSubPr>
            <m:e>
              <m:acc>
                <m:accPr>
                  <m:ctrlPr>
                    <w:rPr>
                      <w:rFonts w:ascii="Cambria Math" w:hAnsi="Cambria Math"/>
                      <w:i/>
                      <w:sz w:val="22"/>
                    </w:rPr>
                  </m:ctrlPr>
                </m:accPr>
                <m:e>
                  <m:r>
                    <w:rPr>
                      <w:rFonts w:ascii="Cambria Math" w:hAnsi="Cambria Math"/>
                      <w:sz w:val="22"/>
                    </w:rPr>
                    <m:t>α</m:t>
                  </m:r>
                </m:e>
              </m:acc>
            </m:e>
            <m:sub>
              <m:r>
                <w:rPr>
                  <w:rFonts w:ascii="Cambria Math" w:hAnsi="Cambria Math"/>
                  <w:sz w:val="22"/>
                </w:rPr>
                <m:t>1</m:t>
              </m:r>
            </m:sub>
          </m:sSub>
          <m:r>
            <w:rPr>
              <w:rFonts w:ascii="Cambria Math" w:hAnsi="Cambria Math"/>
              <w:sz w:val="22"/>
            </w:rPr>
            <m:t>∙</m:t>
          </m:r>
          <m:sSub>
            <m:sSubPr>
              <m:ctrlPr>
                <w:rPr>
                  <w:rFonts w:ascii="Cambria Math" w:hAnsi="Cambria Math"/>
                  <w:i/>
                  <w:sz w:val="22"/>
                </w:rPr>
              </m:ctrlPr>
            </m:sSubPr>
            <m:e>
              <m:d>
                <m:dPr>
                  <m:ctrlPr>
                    <w:rPr>
                      <w:rFonts w:ascii="Cambria Math" w:hAnsi="Cambria Math"/>
                      <w:i/>
                      <w:sz w:val="22"/>
                    </w:rPr>
                  </m:ctrlPr>
                </m:dPr>
                <m:e>
                  <m:r>
                    <w:rPr>
                      <w:rFonts w:ascii="Cambria Math" w:hAnsi="Cambria Math"/>
                      <w:sz w:val="22"/>
                    </w:rPr>
                    <m:t>Post-Crackdown</m:t>
                  </m:r>
                </m:e>
              </m:d>
            </m:e>
            <m:sub>
              <m:r>
                <w:rPr>
                  <w:rFonts w:ascii="Cambria Math" w:hAnsi="Cambria Math"/>
                  <w:sz w:val="22"/>
                </w:rPr>
                <m:t>i,j,t</m:t>
              </m:r>
            </m:sub>
          </m:sSub>
          <m:r>
            <w:rPr>
              <w:rFonts w:ascii="Cambria Math" w:hAnsi="Cambria Math"/>
              <w:sz w:val="22"/>
            </w:rPr>
            <m:t>+</m:t>
          </m:r>
          <m:sSubSup>
            <m:sSubSupPr>
              <m:ctrlPr>
                <w:rPr>
                  <w:rFonts w:ascii="Cambria Math" w:hAnsi="Cambria Math"/>
                  <w:i/>
                  <w:sz w:val="22"/>
                </w:rPr>
              </m:ctrlPr>
            </m:sSubSupPr>
            <m:e>
              <m:r>
                <m:rPr>
                  <m:sty m:val="b"/>
                </m:rPr>
                <w:rPr>
                  <w:rFonts w:ascii="Cambria Math" w:hAnsi="Cambria Math"/>
                  <w:sz w:val="22"/>
                </w:rPr>
                <m:t>X</m:t>
              </m:r>
            </m:e>
            <m:sub>
              <m:r>
                <w:rPr>
                  <w:rFonts w:ascii="Cambria Math" w:hAnsi="Cambria Math"/>
                  <w:sz w:val="22"/>
                </w:rPr>
                <m:t>i,t</m:t>
              </m:r>
            </m:sub>
            <m:sup>
              <m:r>
                <w:rPr>
                  <w:rFonts w:ascii="Cambria Math" w:hAnsi="Cambria Math"/>
                  <w:sz w:val="22"/>
                </w:rPr>
                <m:t>'</m:t>
              </m:r>
            </m:sup>
          </m:sSubSup>
          <m:acc>
            <m:accPr>
              <m:ctrlPr>
                <w:rPr>
                  <w:rFonts w:ascii="Cambria Math" w:hAnsi="Cambria Math"/>
                  <w:i/>
                  <w:sz w:val="22"/>
                </w:rPr>
              </m:ctrlPr>
            </m:accPr>
            <m:e>
              <m:r>
                <w:rPr>
                  <w:rFonts w:ascii="Cambria Math" w:hAnsi="Cambria Math"/>
                  <w:sz w:val="22"/>
                </w:rPr>
                <m:t>β</m:t>
              </m:r>
            </m:e>
          </m:acc>
          <m:r>
            <w:rPr>
              <w:rFonts w:ascii="Cambria Math" w:hAnsi="Cambria Math"/>
              <w:sz w:val="22"/>
            </w:rPr>
            <m:t>+</m:t>
          </m:r>
          <m:sSub>
            <m:sSubPr>
              <m:ctrlPr>
                <w:rPr>
                  <w:rFonts w:ascii="Cambria Math" w:hAnsi="Cambria Math"/>
                  <w:i/>
                  <w:sz w:val="22"/>
                </w:rPr>
              </m:ctrlPr>
            </m:sSubPr>
            <m:e>
              <m:r>
                <w:rPr>
                  <w:rFonts w:ascii="Cambria Math" w:hAnsi="Cambria Math"/>
                  <w:sz w:val="22"/>
                </w:rPr>
                <m:t>μ</m:t>
              </m:r>
            </m:e>
            <m:sub>
              <m:r>
                <w:rPr>
                  <w:rFonts w:ascii="Cambria Math" w:hAnsi="Cambria Math"/>
                  <w:sz w:val="22"/>
                </w:rPr>
                <m:t>i∈J</m:t>
              </m:r>
            </m:sub>
          </m:sSub>
          <m:r>
            <w:rPr>
              <w:rFonts w:ascii="Cambria Math" w:hAnsi="Cambria Math"/>
              <w:sz w:val="22"/>
            </w:rPr>
            <m:t>+</m:t>
          </m:r>
          <m:sSub>
            <m:sSubPr>
              <m:ctrlPr>
                <w:rPr>
                  <w:rFonts w:ascii="Cambria Math" w:hAnsi="Cambria Math"/>
                  <w:i/>
                  <w:sz w:val="22"/>
                </w:rPr>
              </m:ctrlPr>
            </m:sSubPr>
            <m:e>
              <m:r>
                <w:rPr>
                  <w:rFonts w:ascii="Cambria Math" w:hAnsi="Cambria Math"/>
                  <w:sz w:val="22"/>
                </w:rPr>
                <m:t>δ</m:t>
              </m:r>
            </m:e>
            <m:sub>
              <m:r>
                <w:rPr>
                  <w:rFonts w:ascii="Cambria Math" w:hAnsi="Cambria Math"/>
                  <w:sz w:val="22"/>
                </w:rPr>
                <m:t>t∈T</m:t>
              </m:r>
            </m:sub>
          </m:sSub>
          <m:r>
            <w:rPr>
              <w:rFonts w:ascii="Cambria Math" w:hAnsi="Cambria Math"/>
              <w:sz w:val="22"/>
            </w:rPr>
            <m:t>+</m:t>
          </m:r>
          <m:sSub>
            <m:sSubPr>
              <m:ctrlPr>
                <w:rPr>
                  <w:rFonts w:ascii="Cambria Math" w:hAnsi="Cambria Math"/>
                  <w:i/>
                  <w:sz w:val="22"/>
                </w:rPr>
              </m:ctrlPr>
            </m:sSubPr>
            <m:e>
              <m:r>
                <w:rPr>
                  <w:rFonts w:ascii="Cambria Math" w:hAnsi="Cambria Math"/>
                  <w:sz w:val="22"/>
                </w:rPr>
                <m:t>ϵ</m:t>
              </m:r>
            </m:e>
            <m:sub>
              <m:r>
                <w:rPr>
                  <w:rFonts w:ascii="Cambria Math" w:hAnsi="Cambria Math"/>
                  <w:sz w:val="22"/>
                </w:rPr>
                <m:t>i,t</m:t>
              </m:r>
            </m:sub>
          </m:sSub>
        </m:oMath>
      </m:oMathPara>
    </w:p>
    <w:p w14:paraId="08D91823" w14:textId="77777777" w:rsidR="00D1007E" w:rsidRPr="00F8217C" w:rsidRDefault="00D1007E" w:rsidP="007F7504">
      <w:pPr>
        <w:spacing w:after="0"/>
        <w:jc w:val="both"/>
        <w:rPr>
          <w:sz w:val="22"/>
        </w:rPr>
      </w:pPr>
    </w:p>
    <w:p w14:paraId="0B7F9A4F" w14:textId="77777777" w:rsidR="00F5686E" w:rsidRPr="00F8217C" w:rsidRDefault="001D7815" w:rsidP="007F7504">
      <w:pPr>
        <w:spacing w:after="0"/>
        <w:jc w:val="both"/>
        <w:rPr>
          <w:rFonts w:eastAsiaTheme="minorEastAsia"/>
          <w:sz w:val="22"/>
        </w:rPr>
      </w:pPr>
      <w:r w:rsidRPr="00F8217C">
        <w:rPr>
          <w:sz w:val="22"/>
        </w:rPr>
        <w:t xml:space="preserve">where </w:t>
      </w:r>
      <m:oMath>
        <m:r>
          <w:rPr>
            <w:rFonts w:ascii="Cambria Math" w:hAnsi="Cambria Math"/>
            <w:sz w:val="22"/>
          </w:rPr>
          <m:t>Q</m:t>
        </m:r>
      </m:oMath>
      <w:r w:rsidRPr="00F8217C">
        <w:rPr>
          <w:rFonts w:eastAsiaTheme="minorEastAsia"/>
          <w:sz w:val="22"/>
        </w:rPr>
        <w:t xml:space="preserve"> is the institutional quality in municipality </w:t>
      </w:r>
      <m:oMath>
        <m:r>
          <w:rPr>
            <w:rFonts w:ascii="Cambria Math" w:eastAsiaTheme="minorEastAsia" w:hAnsi="Cambria Math"/>
            <w:sz w:val="22"/>
          </w:rPr>
          <m:t>i=1,2,…N</m:t>
        </m:r>
      </m:oMath>
      <w:r w:rsidRPr="00F8217C">
        <w:rPr>
          <w:rFonts w:eastAsiaTheme="minorEastAsia"/>
          <w:sz w:val="22"/>
        </w:rPr>
        <w:t xml:space="preserve"> and region </w:t>
      </w:r>
      <m:oMath>
        <m:r>
          <w:rPr>
            <w:rFonts w:ascii="Cambria Math" w:eastAsiaTheme="minorEastAsia" w:hAnsi="Cambria Math"/>
            <w:sz w:val="22"/>
          </w:rPr>
          <m:t>j=1,2,…J</m:t>
        </m:r>
      </m:oMath>
      <w:r w:rsidRPr="00F8217C">
        <w:rPr>
          <w:rFonts w:eastAsiaTheme="minorEastAsia"/>
          <w:sz w:val="22"/>
        </w:rPr>
        <w:t xml:space="preserve"> at time </w:t>
      </w:r>
      <m:oMath>
        <m:r>
          <w:rPr>
            <w:rFonts w:ascii="Cambria Math" w:eastAsiaTheme="minorEastAsia" w:hAnsi="Cambria Math"/>
            <w:sz w:val="22"/>
          </w:rPr>
          <m:t>t=1,2,…T</m:t>
        </m:r>
      </m:oMath>
      <w:r w:rsidRPr="00F8217C">
        <w:rPr>
          <w:rFonts w:eastAsiaTheme="minorEastAsia"/>
          <w:sz w:val="22"/>
        </w:rPr>
        <w:t xml:space="preserve">, </w:t>
      </w:r>
      <m:oMath>
        <m:r>
          <m:rPr>
            <m:sty m:val="b"/>
          </m:rPr>
          <w:rPr>
            <w:rFonts w:ascii="Cambria Math" w:hAnsi="Cambria Math"/>
            <w:sz w:val="22"/>
          </w:rPr>
          <m:t>X</m:t>
        </m:r>
      </m:oMath>
      <w:r w:rsidRPr="00F8217C">
        <w:rPr>
          <w:rFonts w:eastAsiaTheme="minorEastAsia"/>
          <w:sz w:val="22"/>
        </w:rPr>
        <w:t xml:space="preserve"> is the vector of structural covariates that vary systematically with the outcome variable, </w:t>
      </w:r>
      <m:oMath>
        <m:r>
          <w:rPr>
            <w:rFonts w:ascii="Cambria Math" w:hAnsi="Cambria Math"/>
            <w:sz w:val="22"/>
          </w:rPr>
          <m:t>μ</m:t>
        </m:r>
      </m:oMath>
      <w:r w:rsidR="007437A4" w:rsidRPr="00F8217C">
        <w:rPr>
          <w:rFonts w:eastAsiaTheme="minorEastAsia"/>
          <w:sz w:val="22"/>
        </w:rPr>
        <w:t xml:space="preserve"> is </w:t>
      </w:r>
      <w:r w:rsidR="007437A4" w:rsidRPr="00F8217C">
        <w:rPr>
          <w:rFonts w:eastAsiaTheme="minorEastAsia"/>
          <w:sz w:val="22"/>
        </w:rPr>
        <w:lastRenderedPageBreak/>
        <w:t xml:space="preserve">the </w:t>
      </w:r>
      <w:r w:rsidR="00A67017" w:rsidRPr="00F8217C">
        <w:rPr>
          <w:rFonts w:eastAsiaTheme="minorEastAsia"/>
          <w:sz w:val="22"/>
        </w:rPr>
        <w:t xml:space="preserve">set of municipality- or region-level fixed effects which are, by default, unobserved to the econometrician, </w:t>
      </w:r>
      <m:oMath>
        <m:r>
          <w:rPr>
            <w:rFonts w:ascii="Cambria Math" w:hAnsi="Cambria Math"/>
            <w:sz w:val="22"/>
          </w:rPr>
          <m:t>δ</m:t>
        </m:r>
      </m:oMath>
      <w:r w:rsidR="00A67017" w:rsidRPr="00F8217C">
        <w:rPr>
          <w:rFonts w:eastAsiaTheme="minorEastAsia"/>
          <w:sz w:val="22"/>
        </w:rPr>
        <w:t xml:space="preserve"> is the set of time-varying institutional quality shock common to all municipalities and regions, and </w:t>
      </w:r>
      <m:oMath>
        <m:r>
          <w:rPr>
            <w:rFonts w:ascii="Cambria Math" w:hAnsi="Cambria Math"/>
            <w:sz w:val="22"/>
          </w:rPr>
          <m:t>ϵ</m:t>
        </m:r>
      </m:oMath>
      <w:r w:rsidR="00A67017" w:rsidRPr="00F8217C">
        <w:rPr>
          <w:rFonts w:eastAsiaTheme="minorEastAsia"/>
          <w:sz w:val="22"/>
        </w:rPr>
        <w:t xml:space="preserve"> denotes stochastic disturbances. Our key parameter of interest is </w:t>
      </w:r>
      <m:oMath>
        <m:sSub>
          <m:sSubPr>
            <m:ctrlPr>
              <w:rPr>
                <w:rFonts w:ascii="Cambria Math" w:hAnsi="Cambria Math"/>
                <w:i/>
                <w:sz w:val="22"/>
              </w:rPr>
            </m:ctrlPr>
          </m:sSubPr>
          <m:e>
            <m:acc>
              <m:accPr>
                <m:ctrlPr>
                  <w:rPr>
                    <w:rFonts w:ascii="Cambria Math" w:hAnsi="Cambria Math"/>
                    <w:i/>
                    <w:sz w:val="22"/>
                  </w:rPr>
                </m:ctrlPr>
              </m:accPr>
              <m:e>
                <m:r>
                  <w:rPr>
                    <w:rFonts w:ascii="Cambria Math" w:hAnsi="Cambria Math"/>
                    <w:sz w:val="22"/>
                  </w:rPr>
                  <m:t>α</m:t>
                </m:r>
              </m:e>
            </m:acc>
          </m:e>
          <m:sub>
            <m:r>
              <w:rPr>
                <w:rFonts w:ascii="Cambria Math" w:hAnsi="Cambria Math"/>
                <w:sz w:val="22"/>
              </w:rPr>
              <m:t>1</m:t>
            </m:r>
          </m:sub>
        </m:sSub>
      </m:oMath>
      <w:r w:rsidR="00A67017" w:rsidRPr="00F8217C">
        <w:rPr>
          <w:rFonts w:eastAsiaTheme="minorEastAsia"/>
          <w:sz w:val="22"/>
        </w:rPr>
        <w:t xml:space="preserve"> which represents the average treatment effect of political instability captured by the binary treatment variable </w:t>
      </w:r>
      <m:oMath>
        <m:d>
          <m:dPr>
            <m:ctrlPr>
              <w:rPr>
                <w:rFonts w:ascii="Cambria Math" w:hAnsi="Cambria Math"/>
                <w:i/>
                <w:sz w:val="22"/>
              </w:rPr>
            </m:ctrlPr>
          </m:dPr>
          <m:e>
            <m:r>
              <w:rPr>
                <w:rFonts w:ascii="Cambria Math" w:hAnsi="Cambria Math"/>
                <w:sz w:val="22"/>
              </w:rPr>
              <m:t>Post-Crackdown</m:t>
            </m:r>
          </m:e>
        </m:d>
      </m:oMath>
      <w:r w:rsidR="00A67017" w:rsidRPr="00F8217C">
        <w:rPr>
          <w:rFonts w:eastAsiaTheme="minorEastAsia"/>
          <w:sz w:val="22"/>
        </w:rPr>
        <w:t xml:space="preserve"> for the full set of regions and municipalities in the post-treatment period 2008-2020. In the baseline differences-in-differences model of institutional quality, standard errors are adjusted for serially correlated stochastic disturbances and heteroskedastic distribution of random error variance using simple region- or municipality-level non-nested single-way clustering scheme. The key assumption that underlines the validity of the difference-in-differences estimate of </w:t>
      </w:r>
      <m:oMath>
        <m:sSub>
          <m:sSubPr>
            <m:ctrlPr>
              <w:rPr>
                <w:rFonts w:ascii="Cambria Math" w:hAnsi="Cambria Math"/>
                <w:i/>
                <w:sz w:val="22"/>
              </w:rPr>
            </m:ctrlPr>
          </m:sSubPr>
          <m:e>
            <m:acc>
              <m:accPr>
                <m:ctrlPr>
                  <w:rPr>
                    <w:rFonts w:ascii="Cambria Math" w:hAnsi="Cambria Math"/>
                    <w:i/>
                    <w:sz w:val="22"/>
                  </w:rPr>
                </m:ctrlPr>
              </m:accPr>
              <m:e>
                <m:r>
                  <w:rPr>
                    <w:rFonts w:ascii="Cambria Math" w:hAnsi="Cambria Math"/>
                    <w:sz w:val="22"/>
                  </w:rPr>
                  <m:t>α</m:t>
                </m:r>
              </m:e>
            </m:acc>
          </m:e>
          <m:sub>
            <m:r>
              <w:rPr>
                <w:rFonts w:ascii="Cambria Math" w:hAnsi="Cambria Math"/>
                <w:sz w:val="22"/>
              </w:rPr>
              <m:t>1</m:t>
            </m:r>
          </m:sub>
        </m:sSub>
      </m:oMath>
      <w:r w:rsidR="00A67017" w:rsidRPr="00F8217C">
        <w:rPr>
          <w:rFonts w:eastAsiaTheme="minorEastAsia"/>
          <w:sz w:val="22"/>
        </w:rPr>
        <w:t xml:space="preserve"> concerns parallel trends of institutional quality between the treated municipalities and regions and their untreated peers. Against this backdrop, </w:t>
      </w:r>
      <w:r w:rsidR="00A67017" w:rsidRPr="00580F19">
        <w:rPr>
          <w:rFonts w:eastAsiaTheme="minorEastAsia"/>
          <w:color w:val="4472C4" w:themeColor="accent5"/>
          <w:sz w:val="22"/>
        </w:rPr>
        <w:t>De Chaismartin and D’Haultfoeuille (2020)</w:t>
      </w:r>
      <w:r w:rsidR="00A67017" w:rsidRPr="00F8217C">
        <w:rPr>
          <w:rFonts w:eastAsiaTheme="minorEastAsia"/>
          <w:sz w:val="22"/>
        </w:rPr>
        <w:t xml:space="preserve"> show that in the presence of parallel trends assumption, a linear panel-level regressions of such type estimate weighted sums of the treatment effect in each unit and </w:t>
      </w:r>
      <w:proofErr w:type="gramStart"/>
      <w:r w:rsidR="00A67017" w:rsidRPr="00F8217C">
        <w:rPr>
          <w:rFonts w:eastAsiaTheme="minorEastAsia"/>
          <w:sz w:val="22"/>
        </w:rPr>
        <w:t>time period</w:t>
      </w:r>
      <w:proofErr w:type="gramEnd"/>
      <w:r w:rsidR="00A67017" w:rsidRPr="00F8217C">
        <w:rPr>
          <w:rFonts w:eastAsiaTheme="minorEastAsia"/>
          <w:sz w:val="22"/>
        </w:rPr>
        <w:t>. The weights used to compute the treatment e</w:t>
      </w:r>
      <w:r w:rsidR="00F5686E" w:rsidRPr="00F8217C">
        <w:rPr>
          <w:rFonts w:eastAsiaTheme="minorEastAsia"/>
          <w:sz w:val="22"/>
        </w:rPr>
        <w:t xml:space="preserve">ffect of interest may be negative which can be problematic if the treatment effect exhibits either spatial or temporal heterogeneity. For instance, treatment coefficient is our DiD regression may be negative whilst the treatment effect may be positive. To address these concerns, they propose a two-way fixed-effects estimators of the treatment effect for the observed units that switch treatment only at the time they switch, which does not </w:t>
      </w:r>
      <w:proofErr w:type="gramStart"/>
      <w:r w:rsidR="00F5686E" w:rsidRPr="00F8217C">
        <w:rPr>
          <w:rFonts w:eastAsiaTheme="minorEastAsia"/>
          <w:sz w:val="22"/>
        </w:rPr>
        <w:t>necessitates</w:t>
      </w:r>
      <w:proofErr w:type="gramEnd"/>
      <w:r w:rsidR="00F5686E" w:rsidRPr="00F8217C">
        <w:rPr>
          <w:rFonts w:eastAsiaTheme="minorEastAsia"/>
          <w:sz w:val="22"/>
        </w:rPr>
        <w:t xml:space="preserve"> homogeneity assumption on the treatment effect. Hence, we adopt a two-way fixed-effects estimator and for a given time-fixed treatment in our model, we thus tackle and allow for the heterogeneity of the treatment effect in time.</w:t>
      </w:r>
    </w:p>
    <w:p w14:paraId="394F86E4" w14:textId="77777777" w:rsidR="001D7815" w:rsidRPr="00F8217C" w:rsidRDefault="001D7815" w:rsidP="007F7504">
      <w:pPr>
        <w:spacing w:after="0"/>
        <w:jc w:val="both"/>
        <w:rPr>
          <w:sz w:val="22"/>
        </w:rPr>
      </w:pPr>
    </w:p>
    <w:p w14:paraId="3AF6A987" w14:textId="77777777" w:rsidR="00D1007E" w:rsidRPr="00F8217C" w:rsidRDefault="00935128" w:rsidP="007F7504">
      <w:pPr>
        <w:spacing w:after="0"/>
        <w:ind w:firstLine="720"/>
        <w:jc w:val="both"/>
        <w:rPr>
          <w:i/>
          <w:sz w:val="22"/>
        </w:rPr>
      </w:pPr>
      <w:r w:rsidRPr="00F8217C">
        <w:rPr>
          <w:i/>
          <w:sz w:val="22"/>
        </w:rPr>
        <w:t>Synthetic control estimates</w:t>
      </w:r>
    </w:p>
    <w:p w14:paraId="23D26B93" w14:textId="77777777" w:rsidR="00D1007E" w:rsidRPr="00F8217C" w:rsidRDefault="00D1007E" w:rsidP="007F7504">
      <w:pPr>
        <w:spacing w:after="0"/>
        <w:jc w:val="both"/>
        <w:rPr>
          <w:sz w:val="22"/>
        </w:rPr>
      </w:pPr>
    </w:p>
    <w:p w14:paraId="5A759D79" w14:textId="77777777" w:rsidR="00D1007E" w:rsidRPr="00F8217C" w:rsidRDefault="00F5686E" w:rsidP="007F7504">
      <w:pPr>
        <w:spacing w:after="0"/>
        <w:jc w:val="both"/>
        <w:rPr>
          <w:rFonts w:eastAsiaTheme="minorEastAsia"/>
          <w:sz w:val="22"/>
        </w:rPr>
      </w:pPr>
      <w:r w:rsidRPr="00F8217C">
        <w:rPr>
          <w:sz w:val="22"/>
        </w:rPr>
        <w:t>In the absence of parallel trend assumption, difference-in-differences estimator may not isolate the treatment effect of interest. When parallel trend assumption fails, the average treatment effect may be tainted by pre-existing trends or shock and thus, it does not provide any evidence of whether the effect of political instability on institutional quality is significant or not. The hypothetical absence of parallel trend assumption can be partially addressed by adopting the synthetic control estimator to isolate the treatment effect of interest (</w:t>
      </w:r>
      <w:r w:rsidRPr="00580F19">
        <w:rPr>
          <w:color w:val="4472C4" w:themeColor="accent5"/>
          <w:sz w:val="22"/>
        </w:rPr>
        <w:t>Billmeier and Nannicini 2013</w:t>
      </w:r>
      <w:r w:rsidRPr="00F8217C">
        <w:rPr>
          <w:sz w:val="22"/>
        </w:rPr>
        <w:t xml:space="preserve">, </w:t>
      </w:r>
      <w:r w:rsidRPr="00580F19">
        <w:rPr>
          <w:color w:val="4472C4" w:themeColor="accent5"/>
          <w:sz w:val="22"/>
        </w:rPr>
        <w:t>Abadie et. al. 2015</w:t>
      </w:r>
      <w:r w:rsidRPr="00F8217C">
        <w:rPr>
          <w:sz w:val="22"/>
        </w:rPr>
        <w:t xml:space="preserve">, </w:t>
      </w:r>
      <w:r w:rsidRPr="00580F19">
        <w:rPr>
          <w:color w:val="4472C4" w:themeColor="accent5"/>
          <w:sz w:val="22"/>
        </w:rPr>
        <w:t>Xu 2017</w:t>
      </w:r>
      <w:r w:rsidRPr="00F8217C">
        <w:rPr>
          <w:sz w:val="22"/>
        </w:rPr>
        <w:t xml:space="preserve">, </w:t>
      </w:r>
      <w:r w:rsidRPr="00580F19">
        <w:rPr>
          <w:color w:val="4472C4" w:themeColor="accent5"/>
          <w:sz w:val="22"/>
        </w:rPr>
        <w:t>Abadie 2021</w:t>
      </w:r>
      <w:r w:rsidRPr="00F8217C">
        <w:rPr>
          <w:sz w:val="22"/>
        </w:rPr>
        <w:t xml:space="preserve">, </w:t>
      </w:r>
      <w:r w:rsidRPr="00580F19">
        <w:rPr>
          <w:color w:val="4472C4" w:themeColor="accent5"/>
          <w:sz w:val="22"/>
        </w:rPr>
        <w:t>Ben-Michael et. al. 2021</w:t>
      </w:r>
      <w:r w:rsidRPr="00F8217C">
        <w:rPr>
          <w:sz w:val="22"/>
        </w:rPr>
        <w:t xml:space="preserve">, </w:t>
      </w:r>
      <w:r w:rsidRPr="00580F19">
        <w:rPr>
          <w:color w:val="4472C4" w:themeColor="accent5"/>
          <w:sz w:val="22"/>
        </w:rPr>
        <w:t>Powell 2021</w:t>
      </w:r>
      <w:r w:rsidRPr="00F8217C">
        <w:rPr>
          <w:sz w:val="22"/>
        </w:rPr>
        <w:t xml:space="preserve">, </w:t>
      </w:r>
      <w:r w:rsidRPr="00C81585">
        <w:rPr>
          <w:color w:val="4472C4" w:themeColor="accent5"/>
          <w:sz w:val="22"/>
        </w:rPr>
        <w:t>Cattaneo et. al. 2021</w:t>
      </w:r>
      <w:r w:rsidRPr="00F8217C">
        <w:rPr>
          <w:sz w:val="22"/>
        </w:rPr>
        <w:t xml:space="preserve">). </w:t>
      </w:r>
      <w:r w:rsidR="00D1007E" w:rsidRPr="00F8217C">
        <w:rPr>
          <w:sz w:val="22"/>
        </w:rPr>
        <w:t>S</w:t>
      </w:r>
      <w:r w:rsidR="00935128" w:rsidRPr="00F8217C">
        <w:rPr>
          <w:sz w:val="22"/>
        </w:rPr>
        <w:t xml:space="preserve">uppose we observed </w:t>
      </w:r>
      <m:oMath>
        <m:r>
          <w:rPr>
            <w:rFonts w:ascii="Cambria Math" w:hAnsi="Cambria Math"/>
            <w:sz w:val="22"/>
          </w:rPr>
          <m:t>J+1</m:t>
        </m:r>
      </m:oMath>
      <w:r w:rsidR="00935128" w:rsidRPr="00F8217C">
        <w:rPr>
          <w:rFonts w:eastAsiaTheme="minorEastAsia"/>
          <w:sz w:val="22"/>
        </w:rPr>
        <w:t xml:space="preserve"> regions in the </w:t>
      </w:r>
      <w:proofErr w:type="gramStart"/>
      <w:r w:rsidR="00935128" w:rsidRPr="00F8217C">
        <w:rPr>
          <w:rFonts w:eastAsiaTheme="minorEastAsia"/>
          <w:sz w:val="22"/>
        </w:rPr>
        <w:t>time period</w:t>
      </w:r>
      <w:proofErr w:type="gramEnd"/>
      <w:r w:rsidR="00935128" w:rsidRPr="00F8217C">
        <w:rPr>
          <w:rFonts w:eastAsiaTheme="minorEastAsia"/>
          <w:sz w:val="22"/>
        </w:rPr>
        <w:t xml:space="preserve"> </w:t>
      </w:r>
      <m:oMath>
        <m:r>
          <w:rPr>
            <w:rFonts w:ascii="Cambria Math" w:eastAsiaTheme="minorEastAsia" w:hAnsi="Cambria Math"/>
            <w:sz w:val="22"/>
          </w:rPr>
          <m:t>t=1,2,…T</m:t>
        </m:r>
      </m:oMath>
      <w:r w:rsidR="00935128" w:rsidRPr="00F8217C">
        <w:rPr>
          <w:rFonts w:eastAsiaTheme="minorEastAsia"/>
          <w:sz w:val="22"/>
        </w:rPr>
        <w:t xml:space="preserve"> where the entire set of regions is exposed to the political instability whilst </w:t>
      </w:r>
      <m:oMath>
        <m:d>
          <m:dPr>
            <m:begChr m:val="{"/>
            <m:endChr m:val="}"/>
            <m:ctrlPr>
              <w:rPr>
                <w:rFonts w:ascii="Cambria Math" w:eastAsiaTheme="minorEastAsia" w:hAnsi="Cambria Math"/>
                <w:i/>
                <w:sz w:val="22"/>
              </w:rPr>
            </m:ctrlPr>
          </m:dPr>
          <m:e>
            <m:r>
              <w:rPr>
                <w:rFonts w:ascii="Cambria Math" w:eastAsiaTheme="minorEastAsia" w:hAnsi="Cambria Math"/>
                <w:sz w:val="22"/>
              </w:rPr>
              <m:t>2,…J+1</m:t>
            </m:r>
          </m:e>
        </m:d>
      </m:oMath>
      <w:r w:rsidR="00935128" w:rsidRPr="00F8217C">
        <w:rPr>
          <w:rFonts w:eastAsiaTheme="minorEastAsia"/>
          <w:sz w:val="22"/>
        </w:rPr>
        <w:t xml:space="preserve"> being directly unaffected. We assume that political instability takes place at time </w:t>
      </w:r>
      <m:oMath>
        <m:sSub>
          <m:sSubPr>
            <m:ctrlPr>
              <w:rPr>
                <w:rFonts w:ascii="Cambria Math" w:eastAsiaTheme="minorEastAsia" w:hAnsi="Cambria Math"/>
                <w:i/>
                <w:sz w:val="22"/>
              </w:rPr>
            </m:ctrlPr>
          </m:sSubPr>
          <m:e>
            <m:r>
              <w:rPr>
                <w:rFonts w:ascii="Cambria Math" w:eastAsiaTheme="minorEastAsia" w:hAnsi="Cambria Math"/>
                <w:sz w:val="22"/>
              </w:rPr>
              <m:t>T</m:t>
            </m:r>
          </m:e>
          <m:sub>
            <m:r>
              <w:rPr>
                <w:rFonts w:ascii="Cambria Math" w:eastAsiaTheme="minorEastAsia" w:hAnsi="Cambria Math"/>
                <w:sz w:val="22"/>
              </w:rPr>
              <m:t>0</m:t>
            </m:r>
          </m:sub>
        </m:sSub>
      </m:oMath>
      <w:r w:rsidR="00935128" w:rsidRPr="00F8217C">
        <w:rPr>
          <w:rFonts w:eastAsiaTheme="minorEastAsia"/>
          <w:sz w:val="22"/>
        </w:rPr>
        <w:t xml:space="preserve"> and lasts for the entire post-intervention period, which implies that </w:t>
      </w:r>
      <m:oMath>
        <m:r>
          <w:rPr>
            <w:rFonts w:ascii="Cambria Math" w:eastAsiaTheme="minorEastAsia" w:hAnsi="Cambria Math"/>
            <w:sz w:val="22"/>
          </w:rPr>
          <m:t>t&lt;</m:t>
        </m:r>
        <m:sSub>
          <m:sSubPr>
            <m:ctrlPr>
              <w:rPr>
                <w:rFonts w:ascii="Cambria Math" w:eastAsiaTheme="minorEastAsia" w:hAnsi="Cambria Math"/>
                <w:i/>
                <w:sz w:val="22"/>
              </w:rPr>
            </m:ctrlPr>
          </m:sSubPr>
          <m:e>
            <m:r>
              <w:rPr>
                <w:rFonts w:ascii="Cambria Math" w:eastAsiaTheme="minorEastAsia" w:hAnsi="Cambria Math"/>
                <w:sz w:val="22"/>
              </w:rPr>
              <m:t>T</m:t>
            </m:r>
          </m:e>
          <m:sub>
            <m:r>
              <w:rPr>
                <w:rFonts w:ascii="Cambria Math" w:eastAsiaTheme="minorEastAsia" w:hAnsi="Cambria Math"/>
                <w:sz w:val="22"/>
              </w:rPr>
              <m:t>0</m:t>
            </m:r>
          </m:sub>
        </m:sSub>
        <m:r>
          <w:rPr>
            <w:rFonts w:ascii="Cambria Math" w:eastAsiaTheme="minorEastAsia" w:hAnsi="Cambria Math"/>
            <w:sz w:val="22"/>
          </w:rPr>
          <m:t>&lt;T</m:t>
        </m:r>
      </m:oMath>
      <w:r w:rsidR="00935128" w:rsidRPr="00F8217C">
        <w:rPr>
          <w:rFonts w:eastAsiaTheme="minorEastAsia"/>
          <w:sz w:val="22"/>
        </w:rPr>
        <w:t xml:space="preserve">  where </w:t>
      </w:r>
      <m:oMath>
        <m:sSub>
          <m:sSubPr>
            <m:ctrlPr>
              <w:rPr>
                <w:rFonts w:ascii="Cambria Math" w:eastAsiaTheme="minorEastAsia" w:hAnsi="Cambria Math"/>
                <w:i/>
                <w:sz w:val="22"/>
              </w:rPr>
            </m:ctrlPr>
          </m:sSubPr>
          <m:e>
            <m:r>
              <w:rPr>
                <w:rFonts w:ascii="Cambria Math" w:eastAsiaTheme="minorEastAsia" w:hAnsi="Cambria Math"/>
                <w:sz w:val="22"/>
              </w:rPr>
              <m:t>T</m:t>
            </m:r>
          </m:e>
          <m:sub>
            <m:r>
              <w:rPr>
                <w:rFonts w:ascii="Cambria Math" w:eastAsiaTheme="minorEastAsia" w:hAnsi="Cambria Math"/>
                <w:sz w:val="22"/>
              </w:rPr>
              <m:t>0</m:t>
            </m:r>
          </m:sub>
        </m:sSub>
        <m:r>
          <w:rPr>
            <w:rFonts w:ascii="Cambria Math" w:eastAsiaTheme="minorEastAsia" w:hAnsi="Cambria Math"/>
            <w:sz w:val="22"/>
          </w:rPr>
          <m:t>+1</m:t>
        </m:r>
      </m:oMath>
      <w:r w:rsidR="00935128" w:rsidRPr="00F8217C">
        <w:rPr>
          <w:rFonts w:eastAsiaTheme="minorEastAsia"/>
          <w:sz w:val="22"/>
        </w:rPr>
        <w:t xml:space="preserve"> indicates the first post-treatment period of instability. Our interest lies in estimating the effect of instability on institutional quality for the full set of treated regions. Let </w:t>
      </w:r>
      <m:oMath>
        <m:sSubSup>
          <m:sSubSupPr>
            <m:ctrlPr>
              <w:rPr>
                <w:rFonts w:ascii="Cambria Math" w:eastAsiaTheme="minorEastAsia" w:hAnsi="Cambria Math"/>
                <w:i/>
                <w:sz w:val="22"/>
              </w:rPr>
            </m:ctrlPr>
          </m:sSubSupPr>
          <m:e>
            <m:r>
              <w:rPr>
                <w:rFonts w:ascii="Cambria Math" w:eastAsiaTheme="minorEastAsia" w:hAnsi="Cambria Math"/>
                <w:sz w:val="22"/>
              </w:rPr>
              <m:t>Y</m:t>
            </m:r>
          </m:e>
          <m:sub>
            <m:r>
              <w:rPr>
                <w:rFonts w:ascii="Cambria Math" w:eastAsiaTheme="minorEastAsia" w:hAnsi="Cambria Math"/>
                <w:sz w:val="22"/>
              </w:rPr>
              <m:t>i,t</m:t>
            </m:r>
          </m:sub>
          <m:sup>
            <m:r>
              <w:rPr>
                <w:rFonts w:ascii="Cambria Math" w:eastAsiaTheme="minorEastAsia" w:hAnsi="Cambria Math"/>
                <w:sz w:val="22"/>
              </w:rPr>
              <m:t>N</m:t>
            </m:r>
          </m:sup>
        </m:sSubSup>
      </m:oMath>
      <w:r w:rsidR="00935128" w:rsidRPr="00F8217C">
        <w:rPr>
          <w:rFonts w:eastAsiaTheme="minorEastAsia"/>
          <w:sz w:val="22"/>
        </w:rPr>
        <w:t xml:space="preserve"> denote the outcome for i-th region at time </w:t>
      </w:r>
      <m:oMath>
        <m:r>
          <w:rPr>
            <w:rFonts w:ascii="Cambria Math" w:eastAsiaTheme="minorEastAsia" w:hAnsi="Cambria Math"/>
            <w:sz w:val="22"/>
          </w:rPr>
          <m:t>t</m:t>
        </m:r>
      </m:oMath>
      <w:r w:rsidR="00935128" w:rsidRPr="00F8217C">
        <w:rPr>
          <w:rFonts w:eastAsiaTheme="minorEastAsia"/>
          <w:sz w:val="22"/>
        </w:rPr>
        <w:t xml:space="preserve"> in the hypothetical absence of political </w:t>
      </w:r>
      <w:proofErr w:type="gramStart"/>
      <w:r w:rsidR="00935128" w:rsidRPr="00F8217C">
        <w:rPr>
          <w:rFonts w:eastAsiaTheme="minorEastAsia"/>
          <w:sz w:val="22"/>
        </w:rPr>
        <w:t>instability, and</w:t>
      </w:r>
      <w:proofErr w:type="gramEnd"/>
      <w:r w:rsidR="00935128" w:rsidRPr="00F8217C">
        <w:rPr>
          <w:rFonts w:eastAsiaTheme="minorEastAsia"/>
          <w:sz w:val="22"/>
        </w:rPr>
        <w:t xml:space="preserve"> let </w:t>
      </w:r>
      <m:oMath>
        <m:sSubSup>
          <m:sSubSupPr>
            <m:ctrlPr>
              <w:rPr>
                <w:rFonts w:ascii="Cambria Math" w:eastAsiaTheme="minorEastAsia" w:hAnsi="Cambria Math"/>
                <w:i/>
                <w:sz w:val="22"/>
              </w:rPr>
            </m:ctrlPr>
          </m:sSubSupPr>
          <m:e>
            <m:r>
              <w:rPr>
                <w:rFonts w:ascii="Cambria Math" w:eastAsiaTheme="minorEastAsia" w:hAnsi="Cambria Math"/>
                <w:sz w:val="22"/>
              </w:rPr>
              <m:t>Y</m:t>
            </m:r>
          </m:e>
          <m:sub>
            <m:r>
              <w:rPr>
                <w:rFonts w:ascii="Cambria Math" w:eastAsiaTheme="minorEastAsia" w:hAnsi="Cambria Math"/>
                <w:sz w:val="22"/>
              </w:rPr>
              <m:t>i,t</m:t>
            </m:r>
          </m:sub>
          <m:sup>
            <m:r>
              <w:rPr>
                <w:rFonts w:ascii="Cambria Math" w:eastAsiaTheme="minorEastAsia" w:hAnsi="Cambria Math"/>
                <w:sz w:val="22"/>
              </w:rPr>
              <m:t>I</m:t>
            </m:r>
          </m:sup>
        </m:sSubSup>
      </m:oMath>
      <w:r w:rsidR="00935128" w:rsidRPr="00F8217C">
        <w:rPr>
          <w:rFonts w:eastAsiaTheme="minorEastAsia"/>
          <w:sz w:val="22"/>
        </w:rPr>
        <w:t xml:space="preserve"> denote the corresponding outcome for region </w:t>
      </w:r>
      <w:r w:rsidR="00935128" w:rsidRPr="00F8217C">
        <w:rPr>
          <w:rFonts w:eastAsiaTheme="minorEastAsia"/>
          <w:i/>
          <w:sz w:val="22"/>
        </w:rPr>
        <w:t>i</w:t>
      </w:r>
      <w:r w:rsidR="00935128" w:rsidRPr="00F8217C">
        <w:rPr>
          <w:rFonts w:eastAsiaTheme="minorEastAsia"/>
          <w:sz w:val="22"/>
        </w:rPr>
        <w:t xml:space="preserve"> at time </w:t>
      </w:r>
      <w:r w:rsidR="00935128" w:rsidRPr="00F8217C">
        <w:rPr>
          <w:rFonts w:eastAsiaTheme="minorEastAsia"/>
          <w:i/>
          <w:sz w:val="22"/>
        </w:rPr>
        <w:t>t</w:t>
      </w:r>
      <w:r w:rsidR="00935128" w:rsidRPr="00F8217C">
        <w:rPr>
          <w:rFonts w:eastAsiaTheme="minorEastAsia"/>
          <w:sz w:val="22"/>
        </w:rPr>
        <w:t xml:space="preserve"> that would be observed if </w:t>
      </w:r>
      <w:r w:rsidR="00935128" w:rsidRPr="00F8217C">
        <w:rPr>
          <w:rFonts w:eastAsiaTheme="minorEastAsia"/>
          <w:i/>
          <w:sz w:val="22"/>
        </w:rPr>
        <w:t>i</w:t>
      </w:r>
      <w:r w:rsidR="00935128" w:rsidRPr="00F8217C">
        <w:rPr>
          <w:rFonts w:eastAsiaTheme="minorEastAsia"/>
          <w:sz w:val="22"/>
        </w:rPr>
        <w:t>-th unit were exposed to the shock posed by instability.</w:t>
      </w:r>
      <w:r w:rsidR="009E3214" w:rsidRPr="00F8217C">
        <w:rPr>
          <w:rFonts w:eastAsiaTheme="minorEastAsia"/>
          <w:sz w:val="22"/>
        </w:rPr>
        <w:t xml:space="preserve"> By assuming that </w:t>
      </w:r>
      <m:oMath>
        <m:sSubSup>
          <m:sSubSupPr>
            <m:ctrlPr>
              <w:rPr>
                <w:rFonts w:ascii="Cambria Math" w:eastAsiaTheme="minorEastAsia" w:hAnsi="Cambria Math"/>
                <w:i/>
                <w:sz w:val="22"/>
              </w:rPr>
            </m:ctrlPr>
          </m:sSubSupPr>
          <m:e>
            <m:r>
              <w:rPr>
                <w:rFonts w:ascii="Cambria Math" w:eastAsiaTheme="minorEastAsia" w:hAnsi="Cambria Math"/>
                <w:sz w:val="22"/>
              </w:rPr>
              <m:t>Y</m:t>
            </m:r>
          </m:e>
          <m:sub>
            <m:r>
              <w:rPr>
                <w:rFonts w:ascii="Cambria Math" w:eastAsiaTheme="minorEastAsia" w:hAnsi="Cambria Math"/>
                <w:sz w:val="22"/>
              </w:rPr>
              <m:t>i,t</m:t>
            </m:r>
          </m:sub>
          <m:sup>
            <m:r>
              <w:rPr>
                <w:rFonts w:ascii="Cambria Math" w:eastAsiaTheme="minorEastAsia" w:hAnsi="Cambria Math"/>
                <w:sz w:val="22"/>
              </w:rPr>
              <m:t>N</m:t>
            </m:r>
          </m:sup>
        </m:sSubSup>
        <m:r>
          <w:rPr>
            <w:rFonts w:ascii="Cambria Math" w:eastAsiaTheme="minorEastAsia" w:hAnsi="Cambria Math"/>
            <w:sz w:val="22"/>
          </w:rPr>
          <m:t>=</m:t>
        </m:r>
        <m:sSubSup>
          <m:sSubSupPr>
            <m:ctrlPr>
              <w:rPr>
                <w:rFonts w:ascii="Cambria Math" w:eastAsiaTheme="minorEastAsia" w:hAnsi="Cambria Math"/>
                <w:i/>
                <w:sz w:val="22"/>
              </w:rPr>
            </m:ctrlPr>
          </m:sSubSupPr>
          <m:e>
            <m:r>
              <w:rPr>
                <w:rFonts w:ascii="Cambria Math" w:eastAsiaTheme="minorEastAsia" w:hAnsi="Cambria Math"/>
                <w:sz w:val="22"/>
              </w:rPr>
              <m:t>Y</m:t>
            </m:r>
          </m:e>
          <m:sub>
            <m:r>
              <w:rPr>
                <w:rFonts w:ascii="Cambria Math" w:eastAsiaTheme="minorEastAsia" w:hAnsi="Cambria Math"/>
                <w:sz w:val="22"/>
              </w:rPr>
              <m:t>i,t</m:t>
            </m:r>
          </m:sub>
          <m:sup>
            <m:r>
              <w:rPr>
                <w:rFonts w:ascii="Cambria Math" w:eastAsiaTheme="minorEastAsia" w:hAnsi="Cambria Math"/>
                <w:sz w:val="22"/>
              </w:rPr>
              <m:t>I</m:t>
            </m:r>
          </m:sup>
        </m:sSubSup>
      </m:oMath>
      <w:r w:rsidR="009E3214" w:rsidRPr="00F8217C">
        <w:rPr>
          <w:rFonts w:eastAsiaTheme="minorEastAsia"/>
          <w:sz w:val="22"/>
        </w:rPr>
        <w:t xml:space="preserve"> for each j-th region in the pre-intervention period </w:t>
      </w:r>
      <m:oMath>
        <m:r>
          <w:rPr>
            <w:rFonts w:ascii="Cambria Math" w:eastAsiaTheme="minorEastAsia" w:hAnsi="Cambria Math"/>
            <w:sz w:val="22"/>
          </w:rPr>
          <m:t>t&lt;</m:t>
        </m:r>
        <m:sSub>
          <m:sSubPr>
            <m:ctrlPr>
              <w:rPr>
                <w:rFonts w:ascii="Cambria Math" w:eastAsiaTheme="minorEastAsia" w:hAnsi="Cambria Math"/>
                <w:i/>
                <w:sz w:val="22"/>
              </w:rPr>
            </m:ctrlPr>
          </m:sSubPr>
          <m:e>
            <m:r>
              <w:rPr>
                <w:rFonts w:ascii="Cambria Math" w:eastAsiaTheme="minorEastAsia" w:hAnsi="Cambria Math"/>
                <w:sz w:val="22"/>
              </w:rPr>
              <m:t>T</m:t>
            </m:r>
          </m:e>
          <m:sub>
            <m:r>
              <w:rPr>
                <w:rFonts w:ascii="Cambria Math" w:eastAsiaTheme="minorEastAsia" w:hAnsi="Cambria Math"/>
                <w:sz w:val="22"/>
              </w:rPr>
              <m:t>0</m:t>
            </m:r>
          </m:sub>
        </m:sSub>
        <m:r>
          <w:rPr>
            <w:rFonts w:ascii="Cambria Math" w:eastAsiaTheme="minorEastAsia" w:hAnsi="Cambria Math"/>
            <w:sz w:val="22"/>
          </w:rPr>
          <m:t>+1</m:t>
        </m:r>
      </m:oMath>
      <w:r w:rsidR="009E3214" w:rsidRPr="00F8217C">
        <w:rPr>
          <w:rFonts w:eastAsiaTheme="minorEastAsia"/>
          <w:sz w:val="22"/>
        </w:rPr>
        <w:t>, our aim is to estimate the impact of instability on institutional quality for each post-treatment period:</w:t>
      </w:r>
    </w:p>
    <w:p w14:paraId="6D271833" w14:textId="77777777" w:rsidR="009E3214" w:rsidRPr="00F8217C" w:rsidRDefault="009E3214" w:rsidP="007F7504">
      <w:pPr>
        <w:spacing w:after="0"/>
        <w:jc w:val="both"/>
        <w:rPr>
          <w:rFonts w:eastAsiaTheme="minorEastAsia"/>
          <w:sz w:val="22"/>
        </w:rPr>
      </w:pPr>
    </w:p>
    <w:p w14:paraId="0FD8564A" w14:textId="77777777" w:rsidR="009E3214" w:rsidRPr="00F8217C" w:rsidRDefault="00000000" w:rsidP="007F7504">
      <w:pPr>
        <w:spacing w:after="0"/>
        <w:jc w:val="both"/>
        <w:rPr>
          <w:rFonts w:eastAsiaTheme="minorEastAsia"/>
          <w:sz w:val="22"/>
        </w:rPr>
      </w:pPr>
      <m:oMathPara>
        <m:oMath>
          <m:sSub>
            <m:sSubPr>
              <m:ctrlPr>
                <w:rPr>
                  <w:rFonts w:ascii="Cambria Math" w:hAnsi="Cambria Math"/>
                  <w:i/>
                  <w:sz w:val="22"/>
                </w:rPr>
              </m:ctrlPr>
            </m:sSubPr>
            <m:e>
              <m:r>
                <w:rPr>
                  <w:rFonts w:ascii="Cambria Math" w:hAnsi="Cambria Math"/>
                  <w:sz w:val="22"/>
                </w:rPr>
                <m:t>λ</m:t>
              </m:r>
            </m:e>
            <m:sub>
              <m:r>
                <w:rPr>
                  <w:rFonts w:ascii="Cambria Math" w:hAnsi="Cambria Math"/>
                  <w:sz w:val="22"/>
                </w:rPr>
                <m:t>1,t&gt;</m:t>
              </m:r>
              <m:sSub>
                <m:sSubPr>
                  <m:ctrlPr>
                    <w:rPr>
                      <w:rFonts w:ascii="Cambria Math" w:hAnsi="Cambria Math"/>
                      <w:i/>
                      <w:sz w:val="22"/>
                    </w:rPr>
                  </m:ctrlPr>
                </m:sSubPr>
                <m:e>
                  <m:r>
                    <w:rPr>
                      <w:rFonts w:ascii="Cambria Math" w:hAnsi="Cambria Math"/>
                      <w:sz w:val="22"/>
                    </w:rPr>
                    <m:t>T</m:t>
                  </m:r>
                </m:e>
                <m:sub>
                  <m:r>
                    <w:rPr>
                      <w:rFonts w:ascii="Cambria Math" w:hAnsi="Cambria Math"/>
                      <w:sz w:val="22"/>
                    </w:rPr>
                    <m:t>0</m:t>
                  </m:r>
                </m:sub>
              </m:sSub>
            </m:sub>
          </m:sSub>
          <m:r>
            <w:rPr>
              <w:rFonts w:ascii="Cambria Math" w:hAnsi="Cambria Math"/>
              <w:sz w:val="22"/>
            </w:rPr>
            <m:t>=</m:t>
          </m:r>
          <m:sSubSup>
            <m:sSubSupPr>
              <m:ctrlPr>
                <w:rPr>
                  <w:rFonts w:ascii="Cambria Math" w:hAnsi="Cambria Math"/>
                  <w:i/>
                  <w:sz w:val="22"/>
                </w:rPr>
              </m:ctrlPr>
            </m:sSubSupPr>
            <m:e>
              <m:r>
                <w:rPr>
                  <w:rFonts w:ascii="Cambria Math" w:hAnsi="Cambria Math"/>
                  <w:sz w:val="22"/>
                </w:rPr>
                <m:t>Y</m:t>
              </m:r>
            </m:e>
            <m:sub>
              <m:r>
                <w:rPr>
                  <w:rFonts w:ascii="Cambria Math" w:hAnsi="Cambria Math"/>
                  <w:sz w:val="22"/>
                </w:rPr>
                <m:t>1,t</m:t>
              </m:r>
            </m:sub>
            <m:sup>
              <m:r>
                <w:rPr>
                  <w:rFonts w:ascii="Cambria Math" w:hAnsi="Cambria Math"/>
                  <w:sz w:val="22"/>
                </w:rPr>
                <m:t>I</m:t>
              </m:r>
            </m:sup>
          </m:sSubSup>
          <m:r>
            <w:rPr>
              <w:rFonts w:ascii="Cambria Math" w:eastAsiaTheme="minorEastAsia" w:hAnsi="Cambria Math"/>
              <w:sz w:val="22"/>
            </w:rPr>
            <m:t>-</m:t>
          </m:r>
          <m:sSubSup>
            <m:sSubSupPr>
              <m:ctrlPr>
                <w:rPr>
                  <w:rFonts w:ascii="Cambria Math" w:hAnsi="Cambria Math"/>
                  <w:i/>
                  <w:sz w:val="22"/>
                </w:rPr>
              </m:ctrlPr>
            </m:sSubSupPr>
            <m:e>
              <m:r>
                <w:rPr>
                  <w:rFonts w:ascii="Cambria Math" w:hAnsi="Cambria Math"/>
                  <w:sz w:val="22"/>
                </w:rPr>
                <m:t>Y</m:t>
              </m:r>
            </m:e>
            <m:sub>
              <m:r>
                <w:rPr>
                  <w:rFonts w:ascii="Cambria Math" w:hAnsi="Cambria Math"/>
                  <w:sz w:val="22"/>
                </w:rPr>
                <m:t>1,t</m:t>
              </m:r>
            </m:sub>
            <m:sup>
              <m:r>
                <w:rPr>
                  <w:rFonts w:ascii="Cambria Math" w:hAnsi="Cambria Math"/>
                  <w:sz w:val="22"/>
                </w:rPr>
                <m:t>N</m:t>
              </m:r>
            </m:sup>
          </m:sSubSup>
        </m:oMath>
      </m:oMathPara>
    </w:p>
    <w:p w14:paraId="79730ECD" w14:textId="77777777" w:rsidR="00D1007E" w:rsidRPr="00F8217C" w:rsidRDefault="00000000" w:rsidP="007F7504">
      <w:pPr>
        <w:spacing w:after="0"/>
        <w:jc w:val="both"/>
        <w:rPr>
          <w:sz w:val="22"/>
        </w:rPr>
      </w:pPr>
      <m:oMathPara>
        <m:oMath>
          <m:sSub>
            <m:sSubPr>
              <m:ctrlPr>
                <w:rPr>
                  <w:rFonts w:ascii="Cambria Math" w:hAnsi="Cambria Math"/>
                  <w:i/>
                  <w:sz w:val="22"/>
                </w:rPr>
              </m:ctrlPr>
            </m:sSubPr>
            <m:e>
              <m:r>
                <w:rPr>
                  <w:rFonts w:ascii="Cambria Math" w:hAnsi="Cambria Math"/>
                  <w:sz w:val="22"/>
                </w:rPr>
                <m:t>λ</m:t>
              </m:r>
            </m:e>
            <m:sub>
              <m:r>
                <w:rPr>
                  <w:rFonts w:ascii="Cambria Math" w:hAnsi="Cambria Math"/>
                  <w:sz w:val="22"/>
                </w:rPr>
                <m:t>1</m:t>
              </m:r>
            </m:sub>
          </m:sSub>
          <m:r>
            <w:rPr>
              <w:rFonts w:ascii="Cambria Math" w:hAnsi="Cambria Math"/>
              <w:sz w:val="22"/>
            </w:rPr>
            <m:t>=</m:t>
          </m:r>
          <m:d>
            <m:dPr>
              <m:begChr m:val="{"/>
              <m:endChr m:val="}"/>
              <m:ctrlPr>
                <w:rPr>
                  <w:rFonts w:ascii="Cambria Math" w:hAnsi="Cambria Math"/>
                  <w:i/>
                  <w:sz w:val="22"/>
                </w:rPr>
              </m:ctrlPr>
            </m:dPr>
            <m:e>
              <m:sSub>
                <m:sSubPr>
                  <m:ctrlPr>
                    <w:rPr>
                      <w:rFonts w:ascii="Cambria Math" w:hAnsi="Cambria Math"/>
                      <w:i/>
                      <w:sz w:val="22"/>
                    </w:rPr>
                  </m:ctrlPr>
                </m:sSubPr>
                <m:e>
                  <m:r>
                    <w:rPr>
                      <w:rFonts w:ascii="Cambria Math" w:hAnsi="Cambria Math"/>
                      <w:sz w:val="22"/>
                    </w:rPr>
                    <m:t>λ</m:t>
                  </m:r>
                </m:e>
                <m:sub>
                  <m:r>
                    <w:rPr>
                      <w:rFonts w:ascii="Cambria Math" w:hAnsi="Cambria Math"/>
                      <w:sz w:val="22"/>
                    </w:rPr>
                    <m:t>1,</m:t>
                  </m:r>
                  <m:sSub>
                    <m:sSubPr>
                      <m:ctrlPr>
                        <w:rPr>
                          <w:rFonts w:ascii="Cambria Math" w:hAnsi="Cambria Math"/>
                          <w:i/>
                          <w:sz w:val="22"/>
                        </w:rPr>
                      </m:ctrlPr>
                    </m:sSubPr>
                    <m:e>
                      <m:r>
                        <w:rPr>
                          <w:rFonts w:ascii="Cambria Math" w:hAnsi="Cambria Math"/>
                          <w:sz w:val="22"/>
                        </w:rPr>
                        <m:t>T</m:t>
                      </m:r>
                    </m:e>
                    <m:sub>
                      <m:r>
                        <w:rPr>
                          <w:rFonts w:ascii="Cambria Math" w:hAnsi="Cambria Math"/>
                          <w:sz w:val="22"/>
                        </w:rPr>
                        <m:t>0</m:t>
                      </m:r>
                    </m:sub>
                  </m:sSub>
                </m:sub>
              </m:sSub>
              <m:r>
                <w:rPr>
                  <w:rFonts w:ascii="Cambria Math" w:hAnsi="Cambria Math"/>
                  <w:sz w:val="22"/>
                </w:rPr>
                <m:t xml:space="preserve">,… </m:t>
              </m:r>
              <m:sSub>
                <m:sSubPr>
                  <m:ctrlPr>
                    <w:rPr>
                      <w:rFonts w:ascii="Cambria Math" w:hAnsi="Cambria Math"/>
                      <w:i/>
                      <w:sz w:val="22"/>
                    </w:rPr>
                  </m:ctrlPr>
                </m:sSubPr>
                <m:e>
                  <m:r>
                    <w:rPr>
                      <w:rFonts w:ascii="Cambria Math" w:hAnsi="Cambria Math"/>
                      <w:sz w:val="22"/>
                    </w:rPr>
                    <m:t>λ</m:t>
                  </m:r>
                </m:e>
                <m:sub>
                  <m:r>
                    <w:rPr>
                      <w:rFonts w:ascii="Cambria Math" w:hAnsi="Cambria Math"/>
                      <w:sz w:val="22"/>
                    </w:rPr>
                    <m:t>T</m:t>
                  </m:r>
                </m:sub>
              </m:sSub>
            </m:e>
          </m:d>
        </m:oMath>
      </m:oMathPara>
    </w:p>
    <w:p w14:paraId="4E0BB7F9" w14:textId="77777777" w:rsidR="009E3214" w:rsidRPr="00F8217C" w:rsidRDefault="009E3214" w:rsidP="007F7504">
      <w:pPr>
        <w:spacing w:after="0"/>
        <w:jc w:val="both"/>
        <w:rPr>
          <w:sz w:val="22"/>
        </w:rPr>
      </w:pPr>
    </w:p>
    <w:p w14:paraId="329D9BB5" w14:textId="77777777" w:rsidR="009E3214" w:rsidRPr="00F8217C" w:rsidRDefault="008A1C48" w:rsidP="007F7504">
      <w:pPr>
        <w:spacing w:after="0"/>
        <w:jc w:val="both"/>
        <w:rPr>
          <w:rFonts w:eastAsiaTheme="minorEastAsia"/>
          <w:sz w:val="22"/>
        </w:rPr>
      </w:pPr>
      <w:r w:rsidRPr="00F8217C">
        <w:rPr>
          <w:sz w:val="22"/>
        </w:rPr>
        <w:t>w</w:t>
      </w:r>
      <w:r w:rsidR="002A7853" w:rsidRPr="00F8217C">
        <w:rPr>
          <w:sz w:val="22"/>
        </w:rPr>
        <w:t xml:space="preserve">here </w:t>
      </w:r>
      <m:oMath>
        <m:sSubSup>
          <m:sSubSupPr>
            <m:ctrlPr>
              <w:rPr>
                <w:rFonts w:ascii="Cambria Math" w:hAnsi="Cambria Math"/>
                <w:i/>
                <w:sz w:val="22"/>
              </w:rPr>
            </m:ctrlPr>
          </m:sSubSupPr>
          <m:e>
            <m:r>
              <w:rPr>
                <w:rFonts w:ascii="Cambria Math" w:hAnsi="Cambria Math"/>
                <w:sz w:val="22"/>
              </w:rPr>
              <m:t>Y</m:t>
            </m:r>
          </m:e>
          <m:sub>
            <m:r>
              <w:rPr>
                <w:rFonts w:ascii="Cambria Math" w:hAnsi="Cambria Math"/>
                <w:sz w:val="22"/>
              </w:rPr>
              <m:t>1,t</m:t>
            </m:r>
          </m:sub>
          <m:sup>
            <m:r>
              <w:rPr>
                <w:rFonts w:ascii="Cambria Math" w:hAnsi="Cambria Math"/>
                <w:sz w:val="22"/>
              </w:rPr>
              <m:t>N</m:t>
            </m:r>
          </m:sup>
        </m:sSubSup>
      </m:oMath>
      <w:r w:rsidR="002A7853" w:rsidRPr="00F8217C">
        <w:rPr>
          <w:rFonts w:eastAsiaTheme="minorEastAsia"/>
          <w:sz w:val="22"/>
        </w:rPr>
        <w:t xml:space="preserve"> is by default unobserved to the econometrician and needs to be estimated. Without the loss of generality, our assumption is that </w:t>
      </w:r>
      <m:oMath>
        <m:sSubSup>
          <m:sSubSupPr>
            <m:ctrlPr>
              <w:rPr>
                <w:rFonts w:ascii="Cambria Math" w:hAnsi="Cambria Math"/>
                <w:i/>
                <w:sz w:val="22"/>
              </w:rPr>
            </m:ctrlPr>
          </m:sSubSupPr>
          <m:e>
            <m:r>
              <w:rPr>
                <w:rFonts w:ascii="Cambria Math" w:hAnsi="Cambria Math"/>
                <w:sz w:val="22"/>
              </w:rPr>
              <m:t>Y</m:t>
            </m:r>
          </m:e>
          <m:sub>
            <m:r>
              <w:rPr>
                <w:rFonts w:ascii="Cambria Math" w:hAnsi="Cambria Math"/>
                <w:sz w:val="22"/>
              </w:rPr>
              <m:t>1,t</m:t>
            </m:r>
          </m:sub>
          <m:sup>
            <m:r>
              <w:rPr>
                <w:rFonts w:ascii="Cambria Math" w:hAnsi="Cambria Math"/>
                <w:sz w:val="22"/>
              </w:rPr>
              <m:t>N</m:t>
            </m:r>
          </m:sup>
        </m:sSubSup>
      </m:oMath>
      <w:r w:rsidR="002A7853" w:rsidRPr="00F8217C">
        <w:rPr>
          <w:rFonts w:eastAsiaTheme="minorEastAsia"/>
          <w:sz w:val="22"/>
        </w:rPr>
        <w:t xml:space="preserve"> follows a latent factor </w:t>
      </w:r>
      <w:r w:rsidR="00C81585" w:rsidRPr="00F8217C">
        <w:rPr>
          <w:rFonts w:eastAsiaTheme="minorEastAsia"/>
          <w:sz w:val="22"/>
        </w:rPr>
        <w:t>model, which</w:t>
      </w:r>
      <w:r w:rsidR="002A7853" w:rsidRPr="00F8217C">
        <w:rPr>
          <w:rFonts w:eastAsiaTheme="minorEastAsia"/>
          <w:sz w:val="22"/>
        </w:rPr>
        <w:t xml:space="preserve"> allows the approximation of the counterfactual </w:t>
      </w:r>
      <w:r w:rsidRPr="00F8217C">
        <w:rPr>
          <w:rFonts w:eastAsiaTheme="minorEastAsia"/>
          <w:sz w:val="22"/>
        </w:rPr>
        <w:t xml:space="preserve">levels of institutional quality </w:t>
      </w:r>
      <w:r w:rsidR="002A7853" w:rsidRPr="00F8217C">
        <w:rPr>
          <w:rFonts w:eastAsiaTheme="minorEastAsia"/>
          <w:sz w:val="22"/>
        </w:rPr>
        <w:t>in the hypothetical absence of instability.</w:t>
      </w:r>
      <w:r w:rsidRPr="00F8217C">
        <w:rPr>
          <w:rFonts w:eastAsiaTheme="minorEastAsia"/>
          <w:sz w:val="22"/>
        </w:rPr>
        <w:t xml:space="preserve"> Hence, for the combined pre- and post-intervention period, we estimate the trajectory of institutional quality in the absence of instability through the following latent factor model:</w:t>
      </w:r>
    </w:p>
    <w:p w14:paraId="636B36D5" w14:textId="77777777" w:rsidR="008A1C48" w:rsidRPr="00F8217C" w:rsidRDefault="008A1C48" w:rsidP="007F7504">
      <w:pPr>
        <w:spacing w:after="0"/>
        <w:jc w:val="both"/>
        <w:rPr>
          <w:rFonts w:eastAsiaTheme="minorEastAsia"/>
          <w:sz w:val="22"/>
        </w:rPr>
      </w:pPr>
    </w:p>
    <w:p w14:paraId="23237F8B" w14:textId="77777777" w:rsidR="008A1C48" w:rsidRPr="00F8217C" w:rsidRDefault="00000000" w:rsidP="007F7504">
      <w:pPr>
        <w:spacing w:after="0"/>
        <w:jc w:val="both"/>
        <w:rPr>
          <w:rFonts w:eastAsiaTheme="minorEastAsia"/>
          <w:sz w:val="22"/>
        </w:rPr>
      </w:pPr>
      <m:oMathPara>
        <m:oMath>
          <m:sSubSup>
            <m:sSubSupPr>
              <m:ctrlPr>
                <w:rPr>
                  <w:rFonts w:ascii="Cambria Math" w:eastAsiaTheme="minorEastAsia" w:hAnsi="Cambria Math"/>
                  <w:i/>
                  <w:sz w:val="22"/>
                </w:rPr>
              </m:ctrlPr>
            </m:sSubSupPr>
            <m:e>
              <m:r>
                <w:rPr>
                  <w:rFonts w:ascii="Cambria Math" w:eastAsiaTheme="minorEastAsia" w:hAnsi="Cambria Math"/>
                  <w:sz w:val="22"/>
                </w:rPr>
                <m:t>Y</m:t>
              </m:r>
            </m:e>
            <m:sub>
              <m:r>
                <w:rPr>
                  <w:rFonts w:ascii="Cambria Math" w:eastAsiaTheme="minorEastAsia" w:hAnsi="Cambria Math"/>
                  <w:sz w:val="22"/>
                </w:rPr>
                <m:t>i,t</m:t>
              </m:r>
            </m:sub>
            <m:sup>
              <m:r>
                <w:rPr>
                  <w:rFonts w:ascii="Cambria Math" w:eastAsiaTheme="minorEastAsia" w:hAnsi="Cambria Math"/>
                  <w:sz w:val="22"/>
                </w:rPr>
                <m:t>N</m:t>
              </m:r>
            </m:sup>
          </m:sSubSup>
          <m:r>
            <w:rPr>
              <w:rFonts w:ascii="Cambria Math" w:eastAsiaTheme="minorEastAsia" w:hAnsi="Cambria Math"/>
              <w:sz w:val="22"/>
            </w:rPr>
            <m:t>=</m:t>
          </m:r>
          <m:sSub>
            <m:sSubPr>
              <m:ctrlPr>
                <w:rPr>
                  <w:rFonts w:ascii="Cambria Math" w:eastAsiaTheme="minorEastAsia" w:hAnsi="Cambria Math"/>
                  <w:i/>
                  <w:sz w:val="22"/>
                </w:rPr>
              </m:ctrlPr>
            </m:sSubPr>
            <m:e>
              <m:r>
                <w:rPr>
                  <w:rFonts w:ascii="Cambria Math" w:eastAsiaTheme="minorEastAsia" w:hAnsi="Cambria Math"/>
                  <w:sz w:val="22"/>
                </w:rPr>
                <m:t>δ</m:t>
              </m:r>
            </m:e>
            <m:sub>
              <m:r>
                <w:rPr>
                  <w:rFonts w:ascii="Cambria Math" w:eastAsiaTheme="minorEastAsia" w:hAnsi="Cambria Math"/>
                  <w:sz w:val="22"/>
                </w:rPr>
                <m:t>t</m:t>
              </m:r>
            </m:sub>
          </m:sSub>
          <m:r>
            <w:rPr>
              <w:rFonts w:ascii="Cambria Math" w:eastAsiaTheme="minorEastAsia" w:hAnsi="Cambria Math"/>
              <w:sz w:val="22"/>
            </w:rPr>
            <m:t>+</m:t>
          </m:r>
          <m:sSub>
            <m:sSubPr>
              <m:ctrlPr>
                <w:rPr>
                  <w:rFonts w:ascii="Cambria Math" w:eastAsiaTheme="minorEastAsia" w:hAnsi="Cambria Math"/>
                  <w:i/>
                  <w:sz w:val="22"/>
                </w:rPr>
              </m:ctrlPr>
            </m:sSubPr>
            <m:e>
              <m:r>
                <w:rPr>
                  <w:rFonts w:ascii="Cambria Math" w:eastAsiaTheme="minorEastAsia" w:hAnsi="Cambria Math"/>
                  <w:sz w:val="22"/>
                </w:rPr>
                <m:t>θ</m:t>
              </m:r>
            </m:e>
            <m:sub>
              <m:r>
                <w:rPr>
                  <w:rFonts w:ascii="Cambria Math" w:eastAsiaTheme="minorEastAsia" w:hAnsi="Cambria Math"/>
                  <w:sz w:val="22"/>
                </w:rPr>
                <m:t>t</m:t>
              </m:r>
            </m:sub>
          </m:sSub>
          <m:r>
            <w:rPr>
              <w:rFonts w:ascii="Cambria Math" w:eastAsiaTheme="minorEastAsia" w:hAnsi="Cambria Math"/>
              <w:sz w:val="22"/>
            </w:rPr>
            <m:t>∙</m:t>
          </m:r>
          <m:sSub>
            <m:sSubPr>
              <m:ctrlPr>
                <w:rPr>
                  <w:rFonts w:ascii="Cambria Math" w:eastAsiaTheme="minorEastAsia" w:hAnsi="Cambria Math"/>
                  <w:i/>
                  <w:sz w:val="22"/>
                </w:rPr>
              </m:ctrlPr>
            </m:sSubPr>
            <m:e>
              <m:r>
                <w:rPr>
                  <w:rFonts w:ascii="Cambria Math" w:eastAsiaTheme="minorEastAsia" w:hAnsi="Cambria Math"/>
                  <w:sz w:val="22"/>
                </w:rPr>
                <m:t>Z</m:t>
              </m:r>
            </m:e>
            <m:sub>
              <m:r>
                <w:rPr>
                  <w:rFonts w:ascii="Cambria Math" w:eastAsiaTheme="minorEastAsia" w:hAnsi="Cambria Math"/>
                  <w:sz w:val="22"/>
                </w:rPr>
                <m:t>i</m:t>
              </m:r>
            </m:sub>
          </m:sSub>
          <m:r>
            <w:rPr>
              <w:rFonts w:ascii="Cambria Math" w:eastAsiaTheme="minorEastAsia" w:hAnsi="Cambria Math"/>
              <w:sz w:val="22"/>
            </w:rPr>
            <m:t>+</m:t>
          </m:r>
          <m:sSub>
            <m:sSubPr>
              <m:ctrlPr>
                <w:rPr>
                  <w:rFonts w:ascii="Cambria Math" w:eastAsiaTheme="minorEastAsia" w:hAnsi="Cambria Math"/>
                  <w:i/>
                  <w:sz w:val="22"/>
                </w:rPr>
              </m:ctrlPr>
            </m:sSubPr>
            <m:e>
              <m:r>
                <w:rPr>
                  <w:rFonts w:ascii="Cambria Math" w:eastAsiaTheme="minorEastAsia" w:hAnsi="Cambria Math"/>
                  <w:sz w:val="22"/>
                </w:rPr>
                <m:t>η</m:t>
              </m:r>
            </m:e>
            <m:sub>
              <m:r>
                <w:rPr>
                  <w:rFonts w:ascii="Cambria Math" w:eastAsiaTheme="minorEastAsia" w:hAnsi="Cambria Math"/>
                  <w:sz w:val="22"/>
                </w:rPr>
                <m:t>t</m:t>
              </m:r>
            </m:sub>
          </m:sSub>
          <m:r>
            <w:rPr>
              <w:rFonts w:ascii="Cambria Math" w:eastAsiaTheme="minorEastAsia" w:hAnsi="Cambria Math"/>
              <w:sz w:val="22"/>
            </w:rPr>
            <m:t>∙</m:t>
          </m:r>
          <m:sSub>
            <m:sSubPr>
              <m:ctrlPr>
                <w:rPr>
                  <w:rFonts w:ascii="Cambria Math" w:eastAsiaTheme="minorEastAsia" w:hAnsi="Cambria Math"/>
                  <w:i/>
                  <w:sz w:val="22"/>
                </w:rPr>
              </m:ctrlPr>
            </m:sSubPr>
            <m:e>
              <m:r>
                <w:rPr>
                  <w:rFonts w:ascii="Cambria Math" w:eastAsiaTheme="minorEastAsia" w:hAnsi="Cambria Math"/>
                  <w:sz w:val="22"/>
                </w:rPr>
                <m:t>μ</m:t>
              </m:r>
            </m:e>
            <m:sub>
              <m:r>
                <w:rPr>
                  <w:rFonts w:ascii="Cambria Math" w:eastAsiaTheme="minorEastAsia" w:hAnsi="Cambria Math"/>
                  <w:sz w:val="22"/>
                </w:rPr>
                <m:t>i</m:t>
              </m:r>
            </m:sub>
          </m:sSub>
          <m:r>
            <w:rPr>
              <w:rFonts w:ascii="Cambria Math" w:eastAsiaTheme="minorEastAsia" w:hAnsi="Cambria Math"/>
              <w:sz w:val="22"/>
            </w:rPr>
            <m:t>+</m:t>
          </m:r>
          <m:sSub>
            <m:sSubPr>
              <m:ctrlPr>
                <w:rPr>
                  <w:rFonts w:ascii="Cambria Math" w:eastAsiaTheme="minorEastAsia" w:hAnsi="Cambria Math"/>
                  <w:i/>
                  <w:sz w:val="22"/>
                </w:rPr>
              </m:ctrlPr>
            </m:sSubPr>
            <m:e>
              <m:r>
                <w:rPr>
                  <w:rFonts w:ascii="Cambria Math" w:eastAsiaTheme="minorEastAsia" w:hAnsi="Cambria Math"/>
                  <w:sz w:val="22"/>
                </w:rPr>
                <m:t>ϵ</m:t>
              </m:r>
            </m:e>
            <m:sub>
              <m:r>
                <w:rPr>
                  <w:rFonts w:ascii="Cambria Math" w:eastAsiaTheme="minorEastAsia" w:hAnsi="Cambria Math"/>
                  <w:sz w:val="22"/>
                </w:rPr>
                <m:t>i,t</m:t>
              </m:r>
            </m:sub>
          </m:sSub>
        </m:oMath>
      </m:oMathPara>
    </w:p>
    <w:p w14:paraId="23E0BC22" w14:textId="77777777" w:rsidR="008A1C48" w:rsidRPr="00F8217C" w:rsidRDefault="008A1C48" w:rsidP="007F7504">
      <w:pPr>
        <w:spacing w:after="0"/>
        <w:jc w:val="both"/>
        <w:rPr>
          <w:rFonts w:eastAsiaTheme="minorEastAsia"/>
          <w:sz w:val="22"/>
        </w:rPr>
      </w:pPr>
    </w:p>
    <w:p w14:paraId="7F9E2682" w14:textId="77777777" w:rsidR="009E3214" w:rsidRPr="00F8217C" w:rsidRDefault="007F7504" w:rsidP="007F7504">
      <w:pPr>
        <w:spacing w:after="0"/>
        <w:jc w:val="both"/>
        <w:rPr>
          <w:rFonts w:eastAsiaTheme="minorEastAsia"/>
          <w:sz w:val="22"/>
        </w:rPr>
      </w:pPr>
      <w:r w:rsidRPr="00F8217C">
        <w:rPr>
          <w:sz w:val="22"/>
        </w:rPr>
        <w:t>w</w:t>
      </w:r>
      <w:r w:rsidR="00DF0206" w:rsidRPr="00F8217C">
        <w:rPr>
          <w:sz w:val="22"/>
        </w:rPr>
        <w:t xml:space="preserve">here </w:t>
      </w:r>
      <m:oMath>
        <m:sSub>
          <m:sSubPr>
            <m:ctrlPr>
              <w:rPr>
                <w:rFonts w:ascii="Cambria Math" w:hAnsi="Cambria Math"/>
                <w:i/>
                <w:sz w:val="22"/>
              </w:rPr>
            </m:ctrlPr>
          </m:sSubPr>
          <m:e>
            <m:r>
              <w:rPr>
                <w:rFonts w:ascii="Cambria Math" w:hAnsi="Cambria Math"/>
                <w:sz w:val="22"/>
              </w:rPr>
              <m:t>ϵ</m:t>
            </m:r>
          </m:e>
          <m:sub>
            <m:r>
              <w:rPr>
                <w:rFonts w:ascii="Cambria Math" w:hAnsi="Cambria Math"/>
                <w:sz w:val="22"/>
              </w:rPr>
              <m:t>i,t</m:t>
            </m:r>
          </m:sub>
        </m:sSub>
        <m:r>
          <m:rPr>
            <m:scr m:val="double-struck"/>
          </m:rPr>
          <w:rPr>
            <w:rFonts w:ascii="Cambria Math" w:hAnsi="Cambria Math"/>
            <w:sz w:val="22"/>
          </w:rPr>
          <m:t>∼N</m:t>
        </m:r>
        <m:d>
          <m:dPr>
            <m:ctrlPr>
              <w:rPr>
                <w:rFonts w:ascii="Cambria Math" w:hAnsi="Cambria Math"/>
                <w:i/>
                <w:sz w:val="22"/>
              </w:rPr>
            </m:ctrlPr>
          </m:dPr>
          <m:e>
            <m:r>
              <w:rPr>
                <w:rFonts w:ascii="Cambria Math" w:hAnsi="Cambria Math"/>
                <w:sz w:val="22"/>
              </w:rPr>
              <m:t>0,1</m:t>
            </m:r>
          </m:e>
        </m:d>
      </m:oMath>
      <w:r w:rsidR="00DF0206" w:rsidRPr="00F8217C">
        <w:rPr>
          <w:rFonts w:eastAsiaTheme="minorEastAsia"/>
          <w:sz w:val="22"/>
        </w:rPr>
        <w:t xml:space="preserve"> transitory shocks under i.i.d. assumption, </w:t>
      </w:r>
      <m:oMath>
        <m:sSub>
          <m:sSubPr>
            <m:ctrlPr>
              <w:rPr>
                <w:rFonts w:ascii="Cambria Math" w:eastAsiaTheme="minorEastAsia" w:hAnsi="Cambria Math"/>
                <w:i/>
                <w:sz w:val="22"/>
              </w:rPr>
            </m:ctrlPr>
          </m:sSubPr>
          <m:e>
            <m:r>
              <w:rPr>
                <w:rFonts w:ascii="Cambria Math" w:eastAsiaTheme="minorEastAsia" w:hAnsi="Cambria Math"/>
                <w:sz w:val="22"/>
              </w:rPr>
              <m:t>δ</m:t>
            </m:r>
          </m:e>
          <m:sub>
            <m:r>
              <w:rPr>
                <w:rFonts w:ascii="Cambria Math" w:eastAsiaTheme="minorEastAsia" w:hAnsi="Cambria Math"/>
                <w:sz w:val="22"/>
              </w:rPr>
              <m:t>t</m:t>
            </m:r>
          </m:sub>
        </m:sSub>
      </m:oMath>
      <w:r w:rsidR="00DF0206" w:rsidRPr="00F8217C">
        <w:rPr>
          <w:rFonts w:eastAsiaTheme="minorEastAsia"/>
          <w:sz w:val="22"/>
        </w:rPr>
        <w:t xml:space="preserve"> is the set of common temporal shocks that absorb time-fixed effects into the counterfactual trajectory, </w:t>
      </w:r>
      <m:oMath>
        <m:sSub>
          <m:sSubPr>
            <m:ctrlPr>
              <w:rPr>
                <w:rFonts w:ascii="Cambria Math" w:eastAsiaTheme="minorEastAsia" w:hAnsi="Cambria Math"/>
                <w:i/>
                <w:sz w:val="22"/>
              </w:rPr>
            </m:ctrlPr>
          </m:sSubPr>
          <m:e>
            <m:r>
              <w:rPr>
                <w:rFonts w:ascii="Cambria Math" w:eastAsiaTheme="minorEastAsia" w:hAnsi="Cambria Math"/>
                <w:sz w:val="22"/>
              </w:rPr>
              <m:t>Z</m:t>
            </m:r>
          </m:e>
          <m:sub>
            <m:r>
              <w:rPr>
                <w:rFonts w:ascii="Cambria Math" w:eastAsiaTheme="minorEastAsia" w:hAnsi="Cambria Math"/>
                <w:sz w:val="22"/>
              </w:rPr>
              <m:t>i</m:t>
            </m:r>
          </m:sub>
        </m:sSub>
        <m:r>
          <w:rPr>
            <w:rFonts w:ascii="Cambria Math" w:eastAsiaTheme="minorEastAsia" w:hAnsi="Cambria Math"/>
            <w:sz w:val="22"/>
          </w:rPr>
          <m:t>∈</m:t>
        </m:r>
        <m:sSup>
          <m:sSupPr>
            <m:ctrlPr>
              <w:rPr>
                <w:rFonts w:ascii="Cambria Math" w:eastAsiaTheme="minorEastAsia" w:hAnsi="Cambria Math"/>
                <w:i/>
                <w:sz w:val="22"/>
              </w:rPr>
            </m:ctrlPr>
          </m:sSupPr>
          <m:e>
            <m:r>
              <m:rPr>
                <m:scr m:val="double-struck"/>
              </m:rPr>
              <w:rPr>
                <w:rFonts w:ascii="Cambria Math" w:eastAsiaTheme="minorEastAsia" w:hAnsi="Cambria Math"/>
                <w:sz w:val="22"/>
              </w:rPr>
              <m:t>R</m:t>
            </m:r>
          </m:e>
          <m:sup>
            <m:r>
              <w:rPr>
                <w:rFonts w:ascii="Cambria Math" w:eastAsiaTheme="minorEastAsia" w:hAnsi="Cambria Math"/>
                <w:sz w:val="22"/>
              </w:rPr>
              <m:t>r</m:t>
            </m:r>
          </m:sup>
        </m:sSup>
      </m:oMath>
      <w:r w:rsidR="00DF0206" w:rsidRPr="00F8217C">
        <w:rPr>
          <w:rFonts w:eastAsiaTheme="minorEastAsia"/>
          <w:sz w:val="22"/>
        </w:rPr>
        <w:t xml:space="preserve"> represents the observed covariates unaffected by the shock, </w:t>
      </w:r>
      <m:oMath>
        <m:sSub>
          <m:sSubPr>
            <m:ctrlPr>
              <w:rPr>
                <w:rFonts w:ascii="Cambria Math" w:eastAsiaTheme="minorEastAsia" w:hAnsi="Cambria Math"/>
                <w:i/>
                <w:sz w:val="22"/>
              </w:rPr>
            </m:ctrlPr>
          </m:sSubPr>
          <m:e>
            <m:r>
              <w:rPr>
                <w:rFonts w:ascii="Cambria Math" w:eastAsiaTheme="minorEastAsia" w:hAnsi="Cambria Math"/>
                <w:sz w:val="22"/>
              </w:rPr>
              <m:t>η</m:t>
            </m:r>
          </m:e>
          <m:sub>
            <m:r>
              <w:rPr>
                <w:rFonts w:ascii="Cambria Math" w:eastAsiaTheme="minorEastAsia" w:hAnsi="Cambria Math"/>
                <w:sz w:val="22"/>
              </w:rPr>
              <m:t>t</m:t>
            </m:r>
          </m:sub>
        </m:sSub>
        <m:r>
          <w:rPr>
            <w:rFonts w:ascii="Cambria Math" w:eastAsiaTheme="minorEastAsia" w:hAnsi="Cambria Math"/>
            <w:sz w:val="22"/>
          </w:rPr>
          <m:t>∈</m:t>
        </m:r>
        <m:sSup>
          <m:sSupPr>
            <m:ctrlPr>
              <w:rPr>
                <w:rFonts w:ascii="Cambria Math" w:eastAsiaTheme="minorEastAsia" w:hAnsi="Cambria Math"/>
                <w:i/>
                <w:sz w:val="22"/>
              </w:rPr>
            </m:ctrlPr>
          </m:sSupPr>
          <m:e>
            <m:r>
              <m:rPr>
                <m:scr m:val="double-struck"/>
              </m:rPr>
              <w:rPr>
                <w:rFonts w:ascii="Cambria Math" w:eastAsiaTheme="minorEastAsia" w:hAnsi="Cambria Math"/>
                <w:sz w:val="22"/>
              </w:rPr>
              <m:t>R</m:t>
            </m:r>
          </m:e>
          <m:sup>
            <m:r>
              <w:rPr>
                <w:rFonts w:ascii="Cambria Math" w:eastAsiaTheme="minorEastAsia" w:hAnsi="Cambria Math"/>
                <w:sz w:val="22"/>
              </w:rPr>
              <m:t>r</m:t>
            </m:r>
          </m:sup>
        </m:sSup>
      </m:oMath>
      <w:r w:rsidR="00DF0206" w:rsidRPr="00F8217C">
        <w:rPr>
          <w:rFonts w:eastAsiaTheme="minorEastAsia"/>
          <w:sz w:val="22"/>
        </w:rPr>
        <w:t xml:space="preserve"> is the set of common unobserved factors, and </w:t>
      </w:r>
      <m:oMath>
        <m:sSub>
          <m:sSubPr>
            <m:ctrlPr>
              <w:rPr>
                <w:rFonts w:ascii="Cambria Math" w:eastAsiaTheme="minorEastAsia" w:hAnsi="Cambria Math"/>
                <w:i/>
                <w:sz w:val="22"/>
              </w:rPr>
            </m:ctrlPr>
          </m:sSubPr>
          <m:e>
            <m:r>
              <w:rPr>
                <w:rFonts w:ascii="Cambria Math" w:eastAsiaTheme="minorEastAsia" w:hAnsi="Cambria Math"/>
                <w:sz w:val="22"/>
              </w:rPr>
              <m:t>μ</m:t>
            </m:r>
          </m:e>
          <m:sub>
            <m:r>
              <w:rPr>
                <w:rFonts w:ascii="Cambria Math" w:eastAsiaTheme="minorEastAsia" w:hAnsi="Cambria Math"/>
                <w:sz w:val="22"/>
              </w:rPr>
              <m:t>i</m:t>
            </m:r>
          </m:sub>
        </m:sSub>
        <m:r>
          <w:rPr>
            <w:rFonts w:ascii="Cambria Math" w:eastAsiaTheme="minorEastAsia" w:hAnsi="Cambria Math"/>
            <w:sz w:val="22"/>
          </w:rPr>
          <m:t>∈</m:t>
        </m:r>
        <m:sSup>
          <m:sSupPr>
            <m:ctrlPr>
              <w:rPr>
                <w:rFonts w:ascii="Cambria Math" w:eastAsiaTheme="minorEastAsia" w:hAnsi="Cambria Math"/>
                <w:i/>
                <w:sz w:val="22"/>
              </w:rPr>
            </m:ctrlPr>
          </m:sSupPr>
          <m:e>
            <m:r>
              <m:rPr>
                <m:scr m:val="double-struck"/>
              </m:rPr>
              <w:rPr>
                <w:rFonts w:ascii="Cambria Math" w:eastAsiaTheme="minorEastAsia" w:hAnsi="Cambria Math"/>
                <w:sz w:val="22"/>
              </w:rPr>
              <m:t>R</m:t>
            </m:r>
          </m:e>
          <m:sup>
            <m:r>
              <w:rPr>
                <w:rFonts w:ascii="Cambria Math" w:eastAsiaTheme="minorEastAsia" w:hAnsi="Cambria Math"/>
                <w:sz w:val="22"/>
              </w:rPr>
              <m:t>r</m:t>
            </m:r>
          </m:sup>
        </m:sSup>
      </m:oMath>
      <w:r w:rsidR="00DF0206" w:rsidRPr="00F8217C">
        <w:rPr>
          <w:rFonts w:eastAsiaTheme="minorEastAsia"/>
          <w:sz w:val="22"/>
        </w:rPr>
        <w:t xml:space="preserve"> represents the set of unknown factor loadings. The key advantage of the latent factor model is posed by the ability to capture heterogeneous responses of the outcome variable to multiple unobserved factors and embed the time trends into the model. By estimating </w:t>
      </w:r>
      <m:oMath>
        <m:sSubSup>
          <m:sSubSupPr>
            <m:ctrlPr>
              <w:rPr>
                <w:rFonts w:ascii="Cambria Math" w:eastAsiaTheme="minorEastAsia" w:hAnsi="Cambria Math"/>
                <w:i/>
                <w:sz w:val="22"/>
              </w:rPr>
            </m:ctrlPr>
          </m:sSubSupPr>
          <m:e>
            <m:r>
              <w:rPr>
                <w:rFonts w:ascii="Cambria Math" w:eastAsiaTheme="minorEastAsia" w:hAnsi="Cambria Math"/>
                <w:sz w:val="22"/>
              </w:rPr>
              <m:t>Y</m:t>
            </m:r>
          </m:e>
          <m:sub>
            <m:r>
              <w:rPr>
                <w:rFonts w:ascii="Cambria Math" w:eastAsiaTheme="minorEastAsia" w:hAnsi="Cambria Math"/>
                <w:sz w:val="22"/>
              </w:rPr>
              <m:t>i,t</m:t>
            </m:r>
          </m:sub>
          <m:sup>
            <m:r>
              <w:rPr>
                <w:rFonts w:ascii="Cambria Math" w:eastAsiaTheme="minorEastAsia" w:hAnsi="Cambria Math"/>
                <w:sz w:val="22"/>
              </w:rPr>
              <m:t>N</m:t>
            </m:r>
          </m:sup>
        </m:sSubSup>
      </m:oMath>
      <w:r w:rsidRPr="00F8217C">
        <w:rPr>
          <w:rFonts w:eastAsiaTheme="minorEastAsia"/>
          <w:sz w:val="22"/>
        </w:rPr>
        <w:t xml:space="preserve">, the control group can be reweighted so that a synthetic version of the instability-affected region is matched with the donor pool on </w:t>
      </w:r>
      <m:oMath>
        <m:sSub>
          <m:sSubPr>
            <m:ctrlPr>
              <w:rPr>
                <w:rFonts w:ascii="Cambria Math" w:eastAsiaTheme="minorEastAsia" w:hAnsi="Cambria Math"/>
                <w:i/>
                <w:sz w:val="22"/>
              </w:rPr>
            </m:ctrlPr>
          </m:sSubPr>
          <m:e>
            <m:r>
              <w:rPr>
                <w:rFonts w:ascii="Cambria Math" w:eastAsiaTheme="minorEastAsia" w:hAnsi="Cambria Math"/>
                <w:sz w:val="22"/>
              </w:rPr>
              <m:t>Z</m:t>
            </m:r>
          </m:e>
          <m:sub>
            <m:r>
              <w:rPr>
                <w:rFonts w:ascii="Cambria Math" w:eastAsiaTheme="minorEastAsia" w:hAnsi="Cambria Math"/>
                <w:sz w:val="22"/>
              </w:rPr>
              <m:t>i</m:t>
            </m:r>
          </m:sub>
        </m:sSub>
      </m:oMath>
      <w:r w:rsidRPr="00F8217C">
        <w:rPr>
          <w:rFonts w:eastAsiaTheme="minorEastAsia"/>
          <w:sz w:val="22"/>
        </w:rPr>
        <w:t xml:space="preserve"> and some pre-</w:t>
      </w:r>
      <m:oMath>
        <m:sSub>
          <m:sSubPr>
            <m:ctrlPr>
              <w:rPr>
                <w:rFonts w:ascii="Cambria Math" w:eastAsiaTheme="minorEastAsia" w:hAnsi="Cambria Math"/>
                <w:i/>
                <w:sz w:val="22"/>
              </w:rPr>
            </m:ctrlPr>
          </m:sSubPr>
          <m:e>
            <m:r>
              <w:rPr>
                <w:rFonts w:ascii="Cambria Math" w:eastAsiaTheme="minorEastAsia" w:hAnsi="Cambria Math"/>
                <w:sz w:val="22"/>
              </w:rPr>
              <m:t>T</m:t>
            </m:r>
          </m:e>
          <m:sub>
            <m:r>
              <w:rPr>
                <w:rFonts w:ascii="Cambria Math" w:eastAsiaTheme="minorEastAsia" w:hAnsi="Cambria Math"/>
                <w:sz w:val="22"/>
              </w:rPr>
              <m:t>0</m:t>
            </m:r>
          </m:sub>
        </m:sSub>
      </m:oMath>
      <w:r w:rsidRPr="00F8217C">
        <w:rPr>
          <w:rFonts w:eastAsiaTheme="minorEastAsia"/>
          <w:sz w:val="22"/>
        </w:rPr>
        <w:t xml:space="preserve"> </w:t>
      </w:r>
      <m:oMath>
        <m:d>
          <m:dPr>
            <m:begChr m:val="{"/>
            <m:endChr m:val="}"/>
            <m:ctrlPr>
              <w:rPr>
                <w:rFonts w:ascii="Cambria Math" w:eastAsiaTheme="minorEastAsia" w:hAnsi="Cambria Math"/>
                <w:i/>
                <w:sz w:val="22"/>
              </w:rPr>
            </m:ctrlPr>
          </m:dPr>
          <m:e>
            <m:r>
              <m:rPr>
                <m:sty m:val="b"/>
              </m:rPr>
              <w:rPr>
                <w:rFonts w:ascii="Cambria Math" w:eastAsiaTheme="minorEastAsia" w:hAnsi="Cambria Math"/>
                <w:sz w:val="22"/>
              </w:rPr>
              <m:t>Y</m:t>
            </m:r>
          </m:e>
        </m:d>
      </m:oMath>
      <w:r w:rsidRPr="00F8217C">
        <w:rPr>
          <w:rFonts w:eastAsiaTheme="minorEastAsia"/>
          <w:sz w:val="22"/>
        </w:rPr>
        <w:t xml:space="preserve"> which immediately implies that </w:t>
      </w:r>
      <m:oMath>
        <m:sSub>
          <m:sSubPr>
            <m:ctrlPr>
              <w:rPr>
                <w:rFonts w:ascii="Cambria Math" w:eastAsiaTheme="minorEastAsia" w:hAnsi="Cambria Math"/>
                <w:i/>
                <w:sz w:val="22"/>
              </w:rPr>
            </m:ctrlPr>
          </m:sSubPr>
          <m:e>
            <m:r>
              <w:rPr>
                <w:rFonts w:ascii="Cambria Math" w:eastAsiaTheme="minorEastAsia" w:hAnsi="Cambria Math"/>
                <w:sz w:val="22"/>
              </w:rPr>
              <m:t>μ</m:t>
            </m:r>
          </m:e>
          <m:sub>
            <m:r>
              <w:rPr>
                <w:rFonts w:ascii="Cambria Math" w:eastAsiaTheme="minorEastAsia" w:hAnsi="Cambria Math"/>
                <w:sz w:val="22"/>
              </w:rPr>
              <m:t>i</m:t>
            </m:r>
          </m:sub>
        </m:sSub>
      </m:oMath>
      <w:r w:rsidRPr="00F8217C">
        <w:rPr>
          <w:rFonts w:eastAsiaTheme="minorEastAsia"/>
          <w:sz w:val="22"/>
        </w:rPr>
        <w:t xml:space="preserve"> will be matched automatically. Therefore, to approximate the missing counterfactual scenario, control group for the instability-affected region needs to </w:t>
      </w:r>
      <w:proofErr w:type="gramStart"/>
      <w:r w:rsidRPr="00F8217C">
        <w:rPr>
          <w:rFonts w:eastAsiaTheme="minorEastAsia"/>
          <w:sz w:val="22"/>
        </w:rPr>
        <w:t>reweighted</w:t>
      </w:r>
      <w:proofErr w:type="gramEnd"/>
      <w:r w:rsidRPr="00F8217C">
        <w:rPr>
          <w:rFonts w:eastAsiaTheme="minorEastAsia"/>
          <w:sz w:val="22"/>
        </w:rPr>
        <w:t xml:space="preserve"> to ensure that the control group mimics the characteristics and attributes of the affected region inasmuch as possible. </w:t>
      </w:r>
      <w:r w:rsidRPr="00F8217C">
        <w:rPr>
          <w:sz w:val="22"/>
        </w:rPr>
        <w:t xml:space="preserve">Let </w:t>
      </w:r>
      <m:oMath>
        <m:r>
          <w:rPr>
            <w:rFonts w:ascii="Cambria Math" w:hAnsi="Cambria Math"/>
            <w:sz w:val="22"/>
          </w:rPr>
          <m:t>W=</m:t>
        </m:r>
        <m:d>
          <m:dPr>
            <m:ctrlPr>
              <w:rPr>
                <w:rFonts w:ascii="Cambria Math" w:hAnsi="Cambria Math"/>
                <w:i/>
                <w:sz w:val="22"/>
              </w:rPr>
            </m:ctrlPr>
          </m:dPr>
          <m:e>
            <m:sSub>
              <m:sSubPr>
                <m:ctrlPr>
                  <w:rPr>
                    <w:rFonts w:ascii="Cambria Math" w:hAnsi="Cambria Math"/>
                    <w:i/>
                    <w:sz w:val="22"/>
                  </w:rPr>
                </m:ctrlPr>
              </m:sSubPr>
              <m:e>
                <m:r>
                  <w:rPr>
                    <w:rFonts w:ascii="Cambria Math" w:hAnsi="Cambria Math"/>
                    <w:sz w:val="22"/>
                  </w:rPr>
                  <m:t>w</m:t>
                </m:r>
              </m:e>
              <m:sub>
                <m:r>
                  <w:rPr>
                    <w:rFonts w:ascii="Cambria Math" w:hAnsi="Cambria Math"/>
                    <w:sz w:val="22"/>
                  </w:rPr>
                  <m:t>2</m:t>
                </m:r>
              </m:sub>
            </m:sSub>
            <m:r>
              <w:rPr>
                <w:rFonts w:ascii="Cambria Math" w:hAnsi="Cambria Math"/>
                <w:sz w:val="22"/>
              </w:rPr>
              <m:t>,…</m:t>
            </m:r>
            <m:sSub>
              <m:sSubPr>
                <m:ctrlPr>
                  <w:rPr>
                    <w:rFonts w:ascii="Cambria Math" w:hAnsi="Cambria Math"/>
                    <w:i/>
                    <w:sz w:val="22"/>
                  </w:rPr>
                </m:ctrlPr>
              </m:sSubPr>
              <m:e>
                <m:r>
                  <w:rPr>
                    <w:rFonts w:ascii="Cambria Math" w:hAnsi="Cambria Math"/>
                    <w:sz w:val="22"/>
                  </w:rPr>
                  <m:t>w</m:t>
                </m:r>
              </m:e>
              <m:sub>
                <m:r>
                  <w:rPr>
                    <w:rFonts w:ascii="Cambria Math" w:hAnsi="Cambria Math"/>
                    <w:sz w:val="22"/>
                  </w:rPr>
                  <m:t>J+1</m:t>
                </m:r>
              </m:sub>
            </m:sSub>
          </m:e>
        </m:d>
      </m:oMath>
      <w:r w:rsidRPr="00F8217C">
        <w:rPr>
          <w:rFonts w:eastAsiaTheme="minorEastAsia"/>
          <w:sz w:val="22"/>
        </w:rPr>
        <w:t xml:space="preserve"> be a vector of weights such that </w:t>
      </w:r>
      <m:oMath>
        <m:sSub>
          <m:sSubPr>
            <m:ctrlPr>
              <w:rPr>
                <w:rFonts w:ascii="Cambria Math" w:eastAsiaTheme="minorEastAsia" w:hAnsi="Cambria Math"/>
                <w:i/>
                <w:sz w:val="22"/>
              </w:rPr>
            </m:ctrlPr>
          </m:sSubPr>
          <m:e>
            <m:r>
              <w:rPr>
                <w:rFonts w:ascii="Cambria Math" w:eastAsiaTheme="minorEastAsia" w:hAnsi="Cambria Math"/>
                <w:sz w:val="22"/>
              </w:rPr>
              <m:t>w</m:t>
            </m:r>
          </m:e>
          <m:sub>
            <m:r>
              <w:rPr>
                <w:rFonts w:ascii="Cambria Math" w:eastAsiaTheme="minorEastAsia" w:hAnsi="Cambria Math"/>
                <w:sz w:val="22"/>
              </w:rPr>
              <m:t>j</m:t>
            </m:r>
          </m:sub>
        </m:sSub>
        <m:r>
          <w:rPr>
            <w:rFonts w:ascii="Cambria Math" w:eastAsiaTheme="minorEastAsia" w:hAnsi="Cambria Math"/>
            <w:sz w:val="22"/>
          </w:rPr>
          <m:t>≥0∀j</m:t>
        </m:r>
      </m:oMath>
      <w:r w:rsidRPr="00F8217C">
        <w:rPr>
          <w:rFonts w:eastAsiaTheme="minorEastAsia"/>
          <w:sz w:val="22"/>
        </w:rPr>
        <w:t>. For the full vector W, the outcome variable of the synthetic control group at time t is given by:</w:t>
      </w:r>
    </w:p>
    <w:p w14:paraId="71385856" w14:textId="77777777" w:rsidR="007F7504" w:rsidRPr="00F8217C" w:rsidRDefault="007F7504" w:rsidP="007F7504">
      <w:pPr>
        <w:spacing w:after="0"/>
        <w:jc w:val="both"/>
        <w:rPr>
          <w:rFonts w:eastAsiaTheme="minorEastAsia"/>
          <w:sz w:val="22"/>
        </w:rPr>
      </w:pPr>
    </w:p>
    <w:p w14:paraId="19A1D90D" w14:textId="77777777" w:rsidR="007F7504" w:rsidRPr="00F8217C" w:rsidRDefault="00000000" w:rsidP="007F7504">
      <w:pPr>
        <w:spacing w:after="0"/>
        <w:jc w:val="both"/>
        <w:rPr>
          <w:rFonts w:eastAsiaTheme="minorEastAsia"/>
          <w:sz w:val="22"/>
        </w:rPr>
      </w:pPr>
      <m:oMathPara>
        <m:oMath>
          <m:sSub>
            <m:sSubPr>
              <m:ctrlPr>
                <w:rPr>
                  <w:rFonts w:ascii="Cambria Math" w:eastAsiaTheme="minorEastAsia" w:hAnsi="Cambria Math"/>
                  <w:i/>
                  <w:sz w:val="22"/>
                </w:rPr>
              </m:ctrlPr>
            </m:sSubPr>
            <m:e>
              <m:r>
                <w:rPr>
                  <w:rFonts w:ascii="Cambria Math" w:eastAsiaTheme="minorEastAsia" w:hAnsi="Cambria Math"/>
                  <w:sz w:val="22"/>
                </w:rPr>
                <m:t>Y</m:t>
              </m:r>
            </m:e>
            <m:sub>
              <m:r>
                <w:rPr>
                  <w:rFonts w:ascii="Cambria Math" w:eastAsiaTheme="minorEastAsia" w:hAnsi="Cambria Math"/>
                  <w:sz w:val="22"/>
                </w:rPr>
                <m:t>W,t</m:t>
              </m:r>
            </m:sub>
          </m:sSub>
          <m:r>
            <w:rPr>
              <w:rFonts w:ascii="Cambria Math" w:eastAsiaTheme="minorEastAsia" w:hAnsi="Cambria Math"/>
              <w:sz w:val="22"/>
            </w:rPr>
            <m:t>=</m:t>
          </m:r>
          <m:nary>
            <m:naryPr>
              <m:chr m:val="∑"/>
              <m:limLoc m:val="undOvr"/>
              <m:ctrlPr>
                <w:rPr>
                  <w:rFonts w:ascii="Cambria Math" w:eastAsiaTheme="minorEastAsia" w:hAnsi="Cambria Math"/>
                  <w:i/>
                  <w:sz w:val="22"/>
                </w:rPr>
              </m:ctrlPr>
            </m:naryPr>
            <m:sub>
              <m:r>
                <w:rPr>
                  <w:rFonts w:ascii="Cambria Math" w:eastAsiaTheme="minorEastAsia" w:hAnsi="Cambria Math"/>
                  <w:sz w:val="22"/>
                </w:rPr>
                <m:t>j=2</m:t>
              </m:r>
            </m:sub>
            <m:sup>
              <m:r>
                <w:rPr>
                  <w:rFonts w:ascii="Cambria Math" w:eastAsiaTheme="minorEastAsia" w:hAnsi="Cambria Math"/>
                  <w:sz w:val="22"/>
                </w:rPr>
                <m:t>J+1</m:t>
              </m:r>
            </m:sup>
            <m:e>
              <m:sSub>
                <m:sSubPr>
                  <m:ctrlPr>
                    <w:rPr>
                      <w:rFonts w:ascii="Cambria Math" w:eastAsiaTheme="minorEastAsia" w:hAnsi="Cambria Math"/>
                      <w:i/>
                      <w:sz w:val="22"/>
                    </w:rPr>
                  </m:ctrlPr>
                </m:sSubPr>
                <m:e>
                  <m:r>
                    <w:rPr>
                      <w:rFonts w:ascii="Cambria Math" w:eastAsiaTheme="minorEastAsia" w:hAnsi="Cambria Math"/>
                      <w:sz w:val="22"/>
                    </w:rPr>
                    <m:t>w</m:t>
                  </m:r>
                </m:e>
                <m:sub>
                  <m:r>
                    <w:rPr>
                      <w:rFonts w:ascii="Cambria Math" w:eastAsiaTheme="minorEastAsia" w:hAnsi="Cambria Math"/>
                      <w:sz w:val="22"/>
                    </w:rPr>
                    <m:t>j</m:t>
                  </m:r>
                </m:sub>
              </m:sSub>
              <m:r>
                <w:rPr>
                  <w:rFonts w:ascii="Cambria Math" w:eastAsiaTheme="minorEastAsia" w:hAnsi="Cambria Math"/>
                  <w:sz w:val="22"/>
                </w:rPr>
                <m:t>⋅</m:t>
              </m:r>
              <m:sSub>
                <m:sSubPr>
                  <m:ctrlPr>
                    <w:rPr>
                      <w:rFonts w:ascii="Cambria Math" w:eastAsiaTheme="minorEastAsia" w:hAnsi="Cambria Math"/>
                      <w:i/>
                      <w:sz w:val="22"/>
                    </w:rPr>
                  </m:ctrlPr>
                </m:sSubPr>
                <m:e>
                  <m:r>
                    <w:rPr>
                      <w:rFonts w:ascii="Cambria Math" w:eastAsiaTheme="minorEastAsia" w:hAnsi="Cambria Math"/>
                      <w:sz w:val="22"/>
                    </w:rPr>
                    <m:t>Y</m:t>
                  </m:r>
                </m:e>
                <m:sub>
                  <m:r>
                    <w:rPr>
                      <w:rFonts w:ascii="Cambria Math" w:eastAsiaTheme="minorEastAsia" w:hAnsi="Cambria Math"/>
                      <w:sz w:val="22"/>
                    </w:rPr>
                    <m:t>j,t</m:t>
                  </m:r>
                </m:sub>
              </m:sSub>
              <m:r>
                <w:rPr>
                  <w:rFonts w:ascii="Cambria Math" w:eastAsiaTheme="minorEastAsia" w:hAnsi="Cambria Math"/>
                  <w:sz w:val="22"/>
                </w:rPr>
                <m:t>=</m:t>
              </m:r>
              <m:sSub>
                <m:sSubPr>
                  <m:ctrlPr>
                    <w:rPr>
                      <w:rFonts w:ascii="Cambria Math" w:eastAsiaTheme="minorEastAsia" w:hAnsi="Cambria Math"/>
                      <w:i/>
                      <w:sz w:val="22"/>
                    </w:rPr>
                  </m:ctrlPr>
                </m:sSubPr>
                <m:e>
                  <m:sSub>
                    <m:sSubPr>
                      <m:ctrlPr>
                        <w:rPr>
                          <w:rFonts w:ascii="Cambria Math" w:eastAsiaTheme="minorEastAsia" w:hAnsi="Cambria Math"/>
                          <w:i/>
                          <w:sz w:val="22"/>
                        </w:rPr>
                      </m:ctrlPr>
                    </m:sSubPr>
                    <m:e>
                      <m:r>
                        <w:rPr>
                          <w:rFonts w:ascii="Cambria Math" w:eastAsiaTheme="minorEastAsia" w:hAnsi="Cambria Math"/>
                          <w:sz w:val="22"/>
                        </w:rPr>
                        <m:t>δ</m:t>
                      </m:r>
                    </m:e>
                    <m:sub>
                      <m:r>
                        <w:rPr>
                          <w:rFonts w:ascii="Cambria Math" w:eastAsiaTheme="minorEastAsia" w:hAnsi="Cambria Math"/>
                          <w:sz w:val="22"/>
                        </w:rPr>
                        <m:t>t</m:t>
                      </m:r>
                    </m:sub>
                  </m:sSub>
                  <m:r>
                    <w:rPr>
                      <w:rFonts w:ascii="Cambria Math" w:eastAsiaTheme="minorEastAsia" w:hAnsi="Cambria Math"/>
                      <w:sz w:val="22"/>
                    </w:rPr>
                    <m:t>+θ</m:t>
                  </m:r>
                </m:e>
                <m:sub>
                  <m:r>
                    <w:rPr>
                      <w:rFonts w:ascii="Cambria Math" w:eastAsiaTheme="minorEastAsia" w:hAnsi="Cambria Math"/>
                      <w:sz w:val="22"/>
                    </w:rPr>
                    <m:t>t</m:t>
                  </m:r>
                </m:sub>
              </m:sSub>
              <m:d>
                <m:dPr>
                  <m:ctrlPr>
                    <w:rPr>
                      <w:rFonts w:ascii="Cambria Math" w:eastAsiaTheme="minorEastAsia" w:hAnsi="Cambria Math"/>
                      <w:i/>
                      <w:sz w:val="22"/>
                    </w:rPr>
                  </m:ctrlPr>
                </m:dPr>
                <m:e>
                  <m:nary>
                    <m:naryPr>
                      <m:chr m:val="∑"/>
                      <m:limLoc m:val="undOvr"/>
                      <m:ctrlPr>
                        <w:rPr>
                          <w:rFonts w:ascii="Cambria Math" w:eastAsiaTheme="minorEastAsia" w:hAnsi="Cambria Math"/>
                          <w:i/>
                          <w:sz w:val="22"/>
                        </w:rPr>
                      </m:ctrlPr>
                    </m:naryPr>
                    <m:sub>
                      <m:r>
                        <w:rPr>
                          <w:rFonts w:ascii="Cambria Math" w:eastAsiaTheme="minorEastAsia" w:hAnsi="Cambria Math"/>
                          <w:sz w:val="22"/>
                        </w:rPr>
                        <m:t>j=2</m:t>
                      </m:r>
                    </m:sub>
                    <m:sup>
                      <m:r>
                        <w:rPr>
                          <w:rFonts w:ascii="Cambria Math" w:eastAsiaTheme="minorEastAsia" w:hAnsi="Cambria Math"/>
                          <w:sz w:val="22"/>
                        </w:rPr>
                        <m:t>J+1</m:t>
                      </m:r>
                    </m:sup>
                    <m:e>
                      <m:sSub>
                        <m:sSubPr>
                          <m:ctrlPr>
                            <w:rPr>
                              <w:rFonts w:ascii="Cambria Math" w:eastAsiaTheme="minorEastAsia" w:hAnsi="Cambria Math"/>
                              <w:i/>
                              <w:sz w:val="22"/>
                            </w:rPr>
                          </m:ctrlPr>
                        </m:sSubPr>
                        <m:e>
                          <m:r>
                            <w:rPr>
                              <w:rFonts w:ascii="Cambria Math" w:eastAsiaTheme="minorEastAsia" w:hAnsi="Cambria Math"/>
                              <w:sz w:val="22"/>
                            </w:rPr>
                            <m:t>w</m:t>
                          </m:r>
                        </m:e>
                        <m:sub>
                          <m:r>
                            <w:rPr>
                              <w:rFonts w:ascii="Cambria Math" w:eastAsiaTheme="minorEastAsia" w:hAnsi="Cambria Math"/>
                              <w:sz w:val="22"/>
                            </w:rPr>
                            <m:t>j</m:t>
                          </m:r>
                        </m:sub>
                      </m:sSub>
                      <m:r>
                        <w:rPr>
                          <w:rFonts w:ascii="Cambria Math" w:eastAsiaTheme="minorEastAsia" w:hAnsi="Cambria Math"/>
                          <w:sz w:val="22"/>
                        </w:rPr>
                        <m:t>∙</m:t>
                      </m:r>
                      <m:sSub>
                        <m:sSubPr>
                          <m:ctrlPr>
                            <w:rPr>
                              <w:rFonts w:ascii="Cambria Math" w:eastAsiaTheme="minorEastAsia" w:hAnsi="Cambria Math"/>
                              <w:i/>
                              <w:sz w:val="22"/>
                            </w:rPr>
                          </m:ctrlPr>
                        </m:sSubPr>
                        <m:e>
                          <m:r>
                            <w:rPr>
                              <w:rFonts w:ascii="Cambria Math" w:eastAsiaTheme="minorEastAsia" w:hAnsi="Cambria Math"/>
                              <w:sz w:val="22"/>
                            </w:rPr>
                            <m:t>Z</m:t>
                          </m:r>
                        </m:e>
                        <m:sub>
                          <m:r>
                            <w:rPr>
                              <w:rFonts w:ascii="Cambria Math" w:eastAsiaTheme="minorEastAsia" w:hAnsi="Cambria Math"/>
                              <w:sz w:val="22"/>
                            </w:rPr>
                            <m:t>j</m:t>
                          </m:r>
                        </m:sub>
                      </m:sSub>
                    </m:e>
                  </m:nary>
                </m:e>
              </m:d>
              <m:r>
                <w:rPr>
                  <w:rFonts w:ascii="Cambria Math" w:eastAsiaTheme="minorEastAsia" w:hAnsi="Cambria Math"/>
                  <w:sz w:val="22"/>
                </w:rPr>
                <m:t>+</m:t>
              </m:r>
              <m:sSub>
                <m:sSubPr>
                  <m:ctrlPr>
                    <w:rPr>
                      <w:rFonts w:ascii="Cambria Math" w:eastAsiaTheme="minorEastAsia" w:hAnsi="Cambria Math"/>
                      <w:i/>
                      <w:sz w:val="22"/>
                    </w:rPr>
                  </m:ctrlPr>
                </m:sSubPr>
                <m:e>
                  <m:r>
                    <w:rPr>
                      <w:rFonts w:ascii="Cambria Math" w:eastAsiaTheme="minorEastAsia" w:hAnsi="Cambria Math"/>
                      <w:sz w:val="22"/>
                    </w:rPr>
                    <m:t>η</m:t>
                  </m:r>
                </m:e>
                <m:sub>
                  <m:r>
                    <w:rPr>
                      <w:rFonts w:ascii="Cambria Math" w:eastAsiaTheme="minorEastAsia" w:hAnsi="Cambria Math"/>
                      <w:sz w:val="22"/>
                    </w:rPr>
                    <m:t>t</m:t>
                  </m:r>
                </m:sub>
              </m:sSub>
              <m:d>
                <m:dPr>
                  <m:ctrlPr>
                    <w:rPr>
                      <w:rFonts w:ascii="Cambria Math" w:eastAsiaTheme="minorEastAsia" w:hAnsi="Cambria Math"/>
                      <w:i/>
                      <w:sz w:val="22"/>
                    </w:rPr>
                  </m:ctrlPr>
                </m:dPr>
                <m:e>
                  <m:nary>
                    <m:naryPr>
                      <m:chr m:val="∑"/>
                      <m:limLoc m:val="undOvr"/>
                      <m:ctrlPr>
                        <w:rPr>
                          <w:rFonts w:ascii="Cambria Math" w:eastAsiaTheme="minorEastAsia" w:hAnsi="Cambria Math"/>
                          <w:i/>
                          <w:sz w:val="22"/>
                        </w:rPr>
                      </m:ctrlPr>
                    </m:naryPr>
                    <m:sub>
                      <m:r>
                        <w:rPr>
                          <w:rFonts w:ascii="Cambria Math" w:eastAsiaTheme="minorEastAsia" w:hAnsi="Cambria Math"/>
                          <w:sz w:val="22"/>
                        </w:rPr>
                        <m:t>j=2</m:t>
                      </m:r>
                    </m:sub>
                    <m:sup>
                      <m:r>
                        <w:rPr>
                          <w:rFonts w:ascii="Cambria Math" w:eastAsiaTheme="minorEastAsia" w:hAnsi="Cambria Math"/>
                          <w:sz w:val="22"/>
                        </w:rPr>
                        <m:t>J+1</m:t>
                      </m:r>
                    </m:sup>
                    <m:e>
                      <m:sSub>
                        <m:sSubPr>
                          <m:ctrlPr>
                            <w:rPr>
                              <w:rFonts w:ascii="Cambria Math" w:eastAsiaTheme="minorEastAsia" w:hAnsi="Cambria Math"/>
                              <w:i/>
                              <w:sz w:val="22"/>
                            </w:rPr>
                          </m:ctrlPr>
                        </m:sSubPr>
                        <m:e>
                          <m:r>
                            <w:rPr>
                              <w:rFonts w:ascii="Cambria Math" w:eastAsiaTheme="minorEastAsia" w:hAnsi="Cambria Math"/>
                              <w:sz w:val="22"/>
                            </w:rPr>
                            <m:t>w</m:t>
                          </m:r>
                        </m:e>
                        <m:sub>
                          <m:r>
                            <w:rPr>
                              <w:rFonts w:ascii="Cambria Math" w:eastAsiaTheme="minorEastAsia" w:hAnsi="Cambria Math"/>
                              <w:sz w:val="22"/>
                            </w:rPr>
                            <m:t>j</m:t>
                          </m:r>
                        </m:sub>
                      </m:sSub>
                      <m:r>
                        <w:rPr>
                          <w:rFonts w:ascii="Cambria Math" w:eastAsiaTheme="minorEastAsia" w:hAnsi="Cambria Math"/>
                          <w:sz w:val="22"/>
                        </w:rPr>
                        <m:t>∙</m:t>
                      </m:r>
                      <m:sSub>
                        <m:sSubPr>
                          <m:ctrlPr>
                            <w:rPr>
                              <w:rFonts w:ascii="Cambria Math" w:eastAsiaTheme="minorEastAsia" w:hAnsi="Cambria Math"/>
                              <w:i/>
                              <w:sz w:val="22"/>
                            </w:rPr>
                          </m:ctrlPr>
                        </m:sSubPr>
                        <m:e>
                          <m:r>
                            <w:rPr>
                              <w:rFonts w:ascii="Cambria Math" w:eastAsiaTheme="minorEastAsia" w:hAnsi="Cambria Math"/>
                              <w:sz w:val="22"/>
                            </w:rPr>
                            <m:t>μ</m:t>
                          </m:r>
                        </m:e>
                        <m:sub>
                          <m:r>
                            <w:rPr>
                              <w:rFonts w:ascii="Cambria Math" w:eastAsiaTheme="minorEastAsia" w:hAnsi="Cambria Math"/>
                              <w:sz w:val="22"/>
                            </w:rPr>
                            <m:t>j</m:t>
                          </m:r>
                        </m:sub>
                      </m:sSub>
                    </m:e>
                  </m:nary>
                </m:e>
              </m:d>
              <m:r>
                <w:rPr>
                  <w:rFonts w:ascii="Cambria Math" w:eastAsiaTheme="minorEastAsia" w:hAnsi="Cambria Math"/>
                  <w:sz w:val="22"/>
                </w:rPr>
                <m:t>+</m:t>
              </m:r>
              <m:d>
                <m:dPr>
                  <m:ctrlPr>
                    <w:rPr>
                      <w:rFonts w:ascii="Cambria Math" w:eastAsiaTheme="minorEastAsia" w:hAnsi="Cambria Math"/>
                      <w:i/>
                      <w:sz w:val="22"/>
                    </w:rPr>
                  </m:ctrlPr>
                </m:dPr>
                <m:e>
                  <m:nary>
                    <m:naryPr>
                      <m:chr m:val="∑"/>
                      <m:limLoc m:val="undOvr"/>
                      <m:ctrlPr>
                        <w:rPr>
                          <w:rFonts w:ascii="Cambria Math" w:eastAsiaTheme="minorEastAsia" w:hAnsi="Cambria Math"/>
                          <w:i/>
                          <w:sz w:val="22"/>
                        </w:rPr>
                      </m:ctrlPr>
                    </m:naryPr>
                    <m:sub>
                      <m:r>
                        <w:rPr>
                          <w:rFonts w:ascii="Cambria Math" w:eastAsiaTheme="minorEastAsia" w:hAnsi="Cambria Math"/>
                          <w:sz w:val="22"/>
                        </w:rPr>
                        <m:t>j=2</m:t>
                      </m:r>
                    </m:sub>
                    <m:sup>
                      <m:r>
                        <w:rPr>
                          <w:rFonts w:ascii="Cambria Math" w:eastAsiaTheme="minorEastAsia" w:hAnsi="Cambria Math"/>
                          <w:sz w:val="22"/>
                        </w:rPr>
                        <m:t>J+1</m:t>
                      </m:r>
                    </m:sup>
                    <m:e>
                      <m:sSub>
                        <m:sSubPr>
                          <m:ctrlPr>
                            <w:rPr>
                              <w:rFonts w:ascii="Cambria Math" w:eastAsiaTheme="minorEastAsia" w:hAnsi="Cambria Math"/>
                              <w:i/>
                              <w:sz w:val="22"/>
                            </w:rPr>
                          </m:ctrlPr>
                        </m:sSubPr>
                        <m:e>
                          <m:r>
                            <w:rPr>
                              <w:rFonts w:ascii="Cambria Math" w:eastAsiaTheme="minorEastAsia" w:hAnsi="Cambria Math"/>
                              <w:sz w:val="22"/>
                            </w:rPr>
                            <m:t>w</m:t>
                          </m:r>
                        </m:e>
                        <m:sub>
                          <m:r>
                            <w:rPr>
                              <w:rFonts w:ascii="Cambria Math" w:eastAsiaTheme="minorEastAsia" w:hAnsi="Cambria Math"/>
                              <w:sz w:val="22"/>
                            </w:rPr>
                            <m:t>j</m:t>
                          </m:r>
                        </m:sub>
                      </m:sSub>
                      <m:r>
                        <w:rPr>
                          <w:rFonts w:ascii="Cambria Math" w:eastAsiaTheme="minorEastAsia" w:hAnsi="Cambria Math"/>
                          <w:sz w:val="22"/>
                        </w:rPr>
                        <m:t>∙</m:t>
                      </m:r>
                      <m:sSub>
                        <m:sSubPr>
                          <m:ctrlPr>
                            <w:rPr>
                              <w:rFonts w:ascii="Cambria Math" w:eastAsiaTheme="minorEastAsia" w:hAnsi="Cambria Math"/>
                              <w:i/>
                              <w:sz w:val="22"/>
                            </w:rPr>
                          </m:ctrlPr>
                        </m:sSubPr>
                        <m:e>
                          <m:r>
                            <w:rPr>
                              <w:rFonts w:ascii="Cambria Math" w:eastAsiaTheme="minorEastAsia" w:hAnsi="Cambria Math"/>
                              <w:sz w:val="22"/>
                            </w:rPr>
                            <m:t>ϵ</m:t>
                          </m:r>
                        </m:e>
                        <m:sub>
                          <m:r>
                            <w:rPr>
                              <w:rFonts w:ascii="Cambria Math" w:eastAsiaTheme="minorEastAsia" w:hAnsi="Cambria Math"/>
                              <w:sz w:val="22"/>
                            </w:rPr>
                            <m:t>j</m:t>
                          </m:r>
                        </m:sub>
                      </m:sSub>
                    </m:e>
                  </m:nary>
                </m:e>
              </m:d>
            </m:e>
          </m:nary>
        </m:oMath>
      </m:oMathPara>
    </w:p>
    <w:p w14:paraId="71107A4C" w14:textId="77777777" w:rsidR="007F7504" w:rsidRPr="00F8217C" w:rsidRDefault="007F7504" w:rsidP="007F7504">
      <w:pPr>
        <w:spacing w:after="0"/>
        <w:jc w:val="both"/>
        <w:rPr>
          <w:rFonts w:eastAsiaTheme="minorEastAsia"/>
          <w:sz w:val="22"/>
        </w:rPr>
      </w:pPr>
    </w:p>
    <w:p w14:paraId="2030A6C1" w14:textId="77777777" w:rsidR="00F25C5D" w:rsidRPr="00F8217C" w:rsidRDefault="00F25C5D" w:rsidP="007F7504">
      <w:pPr>
        <w:spacing w:after="0"/>
        <w:jc w:val="both"/>
        <w:rPr>
          <w:rFonts w:eastAsiaTheme="minorEastAsia"/>
          <w:sz w:val="22"/>
        </w:rPr>
      </w:pPr>
      <w:r w:rsidRPr="00F8217C">
        <w:rPr>
          <w:rFonts w:eastAsiaTheme="minorEastAsia"/>
          <w:sz w:val="22"/>
        </w:rPr>
        <w:t xml:space="preserve">Where </w:t>
      </w:r>
      <m:oMath>
        <m:r>
          <w:rPr>
            <w:rFonts w:ascii="Cambria Math" w:eastAsiaTheme="minorEastAsia" w:hAnsi="Cambria Math"/>
            <w:sz w:val="22"/>
          </w:rPr>
          <m:t>∃</m:t>
        </m:r>
        <m:sSup>
          <m:sSupPr>
            <m:ctrlPr>
              <w:rPr>
                <w:rFonts w:ascii="Cambria Math" w:eastAsiaTheme="minorEastAsia" w:hAnsi="Cambria Math"/>
                <w:i/>
                <w:sz w:val="22"/>
              </w:rPr>
            </m:ctrlPr>
          </m:sSupPr>
          <m:e>
            <m:r>
              <w:rPr>
                <w:rFonts w:ascii="Cambria Math" w:eastAsiaTheme="minorEastAsia" w:hAnsi="Cambria Math"/>
                <w:sz w:val="22"/>
              </w:rPr>
              <m:t>W</m:t>
            </m:r>
          </m:e>
          <m:sup>
            <m:r>
              <w:rPr>
                <w:rFonts w:ascii="Cambria Math" w:eastAsiaTheme="minorEastAsia" w:hAnsi="Cambria Math"/>
                <w:sz w:val="22"/>
              </w:rPr>
              <m:t>*</m:t>
            </m:r>
          </m:sup>
        </m:sSup>
      </m:oMath>
      <w:r w:rsidRPr="00F8217C">
        <w:rPr>
          <w:rFonts w:eastAsiaTheme="minorEastAsia"/>
          <w:sz w:val="22"/>
        </w:rPr>
        <w:t xml:space="preserve"> is such that the synthetic control group can be reasonably well matched with the treated region in the full pre-</w:t>
      </w:r>
      <m:oMath>
        <m:sSub>
          <m:sSubPr>
            <m:ctrlPr>
              <w:rPr>
                <w:rFonts w:ascii="Cambria Math" w:eastAsiaTheme="minorEastAsia" w:hAnsi="Cambria Math"/>
                <w:i/>
                <w:sz w:val="22"/>
              </w:rPr>
            </m:ctrlPr>
          </m:sSubPr>
          <m:e>
            <m:r>
              <w:rPr>
                <w:rFonts w:ascii="Cambria Math" w:eastAsiaTheme="minorEastAsia" w:hAnsi="Cambria Math"/>
                <w:sz w:val="22"/>
              </w:rPr>
              <m:t>T</m:t>
            </m:r>
          </m:e>
          <m:sub>
            <m:r>
              <w:rPr>
                <w:rFonts w:ascii="Cambria Math" w:eastAsiaTheme="minorEastAsia" w:hAnsi="Cambria Math"/>
                <w:sz w:val="22"/>
              </w:rPr>
              <m:t>0</m:t>
            </m:r>
          </m:sub>
        </m:sSub>
      </m:oMath>
      <w:r w:rsidRPr="00F8217C">
        <w:rPr>
          <w:rFonts w:eastAsiaTheme="minorEastAsia"/>
          <w:sz w:val="22"/>
        </w:rPr>
        <w:t xml:space="preserve"> period wherein both </w:t>
      </w:r>
      <m:oMath>
        <m:nary>
          <m:naryPr>
            <m:chr m:val="∑"/>
            <m:limLoc m:val="subSup"/>
            <m:ctrlPr>
              <w:rPr>
                <w:rFonts w:ascii="Cambria Math" w:eastAsiaTheme="minorEastAsia" w:hAnsi="Cambria Math"/>
                <w:i/>
                <w:sz w:val="22"/>
              </w:rPr>
            </m:ctrlPr>
          </m:naryPr>
          <m:sub>
            <m:r>
              <w:rPr>
                <w:rFonts w:ascii="Cambria Math" w:eastAsiaTheme="minorEastAsia" w:hAnsi="Cambria Math"/>
                <w:sz w:val="22"/>
              </w:rPr>
              <m:t>j=2</m:t>
            </m:r>
          </m:sub>
          <m:sup>
            <m:r>
              <w:rPr>
                <w:rFonts w:ascii="Cambria Math" w:eastAsiaTheme="minorEastAsia" w:hAnsi="Cambria Math"/>
                <w:sz w:val="22"/>
              </w:rPr>
              <m:t>J+1</m:t>
            </m:r>
          </m:sup>
          <m:e>
            <m:sSubSup>
              <m:sSubSupPr>
                <m:ctrlPr>
                  <w:rPr>
                    <w:rFonts w:ascii="Cambria Math" w:eastAsiaTheme="minorEastAsia" w:hAnsi="Cambria Math"/>
                    <w:i/>
                    <w:sz w:val="22"/>
                  </w:rPr>
                </m:ctrlPr>
              </m:sSubSupPr>
              <m:e>
                <m:r>
                  <w:rPr>
                    <w:rFonts w:ascii="Cambria Math" w:eastAsiaTheme="minorEastAsia" w:hAnsi="Cambria Math"/>
                    <w:sz w:val="22"/>
                  </w:rPr>
                  <m:t>w</m:t>
                </m:r>
              </m:e>
              <m:sub>
                <m:r>
                  <w:rPr>
                    <w:rFonts w:ascii="Cambria Math" w:eastAsiaTheme="minorEastAsia" w:hAnsi="Cambria Math"/>
                    <w:sz w:val="22"/>
                  </w:rPr>
                  <m:t>j</m:t>
                </m:r>
              </m:sub>
              <m:sup>
                <m:r>
                  <w:rPr>
                    <w:rFonts w:ascii="Cambria Math" w:eastAsiaTheme="minorEastAsia" w:hAnsi="Cambria Math"/>
                    <w:sz w:val="22"/>
                  </w:rPr>
                  <m:t>*</m:t>
                </m:r>
              </m:sup>
            </m:sSubSup>
            <m:r>
              <w:rPr>
                <w:rFonts w:ascii="Cambria Math" w:eastAsiaTheme="minorEastAsia" w:hAnsi="Cambria Math"/>
                <w:sz w:val="22"/>
              </w:rPr>
              <m:t>⋅</m:t>
            </m:r>
            <m:sSub>
              <m:sSubPr>
                <m:ctrlPr>
                  <w:rPr>
                    <w:rFonts w:ascii="Cambria Math" w:eastAsiaTheme="minorEastAsia" w:hAnsi="Cambria Math"/>
                    <w:i/>
                    <w:sz w:val="22"/>
                  </w:rPr>
                </m:ctrlPr>
              </m:sSubPr>
              <m:e>
                <m:r>
                  <w:rPr>
                    <w:rFonts w:ascii="Cambria Math" w:eastAsiaTheme="minorEastAsia" w:hAnsi="Cambria Math"/>
                    <w:sz w:val="22"/>
                  </w:rPr>
                  <m:t>Y</m:t>
                </m:r>
              </m:e>
              <m:sub>
                <m:r>
                  <w:rPr>
                    <w:rFonts w:ascii="Cambria Math" w:eastAsiaTheme="minorEastAsia" w:hAnsi="Cambria Math"/>
                    <w:sz w:val="22"/>
                  </w:rPr>
                  <m:t>j,t</m:t>
                </m:r>
              </m:sub>
            </m:sSub>
          </m:e>
        </m:nary>
        <m:r>
          <w:rPr>
            <w:rFonts w:ascii="Cambria Math" w:eastAsiaTheme="minorEastAsia" w:hAnsi="Cambria Math"/>
            <w:sz w:val="22"/>
          </w:rPr>
          <m:t>=</m:t>
        </m:r>
        <m:sSub>
          <m:sSubPr>
            <m:ctrlPr>
              <w:rPr>
                <w:rFonts w:ascii="Cambria Math" w:eastAsiaTheme="minorEastAsia" w:hAnsi="Cambria Math"/>
                <w:i/>
                <w:sz w:val="22"/>
              </w:rPr>
            </m:ctrlPr>
          </m:sSubPr>
          <m:e>
            <m:r>
              <w:rPr>
                <w:rFonts w:ascii="Cambria Math" w:eastAsiaTheme="minorEastAsia" w:hAnsi="Cambria Math"/>
                <w:sz w:val="22"/>
              </w:rPr>
              <m:t>Y</m:t>
            </m:r>
          </m:e>
          <m:sub>
            <m:r>
              <w:rPr>
                <w:rFonts w:ascii="Cambria Math" w:eastAsiaTheme="minorEastAsia" w:hAnsi="Cambria Math"/>
                <w:sz w:val="22"/>
              </w:rPr>
              <m:t>1,t</m:t>
            </m:r>
          </m:sub>
        </m:sSub>
      </m:oMath>
      <w:r w:rsidRPr="00F8217C">
        <w:rPr>
          <w:rFonts w:eastAsiaTheme="minorEastAsia"/>
          <w:sz w:val="22"/>
        </w:rPr>
        <w:t xml:space="preserve"> and </w:t>
      </w:r>
      <m:oMath>
        <m:nary>
          <m:naryPr>
            <m:chr m:val="∑"/>
            <m:limLoc m:val="subSup"/>
            <m:ctrlPr>
              <w:rPr>
                <w:rFonts w:ascii="Cambria Math" w:eastAsiaTheme="minorEastAsia" w:hAnsi="Cambria Math"/>
                <w:i/>
                <w:sz w:val="22"/>
              </w:rPr>
            </m:ctrlPr>
          </m:naryPr>
          <m:sub>
            <m:r>
              <w:rPr>
                <w:rFonts w:ascii="Cambria Math" w:eastAsiaTheme="minorEastAsia" w:hAnsi="Cambria Math"/>
                <w:sz w:val="22"/>
              </w:rPr>
              <m:t>j=2</m:t>
            </m:r>
          </m:sub>
          <m:sup>
            <m:r>
              <w:rPr>
                <w:rFonts w:ascii="Cambria Math" w:eastAsiaTheme="minorEastAsia" w:hAnsi="Cambria Math"/>
                <w:sz w:val="22"/>
              </w:rPr>
              <m:t>J+1</m:t>
            </m:r>
          </m:sup>
          <m:e>
            <m:sSubSup>
              <m:sSubSupPr>
                <m:ctrlPr>
                  <w:rPr>
                    <w:rFonts w:ascii="Cambria Math" w:eastAsiaTheme="minorEastAsia" w:hAnsi="Cambria Math"/>
                    <w:i/>
                    <w:sz w:val="22"/>
                  </w:rPr>
                </m:ctrlPr>
              </m:sSubSupPr>
              <m:e>
                <m:r>
                  <w:rPr>
                    <w:rFonts w:ascii="Cambria Math" w:eastAsiaTheme="minorEastAsia" w:hAnsi="Cambria Math"/>
                    <w:sz w:val="22"/>
                  </w:rPr>
                  <m:t>w</m:t>
                </m:r>
              </m:e>
              <m:sub>
                <m:r>
                  <w:rPr>
                    <w:rFonts w:ascii="Cambria Math" w:eastAsiaTheme="minorEastAsia" w:hAnsi="Cambria Math"/>
                    <w:sz w:val="22"/>
                  </w:rPr>
                  <m:t>j</m:t>
                </m:r>
              </m:sub>
              <m:sup>
                <m:r>
                  <w:rPr>
                    <w:rFonts w:ascii="Cambria Math" w:eastAsiaTheme="minorEastAsia" w:hAnsi="Cambria Math"/>
                    <w:sz w:val="22"/>
                  </w:rPr>
                  <m:t>*</m:t>
                </m:r>
              </m:sup>
            </m:sSubSup>
            <m:r>
              <w:rPr>
                <w:rFonts w:ascii="Cambria Math" w:eastAsiaTheme="minorEastAsia" w:hAnsi="Cambria Math"/>
                <w:sz w:val="22"/>
              </w:rPr>
              <m:t>⋅</m:t>
            </m:r>
            <m:sSub>
              <m:sSubPr>
                <m:ctrlPr>
                  <w:rPr>
                    <w:rFonts w:ascii="Cambria Math" w:eastAsiaTheme="minorEastAsia" w:hAnsi="Cambria Math"/>
                    <w:i/>
                    <w:sz w:val="22"/>
                  </w:rPr>
                </m:ctrlPr>
              </m:sSubPr>
              <m:e>
                <m:r>
                  <w:rPr>
                    <w:rFonts w:ascii="Cambria Math" w:eastAsiaTheme="minorEastAsia" w:hAnsi="Cambria Math"/>
                    <w:sz w:val="22"/>
                  </w:rPr>
                  <m:t>Z</m:t>
                </m:r>
              </m:e>
              <m:sub>
                <m:r>
                  <w:rPr>
                    <w:rFonts w:ascii="Cambria Math" w:eastAsiaTheme="minorEastAsia" w:hAnsi="Cambria Math"/>
                    <w:sz w:val="22"/>
                  </w:rPr>
                  <m:t>j</m:t>
                </m:r>
              </m:sub>
            </m:sSub>
          </m:e>
        </m:nary>
        <m:r>
          <w:rPr>
            <w:rFonts w:ascii="Cambria Math" w:eastAsiaTheme="minorEastAsia" w:hAnsi="Cambria Math"/>
            <w:sz w:val="22"/>
          </w:rPr>
          <m:t>=</m:t>
        </m:r>
        <m:sSub>
          <m:sSubPr>
            <m:ctrlPr>
              <w:rPr>
                <w:rFonts w:ascii="Cambria Math" w:eastAsiaTheme="minorEastAsia" w:hAnsi="Cambria Math"/>
                <w:i/>
                <w:sz w:val="22"/>
              </w:rPr>
            </m:ctrlPr>
          </m:sSubPr>
          <m:e>
            <m:r>
              <w:rPr>
                <w:rFonts w:ascii="Cambria Math" w:eastAsiaTheme="minorEastAsia" w:hAnsi="Cambria Math"/>
                <w:sz w:val="22"/>
              </w:rPr>
              <m:t>Z</m:t>
            </m:r>
          </m:e>
          <m:sub>
            <m:r>
              <w:rPr>
                <w:rFonts w:ascii="Cambria Math" w:eastAsiaTheme="minorEastAsia" w:hAnsi="Cambria Math"/>
                <w:sz w:val="22"/>
              </w:rPr>
              <m:t>1,t</m:t>
            </m:r>
          </m:sub>
        </m:sSub>
      </m:oMath>
      <w:r w:rsidRPr="00F8217C">
        <w:rPr>
          <w:rFonts w:eastAsiaTheme="minorEastAsia"/>
          <w:sz w:val="22"/>
        </w:rPr>
        <w:t xml:space="preserve"> can be approximated. </w:t>
      </w:r>
      <w:r w:rsidR="0006248E" w:rsidRPr="00F8217C">
        <w:rPr>
          <w:rFonts w:eastAsiaTheme="minorEastAsia"/>
          <w:sz w:val="22"/>
        </w:rPr>
        <w:t xml:space="preserve">Provided that </w:t>
      </w:r>
      <m:oMath>
        <m:nary>
          <m:naryPr>
            <m:chr m:val="∑"/>
            <m:limLoc m:val="subSup"/>
            <m:ctrlPr>
              <w:rPr>
                <w:rFonts w:ascii="Cambria Math" w:eastAsiaTheme="minorEastAsia" w:hAnsi="Cambria Math"/>
                <w:i/>
                <w:sz w:val="22"/>
              </w:rPr>
            </m:ctrlPr>
          </m:naryPr>
          <m:sub>
            <m:r>
              <w:rPr>
                <w:rFonts w:ascii="Cambria Math" w:eastAsiaTheme="minorEastAsia" w:hAnsi="Cambria Math"/>
                <w:sz w:val="22"/>
              </w:rPr>
              <m:t>t=1</m:t>
            </m:r>
          </m:sub>
          <m:sup>
            <m:sSub>
              <m:sSubPr>
                <m:ctrlPr>
                  <w:rPr>
                    <w:rFonts w:ascii="Cambria Math" w:eastAsiaTheme="minorEastAsia" w:hAnsi="Cambria Math"/>
                    <w:i/>
                    <w:sz w:val="22"/>
                  </w:rPr>
                </m:ctrlPr>
              </m:sSubPr>
              <m:e>
                <m:r>
                  <w:rPr>
                    <w:rFonts w:ascii="Cambria Math" w:eastAsiaTheme="minorEastAsia" w:hAnsi="Cambria Math"/>
                    <w:sz w:val="22"/>
                  </w:rPr>
                  <m:t>T</m:t>
                </m:r>
              </m:e>
              <m:sub>
                <m:r>
                  <w:rPr>
                    <w:rFonts w:ascii="Cambria Math" w:eastAsiaTheme="minorEastAsia" w:hAnsi="Cambria Math"/>
                    <w:sz w:val="22"/>
                  </w:rPr>
                  <m:t>0</m:t>
                </m:r>
              </m:sub>
            </m:sSub>
          </m:sup>
          <m:e>
            <m:sSubSup>
              <m:sSubSupPr>
                <m:ctrlPr>
                  <w:rPr>
                    <w:rFonts w:ascii="Cambria Math" w:eastAsiaTheme="minorEastAsia" w:hAnsi="Cambria Math"/>
                    <w:i/>
                    <w:sz w:val="22"/>
                  </w:rPr>
                </m:ctrlPr>
              </m:sSubSupPr>
              <m:e>
                <m:r>
                  <w:rPr>
                    <w:rFonts w:ascii="Cambria Math" w:eastAsiaTheme="minorEastAsia" w:hAnsi="Cambria Math"/>
                    <w:sz w:val="22"/>
                  </w:rPr>
                  <m:t>λ</m:t>
                </m:r>
              </m:e>
              <m:sub>
                <m:r>
                  <w:rPr>
                    <w:rFonts w:ascii="Cambria Math" w:eastAsiaTheme="minorEastAsia" w:hAnsi="Cambria Math"/>
                    <w:sz w:val="22"/>
                  </w:rPr>
                  <m:t>t</m:t>
                </m:r>
              </m:sub>
              <m:sup>
                <m:r>
                  <w:rPr>
                    <w:rFonts w:ascii="Cambria Math" w:eastAsiaTheme="minorEastAsia" w:hAnsi="Cambria Math"/>
                    <w:sz w:val="22"/>
                  </w:rPr>
                  <m:t>'</m:t>
                </m:r>
              </m:sup>
            </m:sSubSup>
            <m:sSub>
              <m:sSubPr>
                <m:ctrlPr>
                  <w:rPr>
                    <w:rFonts w:ascii="Cambria Math" w:eastAsiaTheme="minorEastAsia" w:hAnsi="Cambria Math"/>
                    <w:i/>
                    <w:sz w:val="22"/>
                  </w:rPr>
                </m:ctrlPr>
              </m:sSubPr>
              <m:e>
                <m:r>
                  <w:rPr>
                    <w:rFonts w:ascii="Cambria Math" w:eastAsiaTheme="minorEastAsia" w:hAnsi="Cambria Math"/>
                    <w:sz w:val="22"/>
                  </w:rPr>
                  <m:t>λ</m:t>
                </m:r>
              </m:e>
              <m:sub>
                <m:r>
                  <w:rPr>
                    <w:rFonts w:ascii="Cambria Math" w:eastAsiaTheme="minorEastAsia" w:hAnsi="Cambria Math"/>
                    <w:sz w:val="22"/>
                  </w:rPr>
                  <m:t>t</m:t>
                </m:r>
              </m:sub>
            </m:sSub>
          </m:e>
        </m:nary>
      </m:oMath>
      <w:r w:rsidR="0006248E" w:rsidRPr="00F8217C">
        <w:rPr>
          <w:rFonts w:eastAsiaTheme="minorEastAsia"/>
          <w:sz w:val="22"/>
        </w:rPr>
        <w:t xml:space="preserve"> is non-singular, then for all </w:t>
      </w:r>
      <m:oMath>
        <m:r>
          <w:rPr>
            <w:rFonts w:ascii="Cambria Math" w:eastAsiaTheme="minorEastAsia" w:hAnsi="Cambria Math"/>
            <w:sz w:val="22"/>
          </w:rPr>
          <m:t>t&gt;</m:t>
        </m:r>
        <m:sSub>
          <m:sSubPr>
            <m:ctrlPr>
              <w:rPr>
                <w:rFonts w:ascii="Cambria Math" w:eastAsiaTheme="minorEastAsia" w:hAnsi="Cambria Math"/>
                <w:i/>
                <w:sz w:val="22"/>
              </w:rPr>
            </m:ctrlPr>
          </m:sSubPr>
          <m:e>
            <m:r>
              <w:rPr>
                <w:rFonts w:ascii="Cambria Math" w:eastAsiaTheme="minorEastAsia" w:hAnsi="Cambria Math"/>
                <w:sz w:val="22"/>
              </w:rPr>
              <m:t>T</m:t>
            </m:r>
          </m:e>
          <m:sub>
            <m:r>
              <w:rPr>
                <w:rFonts w:ascii="Cambria Math" w:eastAsiaTheme="minorEastAsia" w:hAnsi="Cambria Math"/>
                <w:sz w:val="22"/>
              </w:rPr>
              <m:t>0</m:t>
            </m:r>
          </m:sub>
        </m:sSub>
      </m:oMath>
      <w:r w:rsidR="0006248E" w:rsidRPr="00F8217C">
        <w:rPr>
          <w:rFonts w:eastAsiaTheme="minorEastAsia"/>
          <w:sz w:val="22"/>
        </w:rPr>
        <w:t xml:space="preserve"> we have </w:t>
      </w:r>
      <m:oMath>
        <m:r>
          <m:rPr>
            <m:sty m:val="p"/>
          </m:rPr>
          <w:rPr>
            <w:rFonts w:ascii="Cambria Math" w:eastAsiaTheme="minorEastAsia" w:hAnsi="Cambria Math"/>
            <w:sz w:val="22"/>
          </w:rPr>
          <m:t>E</m:t>
        </m:r>
        <m:d>
          <m:dPr>
            <m:begChr m:val="["/>
            <m:endChr m:val="]"/>
            <m:ctrlPr>
              <w:rPr>
                <w:rFonts w:ascii="Cambria Math" w:eastAsiaTheme="minorEastAsia" w:hAnsi="Cambria Math"/>
                <w:i/>
                <w:sz w:val="22"/>
              </w:rPr>
            </m:ctrlPr>
          </m:dPr>
          <m:e>
            <m:sSubSup>
              <m:sSubSupPr>
                <m:ctrlPr>
                  <w:rPr>
                    <w:rFonts w:ascii="Cambria Math" w:eastAsiaTheme="minorEastAsia" w:hAnsi="Cambria Math"/>
                    <w:i/>
                    <w:sz w:val="22"/>
                  </w:rPr>
                </m:ctrlPr>
              </m:sSubSupPr>
              <m:e>
                <m:r>
                  <w:rPr>
                    <w:rFonts w:ascii="Cambria Math" w:eastAsiaTheme="minorEastAsia" w:hAnsi="Cambria Math"/>
                    <w:sz w:val="22"/>
                  </w:rPr>
                  <m:t>Y</m:t>
                </m:r>
              </m:e>
              <m:sub>
                <m:r>
                  <w:rPr>
                    <w:rFonts w:ascii="Cambria Math" w:eastAsiaTheme="minorEastAsia" w:hAnsi="Cambria Math"/>
                    <w:sz w:val="22"/>
                  </w:rPr>
                  <m:t>1,t</m:t>
                </m:r>
              </m:sub>
              <m:sup>
                <m:r>
                  <w:rPr>
                    <w:rFonts w:ascii="Cambria Math" w:eastAsiaTheme="minorEastAsia" w:hAnsi="Cambria Math"/>
                    <w:sz w:val="22"/>
                  </w:rPr>
                  <m:t>N</m:t>
                </m:r>
              </m:sup>
            </m:sSubSup>
            <m:r>
              <w:rPr>
                <w:rFonts w:ascii="Cambria Math" w:eastAsiaTheme="minorEastAsia" w:hAnsi="Cambria Math"/>
                <w:sz w:val="22"/>
              </w:rPr>
              <m:t>-</m:t>
            </m:r>
            <m:nary>
              <m:naryPr>
                <m:chr m:val="∑"/>
                <m:limLoc m:val="subSup"/>
                <m:ctrlPr>
                  <w:rPr>
                    <w:rFonts w:ascii="Cambria Math" w:eastAsiaTheme="minorEastAsia" w:hAnsi="Cambria Math"/>
                    <w:i/>
                    <w:sz w:val="22"/>
                  </w:rPr>
                </m:ctrlPr>
              </m:naryPr>
              <m:sub>
                <m:r>
                  <w:rPr>
                    <w:rFonts w:ascii="Cambria Math" w:eastAsiaTheme="minorEastAsia" w:hAnsi="Cambria Math"/>
                    <w:sz w:val="22"/>
                  </w:rPr>
                  <m:t>j=2</m:t>
                </m:r>
              </m:sub>
              <m:sup>
                <m:r>
                  <w:rPr>
                    <w:rFonts w:ascii="Cambria Math" w:eastAsiaTheme="minorEastAsia" w:hAnsi="Cambria Math"/>
                    <w:sz w:val="22"/>
                  </w:rPr>
                  <m:t>J+1</m:t>
                </m:r>
              </m:sup>
              <m:e>
                <m:sSubSup>
                  <m:sSubSupPr>
                    <m:ctrlPr>
                      <w:rPr>
                        <w:rFonts w:ascii="Cambria Math" w:eastAsiaTheme="minorEastAsia" w:hAnsi="Cambria Math"/>
                        <w:i/>
                        <w:sz w:val="22"/>
                      </w:rPr>
                    </m:ctrlPr>
                  </m:sSubSupPr>
                  <m:e>
                    <m:r>
                      <w:rPr>
                        <w:rFonts w:ascii="Cambria Math" w:eastAsiaTheme="minorEastAsia" w:hAnsi="Cambria Math"/>
                        <w:sz w:val="22"/>
                      </w:rPr>
                      <m:t>w</m:t>
                    </m:r>
                  </m:e>
                  <m:sub>
                    <m:r>
                      <w:rPr>
                        <w:rFonts w:ascii="Cambria Math" w:eastAsiaTheme="minorEastAsia" w:hAnsi="Cambria Math"/>
                        <w:sz w:val="22"/>
                      </w:rPr>
                      <m:t>j</m:t>
                    </m:r>
                  </m:sub>
                  <m:sup>
                    <m:r>
                      <w:rPr>
                        <w:rFonts w:ascii="Cambria Math" w:eastAsiaTheme="minorEastAsia" w:hAnsi="Cambria Math"/>
                        <w:sz w:val="22"/>
                      </w:rPr>
                      <m:t>*</m:t>
                    </m:r>
                  </m:sup>
                </m:sSubSup>
                <m:r>
                  <w:rPr>
                    <w:rFonts w:ascii="Cambria Math" w:eastAsiaTheme="minorEastAsia" w:hAnsi="Cambria Math"/>
                    <w:sz w:val="22"/>
                  </w:rPr>
                  <m:t>⋅</m:t>
                </m:r>
                <m:sSub>
                  <m:sSubPr>
                    <m:ctrlPr>
                      <w:rPr>
                        <w:rFonts w:ascii="Cambria Math" w:eastAsiaTheme="minorEastAsia" w:hAnsi="Cambria Math"/>
                        <w:i/>
                        <w:sz w:val="22"/>
                      </w:rPr>
                    </m:ctrlPr>
                  </m:sSubPr>
                  <m:e>
                    <m:r>
                      <w:rPr>
                        <w:rFonts w:ascii="Cambria Math" w:eastAsiaTheme="minorEastAsia" w:hAnsi="Cambria Math"/>
                        <w:sz w:val="22"/>
                      </w:rPr>
                      <m:t>Y</m:t>
                    </m:r>
                  </m:e>
                  <m:sub>
                    <m:r>
                      <w:rPr>
                        <w:rFonts w:ascii="Cambria Math" w:eastAsiaTheme="minorEastAsia" w:hAnsi="Cambria Math"/>
                        <w:sz w:val="22"/>
                      </w:rPr>
                      <m:t>j,t</m:t>
                    </m:r>
                  </m:sub>
                </m:sSub>
              </m:e>
            </m:nary>
          </m:e>
        </m:d>
        <m:r>
          <w:rPr>
            <w:rFonts w:ascii="Cambria Math" w:eastAsiaTheme="minorEastAsia" w:hAnsi="Cambria Math"/>
            <w:sz w:val="22"/>
          </w:rPr>
          <m:t>→0</m:t>
        </m:r>
      </m:oMath>
      <w:r w:rsidR="0006248E" w:rsidRPr="00F8217C">
        <w:rPr>
          <w:rFonts w:eastAsiaTheme="minorEastAsia"/>
          <w:sz w:val="22"/>
        </w:rPr>
        <w:t xml:space="preserve"> as </w:t>
      </w:r>
      <m:oMath>
        <m:sSub>
          <m:sSubPr>
            <m:ctrlPr>
              <w:rPr>
                <w:rFonts w:ascii="Cambria Math" w:eastAsiaTheme="minorEastAsia" w:hAnsi="Cambria Math"/>
                <w:i/>
                <w:sz w:val="22"/>
              </w:rPr>
            </m:ctrlPr>
          </m:sSubPr>
          <m:e>
            <m:r>
              <w:rPr>
                <w:rFonts w:ascii="Cambria Math" w:eastAsiaTheme="minorEastAsia" w:hAnsi="Cambria Math"/>
                <w:sz w:val="22"/>
              </w:rPr>
              <m:t>T</m:t>
            </m:r>
          </m:e>
          <m:sub>
            <m:r>
              <w:rPr>
                <w:rFonts w:ascii="Cambria Math" w:eastAsiaTheme="minorEastAsia" w:hAnsi="Cambria Math"/>
                <w:sz w:val="22"/>
              </w:rPr>
              <m:t>0</m:t>
            </m:r>
          </m:sub>
        </m:sSub>
        <m:r>
          <w:rPr>
            <w:rFonts w:ascii="Cambria Math" w:eastAsiaTheme="minorEastAsia" w:hAnsi="Cambria Math"/>
            <w:sz w:val="22"/>
          </w:rPr>
          <m:t>→∞</m:t>
        </m:r>
      </m:oMath>
      <w:r w:rsidR="0006248E" w:rsidRPr="00F8217C">
        <w:rPr>
          <w:rFonts w:eastAsiaTheme="minorEastAsia"/>
          <w:sz w:val="22"/>
        </w:rPr>
        <w:t xml:space="preserve"> or if </w:t>
      </w:r>
      <m:oMath>
        <m:sSub>
          <m:sSubPr>
            <m:ctrlPr>
              <w:rPr>
                <w:rFonts w:ascii="Cambria Math" w:eastAsiaTheme="minorEastAsia" w:hAnsi="Cambria Math"/>
                <w:i/>
                <w:sz w:val="22"/>
              </w:rPr>
            </m:ctrlPr>
          </m:sSubPr>
          <m:e>
            <m:r>
              <w:rPr>
                <w:rFonts w:ascii="Cambria Math" w:eastAsiaTheme="minorEastAsia" w:hAnsi="Cambria Math"/>
                <w:sz w:val="22"/>
              </w:rPr>
              <m:t>T</m:t>
            </m:r>
          </m:e>
          <m:sub>
            <m:r>
              <w:rPr>
                <w:rFonts w:ascii="Cambria Math" w:eastAsiaTheme="minorEastAsia" w:hAnsi="Cambria Math"/>
                <w:sz w:val="22"/>
              </w:rPr>
              <m:t>0</m:t>
            </m:r>
          </m:sub>
        </m:sSub>
      </m:oMath>
      <w:r w:rsidR="0006248E" w:rsidRPr="00F8217C">
        <w:rPr>
          <w:rFonts w:eastAsiaTheme="minorEastAsia"/>
          <w:sz w:val="22"/>
        </w:rPr>
        <w:t xml:space="preserve"> is large relative to the scale of </w:t>
      </w:r>
      <m:oMath>
        <m:sSub>
          <m:sSubPr>
            <m:ctrlPr>
              <w:rPr>
                <w:rFonts w:ascii="Cambria Math" w:eastAsiaTheme="minorEastAsia" w:hAnsi="Cambria Math"/>
                <w:i/>
                <w:sz w:val="22"/>
              </w:rPr>
            </m:ctrlPr>
          </m:sSubPr>
          <m:e>
            <m:r>
              <w:rPr>
                <w:rFonts w:ascii="Cambria Math" w:eastAsiaTheme="minorEastAsia" w:hAnsi="Cambria Math"/>
                <w:sz w:val="22"/>
              </w:rPr>
              <m:t>ϵ</m:t>
            </m:r>
          </m:e>
          <m:sub>
            <m:r>
              <w:rPr>
                <w:rFonts w:ascii="Cambria Math" w:eastAsiaTheme="minorEastAsia" w:hAnsi="Cambria Math"/>
                <w:sz w:val="22"/>
              </w:rPr>
              <m:t>i,t</m:t>
            </m:r>
          </m:sub>
        </m:sSub>
      </m:oMath>
      <w:r w:rsidR="0006248E" w:rsidRPr="00F8217C">
        <w:rPr>
          <w:rFonts w:eastAsiaTheme="minorEastAsia"/>
          <w:sz w:val="22"/>
        </w:rPr>
        <w:t xml:space="preserve">. </w:t>
      </w:r>
      <w:r w:rsidR="00C65E8A" w:rsidRPr="00F8217C">
        <w:rPr>
          <w:rFonts w:eastAsiaTheme="minorEastAsia"/>
          <w:sz w:val="22"/>
        </w:rPr>
        <w:t xml:space="preserve">The vector of weights </w:t>
      </w:r>
      <m:oMath>
        <m:r>
          <m:rPr>
            <m:sty m:val="b"/>
          </m:rPr>
          <w:rPr>
            <w:rFonts w:ascii="Cambria Math" w:eastAsiaTheme="minorEastAsia" w:hAnsi="Cambria Math"/>
            <w:sz w:val="22"/>
          </w:rPr>
          <m:t>W</m:t>
        </m:r>
      </m:oMath>
      <w:r w:rsidR="00C65E8A" w:rsidRPr="00F8217C">
        <w:rPr>
          <w:rFonts w:eastAsiaTheme="minorEastAsia"/>
          <w:b/>
          <w:sz w:val="22"/>
        </w:rPr>
        <w:t xml:space="preserve"> </w:t>
      </w:r>
      <w:r w:rsidR="00C65E8A" w:rsidRPr="00F8217C">
        <w:rPr>
          <w:rFonts w:eastAsiaTheme="minorEastAsia"/>
          <w:sz w:val="22"/>
        </w:rPr>
        <w:t>is built to minimize the distance in pre-</w:t>
      </w:r>
      <m:oMath>
        <m:sSub>
          <m:sSubPr>
            <m:ctrlPr>
              <w:rPr>
                <w:rFonts w:ascii="Cambria Math" w:eastAsiaTheme="minorEastAsia" w:hAnsi="Cambria Math"/>
                <w:i/>
                <w:sz w:val="22"/>
              </w:rPr>
            </m:ctrlPr>
          </m:sSubPr>
          <m:e>
            <m:r>
              <w:rPr>
                <w:rFonts w:ascii="Cambria Math" w:eastAsiaTheme="minorEastAsia" w:hAnsi="Cambria Math"/>
                <w:sz w:val="22"/>
              </w:rPr>
              <m:t>T</m:t>
            </m:r>
          </m:e>
          <m:sub>
            <m:r>
              <w:rPr>
                <w:rFonts w:ascii="Cambria Math" w:eastAsiaTheme="minorEastAsia" w:hAnsi="Cambria Math"/>
                <w:sz w:val="22"/>
              </w:rPr>
              <m:t>0</m:t>
            </m:r>
          </m:sub>
        </m:sSub>
      </m:oMath>
      <w:r w:rsidR="00C65E8A" w:rsidRPr="00F8217C">
        <w:rPr>
          <w:rFonts w:eastAsiaTheme="minorEastAsia"/>
          <w:sz w:val="22"/>
        </w:rPr>
        <w:t xml:space="preserve"> outcomes and auxiliary covariates between the full set of treated regions and its respective control group such that </w:t>
      </w:r>
      <m:oMath>
        <m:sSub>
          <m:sSubPr>
            <m:ctrlPr>
              <w:rPr>
                <w:rFonts w:ascii="Cambria Math" w:eastAsiaTheme="minorEastAsia" w:hAnsi="Cambria Math"/>
                <w:i/>
                <w:sz w:val="22"/>
              </w:rPr>
            </m:ctrlPr>
          </m:sSubPr>
          <m:e>
            <m:d>
              <m:dPr>
                <m:begChr m:val="‖"/>
                <m:endChr m:val="‖"/>
                <m:ctrlPr>
                  <w:rPr>
                    <w:rFonts w:ascii="Cambria Math" w:eastAsiaTheme="minorEastAsia" w:hAnsi="Cambria Math"/>
                    <w:i/>
                    <w:sz w:val="22"/>
                  </w:rPr>
                </m:ctrlPr>
              </m:dPr>
              <m:e>
                <m:sSub>
                  <m:sSubPr>
                    <m:ctrlPr>
                      <w:rPr>
                        <w:rFonts w:ascii="Cambria Math" w:eastAsiaTheme="minorEastAsia" w:hAnsi="Cambria Math"/>
                        <w:i/>
                        <w:sz w:val="22"/>
                      </w:rPr>
                    </m:ctrlPr>
                  </m:sSubPr>
                  <m:e>
                    <m:r>
                      <m:rPr>
                        <m:sty m:val="b"/>
                      </m:rPr>
                      <w:rPr>
                        <w:rFonts w:ascii="Cambria Math" w:eastAsiaTheme="minorEastAsia" w:hAnsi="Cambria Math"/>
                        <w:sz w:val="22"/>
                      </w:rPr>
                      <m:t>X</m:t>
                    </m:r>
                  </m:e>
                  <m:sub>
                    <m:r>
                      <w:rPr>
                        <w:rFonts w:ascii="Cambria Math" w:eastAsiaTheme="minorEastAsia" w:hAnsi="Cambria Math"/>
                        <w:sz w:val="22"/>
                      </w:rPr>
                      <m:t>1</m:t>
                    </m:r>
                  </m:sub>
                </m:sSub>
                <m:r>
                  <w:rPr>
                    <w:rFonts w:ascii="Cambria Math" w:eastAsiaTheme="minorEastAsia" w:hAnsi="Cambria Math"/>
                    <w:sz w:val="22"/>
                  </w:rPr>
                  <m:t>-</m:t>
                </m:r>
                <m:sSubSup>
                  <m:sSubSupPr>
                    <m:ctrlPr>
                      <w:rPr>
                        <w:rFonts w:ascii="Cambria Math" w:eastAsiaTheme="minorEastAsia" w:hAnsi="Cambria Math"/>
                        <w:i/>
                        <w:sz w:val="22"/>
                      </w:rPr>
                    </m:ctrlPr>
                  </m:sSubSupPr>
                  <m:e>
                    <m:r>
                      <m:rPr>
                        <m:sty m:val="b"/>
                      </m:rPr>
                      <w:rPr>
                        <w:rFonts w:ascii="Cambria Math" w:eastAsiaTheme="minorEastAsia" w:hAnsi="Cambria Math"/>
                        <w:sz w:val="22"/>
                      </w:rPr>
                      <m:t>X</m:t>
                    </m:r>
                  </m:e>
                  <m:sub>
                    <m:r>
                      <w:rPr>
                        <w:rFonts w:ascii="Cambria Math" w:eastAsiaTheme="minorEastAsia" w:hAnsi="Cambria Math"/>
                        <w:sz w:val="22"/>
                      </w:rPr>
                      <m:t>0</m:t>
                    </m:r>
                  </m:sub>
                  <m:sup>
                    <m:r>
                      <w:rPr>
                        <w:rFonts w:ascii="Cambria Math" w:eastAsiaTheme="minorEastAsia" w:hAnsi="Cambria Math"/>
                        <w:sz w:val="22"/>
                      </w:rPr>
                      <m:t>'</m:t>
                    </m:r>
                  </m:sup>
                </m:sSubSup>
                <m:r>
                  <w:rPr>
                    <w:rFonts w:ascii="Cambria Math" w:eastAsiaTheme="minorEastAsia" w:hAnsi="Cambria Math"/>
                    <w:sz w:val="22"/>
                  </w:rPr>
                  <m:t>W</m:t>
                </m:r>
              </m:e>
            </m:d>
          </m:e>
          <m:sub>
            <m:r>
              <w:rPr>
                <w:rFonts w:ascii="Cambria Math" w:eastAsiaTheme="minorEastAsia" w:hAnsi="Cambria Math"/>
                <w:sz w:val="22"/>
              </w:rPr>
              <m:t>V</m:t>
            </m:r>
          </m:sub>
        </m:sSub>
      </m:oMath>
      <w:r w:rsidR="00C65E8A" w:rsidRPr="00F8217C">
        <w:rPr>
          <w:rFonts w:eastAsiaTheme="minorEastAsia"/>
          <w:sz w:val="22"/>
        </w:rPr>
        <w:t xml:space="preserve"> subject to </w:t>
      </w:r>
      <m:oMath>
        <m:sSub>
          <m:sSubPr>
            <m:ctrlPr>
              <w:rPr>
                <w:rFonts w:ascii="Cambria Math" w:eastAsiaTheme="minorEastAsia" w:hAnsi="Cambria Math"/>
                <w:i/>
                <w:sz w:val="22"/>
              </w:rPr>
            </m:ctrlPr>
          </m:sSubPr>
          <m:e>
            <m:r>
              <w:rPr>
                <w:rFonts w:ascii="Cambria Math" w:eastAsiaTheme="minorEastAsia" w:hAnsi="Cambria Math"/>
                <w:sz w:val="22"/>
              </w:rPr>
              <m:t>w</m:t>
            </m:r>
          </m:e>
          <m:sub>
            <m:r>
              <w:rPr>
                <w:rFonts w:ascii="Cambria Math" w:eastAsiaTheme="minorEastAsia" w:hAnsi="Cambria Math"/>
                <w:sz w:val="22"/>
              </w:rPr>
              <m:t>j</m:t>
            </m:r>
          </m:sub>
        </m:sSub>
        <m:r>
          <w:rPr>
            <w:rFonts w:ascii="Cambria Math" w:eastAsiaTheme="minorEastAsia" w:hAnsi="Cambria Math"/>
            <w:sz w:val="22"/>
          </w:rPr>
          <m:t>≥0</m:t>
        </m:r>
      </m:oMath>
      <w:r w:rsidR="00D437DB" w:rsidRPr="00F8217C">
        <w:rPr>
          <w:rFonts w:eastAsiaTheme="minorEastAsia"/>
          <w:sz w:val="22"/>
        </w:rPr>
        <w:t xml:space="preserve"> and </w:t>
      </w:r>
      <m:oMath>
        <m:sSub>
          <m:sSubPr>
            <m:ctrlPr>
              <w:rPr>
                <w:rFonts w:ascii="Cambria Math" w:eastAsiaTheme="minorEastAsia" w:hAnsi="Cambria Math"/>
                <w:i/>
                <w:sz w:val="22"/>
              </w:rPr>
            </m:ctrlPr>
          </m:sSubPr>
          <m:e>
            <m:r>
              <w:rPr>
                <w:rFonts w:ascii="Cambria Math" w:eastAsiaTheme="minorEastAsia" w:hAnsi="Cambria Math"/>
                <w:sz w:val="22"/>
              </w:rPr>
              <m:t>w</m:t>
            </m:r>
          </m:e>
          <m:sub>
            <m:r>
              <w:rPr>
                <w:rFonts w:ascii="Cambria Math" w:eastAsiaTheme="minorEastAsia" w:hAnsi="Cambria Math"/>
                <w:sz w:val="22"/>
              </w:rPr>
              <m:t>2</m:t>
            </m:r>
          </m:sub>
        </m:sSub>
        <m:r>
          <w:rPr>
            <w:rFonts w:ascii="Cambria Math" w:eastAsiaTheme="minorEastAsia" w:hAnsi="Cambria Math"/>
            <w:sz w:val="22"/>
          </w:rPr>
          <m:t>+…+</m:t>
        </m:r>
        <m:sSub>
          <m:sSubPr>
            <m:ctrlPr>
              <w:rPr>
                <w:rFonts w:ascii="Cambria Math" w:eastAsiaTheme="minorEastAsia" w:hAnsi="Cambria Math"/>
                <w:i/>
                <w:sz w:val="22"/>
              </w:rPr>
            </m:ctrlPr>
          </m:sSubPr>
          <m:e>
            <m:r>
              <w:rPr>
                <w:rFonts w:ascii="Cambria Math" w:eastAsiaTheme="minorEastAsia" w:hAnsi="Cambria Math"/>
                <w:sz w:val="22"/>
              </w:rPr>
              <m:t>w</m:t>
            </m:r>
          </m:e>
          <m:sub>
            <m:r>
              <w:rPr>
                <w:rFonts w:ascii="Cambria Math" w:eastAsiaTheme="minorEastAsia" w:hAnsi="Cambria Math"/>
                <w:sz w:val="22"/>
              </w:rPr>
              <m:t>J+1</m:t>
            </m:r>
          </m:sub>
        </m:sSub>
        <m:r>
          <w:rPr>
            <w:rFonts w:ascii="Cambria Math" w:eastAsiaTheme="minorEastAsia" w:hAnsi="Cambria Math"/>
            <w:sz w:val="22"/>
          </w:rPr>
          <m:t>=1</m:t>
        </m:r>
      </m:oMath>
      <w:r w:rsidR="00D437DB" w:rsidRPr="00F8217C">
        <w:rPr>
          <w:rFonts w:eastAsiaTheme="minorEastAsia"/>
          <w:sz w:val="22"/>
        </w:rPr>
        <w:t>.</w:t>
      </w:r>
      <w:r w:rsidR="006F1F63" w:rsidRPr="00F8217C">
        <w:rPr>
          <w:rFonts w:eastAsiaTheme="minorEastAsia"/>
          <w:sz w:val="22"/>
        </w:rPr>
        <w:t xml:space="preserve"> To minimize the discrepancy in the attributes and characteristics of the treated regions prior to the political instability, we use a positive semi-definite matrix as a linear combination of pre-intervention outcomes and covariates through the </w:t>
      </w:r>
      <w:r w:rsidR="002D5C52" w:rsidRPr="00F8217C">
        <w:rPr>
          <w:rFonts w:eastAsiaTheme="minorEastAsia"/>
          <w:sz w:val="22"/>
        </w:rPr>
        <w:t xml:space="preserve">following </w:t>
      </w:r>
      <w:r w:rsidR="006F1F63" w:rsidRPr="00F8217C">
        <w:rPr>
          <w:rFonts w:eastAsiaTheme="minorEastAsia"/>
          <w:sz w:val="22"/>
        </w:rPr>
        <w:t>cross validation:</w:t>
      </w:r>
    </w:p>
    <w:p w14:paraId="0579F862" w14:textId="77777777" w:rsidR="006F1F63" w:rsidRPr="00F8217C" w:rsidRDefault="006F1F63" w:rsidP="007F7504">
      <w:pPr>
        <w:spacing w:after="0"/>
        <w:jc w:val="both"/>
        <w:rPr>
          <w:rFonts w:eastAsiaTheme="minorEastAsia"/>
          <w:sz w:val="22"/>
        </w:rPr>
      </w:pPr>
    </w:p>
    <w:p w14:paraId="333A78E8" w14:textId="77777777" w:rsidR="002D5C52" w:rsidRPr="00F8217C" w:rsidRDefault="00000000" w:rsidP="007F7504">
      <w:pPr>
        <w:spacing w:after="0"/>
        <w:jc w:val="both"/>
        <w:rPr>
          <w:rFonts w:eastAsiaTheme="minorEastAsia"/>
          <w:sz w:val="22"/>
        </w:rPr>
      </w:pPr>
      <m:oMathPara>
        <m:oMath>
          <m:sSup>
            <m:sSupPr>
              <m:ctrlPr>
                <w:rPr>
                  <w:rFonts w:ascii="Cambria Math" w:eastAsiaTheme="minorEastAsia" w:hAnsi="Cambria Math"/>
                  <w:i/>
                  <w:sz w:val="22"/>
                </w:rPr>
              </m:ctrlPr>
            </m:sSupPr>
            <m:e>
              <m:r>
                <w:rPr>
                  <w:rFonts w:ascii="Cambria Math" w:eastAsiaTheme="minorEastAsia" w:hAnsi="Cambria Math"/>
                  <w:sz w:val="22"/>
                </w:rPr>
                <m:t>W</m:t>
              </m:r>
            </m:e>
            <m:sup>
              <m:r>
                <w:rPr>
                  <w:rFonts w:ascii="Cambria Math" w:eastAsiaTheme="minorEastAsia" w:hAnsi="Cambria Math"/>
                  <w:sz w:val="22"/>
                </w:rPr>
                <m:t>*</m:t>
              </m:r>
            </m:sup>
          </m:sSup>
          <m:r>
            <w:rPr>
              <w:rFonts w:ascii="Cambria Math" w:eastAsiaTheme="minorEastAsia" w:hAnsi="Cambria Math"/>
              <w:sz w:val="22"/>
            </w:rPr>
            <m:t>=</m:t>
          </m:r>
          <m:func>
            <m:funcPr>
              <m:ctrlPr>
                <w:rPr>
                  <w:rFonts w:ascii="Cambria Math" w:eastAsiaTheme="minorEastAsia" w:hAnsi="Cambria Math"/>
                  <w:i/>
                  <w:sz w:val="22"/>
                </w:rPr>
              </m:ctrlPr>
            </m:funcPr>
            <m:fName>
              <m:limLow>
                <m:limLowPr>
                  <m:ctrlPr>
                    <w:rPr>
                      <w:rFonts w:ascii="Cambria Math" w:eastAsiaTheme="minorEastAsia" w:hAnsi="Cambria Math"/>
                      <w:i/>
                      <w:sz w:val="22"/>
                    </w:rPr>
                  </m:ctrlPr>
                </m:limLowPr>
                <m:e>
                  <m:r>
                    <m:rPr>
                      <m:sty m:val="p"/>
                    </m:rPr>
                    <w:rPr>
                      <w:rFonts w:ascii="Cambria Math" w:hAnsi="Cambria Math"/>
                      <w:sz w:val="22"/>
                    </w:rPr>
                    <m:t>argmin</m:t>
                  </m:r>
                </m:e>
                <m:lim>
                  <m:r>
                    <w:rPr>
                      <w:rFonts w:ascii="Cambria Math" w:eastAsiaTheme="minorEastAsia" w:hAnsi="Cambria Math"/>
                      <w:sz w:val="22"/>
                    </w:rPr>
                    <m:t>W</m:t>
                  </m:r>
                </m:lim>
              </m:limLow>
            </m:fName>
            <m:e>
              <m:sSub>
                <m:sSubPr>
                  <m:ctrlPr>
                    <w:rPr>
                      <w:rFonts w:ascii="Cambria Math" w:eastAsiaTheme="minorEastAsia" w:hAnsi="Cambria Math"/>
                      <w:i/>
                      <w:sz w:val="22"/>
                    </w:rPr>
                  </m:ctrlPr>
                </m:sSubPr>
                <m:e>
                  <m:d>
                    <m:dPr>
                      <m:begChr m:val="‖"/>
                      <m:endChr m:val="‖"/>
                      <m:ctrlPr>
                        <w:rPr>
                          <w:rFonts w:ascii="Cambria Math" w:eastAsiaTheme="minorEastAsia" w:hAnsi="Cambria Math"/>
                          <w:i/>
                          <w:sz w:val="22"/>
                        </w:rPr>
                      </m:ctrlPr>
                    </m:dPr>
                    <m:e>
                      <m:sSub>
                        <m:sSubPr>
                          <m:ctrlPr>
                            <w:rPr>
                              <w:rFonts w:ascii="Cambria Math" w:eastAsiaTheme="minorEastAsia" w:hAnsi="Cambria Math"/>
                              <w:i/>
                              <w:sz w:val="22"/>
                            </w:rPr>
                          </m:ctrlPr>
                        </m:sSubPr>
                        <m:e>
                          <m:r>
                            <m:rPr>
                              <m:sty m:val="b"/>
                            </m:rPr>
                            <w:rPr>
                              <w:rFonts w:ascii="Cambria Math" w:eastAsiaTheme="minorEastAsia" w:hAnsi="Cambria Math"/>
                              <w:sz w:val="22"/>
                            </w:rPr>
                            <m:t>X</m:t>
                          </m:r>
                        </m:e>
                        <m:sub>
                          <m:r>
                            <w:rPr>
                              <w:rFonts w:ascii="Cambria Math" w:eastAsiaTheme="minorEastAsia" w:hAnsi="Cambria Math"/>
                              <w:sz w:val="22"/>
                            </w:rPr>
                            <m:t>1</m:t>
                          </m:r>
                        </m:sub>
                      </m:sSub>
                      <m:r>
                        <w:rPr>
                          <w:rFonts w:ascii="Cambria Math" w:eastAsiaTheme="minorEastAsia" w:hAnsi="Cambria Math"/>
                          <w:sz w:val="22"/>
                        </w:rPr>
                        <m:t>-</m:t>
                      </m:r>
                      <m:sSub>
                        <m:sSubPr>
                          <m:ctrlPr>
                            <w:rPr>
                              <w:rFonts w:ascii="Cambria Math" w:eastAsiaTheme="minorEastAsia" w:hAnsi="Cambria Math"/>
                              <w:i/>
                              <w:sz w:val="22"/>
                            </w:rPr>
                          </m:ctrlPr>
                        </m:sSubPr>
                        <m:e>
                          <m:r>
                            <m:rPr>
                              <m:sty m:val="b"/>
                            </m:rPr>
                            <w:rPr>
                              <w:rFonts w:ascii="Cambria Math" w:eastAsiaTheme="minorEastAsia" w:hAnsi="Cambria Math"/>
                              <w:sz w:val="22"/>
                            </w:rPr>
                            <m:t>X</m:t>
                          </m:r>
                        </m:e>
                        <m:sub>
                          <m:r>
                            <w:rPr>
                              <w:rFonts w:ascii="Cambria Math" w:eastAsiaTheme="minorEastAsia" w:hAnsi="Cambria Math"/>
                              <w:sz w:val="22"/>
                            </w:rPr>
                            <m:t>0</m:t>
                          </m:r>
                        </m:sub>
                      </m:sSub>
                      <m:r>
                        <w:rPr>
                          <w:rFonts w:ascii="Cambria Math" w:eastAsiaTheme="minorEastAsia" w:hAnsi="Cambria Math"/>
                          <w:sz w:val="22"/>
                        </w:rPr>
                        <m:t>W</m:t>
                      </m:r>
                    </m:e>
                  </m:d>
                </m:e>
                <m:sub>
                  <m:r>
                    <w:rPr>
                      <w:rFonts w:ascii="Cambria Math" w:eastAsiaTheme="minorEastAsia" w:hAnsi="Cambria Math"/>
                      <w:sz w:val="22"/>
                    </w:rPr>
                    <m:t>V</m:t>
                  </m:r>
                </m:sub>
              </m:sSub>
            </m:e>
          </m:func>
          <m:r>
            <w:rPr>
              <w:rFonts w:ascii="Cambria Math" w:eastAsiaTheme="minorEastAsia" w:hAnsi="Cambria Math"/>
              <w:sz w:val="22"/>
            </w:rPr>
            <m:t>=</m:t>
          </m:r>
          <m:rad>
            <m:radPr>
              <m:degHide m:val="1"/>
              <m:ctrlPr>
                <w:rPr>
                  <w:rFonts w:ascii="Cambria Math" w:eastAsiaTheme="minorEastAsia" w:hAnsi="Cambria Math"/>
                  <w:i/>
                  <w:sz w:val="22"/>
                </w:rPr>
              </m:ctrlPr>
            </m:radPr>
            <m:deg/>
            <m:e>
              <m:d>
                <m:dPr>
                  <m:ctrlPr>
                    <w:rPr>
                      <w:rFonts w:ascii="Cambria Math" w:eastAsiaTheme="minorEastAsia" w:hAnsi="Cambria Math"/>
                      <w:i/>
                      <w:sz w:val="22"/>
                    </w:rPr>
                  </m:ctrlPr>
                </m:dPr>
                <m:e>
                  <m:sSub>
                    <m:sSubPr>
                      <m:ctrlPr>
                        <w:rPr>
                          <w:rFonts w:ascii="Cambria Math" w:eastAsiaTheme="minorEastAsia" w:hAnsi="Cambria Math"/>
                          <w:i/>
                          <w:sz w:val="22"/>
                        </w:rPr>
                      </m:ctrlPr>
                    </m:sSubPr>
                    <m:e>
                      <m:r>
                        <m:rPr>
                          <m:sty m:val="b"/>
                        </m:rPr>
                        <w:rPr>
                          <w:rFonts w:ascii="Cambria Math" w:eastAsiaTheme="minorEastAsia" w:hAnsi="Cambria Math"/>
                          <w:sz w:val="22"/>
                        </w:rPr>
                        <m:t>X</m:t>
                      </m:r>
                    </m:e>
                    <m:sub>
                      <m:r>
                        <w:rPr>
                          <w:rFonts w:ascii="Cambria Math" w:eastAsiaTheme="minorEastAsia" w:hAnsi="Cambria Math"/>
                          <w:sz w:val="22"/>
                        </w:rPr>
                        <m:t>1</m:t>
                      </m:r>
                    </m:sub>
                  </m:sSub>
                  <m:r>
                    <w:rPr>
                      <w:rFonts w:ascii="Cambria Math" w:eastAsiaTheme="minorEastAsia" w:hAnsi="Cambria Math"/>
                      <w:sz w:val="22"/>
                    </w:rPr>
                    <m:t>-</m:t>
                  </m:r>
                  <m:sSub>
                    <m:sSubPr>
                      <m:ctrlPr>
                        <w:rPr>
                          <w:rFonts w:ascii="Cambria Math" w:eastAsiaTheme="minorEastAsia" w:hAnsi="Cambria Math"/>
                          <w:i/>
                          <w:sz w:val="22"/>
                        </w:rPr>
                      </m:ctrlPr>
                    </m:sSubPr>
                    <m:e>
                      <m:r>
                        <m:rPr>
                          <m:sty m:val="b"/>
                        </m:rPr>
                        <w:rPr>
                          <w:rFonts w:ascii="Cambria Math" w:eastAsiaTheme="minorEastAsia" w:hAnsi="Cambria Math"/>
                          <w:sz w:val="22"/>
                        </w:rPr>
                        <m:t>X</m:t>
                      </m:r>
                    </m:e>
                    <m:sub>
                      <m:r>
                        <w:rPr>
                          <w:rFonts w:ascii="Cambria Math" w:eastAsiaTheme="minorEastAsia" w:hAnsi="Cambria Math"/>
                          <w:sz w:val="22"/>
                        </w:rPr>
                        <m:t>0</m:t>
                      </m:r>
                    </m:sub>
                  </m:sSub>
                  <m:r>
                    <m:rPr>
                      <m:sty m:val="b"/>
                    </m:rPr>
                    <w:rPr>
                      <w:rFonts w:ascii="Cambria Math" w:eastAsiaTheme="minorEastAsia" w:hAnsi="Cambria Math"/>
                      <w:sz w:val="22"/>
                    </w:rPr>
                    <m:t>W</m:t>
                  </m:r>
                </m:e>
              </m:d>
              <m:r>
                <w:rPr>
                  <w:rFonts w:ascii="Cambria Math" w:eastAsiaTheme="minorEastAsia" w:hAnsi="Cambria Math"/>
                  <w:sz w:val="22"/>
                </w:rPr>
                <m:t>'V</m:t>
              </m:r>
              <m:d>
                <m:dPr>
                  <m:ctrlPr>
                    <w:rPr>
                      <w:rFonts w:ascii="Cambria Math" w:eastAsiaTheme="minorEastAsia" w:hAnsi="Cambria Math"/>
                      <w:i/>
                      <w:sz w:val="22"/>
                    </w:rPr>
                  </m:ctrlPr>
                </m:dPr>
                <m:e>
                  <m:sSub>
                    <m:sSubPr>
                      <m:ctrlPr>
                        <w:rPr>
                          <w:rFonts w:ascii="Cambria Math" w:eastAsiaTheme="minorEastAsia" w:hAnsi="Cambria Math"/>
                          <w:i/>
                          <w:sz w:val="22"/>
                        </w:rPr>
                      </m:ctrlPr>
                    </m:sSubPr>
                    <m:e>
                      <m:r>
                        <m:rPr>
                          <m:sty m:val="b"/>
                        </m:rPr>
                        <w:rPr>
                          <w:rFonts w:ascii="Cambria Math" w:eastAsiaTheme="minorEastAsia" w:hAnsi="Cambria Math"/>
                          <w:sz w:val="22"/>
                        </w:rPr>
                        <m:t>X</m:t>
                      </m:r>
                    </m:e>
                    <m:sub>
                      <m:r>
                        <w:rPr>
                          <w:rFonts w:ascii="Cambria Math" w:eastAsiaTheme="minorEastAsia" w:hAnsi="Cambria Math"/>
                          <w:sz w:val="22"/>
                        </w:rPr>
                        <m:t>1</m:t>
                      </m:r>
                    </m:sub>
                  </m:sSub>
                  <m:r>
                    <w:rPr>
                      <w:rFonts w:ascii="Cambria Math" w:eastAsiaTheme="minorEastAsia" w:hAnsi="Cambria Math"/>
                      <w:sz w:val="22"/>
                    </w:rPr>
                    <m:t>-</m:t>
                  </m:r>
                  <m:sSub>
                    <m:sSubPr>
                      <m:ctrlPr>
                        <w:rPr>
                          <w:rFonts w:ascii="Cambria Math" w:eastAsiaTheme="minorEastAsia" w:hAnsi="Cambria Math"/>
                          <w:i/>
                          <w:sz w:val="22"/>
                        </w:rPr>
                      </m:ctrlPr>
                    </m:sSubPr>
                    <m:e>
                      <m:r>
                        <m:rPr>
                          <m:sty m:val="b"/>
                        </m:rPr>
                        <w:rPr>
                          <w:rFonts w:ascii="Cambria Math" w:eastAsiaTheme="minorEastAsia" w:hAnsi="Cambria Math"/>
                          <w:sz w:val="22"/>
                        </w:rPr>
                        <m:t>X</m:t>
                      </m:r>
                    </m:e>
                    <m:sub>
                      <m:r>
                        <w:rPr>
                          <w:rFonts w:ascii="Cambria Math" w:eastAsiaTheme="minorEastAsia" w:hAnsi="Cambria Math"/>
                          <w:sz w:val="22"/>
                        </w:rPr>
                        <m:t>0</m:t>
                      </m:r>
                    </m:sub>
                  </m:sSub>
                  <m:r>
                    <m:rPr>
                      <m:sty m:val="b"/>
                    </m:rPr>
                    <w:rPr>
                      <w:rFonts w:ascii="Cambria Math" w:eastAsiaTheme="minorEastAsia" w:hAnsi="Cambria Math"/>
                      <w:sz w:val="22"/>
                    </w:rPr>
                    <m:t>W</m:t>
                  </m:r>
                </m:e>
              </m:d>
            </m:e>
          </m:rad>
        </m:oMath>
      </m:oMathPara>
    </w:p>
    <w:p w14:paraId="653D23B0" w14:textId="77777777" w:rsidR="006F1F63" w:rsidRPr="00F8217C" w:rsidRDefault="006F1F63" w:rsidP="007F7504">
      <w:pPr>
        <w:spacing w:after="0"/>
        <w:jc w:val="both"/>
        <w:rPr>
          <w:rFonts w:eastAsiaTheme="minorEastAsia"/>
          <w:sz w:val="22"/>
        </w:rPr>
      </w:pPr>
    </w:p>
    <w:p w14:paraId="758EF4BF" w14:textId="77777777" w:rsidR="0066738E" w:rsidRPr="00F8217C" w:rsidRDefault="0066738E" w:rsidP="007F7504">
      <w:pPr>
        <w:spacing w:after="0"/>
        <w:jc w:val="both"/>
        <w:rPr>
          <w:rFonts w:eastAsiaTheme="minorEastAsia"/>
          <w:sz w:val="22"/>
        </w:rPr>
      </w:pPr>
      <w:r w:rsidRPr="00F8217C">
        <w:rPr>
          <w:rFonts w:eastAsiaTheme="minorEastAsia"/>
          <w:sz w:val="22"/>
        </w:rPr>
        <w:t>Which consists of two stages. In the training stage, the matrix V denotes the relative importance of covariates and pre-</w:t>
      </w:r>
      <m:oMath>
        <m:sSub>
          <m:sSubPr>
            <m:ctrlPr>
              <w:rPr>
                <w:rFonts w:ascii="Cambria Math" w:eastAsiaTheme="minorEastAsia" w:hAnsi="Cambria Math"/>
                <w:i/>
                <w:sz w:val="22"/>
              </w:rPr>
            </m:ctrlPr>
          </m:sSubPr>
          <m:e>
            <m:r>
              <w:rPr>
                <w:rFonts w:ascii="Cambria Math" w:eastAsiaTheme="minorEastAsia" w:hAnsi="Cambria Math"/>
                <w:sz w:val="22"/>
              </w:rPr>
              <m:t>T</m:t>
            </m:r>
          </m:e>
          <m:sub>
            <m:r>
              <w:rPr>
                <w:rFonts w:ascii="Cambria Math" w:eastAsiaTheme="minorEastAsia" w:hAnsi="Cambria Math"/>
                <w:sz w:val="22"/>
              </w:rPr>
              <m:t>0</m:t>
            </m:r>
          </m:sub>
        </m:sSub>
      </m:oMath>
      <w:r w:rsidRPr="00F8217C">
        <w:rPr>
          <w:rFonts w:eastAsiaTheme="minorEastAsia"/>
          <w:sz w:val="22"/>
        </w:rPr>
        <w:t xml:space="preserve"> outcomes in explaining the institutional quality outcomes.</w:t>
      </w:r>
      <w:r w:rsidR="00033023" w:rsidRPr="00F8217C">
        <w:rPr>
          <w:rFonts w:eastAsiaTheme="minorEastAsia"/>
          <w:sz w:val="22"/>
        </w:rPr>
        <w:t xml:space="preserve"> In the validation stage, </w:t>
      </w:r>
      <w:r w:rsidR="00AD455A" w:rsidRPr="00F8217C">
        <w:rPr>
          <w:rFonts w:eastAsiaTheme="minorEastAsia"/>
          <w:sz w:val="22"/>
        </w:rPr>
        <w:t xml:space="preserve">predictive weights of covariates and pre-treatment outcomes are selected to minimize the root mean square prediction error to build </w:t>
      </w:r>
      <m:oMath>
        <m:r>
          <m:rPr>
            <m:sty m:val="b"/>
          </m:rPr>
          <w:rPr>
            <w:rFonts w:ascii="Cambria Math" w:eastAsiaTheme="minorEastAsia" w:hAnsi="Cambria Math"/>
            <w:sz w:val="22"/>
          </w:rPr>
          <m:t>W</m:t>
        </m:r>
      </m:oMath>
      <w:r w:rsidR="00AD455A" w:rsidRPr="00F8217C">
        <w:rPr>
          <w:rFonts w:eastAsiaTheme="minorEastAsia"/>
          <w:b/>
          <w:sz w:val="22"/>
        </w:rPr>
        <w:t xml:space="preserve"> </w:t>
      </w:r>
      <w:r w:rsidR="00AD455A" w:rsidRPr="00F8217C">
        <w:rPr>
          <w:rFonts w:eastAsiaTheme="minorEastAsia"/>
          <w:sz w:val="22"/>
        </w:rPr>
        <w:t xml:space="preserve">vector indicating which regions from the donor pool have similar covariate and outcome values and fall within the convex hull of characteristics and attributes of the treated regions but had no political instability shock. Under these conditions, the missing counterfactual scenario can be estimated through an approximately unbiased estimator of </w:t>
      </w:r>
      <m:oMath>
        <m:sSub>
          <m:sSubPr>
            <m:ctrlPr>
              <w:rPr>
                <w:rFonts w:ascii="Cambria Math" w:hAnsi="Cambria Math"/>
                <w:i/>
                <w:sz w:val="22"/>
              </w:rPr>
            </m:ctrlPr>
          </m:sSubPr>
          <m:e>
            <m:r>
              <w:rPr>
                <w:rFonts w:ascii="Cambria Math" w:hAnsi="Cambria Math"/>
                <w:sz w:val="22"/>
              </w:rPr>
              <m:t>λ</m:t>
            </m:r>
          </m:e>
          <m:sub>
            <m:r>
              <w:rPr>
                <w:rFonts w:ascii="Cambria Math" w:hAnsi="Cambria Math"/>
                <w:sz w:val="22"/>
              </w:rPr>
              <m:t>1,t</m:t>
            </m:r>
          </m:sub>
        </m:sSub>
      </m:oMath>
      <w:r w:rsidR="00AD455A" w:rsidRPr="00F8217C">
        <w:rPr>
          <w:rFonts w:eastAsiaTheme="minorEastAsia"/>
          <w:sz w:val="22"/>
        </w:rPr>
        <w:t>:</w:t>
      </w:r>
    </w:p>
    <w:p w14:paraId="08502D1D" w14:textId="77777777" w:rsidR="00AD455A" w:rsidRPr="00F8217C" w:rsidRDefault="00AD455A" w:rsidP="007F7504">
      <w:pPr>
        <w:spacing w:after="0"/>
        <w:jc w:val="both"/>
        <w:rPr>
          <w:rFonts w:eastAsiaTheme="minorEastAsia"/>
          <w:sz w:val="22"/>
        </w:rPr>
      </w:pPr>
    </w:p>
    <w:p w14:paraId="06DF7067" w14:textId="77777777" w:rsidR="00AD455A" w:rsidRPr="00F8217C" w:rsidRDefault="00000000" w:rsidP="007F7504">
      <w:pPr>
        <w:spacing w:after="0"/>
        <w:jc w:val="both"/>
        <w:rPr>
          <w:rFonts w:eastAsiaTheme="minorEastAsia"/>
          <w:sz w:val="22"/>
        </w:rPr>
      </w:pPr>
      <m:oMathPara>
        <m:oMath>
          <m:sSub>
            <m:sSubPr>
              <m:ctrlPr>
                <w:rPr>
                  <w:rFonts w:ascii="Cambria Math" w:hAnsi="Cambria Math"/>
                  <w:i/>
                  <w:sz w:val="22"/>
                </w:rPr>
              </m:ctrlPr>
            </m:sSubPr>
            <m:e>
              <m:acc>
                <m:accPr>
                  <m:ctrlPr>
                    <w:rPr>
                      <w:rFonts w:ascii="Cambria Math" w:hAnsi="Cambria Math"/>
                      <w:i/>
                      <w:sz w:val="22"/>
                    </w:rPr>
                  </m:ctrlPr>
                </m:accPr>
                <m:e>
                  <m:r>
                    <w:rPr>
                      <w:rFonts w:ascii="Cambria Math" w:hAnsi="Cambria Math"/>
                      <w:sz w:val="22"/>
                    </w:rPr>
                    <m:t>λ</m:t>
                  </m:r>
                </m:e>
              </m:acc>
            </m:e>
            <m:sub>
              <m:r>
                <w:rPr>
                  <w:rFonts w:ascii="Cambria Math" w:hAnsi="Cambria Math"/>
                  <w:sz w:val="22"/>
                </w:rPr>
                <m:t>1,t</m:t>
              </m:r>
            </m:sub>
          </m:sSub>
          <m:r>
            <w:rPr>
              <w:rFonts w:ascii="Cambria Math" w:hAnsi="Cambria Math"/>
              <w:sz w:val="22"/>
            </w:rPr>
            <m:t>=</m:t>
          </m:r>
          <m:sSub>
            <m:sSubPr>
              <m:ctrlPr>
                <w:rPr>
                  <w:rFonts w:ascii="Cambria Math" w:hAnsi="Cambria Math"/>
                  <w:i/>
                  <w:sz w:val="22"/>
                </w:rPr>
              </m:ctrlPr>
            </m:sSubPr>
            <m:e>
              <m:r>
                <w:rPr>
                  <w:rFonts w:ascii="Cambria Math" w:hAnsi="Cambria Math"/>
                  <w:sz w:val="22"/>
                </w:rPr>
                <m:t>Y</m:t>
              </m:r>
            </m:e>
            <m:sub>
              <m:r>
                <w:rPr>
                  <w:rFonts w:ascii="Cambria Math" w:hAnsi="Cambria Math"/>
                  <w:sz w:val="22"/>
                </w:rPr>
                <m:t>1,t</m:t>
              </m:r>
            </m:sub>
          </m:sSub>
          <m:r>
            <w:rPr>
              <w:rFonts w:ascii="Cambria Math" w:hAnsi="Cambria Math"/>
              <w:sz w:val="22"/>
            </w:rPr>
            <m:t>-</m:t>
          </m:r>
          <m:nary>
            <m:naryPr>
              <m:chr m:val="∑"/>
              <m:limLoc m:val="subSup"/>
              <m:ctrlPr>
                <w:rPr>
                  <w:rFonts w:ascii="Cambria Math" w:hAnsi="Cambria Math"/>
                  <w:i/>
                  <w:sz w:val="22"/>
                </w:rPr>
              </m:ctrlPr>
            </m:naryPr>
            <m:sub>
              <m:r>
                <w:rPr>
                  <w:rFonts w:ascii="Cambria Math" w:hAnsi="Cambria Math"/>
                  <w:sz w:val="22"/>
                </w:rPr>
                <m:t>j=2</m:t>
              </m:r>
            </m:sub>
            <m:sup>
              <m:r>
                <w:rPr>
                  <w:rFonts w:ascii="Cambria Math" w:hAnsi="Cambria Math"/>
                  <w:sz w:val="22"/>
                </w:rPr>
                <m:t>J+1</m:t>
              </m:r>
            </m:sup>
            <m:e>
              <m:sSubSup>
                <m:sSubSupPr>
                  <m:ctrlPr>
                    <w:rPr>
                      <w:rFonts w:ascii="Cambria Math" w:hAnsi="Cambria Math"/>
                      <w:i/>
                      <w:sz w:val="22"/>
                    </w:rPr>
                  </m:ctrlPr>
                </m:sSubSupPr>
                <m:e>
                  <m:r>
                    <w:rPr>
                      <w:rFonts w:ascii="Cambria Math" w:hAnsi="Cambria Math"/>
                      <w:sz w:val="22"/>
                    </w:rPr>
                    <m:t>w</m:t>
                  </m:r>
                </m:e>
                <m:sub>
                  <m:r>
                    <w:rPr>
                      <w:rFonts w:ascii="Cambria Math" w:hAnsi="Cambria Math"/>
                      <w:sz w:val="22"/>
                    </w:rPr>
                    <m:t>j</m:t>
                  </m:r>
                </m:sub>
                <m:sup>
                  <m:r>
                    <w:rPr>
                      <w:rFonts w:ascii="Cambria Math" w:hAnsi="Cambria Math"/>
                      <w:sz w:val="22"/>
                    </w:rPr>
                    <m:t>*</m:t>
                  </m:r>
                </m:sup>
              </m:sSubSup>
              <m:r>
                <w:rPr>
                  <w:rFonts w:ascii="Cambria Math" w:hAnsi="Cambria Math"/>
                  <w:sz w:val="22"/>
                </w:rPr>
                <m:t>∙</m:t>
              </m:r>
              <m:sSub>
                <m:sSubPr>
                  <m:ctrlPr>
                    <w:rPr>
                      <w:rFonts w:ascii="Cambria Math" w:hAnsi="Cambria Math"/>
                      <w:i/>
                      <w:sz w:val="22"/>
                    </w:rPr>
                  </m:ctrlPr>
                </m:sSubPr>
                <m:e>
                  <m:r>
                    <w:rPr>
                      <w:rFonts w:ascii="Cambria Math" w:hAnsi="Cambria Math"/>
                      <w:sz w:val="22"/>
                    </w:rPr>
                    <m:t>Y</m:t>
                  </m:r>
                </m:e>
                <m:sub>
                  <m:r>
                    <w:rPr>
                      <w:rFonts w:ascii="Cambria Math" w:hAnsi="Cambria Math"/>
                      <w:sz w:val="22"/>
                    </w:rPr>
                    <m:t>j,t</m:t>
                  </m:r>
                </m:sub>
              </m:sSub>
              <m:r>
                <w:rPr>
                  <w:rFonts w:ascii="Cambria Math" w:hAnsi="Cambria Math"/>
                  <w:sz w:val="22"/>
                </w:rPr>
                <m:t>=</m:t>
              </m:r>
              <m:sSub>
                <m:sSubPr>
                  <m:ctrlPr>
                    <w:rPr>
                      <w:rFonts w:ascii="Cambria Math" w:hAnsi="Cambria Math"/>
                      <w:i/>
                      <w:sz w:val="22"/>
                    </w:rPr>
                  </m:ctrlPr>
                </m:sSubPr>
                <m:e>
                  <m:r>
                    <w:rPr>
                      <w:rFonts w:ascii="Cambria Math" w:hAnsi="Cambria Math"/>
                      <w:sz w:val="22"/>
                    </w:rPr>
                    <m:t>Y</m:t>
                  </m:r>
                </m:e>
                <m:sub>
                  <m:r>
                    <w:rPr>
                      <w:rFonts w:ascii="Cambria Math" w:hAnsi="Cambria Math"/>
                      <w:sz w:val="22"/>
                    </w:rPr>
                    <m:t>1,t</m:t>
                  </m:r>
                </m:sub>
              </m:sSub>
              <m:r>
                <w:rPr>
                  <w:rFonts w:ascii="Cambria Math" w:hAnsi="Cambria Math"/>
                  <w:sz w:val="22"/>
                </w:rPr>
                <m:t>-</m:t>
              </m:r>
              <m:sSub>
                <m:sSubPr>
                  <m:ctrlPr>
                    <w:rPr>
                      <w:rFonts w:ascii="Cambria Math" w:hAnsi="Cambria Math"/>
                      <w:i/>
                      <w:sz w:val="22"/>
                    </w:rPr>
                  </m:ctrlPr>
                </m:sSubPr>
                <m:e>
                  <m:r>
                    <w:rPr>
                      <w:rFonts w:ascii="Cambria Math" w:hAnsi="Cambria Math"/>
                      <w:sz w:val="22"/>
                    </w:rPr>
                    <m:t>Y</m:t>
                  </m:r>
                </m:e>
                <m:sub>
                  <m:sSup>
                    <m:sSupPr>
                      <m:ctrlPr>
                        <w:rPr>
                          <w:rFonts w:ascii="Cambria Math" w:hAnsi="Cambria Math"/>
                          <w:i/>
                          <w:sz w:val="22"/>
                        </w:rPr>
                      </m:ctrlPr>
                    </m:sSupPr>
                    <m:e>
                      <m:r>
                        <w:rPr>
                          <w:rFonts w:ascii="Cambria Math" w:hAnsi="Cambria Math"/>
                          <w:sz w:val="22"/>
                        </w:rPr>
                        <m:t>w</m:t>
                      </m:r>
                    </m:e>
                    <m:sup>
                      <m:r>
                        <w:rPr>
                          <w:rFonts w:ascii="Cambria Math" w:hAnsi="Cambria Math"/>
                          <w:sz w:val="22"/>
                        </w:rPr>
                        <m:t>*</m:t>
                      </m:r>
                    </m:sup>
                  </m:sSup>
                  <m:r>
                    <w:rPr>
                      <w:rFonts w:ascii="Cambria Math" w:hAnsi="Cambria Math"/>
                      <w:sz w:val="22"/>
                    </w:rPr>
                    <m:t>,t</m:t>
                  </m:r>
                </m:sub>
              </m:sSub>
            </m:e>
          </m:nary>
        </m:oMath>
      </m:oMathPara>
    </w:p>
    <w:p w14:paraId="44E7E21B" w14:textId="77777777" w:rsidR="0066738E" w:rsidRPr="00F8217C" w:rsidRDefault="0066738E" w:rsidP="007F7504">
      <w:pPr>
        <w:spacing w:after="0"/>
        <w:jc w:val="both"/>
        <w:rPr>
          <w:rFonts w:eastAsiaTheme="minorEastAsia"/>
          <w:sz w:val="22"/>
        </w:rPr>
      </w:pPr>
    </w:p>
    <w:p w14:paraId="0ED9F29D" w14:textId="77777777" w:rsidR="000C7690" w:rsidRPr="00F8217C" w:rsidRDefault="00667E0E" w:rsidP="007F7504">
      <w:pPr>
        <w:spacing w:after="0"/>
        <w:jc w:val="both"/>
        <w:rPr>
          <w:rFonts w:eastAsiaTheme="minorEastAsia"/>
          <w:sz w:val="22"/>
        </w:rPr>
      </w:pPr>
      <w:r w:rsidRPr="00F8217C">
        <w:rPr>
          <w:rFonts w:eastAsiaTheme="minorEastAsia"/>
          <w:sz w:val="22"/>
        </w:rPr>
        <w:t>w</w:t>
      </w:r>
      <w:r w:rsidR="000C7690" w:rsidRPr="00F8217C">
        <w:rPr>
          <w:rFonts w:eastAsiaTheme="minorEastAsia"/>
          <w:sz w:val="22"/>
        </w:rPr>
        <w:t xml:space="preserve">herefrom it follows immediately that even though </w:t>
      </w:r>
      <m:oMath>
        <m:d>
          <m:dPr>
            <m:begChr m:val="{"/>
            <m:endChr m:val="}"/>
            <m:ctrlPr>
              <w:rPr>
                <w:rFonts w:ascii="Cambria Math" w:eastAsiaTheme="minorEastAsia" w:hAnsi="Cambria Math"/>
                <w:i/>
                <w:sz w:val="22"/>
              </w:rPr>
            </m:ctrlPr>
          </m:dPr>
          <m:e>
            <m:r>
              <w:rPr>
                <w:rFonts w:ascii="Cambria Math" w:eastAsiaTheme="minorEastAsia" w:hAnsi="Cambria Math"/>
                <w:sz w:val="22"/>
              </w:rPr>
              <m:t>μ</m:t>
            </m:r>
          </m:e>
        </m:d>
      </m:oMath>
      <w:r w:rsidR="000C7690" w:rsidRPr="00F8217C">
        <w:rPr>
          <w:rFonts w:eastAsiaTheme="minorEastAsia"/>
          <w:sz w:val="22"/>
        </w:rPr>
        <w:t xml:space="preserve"> vector is unobservable to the econometrician, fitting the joint vector </w:t>
      </w:r>
      <m:oMath>
        <m:d>
          <m:dPr>
            <m:begChr m:val="{"/>
            <m:endChr m:val="}"/>
            <m:ctrlPr>
              <w:rPr>
                <w:rFonts w:ascii="Cambria Math" w:eastAsiaTheme="minorEastAsia" w:hAnsi="Cambria Math"/>
                <w:i/>
                <w:sz w:val="22"/>
              </w:rPr>
            </m:ctrlPr>
          </m:dPr>
          <m:e>
            <m:r>
              <w:rPr>
                <w:rFonts w:ascii="Cambria Math" w:eastAsiaTheme="minorEastAsia" w:hAnsi="Cambria Math"/>
                <w:sz w:val="22"/>
              </w:rPr>
              <m:t>Y,Z</m:t>
            </m:r>
          </m:e>
        </m:d>
      </m:oMath>
      <w:r w:rsidR="000C7690" w:rsidRPr="00F8217C">
        <w:rPr>
          <w:rFonts w:eastAsiaTheme="minorEastAsia"/>
          <w:sz w:val="22"/>
        </w:rPr>
        <w:t xml:space="preserve"> provides the sufficient condition to match the observed realization of pre-</w:t>
      </w:r>
      <m:oMath>
        <m:sSub>
          <m:sSubPr>
            <m:ctrlPr>
              <w:rPr>
                <w:rFonts w:ascii="Cambria Math" w:eastAsiaTheme="minorEastAsia" w:hAnsi="Cambria Math"/>
                <w:i/>
                <w:sz w:val="22"/>
              </w:rPr>
            </m:ctrlPr>
          </m:sSubPr>
          <m:e>
            <m:r>
              <w:rPr>
                <w:rFonts w:ascii="Cambria Math" w:eastAsiaTheme="minorEastAsia" w:hAnsi="Cambria Math"/>
                <w:sz w:val="22"/>
              </w:rPr>
              <m:t>T</m:t>
            </m:r>
          </m:e>
          <m:sub>
            <m:r>
              <w:rPr>
                <w:rFonts w:ascii="Cambria Math" w:eastAsiaTheme="minorEastAsia" w:hAnsi="Cambria Math"/>
                <w:sz w:val="22"/>
              </w:rPr>
              <m:t>0</m:t>
            </m:r>
          </m:sub>
        </m:sSub>
      </m:oMath>
      <w:r w:rsidR="000C7690" w:rsidRPr="00F8217C">
        <w:rPr>
          <w:rFonts w:eastAsiaTheme="minorEastAsia"/>
          <w:sz w:val="22"/>
        </w:rPr>
        <w:t xml:space="preserve"> </w:t>
      </w:r>
      <m:oMath>
        <m:d>
          <m:dPr>
            <m:begChr m:val="{"/>
            <m:endChr m:val="}"/>
            <m:ctrlPr>
              <w:rPr>
                <w:rFonts w:ascii="Cambria Math" w:eastAsiaTheme="minorEastAsia" w:hAnsi="Cambria Math"/>
                <w:i/>
                <w:sz w:val="22"/>
              </w:rPr>
            </m:ctrlPr>
          </m:dPr>
          <m:e>
            <m:r>
              <m:rPr>
                <m:sty m:val="b"/>
              </m:rPr>
              <w:rPr>
                <w:rFonts w:ascii="Cambria Math" w:eastAsiaTheme="minorEastAsia" w:hAnsi="Cambria Math"/>
                <w:sz w:val="22"/>
              </w:rPr>
              <m:t>Y</m:t>
            </m:r>
          </m:e>
        </m:d>
      </m:oMath>
      <w:r w:rsidR="000C7690" w:rsidRPr="00F8217C">
        <w:rPr>
          <w:rFonts w:eastAsiaTheme="minorEastAsia"/>
          <w:sz w:val="22"/>
        </w:rPr>
        <w:t xml:space="preserve"> with its counterpart in the donor pool. Hence, the difference between the observed trajectory of institutional quality and its synthetic peer tends to disappear </w:t>
      </w:r>
      <m:oMath>
        <m:r>
          <m:rPr>
            <m:sty m:val="p"/>
          </m:rPr>
          <w:rPr>
            <w:rFonts w:ascii="Cambria Math" w:eastAsiaTheme="minorEastAsia" w:hAnsi="Cambria Math"/>
            <w:sz w:val="22"/>
          </w:rPr>
          <m:t>E</m:t>
        </m:r>
        <m:d>
          <m:dPr>
            <m:begChr m:val="["/>
            <m:endChr m:val="]"/>
            <m:ctrlPr>
              <w:rPr>
                <w:rFonts w:ascii="Cambria Math" w:eastAsiaTheme="minorEastAsia" w:hAnsi="Cambria Math"/>
                <w:i/>
                <w:sz w:val="22"/>
              </w:rPr>
            </m:ctrlPr>
          </m:dPr>
          <m:e>
            <m:sSubSup>
              <m:sSubSupPr>
                <m:ctrlPr>
                  <w:rPr>
                    <w:rFonts w:ascii="Cambria Math" w:eastAsiaTheme="minorEastAsia" w:hAnsi="Cambria Math"/>
                    <w:i/>
                    <w:sz w:val="22"/>
                  </w:rPr>
                </m:ctrlPr>
              </m:sSubSupPr>
              <m:e>
                <m:r>
                  <w:rPr>
                    <w:rFonts w:ascii="Cambria Math" w:eastAsiaTheme="minorEastAsia" w:hAnsi="Cambria Math"/>
                    <w:sz w:val="22"/>
                  </w:rPr>
                  <m:t>Y</m:t>
                </m:r>
              </m:e>
              <m:sub>
                <m:r>
                  <w:rPr>
                    <w:rFonts w:ascii="Cambria Math" w:eastAsiaTheme="minorEastAsia" w:hAnsi="Cambria Math"/>
                    <w:sz w:val="22"/>
                  </w:rPr>
                  <m:t>1,t</m:t>
                </m:r>
              </m:sub>
              <m:sup>
                <m:r>
                  <w:rPr>
                    <w:rFonts w:ascii="Cambria Math" w:eastAsiaTheme="minorEastAsia" w:hAnsi="Cambria Math"/>
                    <w:sz w:val="22"/>
                  </w:rPr>
                  <m:t>N</m:t>
                </m:r>
              </m:sup>
            </m:sSubSup>
            <m:r>
              <w:rPr>
                <w:rFonts w:ascii="Cambria Math" w:eastAsiaTheme="minorEastAsia" w:hAnsi="Cambria Math"/>
                <w:sz w:val="22"/>
              </w:rPr>
              <m:t>-</m:t>
            </m:r>
            <m:nary>
              <m:naryPr>
                <m:chr m:val="∑"/>
                <m:limLoc m:val="subSup"/>
                <m:ctrlPr>
                  <w:rPr>
                    <w:rFonts w:ascii="Cambria Math" w:eastAsiaTheme="minorEastAsia" w:hAnsi="Cambria Math"/>
                    <w:i/>
                    <w:sz w:val="22"/>
                  </w:rPr>
                </m:ctrlPr>
              </m:naryPr>
              <m:sub>
                <m:r>
                  <w:rPr>
                    <w:rFonts w:ascii="Cambria Math" w:eastAsiaTheme="minorEastAsia" w:hAnsi="Cambria Math"/>
                    <w:sz w:val="22"/>
                  </w:rPr>
                  <m:t>j=2</m:t>
                </m:r>
              </m:sub>
              <m:sup>
                <m:r>
                  <w:rPr>
                    <w:rFonts w:ascii="Cambria Math" w:eastAsiaTheme="minorEastAsia" w:hAnsi="Cambria Math"/>
                    <w:sz w:val="22"/>
                  </w:rPr>
                  <m:t>J+1</m:t>
                </m:r>
              </m:sup>
              <m:e>
                <m:sSubSup>
                  <m:sSubSupPr>
                    <m:ctrlPr>
                      <w:rPr>
                        <w:rFonts w:ascii="Cambria Math" w:eastAsiaTheme="minorEastAsia" w:hAnsi="Cambria Math"/>
                        <w:i/>
                        <w:sz w:val="22"/>
                      </w:rPr>
                    </m:ctrlPr>
                  </m:sSubSupPr>
                  <m:e>
                    <m:r>
                      <w:rPr>
                        <w:rFonts w:ascii="Cambria Math" w:eastAsiaTheme="minorEastAsia" w:hAnsi="Cambria Math"/>
                        <w:sz w:val="22"/>
                      </w:rPr>
                      <m:t>w</m:t>
                    </m:r>
                  </m:e>
                  <m:sub>
                    <m:r>
                      <w:rPr>
                        <w:rFonts w:ascii="Cambria Math" w:eastAsiaTheme="minorEastAsia" w:hAnsi="Cambria Math"/>
                        <w:sz w:val="22"/>
                      </w:rPr>
                      <m:t>j</m:t>
                    </m:r>
                  </m:sub>
                  <m:sup>
                    <m:r>
                      <w:rPr>
                        <w:rFonts w:ascii="Cambria Math" w:eastAsiaTheme="minorEastAsia" w:hAnsi="Cambria Math"/>
                        <w:sz w:val="22"/>
                      </w:rPr>
                      <m:t>*</m:t>
                    </m:r>
                  </m:sup>
                </m:sSubSup>
                <m:r>
                  <w:rPr>
                    <w:rFonts w:ascii="Cambria Math" w:eastAsiaTheme="minorEastAsia" w:hAnsi="Cambria Math"/>
                    <w:sz w:val="22"/>
                  </w:rPr>
                  <m:t>⋅</m:t>
                </m:r>
                <m:sSub>
                  <m:sSubPr>
                    <m:ctrlPr>
                      <w:rPr>
                        <w:rFonts w:ascii="Cambria Math" w:eastAsiaTheme="minorEastAsia" w:hAnsi="Cambria Math"/>
                        <w:i/>
                        <w:sz w:val="22"/>
                      </w:rPr>
                    </m:ctrlPr>
                  </m:sSubPr>
                  <m:e>
                    <m:r>
                      <w:rPr>
                        <w:rFonts w:ascii="Cambria Math" w:eastAsiaTheme="minorEastAsia" w:hAnsi="Cambria Math"/>
                        <w:sz w:val="22"/>
                      </w:rPr>
                      <m:t>Y</m:t>
                    </m:r>
                  </m:e>
                  <m:sub>
                    <m:r>
                      <w:rPr>
                        <w:rFonts w:ascii="Cambria Math" w:eastAsiaTheme="minorEastAsia" w:hAnsi="Cambria Math"/>
                        <w:sz w:val="22"/>
                      </w:rPr>
                      <m:t>j,t</m:t>
                    </m:r>
                  </m:sub>
                </m:sSub>
              </m:e>
            </m:nary>
          </m:e>
        </m:d>
        <m:r>
          <w:rPr>
            <w:rFonts w:ascii="Cambria Math" w:eastAsiaTheme="minorEastAsia" w:hAnsi="Cambria Math"/>
            <w:sz w:val="22"/>
          </w:rPr>
          <m:t>→0</m:t>
        </m:r>
      </m:oMath>
      <w:r w:rsidR="000C7690" w:rsidRPr="00F8217C">
        <w:rPr>
          <w:rFonts w:eastAsiaTheme="minorEastAsia"/>
          <w:sz w:val="22"/>
        </w:rPr>
        <w:t xml:space="preserve"> if </w:t>
      </w:r>
      <m:oMath>
        <m:sSub>
          <m:sSubPr>
            <m:ctrlPr>
              <w:rPr>
                <w:rFonts w:ascii="Cambria Math" w:eastAsiaTheme="minorEastAsia" w:hAnsi="Cambria Math"/>
                <w:sz w:val="22"/>
              </w:rPr>
            </m:ctrlPr>
          </m:sSubPr>
          <m:e>
            <m:r>
              <m:rPr>
                <m:sty m:val="p"/>
              </m:rPr>
              <w:rPr>
                <w:rFonts w:ascii="Cambria Math" w:eastAsiaTheme="minorEastAsia" w:hAnsi="Cambria Math"/>
                <w:sz w:val="22"/>
              </w:rPr>
              <m:t>Λ</m:t>
            </m:r>
          </m:e>
          <m:sub>
            <m:r>
              <w:rPr>
                <w:rFonts w:ascii="Cambria Math" w:eastAsiaTheme="minorEastAsia" w:hAnsi="Cambria Math"/>
                <w:sz w:val="22"/>
              </w:rPr>
              <m:t>1</m:t>
            </m:r>
          </m:sub>
        </m:sSub>
        <m:r>
          <w:rPr>
            <w:rFonts w:ascii="Cambria Math" w:eastAsiaTheme="minorEastAsia" w:hAnsi="Cambria Math"/>
            <w:sz w:val="22"/>
          </w:rPr>
          <m:t>=</m:t>
        </m:r>
        <m:d>
          <m:dPr>
            <m:begChr m:val="{"/>
            <m:endChr m:val="}"/>
            <m:ctrlPr>
              <w:rPr>
                <w:rFonts w:ascii="Cambria Math" w:eastAsiaTheme="minorEastAsia" w:hAnsi="Cambria Math"/>
                <w:i/>
                <w:sz w:val="22"/>
              </w:rPr>
            </m:ctrlPr>
          </m:dPr>
          <m:e>
            <m:sSub>
              <m:sSubPr>
                <m:ctrlPr>
                  <w:rPr>
                    <w:rFonts w:ascii="Cambria Math" w:eastAsiaTheme="minorEastAsia" w:hAnsi="Cambria Math"/>
                    <w:i/>
                    <w:sz w:val="22"/>
                  </w:rPr>
                </m:ctrlPr>
              </m:sSubPr>
              <m:e>
                <m:r>
                  <w:rPr>
                    <w:rFonts w:ascii="Cambria Math" w:eastAsiaTheme="minorEastAsia" w:hAnsi="Cambria Math"/>
                    <w:sz w:val="22"/>
                  </w:rPr>
                  <m:t>Y</m:t>
                </m:r>
              </m:e>
              <m:sub>
                <m:r>
                  <w:rPr>
                    <w:rFonts w:ascii="Cambria Math" w:eastAsiaTheme="minorEastAsia" w:hAnsi="Cambria Math"/>
                    <w:sz w:val="22"/>
                  </w:rPr>
                  <m:t>1,1</m:t>
                </m:r>
              </m:sub>
            </m:sSub>
            <m:r>
              <w:rPr>
                <w:rFonts w:ascii="Cambria Math" w:eastAsiaTheme="minorEastAsia" w:hAnsi="Cambria Math"/>
                <w:sz w:val="22"/>
              </w:rPr>
              <m:t>,…</m:t>
            </m:r>
            <m:sSub>
              <m:sSubPr>
                <m:ctrlPr>
                  <w:rPr>
                    <w:rFonts w:ascii="Cambria Math" w:eastAsiaTheme="minorEastAsia" w:hAnsi="Cambria Math"/>
                    <w:i/>
                    <w:sz w:val="22"/>
                  </w:rPr>
                </m:ctrlPr>
              </m:sSubPr>
              <m:e>
                <m:r>
                  <w:rPr>
                    <w:rFonts w:ascii="Cambria Math" w:eastAsiaTheme="minorEastAsia" w:hAnsi="Cambria Math"/>
                    <w:sz w:val="22"/>
                  </w:rPr>
                  <m:t>Y</m:t>
                </m:r>
              </m:e>
              <m:sub>
                <m:r>
                  <w:rPr>
                    <w:rFonts w:ascii="Cambria Math" w:eastAsiaTheme="minorEastAsia" w:hAnsi="Cambria Math"/>
                    <w:sz w:val="22"/>
                  </w:rPr>
                  <m:t>1,</m:t>
                </m:r>
                <m:sSub>
                  <m:sSubPr>
                    <m:ctrlPr>
                      <w:rPr>
                        <w:rFonts w:ascii="Cambria Math" w:eastAsiaTheme="minorEastAsia" w:hAnsi="Cambria Math"/>
                        <w:i/>
                        <w:sz w:val="22"/>
                      </w:rPr>
                    </m:ctrlPr>
                  </m:sSubPr>
                  <m:e>
                    <m:r>
                      <w:rPr>
                        <w:rFonts w:ascii="Cambria Math" w:eastAsiaTheme="minorEastAsia" w:hAnsi="Cambria Math"/>
                        <w:sz w:val="22"/>
                      </w:rPr>
                      <m:t>T</m:t>
                    </m:r>
                  </m:e>
                  <m:sub>
                    <m:r>
                      <w:rPr>
                        <w:rFonts w:ascii="Cambria Math" w:eastAsiaTheme="minorEastAsia" w:hAnsi="Cambria Math"/>
                        <w:sz w:val="22"/>
                      </w:rPr>
                      <m:t>0</m:t>
                    </m:r>
                  </m:sub>
                </m:sSub>
              </m:sub>
            </m:sSub>
            <m:r>
              <w:rPr>
                <w:rFonts w:ascii="Cambria Math" w:eastAsiaTheme="minorEastAsia" w:hAnsi="Cambria Math"/>
                <w:sz w:val="22"/>
              </w:rPr>
              <m:t>,</m:t>
            </m:r>
            <m:sSubSup>
              <m:sSubSupPr>
                <m:ctrlPr>
                  <w:rPr>
                    <w:rFonts w:ascii="Cambria Math" w:eastAsiaTheme="minorEastAsia" w:hAnsi="Cambria Math"/>
                    <w:i/>
                    <w:sz w:val="22"/>
                  </w:rPr>
                </m:ctrlPr>
              </m:sSubSupPr>
              <m:e>
                <m:r>
                  <w:rPr>
                    <w:rFonts w:ascii="Cambria Math" w:eastAsiaTheme="minorEastAsia" w:hAnsi="Cambria Math"/>
                    <w:sz w:val="22"/>
                  </w:rPr>
                  <m:t>Z</m:t>
                </m:r>
              </m:e>
              <m:sub>
                <m:r>
                  <w:rPr>
                    <w:rFonts w:ascii="Cambria Math" w:eastAsiaTheme="minorEastAsia" w:hAnsi="Cambria Math"/>
                    <w:sz w:val="22"/>
                  </w:rPr>
                  <m:t>1</m:t>
                </m:r>
              </m:sub>
              <m:sup>
                <m:r>
                  <w:rPr>
                    <w:rFonts w:ascii="Cambria Math" w:eastAsiaTheme="minorEastAsia" w:hAnsi="Cambria Math"/>
                    <w:sz w:val="22"/>
                  </w:rPr>
                  <m:t>'</m:t>
                </m:r>
              </m:sup>
            </m:sSubSup>
          </m:e>
        </m:d>
        <m:r>
          <w:rPr>
            <w:rFonts w:ascii="Cambria Math" w:eastAsiaTheme="minorEastAsia" w:hAnsi="Cambria Math"/>
            <w:sz w:val="22"/>
          </w:rPr>
          <m:t>ϵ</m:t>
        </m:r>
        <m:sSup>
          <m:sSupPr>
            <m:ctrlPr>
              <w:rPr>
                <w:rFonts w:ascii="Cambria Math" w:eastAsiaTheme="minorEastAsia" w:hAnsi="Cambria Math"/>
                <w:i/>
                <w:sz w:val="22"/>
              </w:rPr>
            </m:ctrlPr>
          </m:sSupPr>
          <m:e>
            <m:r>
              <m:rPr>
                <m:scr m:val="double-struck"/>
              </m:rPr>
              <w:rPr>
                <w:rFonts w:ascii="Cambria Math" w:eastAsiaTheme="minorEastAsia" w:hAnsi="Cambria Math"/>
                <w:sz w:val="22"/>
              </w:rPr>
              <m:t>R</m:t>
            </m:r>
          </m:e>
          <m:sup>
            <m:r>
              <w:rPr>
                <w:rFonts w:ascii="Cambria Math" w:eastAsiaTheme="minorEastAsia" w:hAnsi="Cambria Math"/>
                <w:sz w:val="22"/>
              </w:rPr>
              <m:t>1×</m:t>
            </m:r>
            <m:d>
              <m:dPr>
                <m:ctrlPr>
                  <w:rPr>
                    <w:rFonts w:ascii="Cambria Math" w:eastAsiaTheme="minorEastAsia" w:hAnsi="Cambria Math"/>
                    <w:i/>
                    <w:sz w:val="22"/>
                  </w:rPr>
                </m:ctrlPr>
              </m:dPr>
              <m:e>
                <m:sSub>
                  <m:sSubPr>
                    <m:ctrlPr>
                      <w:rPr>
                        <w:rFonts w:ascii="Cambria Math" w:eastAsiaTheme="minorEastAsia" w:hAnsi="Cambria Math"/>
                        <w:i/>
                        <w:sz w:val="22"/>
                      </w:rPr>
                    </m:ctrlPr>
                  </m:sSubPr>
                  <m:e>
                    <m:r>
                      <w:rPr>
                        <w:rFonts w:ascii="Cambria Math" w:eastAsiaTheme="minorEastAsia" w:hAnsi="Cambria Math"/>
                        <w:sz w:val="22"/>
                      </w:rPr>
                      <m:t>T</m:t>
                    </m:r>
                  </m:e>
                  <m:sub>
                    <m:r>
                      <w:rPr>
                        <w:rFonts w:ascii="Cambria Math" w:eastAsiaTheme="minorEastAsia" w:hAnsi="Cambria Math"/>
                        <w:sz w:val="22"/>
                      </w:rPr>
                      <m:t>0</m:t>
                    </m:r>
                  </m:sub>
                </m:sSub>
                <m:r>
                  <w:rPr>
                    <w:rFonts w:ascii="Cambria Math" w:eastAsiaTheme="minorEastAsia" w:hAnsi="Cambria Math"/>
                    <w:sz w:val="22"/>
                  </w:rPr>
                  <m:t>+r</m:t>
                </m:r>
              </m:e>
            </m:d>
          </m:sup>
        </m:sSup>
      </m:oMath>
      <w:r w:rsidR="00530EF1" w:rsidRPr="00F8217C">
        <w:rPr>
          <w:rFonts w:eastAsiaTheme="minorEastAsia"/>
          <w:sz w:val="22"/>
        </w:rPr>
        <w:t xml:space="preserve"> falls within the convex hull of </w:t>
      </w:r>
      <m:oMath>
        <m:d>
          <m:dPr>
            <m:begChr m:val="{"/>
            <m:endChr m:val="}"/>
            <m:ctrlPr>
              <w:rPr>
                <w:rFonts w:ascii="Cambria Math" w:eastAsiaTheme="minorEastAsia" w:hAnsi="Cambria Math"/>
                <w:i/>
                <w:sz w:val="22"/>
              </w:rPr>
            </m:ctrlPr>
          </m:dPr>
          <m:e>
            <m:sSub>
              <m:sSubPr>
                <m:ctrlPr>
                  <w:rPr>
                    <w:rFonts w:ascii="Cambria Math" w:eastAsiaTheme="minorEastAsia" w:hAnsi="Cambria Math"/>
                    <w:sz w:val="22"/>
                  </w:rPr>
                </m:ctrlPr>
              </m:sSubPr>
              <m:e>
                <m:r>
                  <m:rPr>
                    <m:sty m:val="p"/>
                  </m:rPr>
                  <w:rPr>
                    <w:rFonts w:ascii="Cambria Math" w:eastAsiaTheme="minorEastAsia" w:hAnsi="Cambria Math"/>
                    <w:sz w:val="22"/>
                  </w:rPr>
                  <m:t>Λ</m:t>
                </m:r>
              </m:e>
              <m:sub>
                <m:r>
                  <w:rPr>
                    <w:rFonts w:ascii="Cambria Math" w:eastAsiaTheme="minorEastAsia" w:hAnsi="Cambria Math"/>
                    <w:sz w:val="22"/>
                  </w:rPr>
                  <m:t>2</m:t>
                </m:r>
              </m:sub>
            </m:sSub>
            <m:r>
              <m:rPr>
                <m:sty m:val="p"/>
              </m:rPr>
              <w:rPr>
                <w:rFonts w:ascii="Cambria Math" w:eastAsiaTheme="minorEastAsia" w:hAnsi="Cambria Math"/>
                <w:sz w:val="22"/>
              </w:rPr>
              <m:t>,…</m:t>
            </m:r>
            <m:sSub>
              <m:sSubPr>
                <m:ctrlPr>
                  <w:rPr>
                    <w:rFonts w:ascii="Cambria Math" w:eastAsiaTheme="minorEastAsia" w:hAnsi="Cambria Math"/>
                    <w:sz w:val="22"/>
                  </w:rPr>
                </m:ctrlPr>
              </m:sSubPr>
              <m:e>
                <m:r>
                  <m:rPr>
                    <m:sty m:val="p"/>
                  </m:rPr>
                  <w:rPr>
                    <w:rFonts w:ascii="Cambria Math" w:eastAsiaTheme="minorEastAsia" w:hAnsi="Cambria Math"/>
                    <w:sz w:val="22"/>
                  </w:rPr>
                  <m:t>Λ</m:t>
                </m:r>
              </m:e>
              <m:sub>
                <m:r>
                  <w:rPr>
                    <w:rFonts w:ascii="Cambria Math" w:eastAsiaTheme="minorEastAsia" w:hAnsi="Cambria Math"/>
                    <w:sz w:val="22"/>
                  </w:rPr>
                  <m:t>J+1</m:t>
                </m:r>
              </m:sub>
            </m:sSub>
          </m:e>
        </m:d>
      </m:oMath>
      <w:r w:rsidR="00530EF1" w:rsidRPr="00F8217C">
        <w:rPr>
          <w:rFonts w:eastAsiaTheme="minorEastAsia"/>
          <w:sz w:val="22"/>
        </w:rPr>
        <w:t xml:space="preserve"> which implies that the linear </w:t>
      </w:r>
      <w:r w:rsidR="00530EF1" w:rsidRPr="00F8217C">
        <w:rPr>
          <w:rFonts w:eastAsiaTheme="minorEastAsia"/>
          <w:sz w:val="22"/>
        </w:rPr>
        <w:lastRenderedPageBreak/>
        <w:t xml:space="preserve">combination of the attributes and characteristics from the vector of covariates </w:t>
      </w:r>
      <m:oMath>
        <m:r>
          <m:rPr>
            <m:sty m:val="b"/>
          </m:rPr>
          <w:rPr>
            <w:rFonts w:ascii="Cambria Math" w:eastAsiaTheme="minorEastAsia" w:hAnsi="Cambria Math"/>
            <w:sz w:val="22"/>
          </w:rPr>
          <m:t>V</m:t>
        </m:r>
      </m:oMath>
      <w:r w:rsidR="00530EF1" w:rsidRPr="00F8217C">
        <w:rPr>
          <w:rFonts w:eastAsiaTheme="minorEastAsia"/>
          <w:sz w:val="22"/>
        </w:rPr>
        <w:t xml:space="preserve"> in the training stage and vector of weights </w:t>
      </w:r>
      <m:oMath>
        <m:r>
          <m:rPr>
            <m:sty m:val="b"/>
          </m:rPr>
          <w:rPr>
            <w:rFonts w:ascii="Cambria Math" w:eastAsiaTheme="minorEastAsia" w:hAnsi="Cambria Math"/>
            <w:sz w:val="22"/>
          </w:rPr>
          <m:t>W</m:t>
        </m:r>
      </m:oMath>
      <w:r w:rsidR="00530EF1" w:rsidRPr="00F8217C">
        <w:rPr>
          <w:rFonts w:eastAsiaTheme="minorEastAsia"/>
          <w:sz w:val="22"/>
        </w:rPr>
        <w:t xml:space="preserve"> can only include non-zero positive weight rates and thus, </w:t>
      </w:r>
      <m:oMath>
        <m:r>
          <m:rPr>
            <m:sty m:val="p"/>
          </m:rPr>
          <w:rPr>
            <w:rFonts w:ascii="Cambria Math" w:eastAsiaTheme="minorEastAsia" w:hAnsi="Cambria Math"/>
            <w:sz w:val="22"/>
          </w:rPr>
          <m:t>Rank</m:t>
        </m:r>
        <m:d>
          <m:dPr>
            <m:ctrlPr>
              <w:rPr>
                <w:rFonts w:ascii="Cambria Math" w:eastAsiaTheme="minorEastAsia" w:hAnsi="Cambria Math"/>
                <w:i/>
                <w:sz w:val="22"/>
              </w:rPr>
            </m:ctrlPr>
          </m:dPr>
          <m:e>
            <m:d>
              <m:dPr>
                <m:begChr m:val="{"/>
                <m:endChr m:val="}"/>
                <m:ctrlPr>
                  <w:rPr>
                    <w:rFonts w:ascii="Cambria Math" w:eastAsiaTheme="minorEastAsia" w:hAnsi="Cambria Math"/>
                    <w:i/>
                    <w:sz w:val="22"/>
                  </w:rPr>
                </m:ctrlPr>
              </m:dPr>
              <m:e>
                <m:sSub>
                  <m:sSubPr>
                    <m:ctrlPr>
                      <w:rPr>
                        <w:rFonts w:ascii="Cambria Math" w:eastAsiaTheme="minorEastAsia" w:hAnsi="Cambria Math"/>
                        <w:sz w:val="22"/>
                      </w:rPr>
                    </m:ctrlPr>
                  </m:sSubPr>
                  <m:e>
                    <m:r>
                      <m:rPr>
                        <m:sty m:val="p"/>
                      </m:rPr>
                      <w:rPr>
                        <w:rFonts w:ascii="Cambria Math" w:eastAsiaTheme="minorEastAsia" w:hAnsi="Cambria Math"/>
                        <w:sz w:val="22"/>
                      </w:rPr>
                      <m:t>Λ</m:t>
                    </m:r>
                  </m:e>
                  <m:sub>
                    <m:r>
                      <w:rPr>
                        <w:rFonts w:ascii="Cambria Math" w:eastAsiaTheme="minorEastAsia" w:hAnsi="Cambria Math"/>
                        <w:sz w:val="22"/>
                      </w:rPr>
                      <m:t>2</m:t>
                    </m:r>
                  </m:sub>
                </m:sSub>
                <m:r>
                  <m:rPr>
                    <m:sty m:val="p"/>
                  </m:rPr>
                  <w:rPr>
                    <w:rFonts w:ascii="Cambria Math" w:eastAsiaTheme="minorEastAsia" w:hAnsi="Cambria Math"/>
                    <w:sz w:val="22"/>
                  </w:rPr>
                  <m:t>,…</m:t>
                </m:r>
                <m:sSub>
                  <m:sSubPr>
                    <m:ctrlPr>
                      <w:rPr>
                        <w:rFonts w:ascii="Cambria Math" w:eastAsiaTheme="minorEastAsia" w:hAnsi="Cambria Math"/>
                        <w:sz w:val="22"/>
                      </w:rPr>
                    </m:ctrlPr>
                  </m:sSubPr>
                  <m:e>
                    <m:r>
                      <m:rPr>
                        <m:sty m:val="p"/>
                      </m:rPr>
                      <w:rPr>
                        <w:rFonts w:ascii="Cambria Math" w:eastAsiaTheme="minorEastAsia" w:hAnsi="Cambria Math"/>
                        <w:sz w:val="22"/>
                      </w:rPr>
                      <m:t>Λ</m:t>
                    </m:r>
                  </m:e>
                  <m:sub>
                    <m:r>
                      <w:rPr>
                        <w:rFonts w:ascii="Cambria Math" w:eastAsiaTheme="minorEastAsia" w:hAnsi="Cambria Math"/>
                        <w:sz w:val="22"/>
                      </w:rPr>
                      <m:t>J+1</m:t>
                    </m:r>
                  </m:sub>
                </m:sSub>
              </m:e>
            </m:d>
          </m:e>
        </m:d>
        <m:r>
          <w:rPr>
            <w:rFonts w:ascii="Cambria Math" w:eastAsiaTheme="minorEastAsia" w:hAnsi="Cambria Math"/>
            <w:sz w:val="22"/>
          </w:rPr>
          <m:t>=</m:t>
        </m:r>
        <m:sSub>
          <m:sSubPr>
            <m:ctrlPr>
              <w:rPr>
                <w:rFonts w:ascii="Cambria Math" w:eastAsiaTheme="minorEastAsia" w:hAnsi="Cambria Math"/>
                <w:i/>
                <w:sz w:val="22"/>
              </w:rPr>
            </m:ctrlPr>
          </m:sSubPr>
          <m:e>
            <m:r>
              <w:rPr>
                <w:rFonts w:ascii="Cambria Math" w:eastAsiaTheme="minorEastAsia" w:hAnsi="Cambria Math"/>
                <w:sz w:val="22"/>
              </w:rPr>
              <m:t>T</m:t>
            </m:r>
          </m:e>
          <m:sub>
            <m:r>
              <w:rPr>
                <w:rFonts w:ascii="Cambria Math" w:eastAsiaTheme="minorEastAsia" w:hAnsi="Cambria Math"/>
                <w:sz w:val="22"/>
              </w:rPr>
              <m:t>0</m:t>
            </m:r>
          </m:sub>
        </m:sSub>
        <m:r>
          <w:rPr>
            <w:rFonts w:ascii="Cambria Math" w:eastAsiaTheme="minorEastAsia" w:hAnsi="Cambria Math"/>
            <w:sz w:val="22"/>
          </w:rPr>
          <m:t>+r</m:t>
        </m:r>
      </m:oMath>
      <w:r w:rsidR="00530EF1" w:rsidRPr="00F8217C">
        <w:rPr>
          <w:rFonts w:eastAsiaTheme="minorEastAsia"/>
          <w:sz w:val="22"/>
        </w:rPr>
        <w:t xml:space="preserve"> condition holds. </w:t>
      </w:r>
      <w:r w:rsidR="001C6B48" w:rsidRPr="00F8217C">
        <w:rPr>
          <w:rFonts w:eastAsiaTheme="minorEastAsia"/>
          <w:sz w:val="22"/>
        </w:rPr>
        <w:t xml:space="preserve">To estimate a plausible counterfactual scenario without pre-existing trends in the outcome variables, we assume that the treated regions and their counterparts in the donor pool without political instability follow the same latent factor model over time. If pre-intervention time window is sufficiently large, reasonably unbiased estimate of </w:t>
      </w:r>
      <m:oMath>
        <m:sSubSup>
          <m:sSubSupPr>
            <m:ctrlPr>
              <w:rPr>
                <w:rFonts w:ascii="Cambria Math" w:eastAsiaTheme="minorEastAsia" w:hAnsi="Cambria Math"/>
                <w:i/>
                <w:sz w:val="22"/>
              </w:rPr>
            </m:ctrlPr>
          </m:sSubSupPr>
          <m:e>
            <m:r>
              <w:rPr>
                <w:rFonts w:ascii="Cambria Math" w:eastAsiaTheme="minorEastAsia" w:hAnsi="Cambria Math"/>
                <w:sz w:val="22"/>
              </w:rPr>
              <m:t>Y</m:t>
            </m:r>
          </m:e>
          <m:sub>
            <m:r>
              <w:rPr>
                <w:rFonts w:ascii="Cambria Math" w:eastAsiaTheme="minorEastAsia" w:hAnsi="Cambria Math"/>
                <w:sz w:val="22"/>
              </w:rPr>
              <m:t>i,t</m:t>
            </m:r>
          </m:sub>
          <m:sup>
            <m:r>
              <w:rPr>
                <w:rFonts w:ascii="Cambria Math" w:eastAsiaTheme="minorEastAsia" w:hAnsi="Cambria Math"/>
                <w:sz w:val="22"/>
              </w:rPr>
              <m:t>N</m:t>
            </m:r>
          </m:sup>
        </m:sSubSup>
      </m:oMath>
      <w:r w:rsidR="001C6B48" w:rsidRPr="00F8217C">
        <w:rPr>
          <w:rFonts w:eastAsiaTheme="minorEastAsia"/>
          <w:sz w:val="22"/>
        </w:rPr>
        <w:t xml:space="preserve"> is possible. Given that our time window spans more than 10 years, it is neither insufficiently low nor excessively large and enables us to track and reproduce the region-level trajectory of institutional quality is a reasonable manner to avoid biasing the estimate of </w:t>
      </w:r>
      <m:oMath>
        <m:sSub>
          <m:sSubPr>
            <m:ctrlPr>
              <w:rPr>
                <w:rFonts w:ascii="Cambria Math" w:hAnsi="Cambria Math"/>
                <w:i/>
                <w:sz w:val="22"/>
              </w:rPr>
            </m:ctrlPr>
          </m:sSubPr>
          <m:e>
            <m:acc>
              <m:accPr>
                <m:ctrlPr>
                  <w:rPr>
                    <w:rFonts w:ascii="Cambria Math" w:hAnsi="Cambria Math"/>
                    <w:i/>
                    <w:sz w:val="22"/>
                  </w:rPr>
                </m:ctrlPr>
              </m:accPr>
              <m:e>
                <m:r>
                  <w:rPr>
                    <w:rFonts w:ascii="Cambria Math" w:hAnsi="Cambria Math"/>
                    <w:sz w:val="22"/>
                  </w:rPr>
                  <m:t>λ</m:t>
                </m:r>
              </m:e>
            </m:acc>
          </m:e>
          <m:sub>
            <m:r>
              <w:rPr>
                <w:rFonts w:ascii="Cambria Math" w:hAnsi="Cambria Math"/>
                <w:sz w:val="22"/>
              </w:rPr>
              <m:t>1,t</m:t>
            </m:r>
          </m:sub>
        </m:sSub>
      </m:oMath>
      <w:r w:rsidR="00A45205" w:rsidRPr="00F8217C">
        <w:rPr>
          <w:rFonts w:eastAsiaTheme="minorEastAsia"/>
          <w:sz w:val="22"/>
        </w:rPr>
        <w:t>.</w:t>
      </w:r>
    </w:p>
    <w:p w14:paraId="5A3D2B7A" w14:textId="77777777" w:rsidR="00A45205" w:rsidRPr="00F8217C" w:rsidRDefault="00A45205" w:rsidP="007F7504">
      <w:pPr>
        <w:spacing w:after="0"/>
        <w:jc w:val="both"/>
        <w:rPr>
          <w:rFonts w:eastAsiaTheme="minorEastAsia"/>
          <w:sz w:val="22"/>
        </w:rPr>
      </w:pPr>
    </w:p>
    <w:p w14:paraId="77B9DB3B" w14:textId="77777777" w:rsidR="00A45205" w:rsidRPr="00F8217C" w:rsidRDefault="00A45205" w:rsidP="007F7504">
      <w:pPr>
        <w:spacing w:after="0"/>
        <w:jc w:val="both"/>
        <w:rPr>
          <w:rFonts w:eastAsiaTheme="minorEastAsia"/>
          <w:sz w:val="22"/>
        </w:rPr>
      </w:pPr>
      <w:r w:rsidRPr="00F8217C">
        <w:rPr>
          <w:rFonts w:eastAsiaTheme="minorEastAsia"/>
          <w:sz w:val="22"/>
        </w:rPr>
        <w:t xml:space="preserve">Since our model involves several treated units with a single-treatment year, we follow </w:t>
      </w:r>
      <w:r w:rsidRPr="00C81585">
        <w:rPr>
          <w:rFonts w:eastAsiaTheme="minorEastAsia"/>
          <w:color w:val="4472C4" w:themeColor="accent5"/>
          <w:sz w:val="22"/>
        </w:rPr>
        <w:t>Cavallo et. al. (2013)</w:t>
      </w:r>
      <w:r w:rsidRPr="00F8217C">
        <w:rPr>
          <w:rFonts w:eastAsiaTheme="minorEastAsia"/>
          <w:sz w:val="22"/>
        </w:rPr>
        <w:t xml:space="preserve">, </w:t>
      </w:r>
      <w:r w:rsidRPr="00C81585">
        <w:rPr>
          <w:rFonts w:eastAsiaTheme="minorEastAsia"/>
          <w:color w:val="4472C4" w:themeColor="accent5"/>
          <w:sz w:val="22"/>
        </w:rPr>
        <w:t xml:space="preserve">Acemoglu et. al. (2016) </w:t>
      </w:r>
      <w:r w:rsidRPr="00F8217C">
        <w:rPr>
          <w:rFonts w:eastAsiaTheme="minorEastAsia"/>
          <w:sz w:val="22"/>
        </w:rPr>
        <w:t xml:space="preserve">and </w:t>
      </w:r>
      <w:r w:rsidRPr="00C81585">
        <w:rPr>
          <w:rFonts w:eastAsiaTheme="minorEastAsia"/>
          <w:color w:val="4472C4" w:themeColor="accent5"/>
          <w:sz w:val="22"/>
        </w:rPr>
        <w:t>Gobillon and Magnac (2016</w:t>
      </w:r>
      <w:proofErr w:type="gramStart"/>
      <w:r w:rsidRPr="00C81585">
        <w:rPr>
          <w:rFonts w:eastAsiaTheme="minorEastAsia"/>
          <w:color w:val="4472C4" w:themeColor="accent5"/>
          <w:sz w:val="22"/>
        </w:rPr>
        <w:t>)</w:t>
      </w:r>
      <w:r w:rsidRPr="00F8217C">
        <w:rPr>
          <w:rFonts w:eastAsiaTheme="minorEastAsia"/>
          <w:sz w:val="22"/>
        </w:rPr>
        <w:t>, and</w:t>
      </w:r>
      <w:proofErr w:type="gramEnd"/>
      <w:r w:rsidRPr="00F8217C">
        <w:rPr>
          <w:rFonts w:eastAsiaTheme="minorEastAsia"/>
          <w:sz w:val="22"/>
        </w:rPr>
        <w:t xml:space="preserve"> extend the model setup towards multiple treated units. Under such setup, the vector of treatment effects of political instability </w:t>
      </w:r>
      <m:oMath>
        <m:d>
          <m:dPr>
            <m:begChr m:val="{"/>
            <m:endChr m:val="}"/>
            <m:ctrlPr>
              <w:rPr>
                <w:rFonts w:ascii="Cambria Math" w:eastAsiaTheme="minorEastAsia" w:hAnsi="Cambria Math"/>
                <w:i/>
                <w:sz w:val="22"/>
              </w:rPr>
            </m:ctrlPr>
          </m:dPr>
          <m:e>
            <m:sSub>
              <m:sSubPr>
                <m:ctrlPr>
                  <w:rPr>
                    <w:rFonts w:ascii="Cambria Math" w:hAnsi="Cambria Math"/>
                    <w:i/>
                    <w:sz w:val="22"/>
                  </w:rPr>
                </m:ctrlPr>
              </m:sSubPr>
              <m:e>
                <m:acc>
                  <m:accPr>
                    <m:ctrlPr>
                      <w:rPr>
                        <w:rFonts w:ascii="Cambria Math" w:hAnsi="Cambria Math"/>
                        <w:i/>
                        <w:sz w:val="22"/>
                      </w:rPr>
                    </m:ctrlPr>
                  </m:accPr>
                  <m:e>
                    <m:r>
                      <w:rPr>
                        <w:rFonts w:ascii="Cambria Math" w:hAnsi="Cambria Math"/>
                        <w:sz w:val="22"/>
                      </w:rPr>
                      <m:t>λ</m:t>
                    </m:r>
                  </m:e>
                </m:acc>
              </m:e>
              <m:sub>
                <m:r>
                  <w:rPr>
                    <w:rFonts w:ascii="Cambria Math" w:hAnsi="Cambria Math"/>
                    <w:sz w:val="22"/>
                  </w:rPr>
                  <m:t>1,</m:t>
                </m:r>
                <m:sSub>
                  <m:sSubPr>
                    <m:ctrlPr>
                      <w:rPr>
                        <w:rFonts w:ascii="Cambria Math" w:hAnsi="Cambria Math"/>
                        <w:i/>
                        <w:sz w:val="22"/>
                      </w:rPr>
                    </m:ctrlPr>
                  </m:sSubPr>
                  <m:e>
                    <m:r>
                      <w:rPr>
                        <w:rFonts w:ascii="Cambria Math" w:hAnsi="Cambria Math"/>
                        <w:sz w:val="22"/>
                      </w:rPr>
                      <m:t>T</m:t>
                    </m:r>
                  </m:e>
                  <m:sub>
                    <m:r>
                      <w:rPr>
                        <w:rFonts w:ascii="Cambria Math" w:hAnsi="Cambria Math"/>
                        <w:sz w:val="22"/>
                      </w:rPr>
                      <m:t>0</m:t>
                    </m:r>
                  </m:sub>
                </m:sSub>
                <m:r>
                  <w:rPr>
                    <w:rFonts w:ascii="Cambria Math" w:hAnsi="Cambria Math"/>
                    <w:sz w:val="22"/>
                  </w:rPr>
                  <m:t>+1</m:t>
                </m:r>
              </m:sub>
            </m:sSub>
            <m:r>
              <w:rPr>
                <w:rFonts w:ascii="Cambria Math" w:hAnsi="Cambria Math"/>
                <w:sz w:val="22"/>
              </w:rPr>
              <m:t>,…</m:t>
            </m:r>
            <m:sSub>
              <m:sSubPr>
                <m:ctrlPr>
                  <w:rPr>
                    <w:rFonts w:ascii="Cambria Math" w:hAnsi="Cambria Math"/>
                    <w:i/>
                    <w:sz w:val="22"/>
                  </w:rPr>
                </m:ctrlPr>
              </m:sSubPr>
              <m:e>
                <m:acc>
                  <m:accPr>
                    <m:ctrlPr>
                      <w:rPr>
                        <w:rFonts w:ascii="Cambria Math" w:hAnsi="Cambria Math"/>
                        <w:i/>
                        <w:sz w:val="22"/>
                      </w:rPr>
                    </m:ctrlPr>
                  </m:accPr>
                  <m:e>
                    <m:r>
                      <w:rPr>
                        <w:rFonts w:ascii="Cambria Math" w:hAnsi="Cambria Math"/>
                        <w:sz w:val="22"/>
                      </w:rPr>
                      <m:t>λ</m:t>
                    </m:r>
                  </m:e>
                </m:acc>
              </m:e>
              <m:sub>
                <m:r>
                  <w:rPr>
                    <w:rFonts w:ascii="Cambria Math" w:hAnsi="Cambria Math"/>
                    <w:sz w:val="22"/>
                  </w:rPr>
                  <m:t>1,</m:t>
                </m:r>
                <m:sSub>
                  <m:sSubPr>
                    <m:ctrlPr>
                      <w:rPr>
                        <w:rFonts w:ascii="Cambria Math" w:hAnsi="Cambria Math"/>
                        <w:i/>
                        <w:sz w:val="22"/>
                      </w:rPr>
                    </m:ctrlPr>
                  </m:sSubPr>
                  <m:e>
                    <m:r>
                      <w:rPr>
                        <w:rFonts w:ascii="Cambria Math" w:hAnsi="Cambria Math"/>
                        <w:sz w:val="22"/>
                      </w:rPr>
                      <m:t>T</m:t>
                    </m:r>
                  </m:e>
                  <m:sub>
                    <m:r>
                      <w:rPr>
                        <w:rFonts w:ascii="Cambria Math" w:hAnsi="Cambria Math"/>
                        <w:sz w:val="22"/>
                      </w:rPr>
                      <m:t>0</m:t>
                    </m:r>
                  </m:sub>
                </m:sSub>
                <m:r>
                  <w:rPr>
                    <w:rFonts w:ascii="Cambria Math" w:hAnsi="Cambria Math"/>
                    <w:sz w:val="22"/>
                  </w:rPr>
                  <m:t>+k</m:t>
                </m:r>
              </m:sub>
            </m:sSub>
          </m:e>
        </m:d>
      </m:oMath>
      <w:r w:rsidRPr="00F8217C">
        <w:rPr>
          <w:rFonts w:eastAsiaTheme="minorEastAsia"/>
          <w:sz w:val="22"/>
        </w:rPr>
        <w:t xml:space="preserve"> is estimated for each region separately. Hence, a dynamic estimate of average treatment effect is computed by integrating over the treated </w:t>
      </w:r>
      <w:proofErr w:type="gramStart"/>
      <w:r w:rsidRPr="00F8217C">
        <w:rPr>
          <w:rFonts w:eastAsiaTheme="minorEastAsia"/>
          <w:sz w:val="22"/>
        </w:rPr>
        <w:t>units</w:t>
      </w:r>
      <w:proofErr w:type="gramEnd"/>
      <w:r w:rsidRPr="00F8217C">
        <w:rPr>
          <w:rFonts w:eastAsiaTheme="minorEastAsia"/>
          <w:sz w:val="22"/>
        </w:rPr>
        <w:t xml:space="preserve"> vector of </w:t>
      </w:r>
      <m:oMath>
        <m:sSub>
          <m:sSubPr>
            <m:ctrlPr>
              <w:rPr>
                <w:rFonts w:ascii="Cambria Math" w:hAnsi="Cambria Math"/>
                <w:i/>
                <w:sz w:val="22"/>
              </w:rPr>
            </m:ctrlPr>
          </m:sSubPr>
          <m:e>
            <m:acc>
              <m:accPr>
                <m:ctrlPr>
                  <w:rPr>
                    <w:rFonts w:ascii="Cambria Math" w:hAnsi="Cambria Math"/>
                    <w:i/>
                    <w:sz w:val="22"/>
                  </w:rPr>
                </m:ctrlPr>
              </m:accPr>
              <m:e>
                <m:r>
                  <w:rPr>
                    <w:rFonts w:ascii="Cambria Math" w:hAnsi="Cambria Math"/>
                    <w:sz w:val="22"/>
                  </w:rPr>
                  <m:t>λ</m:t>
                </m:r>
              </m:e>
            </m:acc>
          </m:e>
          <m:sub>
            <m:r>
              <w:rPr>
                <w:rFonts w:ascii="Cambria Math" w:hAnsi="Cambria Math"/>
                <w:sz w:val="22"/>
              </w:rPr>
              <m:t>1</m:t>
            </m:r>
          </m:sub>
        </m:sSub>
      </m:oMath>
      <w:r w:rsidRPr="00F8217C">
        <w:rPr>
          <w:rFonts w:eastAsiaTheme="minorEastAsia"/>
          <w:sz w:val="22"/>
        </w:rPr>
        <w:t>:</w:t>
      </w:r>
    </w:p>
    <w:p w14:paraId="301C6690" w14:textId="77777777" w:rsidR="00A45205" w:rsidRPr="00F8217C" w:rsidRDefault="00A45205" w:rsidP="007F7504">
      <w:pPr>
        <w:spacing w:after="0"/>
        <w:jc w:val="both"/>
        <w:rPr>
          <w:rFonts w:eastAsiaTheme="minorEastAsia"/>
          <w:sz w:val="22"/>
        </w:rPr>
      </w:pPr>
    </w:p>
    <w:p w14:paraId="4C976D2A" w14:textId="77777777" w:rsidR="00A45205" w:rsidRPr="00F8217C" w:rsidRDefault="00000000" w:rsidP="007F7504">
      <w:pPr>
        <w:spacing w:after="0"/>
        <w:jc w:val="both"/>
        <w:rPr>
          <w:rFonts w:eastAsiaTheme="minorEastAsia"/>
          <w:sz w:val="22"/>
        </w:rPr>
      </w:pPr>
      <m:oMathPara>
        <m:oMath>
          <m:acc>
            <m:accPr>
              <m:chr m:val="̅"/>
              <m:ctrlPr>
                <w:rPr>
                  <w:rFonts w:ascii="Cambria Math" w:eastAsiaTheme="minorEastAsia" w:hAnsi="Cambria Math"/>
                  <w:i/>
                  <w:sz w:val="22"/>
                </w:rPr>
              </m:ctrlPr>
            </m:accPr>
            <m:e>
              <m:r>
                <w:rPr>
                  <w:rFonts w:ascii="Cambria Math" w:eastAsiaTheme="minorEastAsia" w:hAnsi="Cambria Math"/>
                  <w:sz w:val="22"/>
                </w:rPr>
                <m:t>λ</m:t>
              </m:r>
            </m:e>
          </m:acc>
          <m:r>
            <w:rPr>
              <w:rFonts w:ascii="Cambria Math" w:eastAsiaTheme="minorEastAsia" w:hAnsi="Cambria Math"/>
              <w:sz w:val="22"/>
            </w:rPr>
            <m:t>=</m:t>
          </m:r>
          <m:d>
            <m:dPr>
              <m:begChr m:val="{"/>
              <m:endChr m:val="}"/>
              <m:ctrlPr>
                <w:rPr>
                  <w:rFonts w:ascii="Cambria Math" w:eastAsiaTheme="minorEastAsia" w:hAnsi="Cambria Math"/>
                  <w:i/>
                  <w:sz w:val="22"/>
                </w:rPr>
              </m:ctrlPr>
            </m:dPr>
            <m:e>
              <m:sSub>
                <m:sSubPr>
                  <m:ctrlPr>
                    <w:rPr>
                      <w:rFonts w:ascii="Cambria Math" w:hAnsi="Cambria Math"/>
                      <w:i/>
                      <w:sz w:val="22"/>
                    </w:rPr>
                  </m:ctrlPr>
                </m:sSubPr>
                <m:e>
                  <m:acc>
                    <m:accPr>
                      <m:ctrlPr>
                        <w:rPr>
                          <w:rFonts w:ascii="Cambria Math" w:hAnsi="Cambria Math"/>
                          <w:i/>
                          <w:sz w:val="22"/>
                        </w:rPr>
                      </m:ctrlPr>
                    </m:accPr>
                    <m:e>
                      <m:r>
                        <w:rPr>
                          <w:rFonts w:ascii="Cambria Math" w:hAnsi="Cambria Math"/>
                          <w:sz w:val="22"/>
                        </w:rPr>
                        <m:t>λ</m:t>
                      </m:r>
                    </m:e>
                  </m:acc>
                </m:e>
                <m:sub>
                  <m:r>
                    <w:rPr>
                      <w:rFonts w:ascii="Cambria Math" w:hAnsi="Cambria Math"/>
                      <w:sz w:val="22"/>
                    </w:rPr>
                    <m:t>1,</m:t>
                  </m:r>
                  <m:sSub>
                    <m:sSubPr>
                      <m:ctrlPr>
                        <w:rPr>
                          <w:rFonts w:ascii="Cambria Math" w:hAnsi="Cambria Math"/>
                          <w:i/>
                          <w:sz w:val="22"/>
                        </w:rPr>
                      </m:ctrlPr>
                    </m:sSubPr>
                    <m:e>
                      <m:r>
                        <w:rPr>
                          <w:rFonts w:ascii="Cambria Math" w:hAnsi="Cambria Math"/>
                          <w:sz w:val="22"/>
                        </w:rPr>
                        <m:t>T</m:t>
                      </m:r>
                    </m:e>
                    <m:sub>
                      <m:r>
                        <w:rPr>
                          <w:rFonts w:ascii="Cambria Math" w:hAnsi="Cambria Math"/>
                          <w:sz w:val="22"/>
                        </w:rPr>
                        <m:t>0</m:t>
                      </m:r>
                    </m:sub>
                  </m:sSub>
                  <m:r>
                    <w:rPr>
                      <w:rFonts w:ascii="Cambria Math" w:hAnsi="Cambria Math"/>
                      <w:sz w:val="22"/>
                    </w:rPr>
                    <m:t>+1</m:t>
                  </m:r>
                </m:sub>
              </m:sSub>
              <m:r>
                <w:rPr>
                  <w:rFonts w:ascii="Cambria Math" w:hAnsi="Cambria Math"/>
                  <w:sz w:val="22"/>
                </w:rPr>
                <m:t>,…</m:t>
              </m:r>
              <m:sSub>
                <m:sSubPr>
                  <m:ctrlPr>
                    <w:rPr>
                      <w:rFonts w:ascii="Cambria Math" w:hAnsi="Cambria Math"/>
                      <w:i/>
                      <w:sz w:val="22"/>
                    </w:rPr>
                  </m:ctrlPr>
                </m:sSubPr>
                <m:e>
                  <m:acc>
                    <m:accPr>
                      <m:ctrlPr>
                        <w:rPr>
                          <w:rFonts w:ascii="Cambria Math" w:hAnsi="Cambria Math"/>
                          <w:i/>
                          <w:sz w:val="22"/>
                        </w:rPr>
                      </m:ctrlPr>
                    </m:accPr>
                    <m:e>
                      <m:r>
                        <w:rPr>
                          <w:rFonts w:ascii="Cambria Math" w:hAnsi="Cambria Math"/>
                          <w:sz w:val="22"/>
                        </w:rPr>
                        <m:t>λ</m:t>
                      </m:r>
                    </m:e>
                  </m:acc>
                </m:e>
                <m:sub>
                  <m:r>
                    <w:rPr>
                      <w:rFonts w:ascii="Cambria Math" w:hAnsi="Cambria Math"/>
                      <w:sz w:val="22"/>
                    </w:rPr>
                    <m:t>1,</m:t>
                  </m:r>
                  <m:sSub>
                    <m:sSubPr>
                      <m:ctrlPr>
                        <w:rPr>
                          <w:rFonts w:ascii="Cambria Math" w:hAnsi="Cambria Math"/>
                          <w:i/>
                          <w:sz w:val="22"/>
                        </w:rPr>
                      </m:ctrlPr>
                    </m:sSubPr>
                    <m:e>
                      <m:r>
                        <w:rPr>
                          <w:rFonts w:ascii="Cambria Math" w:hAnsi="Cambria Math"/>
                          <w:sz w:val="22"/>
                        </w:rPr>
                        <m:t>T</m:t>
                      </m:r>
                    </m:e>
                    <m:sub>
                      <m:r>
                        <w:rPr>
                          <w:rFonts w:ascii="Cambria Math" w:hAnsi="Cambria Math"/>
                          <w:sz w:val="22"/>
                        </w:rPr>
                        <m:t>0</m:t>
                      </m:r>
                    </m:sub>
                  </m:sSub>
                  <m:r>
                    <w:rPr>
                      <w:rFonts w:ascii="Cambria Math" w:hAnsi="Cambria Math"/>
                      <w:sz w:val="22"/>
                    </w:rPr>
                    <m:t>+k</m:t>
                  </m:r>
                </m:sub>
              </m:sSub>
            </m:e>
          </m:d>
          <m:r>
            <w:rPr>
              <w:rFonts w:ascii="Cambria Math" w:eastAsiaTheme="minorEastAsia" w:hAnsi="Cambria Math"/>
              <w:sz w:val="22"/>
            </w:rPr>
            <m:t>=</m:t>
          </m:r>
          <m:sSubSup>
            <m:sSubSupPr>
              <m:ctrlPr>
                <w:rPr>
                  <w:rFonts w:ascii="Cambria Math" w:eastAsiaTheme="minorEastAsia" w:hAnsi="Cambria Math"/>
                  <w:i/>
                  <w:sz w:val="22"/>
                </w:rPr>
              </m:ctrlPr>
            </m:sSubSupPr>
            <m:e>
              <m:r>
                <w:rPr>
                  <w:rFonts w:ascii="Cambria Math" w:eastAsiaTheme="minorEastAsia" w:hAnsi="Cambria Math"/>
                  <w:sz w:val="22"/>
                </w:rPr>
                <m:t>N</m:t>
              </m:r>
            </m:e>
            <m:sub>
              <m:r>
                <w:rPr>
                  <w:rFonts w:ascii="Cambria Math" w:eastAsiaTheme="minorEastAsia" w:hAnsi="Cambria Math"/>
                  <w:sz w:val="22"/>
                </w:rPr>
                <m:t>T</m:t>
              </m:r>
            </m:sub>
            <m:sup>
              <m:r>
                <w:rPr>
                  <w:rFonts w:ascii="Cambria Math" w:eastAsiaTheme="minorEastAsia" w:hAnsi="Cambria Math"/>
                  <w:sz w:val="22"/>
                </w:rPr>
                <m:t>-1</m:t>
              </m:r>
            </m:sup>
          </m:sSubSup>
          <m:nary>
            <m:naryPr>
              <m:chr m:val="∑"/>
              <m:limLoc m:val="subSup"/>
              <m:ctrlPr>
                <w:rPr>
                  <w:rFonts w:ascii="Cambria Math" w:eastAsiaTheme="minorEastAsia" w:hAnsi="Cambria Math"/>
                  <w:i/>
                  <w:sz w:val="22"/>
                </w:rPr>
              </m:ctrlPr>
            </m:naryPr>
            <m:sub>
              <m:r>
                <w:rPr>
                  <w:rFonts w:ascii="Cambria Math" w:eastAsiaTheme="minorEastAsia" w:hAnsi="Cambria Math"/>
                  <w:sz w:val="22"/>
                </w:rPr>
                <m:t>i=1</m:t>
              </m:r>
            </m:sub>
            <m:sup>
              <m:sSub>
                <m:sSubPr>
                  <m:ctrlPr>
                    <w:rPr>
                      <w:rFonts w:ascii="Cambria Math" w:eastAsiaTheme="minorEastAsia" w:hAnsi="Cambria Math"/>
                      <w:i/>
                      <w:sz w:val="22"/>
                    </w:rPr>
                  </m:ctrlPr>
                </m:sSubPr>
                <m:e>
                  <m:r>
                    <w:rPr>
                      <w:rFonts w:ascii="Cambria Math" w:eastAsiaTheme="minorEastAsia" w:hAnsi="Cambria Math"/>
                      <w:sz w:val="22"/>
                    </w:rPr>
                    <m:t>N</m:t>
                  </m:r>
                </m:e>
                <m:sub>
                  <m:r>
                    <w:rPr>
                      <w:rFonts w:ascii="Cambria Math" w:eastAsiaTheme="minorEastAsia" w:hAnsi="Cambria Math"/>
                      <w:sz w:val="22"/>
                    </w:rPr>
                    <m:t>T</m:t>
                  </m:r>
                </m:sub>
              </m:sSub>
            </m:sup>
            <m:e>
              <m:d>
                <m:dPr>
                  <m:begChr m:val="{"/>
                  <m:endChr m:val="}"/>
                  <m:ctrlPr>
                    <w:rPr>
                      <w:rFonts w:ascii="Cambria Math" w:hAnsi="Cambria Math"/>
                      <w:i/>
                      <w:sz w:val="22"/>
                    </w:rPr>
                  </m:ctrlPr>
                </m:dPr>
                <m:e>
                  <m:sSub>
                    <m:sSubPr>
                      <m:ctrlPr>
                        <w:rPr>
                          <w:rFonts w:ascii="Cambria Math" w:hAnsi="Cambria Math"/>
                          <w:i/>
                          <w:sz w:val="22"/>
                        </w:rPr>
                      </m:ctrlPr>
                    </m:sSubPr>
                    <m:e>
                      <m:acc>
                        <m:accPr>
                          <m:ctrlPr>
                            <w:rPr>
                              <w:rFonts w:ascii="Cambria Math" w:hAnsi="Cambria Math"/>
                              <w:i/>
                              <w:sz w:val="22"/>
                            </w:rPr>
                          </m:ctrlPr>
                        </m:accPr>
                        <m:e>
                          <m:r>
                            <w:rPr>
                              <w:rFonts w:ascii="Cambria Math" w:hAnsi="Cambria Math"/>
                              <w:sz w:val="22"/>
                            </w:rPr>
                            <m:t>λ</m:t>
                          </m:r>
                        </m:e>
                      </m:acc>
                    </m:e>
                    <m:sub>
                      <m:r>
                        <w:rPr>
                          <w:rFonts w:ascii="Cambria Math" w:hAnsi="Cambria Math"/>
                          <w:sz w:val="22"/>
                        </w:rPr>
                        <m:t>1,</m:t>
                      </m:r>
                      <m:sSub>
                        <m:sSubPr>
                          <m:ctrlPr>
                            <w:rPr>
                              <w:rFonts w:ascii="Cambria Math" w:hAnsi="Cambria Math"/>
                              <w:i/>
                              <w:sz w:val="22"/>
                            </w:rPr>
                          </m:ctrlPr>
                        </m:sSubPr>
                        <m:e>
                          <m:r>
                            <w:rPr>
                              <w:rFonts w:ascii="Cambria Math" w:hAnsi="Cambria Math"/>
                              <w:sz w:val="22"/>
                            </w:rPr>
                            <m:t>T</m:t>
                          </m:r>
                        </m:e>
                        <m:sub>
                          <m:r>
                            <w:rPr>
                              <w:rFonts w:ascii="Cambria Math" w:hAnsi="Cambria Math"/>
                              <w:sz w:val="22"/>
                            </w:rPr>
                            <m:t>0</m:t>
                          </m:r>
                        </m:sub>
                      </m:sSub>
                      <m:r>
                        <w:rPr>
                          <w:rFonts w:ascii="Cambria Math" w:hAnsi="Cambria Math"/>
                          <w:sz w:val="22"/>
                        </w:rPr>
                        <m:t>+1</m:t>
                      </m:r>
                    </m:sub>
                  </m:sSub>
                  <m:r>
                    <w:rPr>
                      <w:rFonts w:ascii="Cambria Math" w:hAnsi="Cambria Math"/>
                      <w:sz w:val="22"/>
                    </w:rPr>
                    <m:t>,…</m:t>
                  </m:r>
                  <m:sSub>
                    <m:sSubPr>
                      <m:ctrlPr>
                        <w:rPr>
                          <w:rFonts w:ascii="Cambria Math" w:hAnsi="Cambria Math"/>
                          <w:i/>
                          <w:sz w:val="22"/>
                        </w:rPr>
                      </m:ctrlPr>
                    </m:sSubPr>
                    <m:e>
                      <m:acc>
                        <m:accPr>
                          <m:ctrlPr>
                            <w:rPr>
                              <w:rFonts w:ascii="Cambria Math" w:hAnsi="Cambria Math"/>
                              <w:i/>
                              <w:sz w:val="22"/>
                            </w:rPr>
                          </m:ctrlPr>
                        </m:accPr>
                        <m:e>
                          <m:r>
                            <w:rPr>
                              <w:rFonts w:ascii="Cambria Math" w:hAnsi="Cambria Math"/>
                              <w:sz w:val="22"/>
                            </w:rPr>
                            <m:t>λ</m:t>
                          </m:r>
                        </m:e>
                      </m:acc>
                    </m:e>
                    <m:sub>
                      <m:r>
                        <w:rPr>
                          <w:rFonts w:ascii="Cambria Math" w:hAnsi="Cambria Math"/>
                          <w:sz w:val="22"/>
                        </w:rPr>
                        <m:t>1,</m:t>
                      </m:r>
                      <m:sSub>
                        <m:sSubPr>
                          <m:ctrlPr>
                            <w:rPr>
                              <w:rFonts w:ascii="Cambria Math" w:hAnsi="Cambria Math"/>
                              <w:i/>
                              <w:sz w:val="22"/>
                            </w:rPr>
                          </m:ctrlPr>
                        </m:sSubPr>
                        <m:e>
                          <m:r>
                            <w:rPr>
                              <w:rFonts w:ascii="Cambria Math" w:hAnsi="Cambria Math"/>
                              <w:sz w:val="22"/>
                            </w:rPr>
                            <m:t>T</m:t>
                          </m:r>
                        </m:e>
                        <m:sub>
                          <m:r>
                            <w:rPr>
                              <w:rFonts w:ascii="Cambria Math" w:hAnsi="Cambria Math"/>
                              <w:sz w:val="22"/>
                            </w:rPr>
                            <m:t>0</m:t>
                          </m:r>
                        </m:sub>
                      </m:sSub>
                      <m:r>
                        <w:rPr>
                          <w:rFonts w:ascii="Cambria Math" w:hAnsi="Cambria Math"/>
                          <w:sz w:val="22"/>
                        </w:rPr>
                        <m:t>+k</m:t>
                      </m:r>
                    </m:sub>
                  </m:sSub>
                </m:e>
              </m:d>
            </m:e>
          </m:nary>
        </m:oMath>
      </m:oMathPara>
    </w:p>
    <w:p w14:paraId="6843CFB4" w14:textId="77777777" w:rsidR="00A45205" w:rsidRPr="00F8217C" w:rsidRDefault="00A45205" w:rsidP="007F7504">
      <w:pPr>
        <w:spacing w:after="0"/>
        <w:jc w:val="both"/>
        <w:rPr>
          <w:rFonts w:eastAsiaTheme="minorEastAsia"/>
          <w:sz w:val="22"/>
        </w:rPr>
      </w:pPr>
    </w:p>
    <w:p w14:paraId="0C84185E" w14:textId="77777777" w:rsidR="00A45205" w:rsidRPr="00F8217C" w:rsidRDefault="00D640C0" w:rsidP="007F7504">
      <w:pPr>
        <w:spacing w:after="0"/>
        <w:jc w:val="both"/>
        <w:rPr>
          <w:rFonts w:eastAsiaTheme="minorEastAsia"/>
          <w:sz w:val="22"/>
        </w:rPr>
      </w:pPr>
      <w:r w:rsidRPr="00F8217C">
        <w:rPr>
          <w:rFonts w:eastAsiaTheme="minorEastAsia"/>
          <w:sz w:val="22"/>
        </w:rPr>
        <w:t xml:space="preserve">where the heterogeneity of treatment effect is further examined through the inspection of </w:t>
      </w:r>
      <m:oMath>
        <m:sSub>
          <m:sSubPr>
            <m:ctrlPr>
              <w:rPr>
                <w:rFonts w:ascii="Cambria Math" w:hAnsi="Cambria Math"/>
                <w:i/>
                <w:sz w:val="22"/>
              </w:rPr>
            </m:ctrlPr>
          </m:sSubPr>
          <m:e>
            <m:acc>
              <m:accPr>
                <m:ctrlPr>
                  <w:rPr>
                    <w:rFonts w:ascii="Cambria Math" w:hAnsi="Cambria Math"/>
                    <w:i/>
                    <w:sz w:val="22"/>
                  </w:rPr>
                </m:ctrlPr>
              </m:accPr>
              <m:e>
                <m:r>
                  <w:rPr>
                    <w:rFonts w:ascii="Cambria Math" w:hAnsi="Cambria Math"/>
                    <w:sz w:val="22"/>
                  </w:rPr>
                  <m:t>λ</m:t>
                </m:r>
              </m:e>
            </m:acc>
          </m:e>
          <m:sub>
            <m:r>
              <w:rPr>
                <w:rFonts w:ascii="Cambria Math" w:hAnsi="Cambria Math"/>
                <w:sz w:val="22"/>
              </w:rPr>
              <m:t>1</m:t>
            </m:r>
          </m:sub>
        </m:sSub>
      </m:oMath>
      <w:r w:rsidRPr="00F8217C">
        <w:rPr>
          <w:rFonts w:eastAsiaTheme="minorEastAsia"/>
          <w:sz w:val="22"/>
        </w:rPr>
        <w:t xml:space="preserve"> and which allows us to build the distribution of treatment effects for each underlying outcome variable and compare its evolution before and after the political instability shock. Following </w:t>
      </w:r>
      <w:r w:rsidRPr="00C81585">
        <w:rPr>
          <w:rFonts w:eastAsiaTheme="minorEastAsia"/>
          <w:color w:val="4472C4" w:themeColor="accent5"/>
          <w:sz w:val="22"/>
        </w:rPr>
        <w:t>Firpo and Possebom (2018)</w:t>
      </w:r>
      <w:r w:rsidRPr="00F8217C">
        <w:rPr>
          <w:rFonts w:eastAsiaTheme="minorEastAsia"/>
          <w:sz w:val="22"/>
        </w:rPr>
        <w:t xml:space="preserve">, we modify root mean square prediction error from pre-intervention period </w:t>
      </w:r>
      <w:r w:rsidR="000176BF" w:rsidRPr="00F8217C">
        <w:rPr>
          <w:rFonts w:eastAsiaTheme="minorEastAsia"/>
          <w:sz w:val="22"/>
        </w:rPr>
        <w:t xml:space="preserve">to test sharp null hypothesis of no treatment effect whatsoever and invert the test statistics to estimate the 95 percent confidence bounds and examine the precision of the estimated treatment effects as well as their respective significance and robustness. </w:t>
      </w:r>
    </w:p>
    <w:p w14:paraId="42A777CF" w14:textId="77777777" w:rsidR="00D640C0" w:rsidRPr="00530EF1" w:rsidRDefault="00D640C0" w:rsidP="007F7504">
      <w:pPr>
        <w:spacing w:after="0"/>
        <w:jc w:val="both"/>
        <w:rPr>
          <w:rFonts w:eastAsiaTheme="minorEastAsia"/>
          <w:sz w:val="24"/>
          <w:szCs w:val="24"/>
        </w:rPr>
      </w:pPr>
    </w:p>
    <w:p w14:paraId="2DAC19BD" w14:textId="77777777" w:rsidR="00D1007E" w:rsidRPr="00455DCE" w:rsidRDefault="00455DCE" w:rsidP="0067749B">
      <w:pPr>
        <w:spacing w:after="0"/>
        <w:rPr>
          <w:b/>
          <w:szCs w:val="24"/>
        </w:rPr>
      </w:pPr>
      <w:r>
        <w:rPr>
          <w:b/>
          <w:szCs w:val="24"/>
        </w:rPr>
        <w:t>5</w:t>
      </w:r>
      <w:r w:rsidRPr="00455DCE">
        <w:rPr>
          <w:b/>
          <w:szCs w:val="24"/>
        </w:rPr>
        <w:tab/>
      </w:r>
      <w:r w:rsidR="00D1007E" w:rsidRPr="00455DCE">
        <w:rPr>
          <w:b/>
          <w:szCs w:val="24"/>
        </w:rPr>
        <w:t>Results</w:t>
      </w:r>
    </w:p>
    <w:p w14:paraId="3E6443D3" w14:textId="77777777" w:rsidR="00D1007E" w:rsidRPr="00083E53" w:rsidRDefault="00D1007E" w:rsidP="0067749B">
      <w:pPr>
        <w:spacing w:after="0"/>
        <w:rPr>
          <w:sz w:val="24"/>
          <w:szCs w:val="24"/>
        </w:rPr>
      </w:pPr>
    </w:p>
    <w:p w14:paraId="278AB92A" w14:textId="77777777" w:rsidR="00D1007E" w:rsidRPr="00083E53" w:rsidRDefault="00D1007E" w:rsidP="0067749B">
      <w:pPr>
        <w:spacing w:after="0"/>
        <w:rPr>
          <w:i/>
          <w:sz w:val="24"/>
          <w:szCs w:val="24"/>
        </w:rPr>
      </w:pPr>
      <w:r w:rsidRPr="00083E53">
        <w:rPr>
          <w:i/>
          <w:sz w:val="24"/>
          <w:szCs w:val="24"/>
        </w:rPr>
        <w:tab/>
        <w:t>Difference-in-differences estimates</w:t>
      </w:r>
    </w:p>
    <w:p w14:paraId="0FEE4CFD" w14:textId="77777777" w:rsidR="00D1007E" w:rsidRDefault="00D1007E" w:rsidP="0067749B">
      <w:pPr>
        <w:spacing w:after="0"/>
        <w:rPr>
          <w:sz w:val="24"/>
          <w:szCs w:val="24"/>
        </w:rPr>
      </w:pPr>
    </w:p>
    <w:p w14:paraId="440C3963" w14:textId="77777777" w:rsidR="006D7BC3" w:rsidRPr="00F8217C" w:rsidRDefault="00143210" w:rsidP="003D4591">
      <w:pPr>
        <w:spacing w:after="0"/>
        <w:jc w:val="both"/>
        <w:rPr>
          <w:sz w:val="22"/>
        </w:rPr>
      </w:pPr>
      <w:r w:rsidRPr="00F8217C">
        <w:rPr>
          <w:sz w:val="22"/>
        </w:rPr>
        <w:t xml:space="preserve">Table 1 reports difference-in-differences (DiD) municipality-level estimates of the institutional quality effect of political instability. Panel A reports standard DiD estimates in the presence of municipality-fixed effect. Each specification confers the full set of both municipality-fixed effects and time-fixed effects to absorb both time-invariant heterogeneity and time-varying common institutional technology shocks into the model and eliminate them as the respective sources of confoundedness. The evidence points out a pervasive and substantial deterioration of institutional quality in response to the political instability. </w:t>
      </w:r>
      <w:proofErr w:type="gramStart"/>
      <w:r w:rsidRPr="00F8217C">
        <w:rPr>
          <w:sz w:val="22"/>
        </w:rPr>
        <w:t>In particular, point</w:t>
      </w:r>
      <w:proofErr w:type="gramEnd"/>
      <w:r w:rsidRPr="00F8217C">
        <w:rPr>
          <w:sz w:val="22"/>
        </w:rPr>
        <w:t xml:space="preserve"> estimates invariably suggest significant drop in institutional quality after the government crackdown in 2008. For instance, the estimates in column (1) suggest that the average treatment effect of political instability on voice and accountability dimension is around -0.13 and is statistically significant at 1% (p-value = 0.000). This amounts to an average drop in municipal-level voice and accountability latent score by about one tenth of the standard deviation which is appears to be large. That said, the advent of political instability in 2008 appears to have restrained the citizens’ access to participation in selecting the government </w:t>
      </w:r>
      <w:proofErr w:type="gramStart"/>
      <w:r w:rsidRPr="00F8217C">
        <w:rPr>
          <w:sz w:val="22"/>
        </w:rPr>
        <w:t>and also</w:t>
      </w:r>
      <w:proofErr w:type="gramEnd"/>
      <w:r w:rsidRPr="00F8217C">
        <w:rPr>
          <w:sz w:val="22"/>
        </w:rPr>
        <w:t xml:space="preserve"> deteriorated freedom of expression and association. </w:t>
      </w:r>
      <w:r w:rsidR="006D7BC3" w:rsidRPr="00F8217C">
        <w:rPr>
          <w:sz w:val="22"/>
        </w:rPr>
        <w:t xml:space="preserve">The underlying post-treatment political instability variable accounts for around 20 percent of the overall variation in voice and accountability dimension in the full sample which appears to be large. </w:t>
      </w:r>
      <w:r w:rsidRPr="00F8217C">
        <w:rPr>
          <w:sz w:val="22"/>
        </w:rPr>
        <w:t>Furthermore, point estimates in column (2)</w:t>
      </w:r>
      <w:r w:rsidR="006D7BC3" w:rsidRPr="00F8217C">
        <w:rPr>
          <w:sz w:val="22"/>
        </w:rPr>
        <w:t xml:space="preserve"> invariably indicate a substantial deterioration of the rule of law in response to the onset of political instability. Although the average treatment effect is about half as large as its voice and accountability counterpart in column (1), the point estimate is statistically </w:t>
      </w:r>
      <w:r w:rsidR="006D7BC3" w:rsidRPr="00F8217C">
        <w:rPr>
          <w:sz w:val="22"/>
        </w:rPr>
        <w:lastRenderedPageBreak/>
        <w:t>significant and inva</w:t>
      </w:r>
      <w:r w:rsidR="00A46A4F" w:rsidRPr="00F8217C">
        <w:rPr>
          <w:sz w:val="22"/>
        </w:rPr>
        <w:t>riably suggest that rule of law score tends to decrease by 0.068 standard deviation in the post-treatment period whilst the underlying coefficient appears to be statistically significant at 1%. By contrast, the estimated average treatment effect in column (3) i</w:t>
      </w:r>
      <w:r w:rsidR="003D4591" w:rsidRPr="00F8217C">
        <w:rPr>
          <w:sz w:val="22"/>
        </w:rPr>
        <w:t xml:space="preserve">ndicates some improvement in government effectiveness in response to the political instability. The point estimate in column (3) shows that municipalities tend to have 0.058 standard deviation improvement in government effectiveness in the underlying post-treatment period. By contrast, the estimates in column (4) and column (5) uncover the evidence of rampant deterioration in regulatory quality as well as a substantial drop in the control of corruption. Both coefficients are statistically significant at 1% whereas the post-treatment effect of instability accounts for about 20 percent of the overall variation in regulatory quality and control of corruption. In each specification, the null hypothesis of the absence of parallel trend assumption between the treated municipalities and its control group is rejected, which suggests that in the absence of instability, the differences in institutional quality between the treated municipalities and their control group is indeed constant over time. </w:t>
      </w:r>
    </w:p>
    <w:p w14:paraId="24025CA4" w14:textId="77777777" w:rsidR="00143210" w:rsidRPr="00F8217C" w:rsidRDefault="00143210" w:rsidP="0067749B">
      <w:pPr>
        <w:spacing w:after="0"/>
        <w:rPr>
          <w:sz w:val="22"/>
        </w:rPr>
      </w:pPr>
    </w:p>
    <w:p w14:paraId="09A8B29C" w14:textId="77777777" w:rsidR="00C81585" w:rsidRDefault="003D4591" w:rsidP="002E3ED6">
      <w:pPr>
        <w:spacing w:after="0"/>
        <w:jc w:val="both"/>
        <w:rPr>
          <w:sz w:val="22"/>
        </w:rPr>
      </w:pPr>
      <w:r w:rsidRPr="00F8217C">
        <w:rPr>
          <w:sz w:val="22"/>
        </w:rPr>
        <w:t xml:space="preserve">Panel B reports heterogeneous DiD estimates with two-way fixed effects proposed by </w:t>
      </w:r>
      <w:r w:rsidRPr="00580F19">
        <w:rPr>
          <w:color w:val="4472C4" w:themeColor="accent5"/>
          <w:sz w:val="22"/>
        </w:rPr>
        <w:t>De Chais</w:t>
      </w:r>
      <w:r w:rsidR="00580F19" w:rsidRPr="00580F19">
        <w:rPr>
          <w:color w:val="4472C4" w:themeColor="accent5"/>
          <w:sz w:val="22"/>
        </w:rPr>
        <w:t>e</w:t>
      </w:r>
      <w:r w:rsidRPr="00580F19">
        <w:rPr>
          <w:color w:val="4472C4" w:themeColor="accent5"/>
          <w:sz w:val="22"/>
        </w:rPr>
        <w:t>martin and D’Haultfoeuille (2020)</w:t>
      </w:r>
      <w:r w:rsidR="002D2EA8" w:rsidRPr="00F8217C">
        <w:rPr>
          <w:sz w:val="22"/>
        </w:rPr>
        <w:t xml:space="preserve">. The key advantage of two-way fixed-effects estimator is that it specifically addresses temporal heterogeneity of the effect. The panel reports the baseline institutional quality effect of instability in the contemporaneous year of the shock as well as the effect in five-year time span together with the end-of-sample placebo coefficient to further tackle both the uniqueness and significance of the effect. The evidence suggests a reasonably strong deterioration in the voice and accountability score in the post-treatment period. The estimated set of post-treatment coefficients indicates zero contemporaneous effect and a relatively high negative effect of instability in the five-year period. At the same time, the end-of-sample placebo coefficient is not statistically significantly different from zero which implies that the estimated negative effect of political instability on voice and accountability is relatively unique and specific to the treated municipalities only. The evidence also suggests some improvement of government effectiveness in response to the political instability as indicated in column (3) </w:t>
      </w:r>
      <w:proofErr w:type="gramStart"/>
      <w:r w:rsidR="002D2EA8" w:rsidRPr="00F8217C">
        <w:rPr>
          <w:sz w:val="22"/>
        </w:rPr>
        <w:t>and also</w:t>
      </w:r>
      <w:proofErr w:type="gramEnd"/>
      <w:r w:rsidR="002D2EA8" w:rsidRPr="00F8217C">
        <w:rPr>
          <w:sz w:val="22"/>
        </w:rPr>
        <w:t xml:space="preserve"> reported earlier in Panel B. Conversely, point estimates in column (4) further uncover the evidence of the deterioration of regulatory quality. Whilst the contemporaneous effect is not distinguishable from zero, the effect becomes negative in the first post-treatment year (-0.022, p-value = 0.000) and </w:t>
      </w:r>
      <w:proofErr w:type="gramStart"/>
      <w:r w:rsidR="002D2EA8" w:rsidRPr="00F8217C">
        <w:rPr>
          <w:sz w:val="22"/>
        </w:rPr>
        <w:t>rises up</w:t>
      </w:r>
      <w:proofErr w:type="gramEnd"/>
      <w:r w:rsidR="002D2EA8" w:rsidRPr="00F8217C">
        <w:rPr>
          <w:sz w:val="22"/>
        </w:rPr>
        <w:t xml:space="preserve"> to -0.216 </w:t>
      </w:r>
      <w:r w:rsidR="002E3ED6" w:rsidRPr="00F8217C">
        <w:rPr>
          <w:sz w:val="22"/>
        </w:rPr>
        <w:t xml:space="preserve">(p-value = 0.000) </w:t>
      </w:r>
      <w:r w:rsidR="002D2EA8" w:rsidRPr="00F8217C">
        <w:rPr>
          <w:sz w:val="22"/>
        </w:rPr>
        <w:t xml:space="preserve">in the fifth post-treatment year. </w:t>
      </w:r>
      <w:r w:rsidR="002E3ED6" w:rsidRPr="00F8217C">
        <w:rPr>
          <w:sz w:val="22"/>
        </w:rPr>
        <w:t>Consistent with the baseline fixed-effects difference-in-differences estimate in column (5), we further uncover the evidence of the widespread deterioratio</w:t>
      </w:r>
      <w:r w:rsidR="00C81585">
        <w:rPr>
          <w:sz w:val="22"/>
        </w:rPr>
        <w:t>n in the control of corruption.</w:t>
      </w:r>
    </w:p>
    <w:p w14:paraId="27D8B289" w14:textId="77777777" w:rsidR="00C81585" w:rsidRDefault="00C81585" w:rsidP="002E3ED6">
      <w:pPr>
        <w:spacing w:after="0"/>
        <w:jc w:val="both"/>
        <w:rPr>
          <w:sz w:val="22"/>
        </w:rPr>
      </w:pPr>
    </w:p>
    <w:p w14:paraId="3F45FD86" w14:textId="77777777" w:rsidR="00143210" w:rsidRPr="00F8217C" w:rsidRDefault="002E3ED6" w:rsidP="002E3ED6">
      <w:pPr>
        <w:spacing w:after="0"/>
        <w:jc w:val="both"/>
        <w:rPr>
          <w:sz w:val="22"/>
        </w:rPr>
      </w:pPr>
      <w:r w:rsidRPr="00F8217C">
        <w:rPr>
          <w:sz w:val="22"/>
        </w:rPr>
        <w:t xml:space="preserve">The deterioration is both immediate and appears to persist. The treatment effect coefficient in the contemporaneous year of instability is both negative and statistically significant and tends to widen in magnitude considerably until the fifth year of the post-treatment period whilst retaining a high degree of </w:t>
      </w:r>
      <w:proofErr w:type="gramStart"/>
      <w:r w:rsidRPr="00F8217C">
        <w:rPr>
          <w:sz w:val="22"/>
        </w:rPr>
        <w:t>statistical</w:t>
      </w:r>
      <w:proofErr w:type="gramEnd"/>
      <w:r w:rsidRPr="00F8217C">
        <w:rPr>
          <w:sz w:val="22"/>
        </w:rPr>
        <w:t xml:space="preserve"> significant (i.e. p-value = 0.000). By explicitly accommodating temporal heterogeneity into the underlying DiD model specification, the evidence further unravels and demonstrates debilitating effects of political instability on institutional quality which does not seem to be temporary. Panel C re-examines the difference-in-differences effect through nearest-neighbor matching technique (</w:t>
      </w:r>
      <w:r w:rsidRPr="00580F19">
        <w:rPr>
          <w:color w:val="4472C4" w:themeColor="accent5"/>
          <w:sz w:val="22"/>
        </w:rPr>
        <w:t>Abadie and Imbens 2006</w:t>
      </w:r>
      <w:r w:rsidRPr="00F8217C">
        <w:rPr>
          <w:sz w:val="22"/>
        </w:rPr>
        <w:t>) where the treatment effect of instability is obtained by the covariate distance matching between the treated municipalities and the control sample. The estimated coefficients on average treatment effects are negative and significan</w:t>
      </w:r>
      <w:r w:rsidR="00D01A6D" w:rsidRPr="00F8217C">
        <w:rPr>
          <w:sz w:val="22"/>
        </w:rPr>
        <w:t xml:space="preserve">t at 1%, which confirms the institutional quality deterioration in response to the </w:t>
      </w:r>
      <w:proofErr w:type="gramStart"/>
      <w:r w:rsidR="00D01A6D" w:rsidRPr="00F8217C">
        <w:rPr>
          <w:sz w:val="22"/>
        </w:rPr>
        <w:t>instability, and</w:t>
      </w:r>
      <w:proofErr w:type="gramEnd"/>
      <w:r w:rsidR="00D01A6D" w:rsidRPr="00F8217C">
        <w:rPr>
          <w:sz w:val="22"/>
        </w:rPr>
        <w:t xml:space="preserve"> suggests no evidence to support the notion of growth-enhancing effects of political instability. </w:t>
      </w:r>
      <w:r w:rsidRPr="00F8217C">
        <w:rPr>
          <w:sz w:val="22"/>
        </w:rPr>
        <w:t>The drop in institutional quality appears to the largest for voice and accountability and control of corruption dimensions.</w:t>
      </w:r>
    </w:p>
    <w:p w14:paraId="7B1BC9A7" w14:textId="77777777" w:rsidR="003D4591" w:rsidRPr="00F8217C" w:rsidRDefault="003D4591" w:rsidP="00F80CCE">
      <w:pPr>
        <w:spacing w:after="0" w:line="240" w:lineRule="auto"/>
        <w:rPr>
          <w:sz w:val="22"/>
        </w:rPr>
      </w:pPr>
    </w:p>
    <w:p w14:paraId="741412E9" w14:textId="77777777" w:rsidR="00B765ED" w:rsidRPr="00F8217C" w:rsidRDefault="00D1007E" w:rsidP="00F80CCE">
      <w:pPr>
        <w:spacing w:after="0" w:line="240" w:lineRule="auto"/>
        <w:rPr>
          <w:sz w:val="22"/>
        </w:rPr>
      </w:pPr>
      <w:r w:rsidRPr="00F8217C">
        <w:rPr>
          <w:b/>
          <w:sz w:val="22"/>
        </w:rPr>
        <w:t>T</w:t>
      </w:r>
      <w:r w:rsidR="0067749B" w:rsidRPr="00F8217C">
        <w:rPr>
          <w:b/>
          <w:sz w:val="22"/>
        </w:rPr>
        <w:t>able 1</w:t>
      </w:r>
      <w:r w:rsidR="0067749B" w:rsidRPr="00F8217C">
        <w:rPr>
          <w:sz w:val="22"/>
        </w:rPr>
        <w:t>:</w:t>
      </w:r>
      <w:r w:rsidR="00570F0F" w:rsidRPr="00F8217C">
        <w:rPr>
          <w:sz w:val="22"/>
        </w:rPr>
        <w:t xml:space="preserve"> </w:t>
      </w:r>
      <w:r w:rsidR="002E3ED6" w:rsidRPr="00F8217C">
        <w:rPr>
          <w:sz w:val="22"/>
        </w:rPr>
        <w:t>Difference-in-differences estimated effect of political instability on institutional quality of Slovenian municipalities, 1996-2020</w:t>
      </w:r>
    </w:p>
    <w:tbl>
      <w:tblPr>
        <w:tblStyle w:val="Tabelamre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05"/>
        <w:gridCol w:w="1418"/>
        <w:gridCol w:w="1275"/>
        <w:gridCol w:w="1394"/>
        <w:gridCol w:w="1262"/>
        <w:gridCol w:w="1262"/>
      </w:tblGrid>
      <w:tr w:rsidR="006B2FAD" w14:paraId="08FB7989" w14:textId="77777777" w:rsidTr="002E3ED6">
        <w:tc>
          <w:tcPr>
            <w:tcW w:w="2405" w:type="dxa"/>
            <w:tcBorders>
              <w:top w:val="double" w:sz="4" w:space="0" w:color="auto"/>
            </w:tcBorders>
          </w:tcPr>
          <w:p w14:paraId="41266F9A" w14:textId="77777777" w:rsidR="006B2FAD" w:rsidRPr="00BC0E90" w:rsidRDefault="006B2FAD" w:rsidP="006B2FAD">
            <w:pPr>
              <w:rPr>
                <w:sz w:val="20"/>
                <w:szCs w:val="20"/>
              </w:rPr>
            </w:pPr>
          </w:p>
        </w:tc>
        <w:tc>
          <w:tcPr>
            <w:tcW w:w="1418" w:type="dxa"/>
            <w:tcBorders>
              <w:top w:val="double" w:sz="4" w:space="0" w:color="auto"/>
              <w:bottom w:val="single" w:sz="4" w:space="0" w:color="auto"/>
            </w:tcBorders>
          </w:tcPr>
          <w:p w14:paraId="7A9443A1" w14:textId="77777777" w:rsidR="006B2FAD" w:rsidRPr="00BC0E90" w:rsidRDefault="006B2FAD" w:rsidP="00E65B40">
            <w:pPr>
              <w:jc w:val="center"/>
              <w:rPr>
                <w:sz w:val="20"/>
                <w:szCs w:val="20"/>
              </w:rPr>
            </w:pPr>
            <w:r w:rsidRPr="00BC0E90">
              <w:rPr>
                <w:sz w:val="20"/>
                <w:szCs w:val="20"/>
              </w:rPr>
              <w:t>Voice and accountability</w:t>
            </w:r>
          </w:p>
        </w:tc>
        <w:tc>
          <w:tcPr>
            <w:tcW w:w="1275" w:type="dxa"/>
            <w:tcBorders>
              <w:top w:val="double" w:sz="4" w:space="0" w:color="auto"/>
              <w:bottom w:val="single" w:sz="4" w:space="0" w:color="auto"/>
            </w:tcBorders>
          </w:tcPr>
          <w:p w14:paraId="24F36BC7" w14:textId="77777777" w:rsidR="006B2FAD" w:rsidRPr="00BC0E90" w:rsidRDefault="006B2FAD" w:rsidP="00E65B40">
            <w:pPr>
              <w:jc w:val="center"/>
              <w:rPr>
                <w:sz w:val="20"/>
                <w:szCs w:val="20"/>
              </w:rPr>
            </w:pPr>
            <w:r w:rsidRPr="00BC0E90">
              <w:rPr>
                <w:sz w:val="20"/>
                <w:szCs w:val="20"/>
              </w:rPr>
              <w:t>Rule of law</w:t>
            </w:r>
          </w:p>
        </w:tc>
        <w:tc>
          <w:tcPr>
            <w:tcW w:w="1394" w:type="dxa"/>
            <w:tcBorders>
              <w:top w:val="double" w:sz="4" w:space="0" w:color="auto"/>
              <w:bottom w:val="single" w:sz="4" w:space="0" w:color="auto"/>
            </w:tcBorders>
          </w:tcPr>
          <w:p w14:paraId="297A878A" w14:textId="77777777" w:rsidR="006B2FAD" w:rsidRPr="00BC0E90" w:rsidRDefault="006B2FAD" w:rsidP="00E65B40">
            <w:pPr>
              <w:jc w:val="center"/>
              <w:rPr>
                <w:sz w:val="20"/>
                <w:szCs w:val="20"/>
              </w:rPr>
            </w:pPr>
            <w:r w:rsidRPr="00BC0E90">
              <w:rPr>
                <w:sz w:val="20"/>
                <w:szCs w:val="20"/>
              </w:rPr>
              <w:t>Government effectiveness</w:t>
            </w:r>
          </w:p>
        </w:tc>
        <w:tc>
          <w:tcPr>
            <w:tcW w:w="1262" w:type="dxa"/>
            <w:tcBorders>
              <w:top w:val="double" w:sz="4" w:space="0" w:color="auto"/>
              <w:bottom w:val="single" w:sz="4" w:space="0" w:color="auto"/>
            </w:tcBorders>
          </w:tcPr>
          <w:p w14:paraId="5CAE6F3B" w14:textId="77777777" w:rsidR="006B2FAD" w:rsidRPr="00BC0E90" w:rsidRDefault="006B2FAD" w:rsidP="00E65B40">
            <w:pPr>
              <w:jc w:val="center"/>
              <w:rPr>
                <w:sz w:val="20"/>
                <w:szCs w:val="20"/>
              </w:rPr>
            </w:pPr>
            <w:r w:rsidRPr="00BC0E90">
              <w:rPr>
                <w:sz w:val="20"/>
                <w:szCs w:val="20"/>
              </w:rPr>
              <w:t>Regulatory quality</w:t>
            </w:r>
          </w:p>
        </w:tc>
        <w:tc>
          <w:tcPr>
            <w:tcW w:w="1262" w:type="dxa"/>
            <w:tcBorders>
              <w:top w:val="double" w:sz="4" w:space="0" w:color="auto"/>
              <w:bottom w:val="single" w:sz="4" w:space="0" w:color="auto"/>
            </w:tcBorders>
          </w:tcPr>
          <w:p w14:paraId="2AEE09D2" w14:textId="77777777" w:rsidR="006B2FAD" w:rsidRPr="00BC0E90" w:rsidRDefault="006B2FAD" w:rsidP="00E65B40">
            <w:pPr>
              <w:jc w:val="center"/>
              <w:rPr>
                <w:sz w:val="20"/>
                <w:szCs w:val="20"/>
              </w:rPr>
            </w:pPr>
            <w:r w:rsidRPr="00BC0E90">
              <w:rPr>
                <w:sz w:val="20"/>
                <w:szCs w:val="20"/>
              </w:rPr>
              <w:t>Control of corruption</w:t>
            </w:r>
          </w:p>
        </w:tc>
      </w:tr>
      <w:tr w:rsidR="006B2FAD" w14:paraId="4287087D" w14:textId="77777777" w:rsidTr="002E3ED6">
        <w:tc>
          <w:tcPr>
            <w:tcW w:w="2405" w:type="dxa"/>
            <w:tcBorders>
              <w:bottom w:val="single" w:sz="4" w:space="0" w:color="auto"/>
            </w:tcBorders>
          </w:tcPr>
          <w:p w14:paraId="327231BF" w14:textId="77777777" w:rsidR="006B2FAD" w:rsidRPr="00BC0E90" w:rsidRDefault="006B2FAD" w:rsidP="006B2FAD">
            <w:pPr>
              <w:rPr>
                <w:sz w:val="20"/>
                <w:szCs w:val="20"/>
              </w:rPr>
            </w:pPr>
          </w:p>
        </w:tc>
        <w:tc>
          <w:tcPr>
            <w:tcW w:w="1418" w:type="dxa"/>
            <w:tcBorders>
              <w:top w:val="single" w:sz="4" w:space="0" w:color="auto"/>
              <w:bottom w:val="single" w:sz="4" w:space="0" w:color="auto"/>
            </w:tcBorders>
          </w:tcPr>
          <w:p w14:paraId="61EB2FF8" w14:textId="77777777" w:rsidR="006B2FAD" w:rsidRPr="00BC0E90" w:rsidRDefault="006B2FAD" w:rsidP="00E65B40">
            <w:pPr>
              <w:jc w:val="center"/>
              <w:rPr>
                <w:sz w:val="20"/>
                <w:szCs w:val="20"/>
              </w:rPr>
            </w:pPr>
            <w:r w:rsidRPr="00BC0E90">
              <w:rPr>
                <w:sz w:val="20"/>
                <w:szCs w:val="20"/>
              </w:rPr>
              <w:t>(1)</w:t>
            </w:r>
          </w:p>
        </w:tc>
        <w:tc>
          <w:tcPr>
            <w:tcW w:w="1275" w:type="dxa"/>
            <w:tcBorders>
              <w:top w:val="single" w:sz="4" w:space="0" w:color="auto"/>
              <w:bottom w:val="single" w:sz="4" w:space="0" w:color="auto"/>
            </w:tcBorders>
          </w:tcPr>
          <w:p w14:paraId="169C3728" w14:textId="77777777" w:rsidR="006B2FAD" w:rsidRPr="00BC0E90" w:rsidRDefault="006B2FAD" w:rsidP="00E65B40">
            <w:pPr>
              <w:jc w:val="center"/>
              <w:rPr>
                <w:sz w:val="20"/>
                <w:szCs w:val="20"/>
              </w:rPr>
            </w:pPr>
            <w:r w:rsidRPr="00BC0E90">
              <w:rPr>
                <w:sz w:val="20"/>
                <w:szCs w:val="20"/>
              </w:rPr>
              <w:t>(2)</w:t>
            </w:r>
          </w:p>
        </w:tc>
        <w:tc>
          <w:tcPr>
            <w:tcW w:w="1394" w:type="dxa"/>
            <w:tcBorders>
              <w:top w:val="single" w:sz="4" w:space="0" w:color="auto"/>
              <w:bottom w:val="single" w:sz="4" w:space="0" w:color="auto"/>
            </w:tcBorders>
          </w:tcPr>
          <w:p w14:paraId="01FCA8E4" w14:textId="77777777" w:rsidR="006B2FAD" w:rsidRPr="00BC0E90" w:rsidRDefault="006B2FAD" w:rsidP="00E65B40">
            <w:pPr>
              <w:jc w:val="center"/>
              <w:rPr>
                <w:sz w:val="20"/>
                <w:szCs w:val="20"/>
              </w:rPr>
            </w:pPr>
            <w:r w:rsidRPr="00BC0E90">
              <w:rPr>
                <w:sz w:val="20"/>
                <w:szCs w:val="20"/>
              </w:rPr>
              <w:t>(3)</w:t>
            </w:r>
          </w:p>
        </w:tc>
        <w:tc>
          <w:tcPr>
            <w:tcW w:w="1262" w:type="dxa"/>
            <w:tcBorders>
              <w:top w:val="single" w:sz="4" w:space="0" w:color="auto"/>
              <w:bottom w:val="single" w:sz="4" w:space="0" w:color="auto"/>
            </w:tcBorders>
          </w:tcPr>
          <w:p w14:paraId="54E7DE83" w14:textId="77777777" w:rsidR="006B2FAD" w:rsidRPr="00BC0E90" w:rsidRDefault="006B2FAD" w:rsidP="00E65B40">
            <w:pPr>
              <w:jc w:val="center"/>
              <w:rPr>
                <w:sz w:val="20"/>
                <w:szCs w:val="20"/>
              </w:rPr>
            </w:pPr>
            <w:r w:rsidRPr="00BC0E90">
              <w:rPr>
                <w:sz w:val="20"/>
                <w:szCs w:val="20"/>
              </w:rPr>
              <w:t>(4)</w:t>
            </w:r>
          </w:p>
        </w:tc>
        <w:tc>
          <w:tcPr>
            <w:tcW w:w="1262" w:type="dxa"/>
            <w:tcBorders>
              <w:top w:val="single" w:sz="4" w:space="0" w:color="auto"/>
              <w:bottom w:val="single" w:sz="4" w:space="0" w:color="auto"/>
            </w:tcBorders>
          </w:tcPr>
          <w:p w14:paraId="5E501D75" w14:textId="77777777" w:rsidR="006B2FAD" w:rsidRPr="00BC0E90" w:rsidRDefault="006B2FAD" w:rsidP="00E65B40">
            <w:pPr>
              <w:jc w:val="center"/>
              <w:rPr>
                <w:sz w:val="20"/>
                <w:szCs w:val="20"/>
              </w:rPr>
            </w:pPr>
            <w:r w:rsidRPr="00BC0E90">
              <w:rPr>
                <w:sz w:val="20"/>
                <w:szCs w:val="20"/>
              </w:rPr>
              <w:t>(5)</w:t>
            </w:r>
          </w:p>
        </w:tc>
      </w:tr>
      <w:tr w:rsidR="006B2FAD" w14:paraId="0D2A3470" w14:textId="77777777" w:rsidTr="002E3ED6">
        <w:tc>
          <w:tcPr>
            <w:tcW w:w="9016" w:type="dxa"/>
            <w:gridSpan w:val="6"/>
            <w:tcBorders>
              <w:top w:val="single" w:sz="4" w:space="0" w:color="auto"/>
              <w:bottom w:val="single" w:sz="4" w:space="0" w:color="auto"/>
            </w:tcBorders>
          </w:tcPr>
          <w:p w14:paraId="515D8E55" w14:textId="77777777" w:rsidR="006B2FAD" w:rsidRPr="00BC0E90" w:rsidRDefault="006B2FAD" w:rsidP="006B2FAD">
            <w:pPr>
              <w:rPr>
                <w:sz w:val="20"/>
                <w:szCs w:val="20"/>
              </w:rPr>
            </w:pPr>
            <w:r w:rsidRPr="00BC0E90">
              <w:rPr>
                <w:sz w:val="20"/>
                <w:szCs w:val="20"/>
              </w:rPr>
              <w:t>Panel A: Standard difference-in-differences estimator with municipality-fixed effect</w:t>
            </w:r>
            <w:r w:rsidR="00177694">
              <w:rPr>
                <w:sz w:val="20"/>
                <w:szCs w:val="20"/>
              </w:rPr>
              <w:t>s</w:t>
            </w:r>
          </w:p>
        </w:tc>
      </w:tr>
      <w:tr w:rsidR="006B2FAD" w14:paraId="59A47BCE" w14:textId="77777777" w:rsidTr="002E3ED6">
        <w:tc>
          <w:tcPr>
            <w:tcW w:w="2405" w:type="dxa"/>
            <w:tcBorders>
              <w:top w:val="single" w:sz="4" w:space="0" w:color="auto"/>
            </w:tcBorders>
          </w:tcPr>
          <w:p w14:paraId="272A7332" w14:textId="77777777" w:rsidR="006B2FAD" w:rsidRPr="00BC0E90" w:rsidRDefault="006B2FAD" w:rsidP="00BC0E90">
            <w:pPr>
              <w:jc w:val="right"/>
              <w:rPr>
                <w:sz w:val="20"/>
                <w:szCs w:val="20"/>
              </w:rPr>
            </w:pPr>
            <w:r w:rsidRPr="00BC0E90">
              <w:rPr>
                <w:sz w:val="20"/>
                <w:szCs w:val="20"/>
              </w:rPr>
              <w:t>λ</w:t>
            </w:r>
            <w:r w:rsidRPr="00BC0E90">
              <w:rPr>
                <w:sz w:val="20"/>
                <w:szCs w:val="20"/>
                <w:vertAlign w:val="subscript"/>
              </w:rPr>
              <w:t>1</w:t>
            </w:r>
          </w:p>
        </w:tc>
        <w:tc>
          <w:tcPr>
            <w:tcW w:w="1418" w:type="dxa"/>
            <w:tcBorders>
              <w:top w:val="single" w:sz="4" w:space="0" w:color="auto"/>
            </w:tcBorders>
          </w:tcPr>
          <w:p w14:paraId="22921C15" w14:textId="77777777" w:rsidR="006B2FAD" w:rsidRPr="00BC0E90" w:rsidRDefault="00E65B40" w:rsidP="00E65B40">
            <w:pPr>
              <w:jc w:val="center"/>
              <w:rPr>
                <w:sz w:val="20"/>
                <w:szCs w:val="20"/>
              </w:rPr>
            </w:pPr>
            <w:r w:rsidRPr="00BC0E90">
              <w:rPr>
                <w:sz w:val="20"/>
                <w:szCs w:val="20"/>
              </w:rPr>
              <w:t>-.130***</w:t>
            </w:r>
          </w:p>
          <w:p w14:paraId="5A4C2014" w14:textId="77777777" w:rsidR="00E65B40" w:rsidRPr="00BC0E90" w:rsidRDefault="00E65B40" w:rsidP="00E65B40">
            <w:pPr>
              <w:jc w:val="center"/>
              <w:rPr>
                <w:sz w:val="20"/>
                <w:szCs w:val="20"/>
              </w:rPr>
            </w:pPr>
            <w:r w:rsidRPr="00BC0E90">
              <w:rPr>
                <w:sz w:val="20"/>
                <w:szCs w:val="20"/>
              </w:rPr>
              <w:t>(.005)</w:t>
            </w:r>
          </w:p>
        </w:tc>
        <w:tc>
          <w:tcPr>
            <w:tcW w:w="1275" w:type="dxa"/>
            <w:tcBorders>
              <w:top w:val="single" w:sz="4" w:space="0" w:color="auto"/>
            </w:tcBorders>
          </w:tcPr>
          <w:p w14:paraId="35777FED" w14:textId="77777777" w:rsidR="006B2FAD" w:rsidRPr="00BC0E90" w:rsidRDefault="00E65B40" w:rsidP="00E65B40">
            <w:pPr>
              <w:jc w:val="center"/>
              <w:rPr>
                <w:sz w:val="20"/>
                <w:szCs w:val="20"/>
              </w:rPr>
            </w:pPr>
            <w:r w:rsidRPr="00BC0E90">
              <w:rPr>
                <w:sz w:val="20"/>
                <w:szCs w:val="20"/>
              </w:rPr>
              <w:t>-.068***</w:t>
            </w:r>
          </w:p>
          <w:p w14:paraId="447366B6" w14:textId="77777777" w:rsidR="00E65B40" w:rsidRPr="00BC0E90" w:rsidRDefault="00E65B40" w:rsidP="00E65B40">
            <w:pPr>
              <w:jc w:val="center"/>
              <w:rPr>
                <w:sz w:val="20"/>
                <w:szCs w:val="20"/>
              </w:rPr>
            </w:pPr>
            <w:r w:rsidRPr="00BC0E90">
              <w:rPr>
                <w:sz w:val="20"/>
                <w:szCs w:val="20"/>
              </w:rPr>
              <w:t>(.005)</w:t>
            </w:r>
          </w:p>
        </w:tc>
        <w:tc>
          <w:tcPr>
            <w:tcW w:w="1394" w:type="dxa"/>
            <w:tcBorders>
              <w:top w:val="single" w:sz="4" w:space="0" w:color="auto"/>
            </w:tcBorders>
          </w:tcPr>
          <w:p w14:paraId="1A383620" w14:textId="77777777" w:rsidR="006B2FAD" w:rsidRPr="00BC0E90" w:rsidRDefault="00E65B40" w:rsidP="00E65B40">
            <w:pPr>
              <w:jc w:val="center"/>
              <w:rPr>
                <w:sz w:val="20"/>
                <w:szCs w:val="20"/>
              </w:rPr>
            </w:pPr>
            <w:r w:rsidRPr="00BC0E90">
              <w:rPr>
                <w:sz w:val="20"/>
                <w:szCs w:val="20"/>
              </w:rPr>
              <w:t>.058***</w:t>
            </w:r>
          </w:p>
          <w:p w14:paraId="79813393" w14:textId="77777777" w:rsidR="00E65B40" w:rsidRPr="00BC0E90" w:rsidRDefault="00E65B40" w:rsidP="00E65B40">
            <w:pPr>
              <w:jc w:val="center"/>
              <w:rPr>
                <w:sz w:val="20"/>
                <w:szCs w:val="20"/>
              </w:rPr>
            </w:pPr>
            <w:r w:rsidRPr="00BC0E90">
              <w:rPr>
                <w:sz w:val="20"/>
                <w:szCs w:val="20"/>
              </w:rPr>
              <w:t>(.006)</w:t>
            </w:r>
          </w:p>
        </w:tc>
        <w:tc>
          <w:tcPr>
            <w:tcW w:w="1262" w:type="dxa"/>
            <w:tcBorders>
              <w:top w:val="single" w:sz="4" w:space="0" w:color="auto"/>
            </w:tcBorders>
          </w:tcPr>
          <w:p w14:paraId="6CA49951" w14:textId="77777777" w:rsidR="006B2FAD" w:rsidRPr="00BC0E90" w:rsidRDefault="00E65B40" w:rsidP="00E65B40">
            <w:pPr>
              <w:jc w:val="center"/>
              <w:rPr>
                <w:sz w:val="20"/>
                <w:szCs w:val="20"/>
              </w:rPr>
            </w:pPr>
            <w:r w:rsidRPr="00BC0E90">
              <w:rPr>
                <w:sz w:val="20"/>
                <w:szCs w:val="20"/>
              </w:rPr>
              <w:t>-.081***</w:t>
            </w:r>
          </w:p>
          <w:p w14:paraId="019AAFA4" w14:textId="77777777" w:rsidR="00E65B40" w:rsidRPr="00BC0E90" w:rsidRDefault="00E65B40" w:rsidP="00E65B40">
            <w:pPr>
              <w:jc w:val="center"/>
              <w:rPr>
                <w:sz w:val="20"/>
                <w:szCs w:val="20"/>
              </w:rPr>
            </w:pPr>
            <w:r w:rsidRPr="00BC0E90">
              <w:rPr>
                <w:sz w:val="20"/>
                <w:szCs w:val="20"/>
              </w:rPr>
              <w:t>(.006)</w:t>
            </w:r>
          </w:p>
        </w:tc>
        <w:tc>
          <w:tcPr>
            <w:tcW w:w="1262" w:type="dxa"/>
            <w:tcBorders>
              <w:top w:val="single" w:sz="4" w:space="0" w:color="auto"/>
            </w:tcBorders>
          </w:tcPr>
          <w:p w14:paraId="2650D9C2" w14:textId="77777777" w:rsidR="006B2FAD" w:rsidRPr="00BC0E90" w:rsidRDefault="00E65B40" w:rsidP="00E65B40">
            <w:pPr>
              <w:jc w:val="center"/>
              <w:rPr>
                <w:sz w:val="20"/>
                <w:szCs w:val="20"/>
              </w:rPr>
            </w:pPr>
            <w:r w:rsidRPr="00BC0E90">
              <w:rPr>
                <w:sz w:val="20"/>
                <w:szCs w:val="20"/>
              </w:rPr>
              <w:t>-.139***</w:t>
            </w:r>
          </w:p>
          <w:p w14:paraId="06BE9D48" w14:textId="77777777" w:rsidR="00E65B40" w:rsidRPr="00BC0E90" w:rsidRDefault="00E65B40" w:rsidP="00E65B40">
            <w:pPr>
              <w:jc w:val="center"/>
              <w:rPr>
                <w:sz w:val="20"/>
                <w:szCs w:val="20"/>
              </w:rPr>
            </w:pPr>
            <w:r w:rsidRPr="00BC0E90">
              <w:rPr>
                <w:sz w:val="20"/>
                <w:szCs w:val="20"/>
              </w:rPr>
              <w:t>(.006)</w:t>
            </w:r>
          </w:p>
        </w:tc>
      </w:tr>
      <w:tr w:rsidR="006B2FAD" w14:paraId="7A6EF9DA" w14:textId="77777777" w:rsidTr="002E3ED6">
        <w:tc>
          <w:tcPr>
            <w:tcW w:w="2405" w:type="dxa"/>
          </w:tcPr>
          <w:p w14:paraId="162E6937" w14:textId="77777777" w:rsidR="006B2FAD" w:rsidRPr="00BC0E90" w:rsidRDefault="006B2FAD" w:rsidP="00BC0E90">
            <w:pPr>
              <w:jc w:val="right"/>
              <w:rPr>
                <w:sz w:val="20"/>
                <w:szCs w:val="20"/>
              </w:rPr>
            </w:pPr>
            <w:r w:rsidRPr="00BC0E90">
              <w:rPr>
                <w:sz w:val="20"/>
                <w:szCs w:val="20"/>
              </w:rPr>
              <w:t>Overall R2</w:t>
            </w:r>
          </w:p>
        </w:tc>
        <w:tc>
          <w:tcPr>
            <w:tcW w:w="1418" w:type="dxa"/>
          </w:tcPr>
          <w:p w14:paraId="0D8716D6" w14:textId="77777777" w:rsidR="006B2FAD" w:rsidRPr="00BC0E90" w:rsidRDefault="00E65B40" w:rsidP="00E65B40">
            <w:pPr>
              <w:jc w:val="center"/>
              <w:rPr>
                <w:sz w:val="20"/>
                <w:szCs w:val="20"/>
              </w:rPr>
            </w:pPr>
            <w:r w:rsidRPr="00BC0E90">
              <w:rPr>
                <w:sz w:val="20"/>
                <w:szCs w:val="20"/>
              </w:rPr>
              <w:t>0.20</w:t>
            </w:r>
          </w:p>
        </w:tc>
        <w:tc>
          <w:tcPr>
            <w:tcW w:w="1275" w:type="dxa"/>
          </w:tcPr>
          <w:p w14:paraId="1283B788" w14:textId="77777777" w:rsidR="006B2FAD" w:rsidRPr="00BC0E90" w:rsidRDefault="00E65B40" w:rsidP="00E65B40">
            <w:pPr>
              <w:jc w:val="center"/>
              <w:rPr>
                <w:sz w:val="20"/>
                <w:szCs w:val="20"/>
              </w:rPr>
            </w:pPr>
            <w:r w:rsidRPr="00BC0E90">
              <w:rPr>
                <w:sz w:val="20"/>
                <w:szCs w:val="20"/>
              </w:rPr>
              <w:t>0.19</w:t>
            </w:r>
          </w:p>
        </w:tc>
        <w:tc>
          <w:tcPr>
            <w:tcW w:w="1394" w:type="dxa"/>
          </w:tcPr>
          <w:p w14:paraId="6224A130" w14:textId="77777777" w:rsidR="006B2FAD" w:rsidRPr="00BC0E90" w:rsidRDefault="00E65B40" w:rsidP="00E65B40">
            <w:pPr>
              <w:jc w:val="center"/>
              <w:rPr>
                <w:sz w:val="20"/>
                <w:szCs w:val="20"/>
              </w:rPr>
            </w:pPr>
            <w:r w:rsidRPr="00BC0E90">
              <w:rPr>
                <w:sz w:val="20"/>
                <w:szCs w:val="20"/>
              </w:rPr>
              <w:t>0.14</w:t>
            </w:r>
          </w:p>
        </w:tc>
        <w:tc>
          <w:tcPr>
            <w:tcW w:w="1262" w:type="dxa"/>
          </w:tcPr>
          <w:p w14:paraId="3248A4E6" w14:textId="77777777" w:rsidR="006B2FAD" w:rsidRPr="00BC0E90" w:rsidRDefault="00E65B40" w:rsidP="00E65B40">
            <w:pPr>
              <w:jc w:val="center"/>
              <w:rPr>
                <w:sz w:val="20"/>
                <w:szCs w:val="20"/>
              </w:rPr>
            </w:pPr>
            <w:r w:rsidRPr="00BC0E90">
              <w:rPr>
                <w:sz w:val="20"/>
                <w:szCs w:val="20"/>
              </w:rPr>
              <w:t>0.20</w:t>
            </w:r>
          </w:p>
        </w:tc>
        <w:tc>
          <w:tcPr>
            <w:tcW w:w="1262" w:type="dxa"/>
          </w:tcPr>
          <w:p w14:paraId="27EAEC10" w14:textId="77777777" w:rsidR="006B2FAD" w:rsidRPr="00BC0E90" w:rsidRDefault="00E65B40" w:rsidP="00E65B40">
            <w:pPr>
              <w:jc w:val="center"/>
              <w:rPr>
                <w:sz w:val="20"/>
                <w:szCs w:val="20"/>
              </w:rPr>
            </w:pPr>
            <w:r w:rsidRPr="00BC0E90">
              <w:rPr>
                <w:sz w:val="20"/>
                <w:szCs w:val="20"/>
              </w:rPr>
              <w:t>0.20</w:t>
            </w:r>
          </w:p>
        </w:tc>
      </w:tr>
      <w:tr w:rsidR="00E65B40" w14:paraId="3E87AAC4" w14:textId="77777777" w:rsidTr="002E3ED6">
        <w:tc>
          <w:tcPr>
            <w:tcW w:w="2405" w:type="dxa"/>
          </w:tcPr>
          <w:p w14:paraId="0E740A72" w14:textId="77777777" w:rsidR="00E65B40" w:rsidRPr="00BC0E90" w:rsidRDefault="00E65B40" w:rsidP="00BC0E90">
            <w:pPr>
              <w:jc w:val="right"/>
              <w:rPr>
                <w:sz w:val="20"/>
                <w:szCs w:val="20"/>
              </w:rPr>
            </w:pPr>
            <w:r w:rsidRPr="00BC0E90">
              <w:rPr>
                <w:sz w:val="20"/>
                <w:szCs w:val="20"/>
              </w:rPr>
              <w:t xml:space="preserve"># </w:t>
            </w:r>
            <w:proofErr w:type="gramStart"/>
            <w:r w:rsidRPr="00BC0E90">
              <w:rPr>
                <w:sz w:val="20"/>
                <w:szCs w:val="20"/>
              </w:rPr>
              <w:t>observations</w:t>
            </w:r>
            <w:proofErr w:type="gramEnd"/>
          </w:p>
        </w:tc>
        <w:tc>
          <w:tcPr>
            <w:tcW w:w="1418" w:type="dxa"/>
          </w:tcPr>
          <w:p w14:paraId="14C180C6" w14:textId="77777777" w:rsidR="00E65B40" w:rsidRPr="00BC0E90" w:rsidRDefault="00E65B40" w:rsidP="00E65B40">
            <w:pPr>
              <w:jc w:val="center"/>
              <w:rPr>
                <w:sz w:val="20"/>
                <w:szCs w:val="20"/>
              </w:rPr>
            </w:pPr>
            <w:r w:rsidRPr="00BC0E90">
              <w:rPr>
                <w:sz w:val="20"/>
                <w:szCs w:val="20"/>
              </w:rPr>
              <w:t>11,500</w:t>
            </w:r>
          </w:p>
        </w:tc>
        <w:tc>
          <w:tcPr>
            <w:tcW w:w="1275" w:type="dxa"/>
          </w:tcPr>
          <w:p w14:paraId="5E75D8BC" w14:textId="77777777" w:rsidR="00E65B40" w:rsidRPr="00BC0E90" w:rsidRDefault="00E65B40" w:rsidP="00E65B40">
            <w:pPr>
              <w:jc w:val="center"/>
              <w:rPr>
                <w:sz w:val="20"/>
                <w:szCs w:val="20"/>
              </w:rPr>
            </w:pPr>
            <w:r w:rsidRPr="00BC0E90">
              <w:rPr>
                <w:sz w:val="20"/>
                <w:szCs w:val="20"/>
              </w:rPr>
              <w:t>11,500</w:t>
            </w:r>
          </w:p>
        </w:tc>
        <w:tc>
          <w:tcPr>
            <w:tcW w:w="1394" w:type="dxa"/>
          </w:tcPr>
          <w:p w14:paraId="6A0895F6" w14:textId="77777777" w:rsidR="00E65B40" w:rsidRPr="00BC0E90" w:rsidRDefault="00E65B40" w:rsidP="00E65B40">
            <w:pPr>
              <w:jc w:val="center"/>
              <w:rPr>
                <w:sz w:val="20"/>
                <w:szCs w:val="20"/>
              </w:rPr>
            </w:pPr>
            <w:r w:rsidRPr="00BC0E90">
              <w:rPr>
                <w:sz w:val="20"/>
                <w:szCs w:val="20"/>
              </w:rPr>
              <w:t>11,500</w:t>
            </w:r>
          </w:p>
        </w:tc>
        <w:tc>
          <w:tcPr>
            <w:tcW w:w="1262" w:type="dxa"/>
          </w:tcPr>
          <w:p w14:paraId="666DED42" w14:textId="77777777" w:rsidR="00E65B40" w:rsidRPr="00BC0E90" w:rsidRDefault="00E65B40" w:rsidP="00E65B40">
            <w:pPr>
              <w:jc w:val="center"/>
              <w:rPr>
                <w:sz w:val="20"/>
                <w:szCs w:val="20"/>
              </w:rPr>
            </w:pPr>
            <w:r w:rsidRPr="00BC0E90">
              <w:rPr>
                <w:sz w:val="20"/>
                <w:szCs w:val="20"/>
              </w:rPr>
              <w:t>11,500</w:t>
            </w:r>
          </w:p>
        </w:tc>
        <w:tc>
          <w:tcPr>
            <w:tcW w:w="1262" w:type="dxa"/>
          </w:tcPr>
          <w:p w14:paraId="2233F696" w14:textId="77777777" w:rsidR="00E65B40" w:rsidRPr="00BC0E90" w:rsidRDefault="00E65B40" w:rsidP="00E65B40">
            <w:pPr>
              <w:jc w:val="center"/>
              <w:rPr>
                <w:sz w:val="20"/>
                <w:szCs w:val="20"/>
              </w:rPr>
            </w:pPr>
            <w:r w:rsidRPr="00BC0E90">
              <w:rPr>
                <w:sz w:val="20"/>
                <w:szCs w:val="20"/>
              </w:rPr>
              <w:t>11,500</w:t>
            </w:r>
          </w:p>
        </w:tc>
      </w:tr>
      <w:tr w:rsidR="00E65B40" w14:paraId="056AD026" w14:textId="77777777" w:rsidTr="002E3ED6">
        <w:tc>
          <w:tcPr>
            <w:tcW w:w="2405" w:type="dxa"/>
          </w:tcPr>
          <w:p w14:paraId="75AEE59C" w14:textId="77777777" w:rsidR="00E65B40" w:rsidRPr="00BC0E90" w:rsidRDefault="00E65B40" w:rsidP="00BC0E90">
            <w:pPr>
              <w:jc w:val="right"/>
              <w:rPr>
                <w:sz w:val="20"/>
                <w:szCs w:val="20"/>
              </w:rPr>
            </w:pPr>
            <w:r w:rsidRPr="00BC0E90">
              <w:rPr>
                <w:sz w:val="20"/>
                <w:szCs w:val="20"/>
              </w:rPr>
              <w:t xml:space="preserve"># </w:t>
            </w:r>
            <w:proofErr w:type="gramStart"/>
            <w:r w:rsidRPr="00BC0E90">
              <w:rPr>
                <w:sz w:val="20"/>
                <w:szCs w:val="20"/>
              </w:rPr>
              <w:t>clusters</w:t>
            </w:r>
            <w:proofErr w:type="gramEnd"/>
          </w:p>
        </w:tc>
        <w:tc>
          <w:tcPr>
            <w:tcW w:w="1418" w:type="dxa"/>
          </w:tcPr>
          <w:p w14:paraId="51AB8BA8" w14:textId="77777777" w:rsidR="00E65B40" w:rsidRPr="00BC0E90" w:rsidRDefault="00E65B40" w:rsidP="00E65B40">
            <w:pPr>
              <w:jc w:val="center"/>
              <w:rPr>
                <w:sz w:val="20"/>
                <w:szCs w:val="20"/>
              </w:rPr>
            </w:pPr>
            <w:r w:rsidRPr="00BC0E90">
              <w:rPr>
                <w:sz w:val="20"/>
                <w:szCs w:val="20"/>
              </w:rPr>
              <w:t>460</w:t>
            </w:r>
          </w:p>
        </w:tc>
        <w:tc>
          <w:tcPr>
            <w:tcW w:w="1275" w:type="dxa"/>
          </w:tcPr>
          <w:p w14:paraId="3D197AC8" w14:textId="77777777" w:rsidR="00E65B40" w:rsidRPr="00BC0E90" w:rsidRDefault="00E65B40" w:rsidP="00E65B40">
            <w:pPr>
              <w:jc w:val="center"/>
              <w:rPr>
                <w:sz w:val="20"/>
                <w:szCs w:val="20"/>
              </w:rPr>
            </w:pPr>
            <w:r w:rsidRPr="00BC0E90">
              <w:rPr>
                <w:sz w:val="20"/>
                <w:szCs w:val="20"/>
              </w:rPr>
              <w:t>460</w:t>
            </w:r>
          </w:p>
        </w:tc>
        <w:tc>
          <w:tcPr>
            <w:tcW w:w="1394" w:type="dxa"/>
          </w:tcPr>
          <w:p w14:paraId="158820D4" w14:textId="77777777" w:rsidR="00E65B40" w:rsidRPr="00BC0E90" w:rsidRDefault="00E65B40" w:rsidP="00E65B40">
            <w:pPr>
              <w:jc w:val="center"/>
              <w:rPr>
                <w:sz w:val="20"/>
                <w:szCs w:val="20"/>
              </w:rPr>
            </w:pPr>
            <w:r w:rsidRPr="00BC0E90">
              <w:rPr>
                <w:sz w:val="20"/>
                <w:szCs w:val="20"/>
              </w:rPr>
              <w:t>460</w:t>
            </w:r>
          </w:p>
        </w:tc>
        <w:tc>
          <w:tcPr>
            <w:tcW w:w="1262" w:type="dxa"/>
          </w:tcPr>
          <w:p w14:paraId="22601426" w14:textId="77777777" w:rsidR="00E65B40" w:rsidRPr="00BC0E90" w:rsidRDefault="00E65B40" w:rsidP="00E65B40">
            <w:pPr>
              <w:jc w:val="center"/>
              <w:rPr>
                <w:sz w:val="20"/>
                <w:szCs w:val="20"/>
              </w:rPr>
            </w:pPr>
            <w:r w:rsidRPr="00BC0E90">
              <w:rPr>
                <w:sz w:val="20"/>
                <w:szCs w:val="20"/>
              </w:rPr>
              <w:t>460</w:t>
            </w:r>
          </w:p>
        </w:tc>
        <w:tc>
          <w:tcPr>
            <w:tcW w:w="1262" w:type="dxa"/>
          </w:tcPr>
          <w:p w14:paraId="5AF1B2F2" w14:textId="77777777" w:rsidR="00E65B40" w:rsidRPr="00BC0E90" w:rsidRDefault="00E65B40" w:rsidP="00E65B40">
            <w:pPr>
              <w:jc w:val="center"/>
              <w:rPr>
                <w:sz w:val="20"/>
                <w:szCs w:val="20"/>
              </w:rPr>
            </w:pPr>
            <w:r w:rsidRPr="00BC0E90">
              <w:rPr>
                <w:sz w:val="20"/>
                <w:szCs w:val="20"/>
              </w:rPr>
              <w:t>460</w:t>
            </w:r>
          </w:p>
        </w:tc>
      </w:tr>
      <w:tr w:rsidR="00BC0E90" w14:paraId="041F98B7" w14:textId="77777777" w:rsidTr="002E3ED6">
        <w:tc>
          <w:tcPr>
            <w:tcW w:w="2405" w:type="dxa"/>
            <w:tcBorders>
              <w:bottom w:val="single" w:sz="4" w:space="0" w:color="auto"/>
            </w:tcBorders>
          </w:tcPr>
          <w:p w14:paraId="6DBFFA4C" w14:textId="77777777" w:rsidR="00BC0E90" w:rsidRPr="00BC0E90" w:rsidRDefault="00BC0E90" w:rsidP="00BC0E90">
            <w:pPr>
              <w:jc w:val="right"/>
              <w:rPr>
                <w:sz w:val="20"/>
                <w:szCs w:val="20"/>
              </w:rPr>
            </w:pPr>
            <w:r w:rsidRPr="00BC0E90">
              <w:rPr>
                <w:sz w:val="20"/>
                <w:szCs w:val="20"/>
              </w:rPr>
              <w:t>Parallel trend assumption t-statistics</w:t>
            </w:r>
          </w:p>
          <w:p w14:paraId="78F23429" w14:textId="77777777" w:rsidR="00BC0E90" w:rsidRPr="00BC0E90" w:rsidRDefault="00BC0E90" w:rsidP="00BC0E90">
            <w:pPr>
              <w:jc w:val="right"/>
              <w:rPr>
                <w:sz w:val="20"/>
                <w:szCs w:val="20"/>
              </w:rPr>
            </w:pPr>
            <w:r w:rsidRPr="00BC0E90">
              <w:rPr>
                <w:sz w:val="20"/>
                <w:szCs w:val="20"/>
              </w:rPr>
              <w:t>(p-value)</w:t>
            </w:r>
          </w:p>
        </w:tc>
        <w:tc>
          <w:tcPr>
            <w:tcW w:w="1418" w:type="dxa"/>
            <w:tcBorders>
              <w:bottom w:val="single" w:sz="4" w:space="0" w:color="auto"/>
            </w:tcBorders>
          </w:tcPr>
          <w:p w14:paraId="7EC80127" w14:textId="77777777" w:rsidR="00BC0E90" w:rsidRPr="00BC0E90" w:rsidRDefault="00BC0E90" w:rsidP="00E65B40">
            <w:pPr>
              <w:jc w:val="center"/>
              <w:rPr>
                <w:sz w:val="20"/>
                <w:szCs w:val="20"/>
              </w:rPr>
            </w:pPr>
            <w:r w:rsidRPr="00BC0E90">
              <w:rPr>
                <w:sz w:val="20"/>
                <w:szCs w:val="20"/>
              </w:rPr>
              <w:t>14.49</w:t>
            </w:r>
          </w:p>
          <w:p w14:paraId="59E12389" w14:textId="77777777" w:rsidR="00BC0E90" w:rsidRPr="00BC0E90" w:rsidRDefault="00BC0E90" w:rsidP="00E65B40">
            <w:pPr>
              <w:jc w:val="center"/>
              <w:rPr>
                <w:sz w:val="20"/>
                <w:szCs w:val="20"/>
              </w:rPr>
            </w:pPr>
            <w:r w:rsidRPr="00BC0E90">
              <w:rPr>
                <w:sz w:val="20"/>
                <w:szCs w:val="20"/>
              </w:rPr>
              <w:t>(0.000)</w:t>
            </w:r>
          </w:p>
        </w:tc>
        <w:tc>
          <w:tcPr>
            <w:tcW w:w="1275" w:type="dxa"/>
            <w:tcBorders>
              <w:bottom w:val="single" w:sz="4" w:space="0" w:color="auto"/>
            </w:tcBorders>
          </w:tcPr>
          <w:p w14:paraId="2D1D2E0A" w14:textId="77777777" w:rsidR="00BC0E90" w:rsidRPr="00BC0E90" w:rsidRDefault="00BC0E90" w:rsidP="00E65B40">
            <w:pPr>
              <w:jc w:val="center"/>
              <w:rPr>
                <w:sz w:val="20"/>
                <w:szCs w:val="20"/>
              </w:rPr>
            </w:pPr>
            <w:r w:rsidRPr="00BC0E90">
              <w:rPr>
                <w:sz w:val="20"/>
                <w:szCs w:val="20"/>
              </w:rPr>
              <w:t>15.33</w:t>
            </w:r>
          </w:p>
          <w:p w14:paraId="537C055B" w14:textId="77777777" w:rsidR="00BC0E90" w:rsidRPr="00BC0E90" w:rsidRDefault="00BC0E90" w:rsidP="00E65B40">
            <w:pPr>
              <w:jc w:val="center"/>
              <w:rPr>
                <w:sz w:val="20"/>
                <w:szCs w:val="20"/>
              </w:rPr>
            </w:pPr>
            <w:r w:rsidRPr="00BC0E90">
              <w:rPr>
                <w:sz w:val="20"/>
                <w:szCs w:val="20"/>
              </w:rPr>
              <w:t>(0.000)</w:t>
            </w:r>
          </w:p>
        </w:tc>
        <w:tc>
          <w:tcPr>
            <w:tcW w:w="1394" w:type="dxa"/>
            <w:tcBorders>
              <w:bottom w:val="single" w:sz="4" w:space="0" w:color="auto"/>
            </w:tcBorders>
          </w:tcPr>
          <w:p w14:paraId="57E65816" w14:textId="77777777" w:rsidR="00BC0E90" w:rsidRPr="00BC0E90" w:rsidRDefault="00BC0E90" w:rsidP="00E65B40">
            <w:pPr>
              <w:jc w:val="center"/>
              <w:rPr>
                <w:sz w:val="20"/>
                <w:szCs w:val="20"/>
              </w:rPr>
            </w:pPr>
            <w:r w:rsidRPr="00BC0E90">
              <w:rPr>
                <w:sz w:val="20"/>
                <w:szCs w:val="20"/>
              </w:rPr>
              <w:t>21.18</w:t>
            </w:r>
          </w:p>
          <w:p w14:paraId="3ACE30A4" w14:textId="77777777" w:rsidR="00BC0E90" w:rsidRPr="00BC0E90" w:rsidRDefault="00BC0E90" w:rsidP="00E65B40">
            <w:pPr>
              <w:jc w:val="center"/>
              <w:rPr>
                <w:sz w:val="20"/>
                <w:szCs w:val="20"/>
              </w:rPr>
            </w:pPr>
            <w:r w:rsidRPr="00BC0E90">
              <w:rPr>
                <w:sz w:val="20"/>
                <w:szCs w:val="20"/>
              </w:rPr>
              <w:t>(0.000)</w:t>
            </w:r>
          </w:p>
        </w:tc>
        <w:tc>
          <w:tcPr>
            <w:tcW w:w="1262" w:type="dxa"/>
            <w:tcBorders>
              <w:bottom w:val="single" w:sz="4" w:space="0" w:color="auto"/>
            </w:tcBorders>
          </w:tcPr>
          <w:p w14:paraId="132CC598" w14:textId="77777777" w:rsidR="00BC0E90" w:rsidRPr="00BC0E90" w:rsidRDefault="00BC0E90" w:rsidP="00E65B40">
            <w:pPr>
              <w:jc w:val="center"/>
              <w:rPr>
                <w:sz w:val="20"/>
                <w:szCs w:val="20"/>
              </w:rPr>
            </w:pPr>
            <w:r w:rsidRPr="00BC0E90">
              <w:rPr>
                <w:sz w:val="20"/>
                <w:szCs w:val="20"/>
              </w:rPr>
              <w:t>11.49</w:t>
            </w:r>
          </w:p>
          <w:p w14:paraId="37A50CAB" w14:textId="77777777" w:rsidR="00BC0E90" w:rsidRPr="00BC0E90" w:rsidRDefault="00BC0E90" w:rsidP="00E65B40">
            <w:pPr>
              <w:jc w:val="center"/>
              <w:rPr>
                <w:sz w:val="20"/>
                <w:szCs w:val="20"/>
              </w:rPr>
            </w:pPr>
            <w:r w:rsidRPr="00BC0E90">
              <w:rPr>
                <w:sz w:val="20"/>
                <w:szCs w:val="20"/>
              </w:rPr>
              <w:t>(0.000)</w:t>
            </w:r>
          </w:p>
        </w:tc>
        <w:tc>
          <w:tcPr>
            <w:tcW w:w="1262" w:type="dxa"/>
            <w:tcBorders>
              <w:bottom w:val="single" w:sz="4" w:space="0" w:color="auto"/>
            </w:tcBorders>
          </w:tcPr>
          <w:p w14:paraId="51E3DBA7" w14:textId="77777777" w:rsidR="00BC0E90" w:rsidRPr="00BC0E90" w:rsidRDefault="00BC0E90" w:rsidP="00E65B40">
            <w:pPr>
              <w:jc w:val="center"/>
              <w:rPr>
                <w:sz w:val="20"/>
                <w:szCs w:val="20"/>
              </w:rPr>
            </w:pPr>
            <w:r w:rsidRPr="00BC0E90">
              <w:rPr>
                <w:sz w:val="20"/>
                <w:szCs w:val="20"/>
              </w:rPr>
              <w:t>11.12</w:t>
            </w:r>
          </w:p>
          <w:p w14:paraId="2D6E8636" w14:textId="77777777" w:rsidR="00BC0E90" w:rsidRPr="00BC0E90" w:rsidRDefault="00BC0E90" w:rsidP="00E65B40">
            <w:pPr>
              <w:jc w:val="center"/>
              <w:rPr>
                <w:sz w:val="20"/>
                <w:szCs w:val="20"/>
              </w:rPr>
            </w:pPr>
            <w:r w:rsidRPr="00BC0E90">
              <w:rPr>
                <w:sz w:val="20"/>
                <w:szCs w:val="20"/>
              </w:rPr>
              <w:t>(0.000)</w:t>
            </w:r>
          </w:p>
        </w:tc>
      </w:tr>
      <w:tr w:rsidR="008A4F94" w14:paraId="67EBE693" w14:textId="77777777" w:rsidTr="002E3ED6">
        <w:tc>
          <w:tcPr>
            <w:tcW w:w="9016" w:type="dxa"/>
            <w:gridSpan w:val="6"/>
            <w:tcBorders>
              <w:top w:val="single" w:sz="4" w:space="0" w:color="auto"/>
              <w:bottom w:val="single" w:sz="4" w:space="0" w:color="auto"/>
            </w:tcBorders>
          </w:tcPr>
          <w:p w14:paraId="4B3268D1" w14:textId="77777777" w:rsidR="008A4F94" w:rsidRPr="002E3ED6" w:rsidRDefault="008A4F94" w:rsidP="006B2FAD">
            <w:pPr>
              <w:rPr>
                <w:sz w:val="20"/>
                <w:szCs w:val="20"/>
              </w:rPr>
            </w:pPr>
            <w:r w:rsidRPr="002E3ED6">
              <w:rPr>
                <w:sz w:val="20"/>
                <w:szCs w:val="20"/>
              </w:rPr>
              <w:t xml:space="preserve">Panel B: de Chaisemartin and D'Haultfoeuille heterogeneous difference-in-differences estimates with two-way fixed effects and </w:t>
            </w:r>
            <w:r w:rsidR="00CD2BF6" w:rsidRPr="002E3ED6">
              <w:rPr>
                <w:sz w:val="20"/>
                <w:szCs w:val="20"/>
              </w:rPr>
              <w:t>heterogeneous</w:t>
            </w:r>
            <w:r w:rsidRPr="002E3ED6">
              <w:rPr>
                <w:sz w:val="20"/>
                <w:szCs w:val="20"/>
              </w:rPr>
              <w:t xml:space="preserve"> treatment</w:t>
            </w:r>
          </w:p>
        </w:tc>
      </w:tr>
      <w:tr w:rsidR="006B2FAD" w14:paraId="5696793F" w14:textId="77777777" w:rsidTr="002E3ED6">
        <w:tc>
          <w:tcPr>
            <w:tcW w:w="2405" w:type="dxa"/>
            <w:tcBorders>
              <w:top w:val="single" w:sz="4" w:space="0" w:color="auto"/>
            </w:tcBorders>
          </w:tcPr>
          <w:p w14:paraId="5FF98EA2" w14:textId="77777777" w:rsidR="006B2FAD" w:rsidRPr="00BC0E90" w:rsidRDefault="008A4F94" w:rsidP="00BC0E90">
            <w:pPr>
              <w:jc w:val="right"/>
              <w:rPr>
                <w:sz w:val="20"/>
                <w:szCs w:val="20"/>
              </w:rPr>
            </w:pPr>
            <w:r w:rsidRPr="00BC0E90">
              <w:rPr>
                <w:sz w:val="20"/>
                <w:szCs w:val="20"/>
              </w:rPr>
              <w:t>λ</w:t>
            </w:r>
            <w:proofErr w:type="gramStart"/>
            <w:r w:rsidRPr="00BC0E90">
              <w:rPr>
                <w:sz w:val="20"/>
                <w:szCs w:val="20"/>
                <w:vertAlign w:val="subscript"/>
              </w:rPr>
              <w:t>1</w:t>
            </w:r>
            <w:r w:rsidR="007316D4" w:rsidRPr="00BC0E90">
              <w:rPr>
                <w:sz w:val="20"/>
                <w:szCs w:val="20"/>
                <w:vertAlign w:val="subscript"/>
              </w:rPr>
              <w:t>,Baseline</w:t>
            </w:r>
            <w:proofErr w:type="gramEnd"/>
          </w:p>
        </w:tc>
        <w:tc>
          <w:tcPr>
            <w:tcW w:w="1418" w:type="dxa"/>
            <w:tcBorders>
              <w:top w:val="single" w:sz="4" w:space="0" w:color="auto"/>
            </w:tcBorders>
          </w:tcPr>
          <w:p w14:paraId="03E1D903" w14:textId="77777777" w:rsidR="006B2FAD" w:rsidRPr="00BC0E90" w:rsidRDefault="00C46CD2" w:rsidP="00347997">
            <w:pPr>
              <w:jc w:val="center"/>
              <w:rPr>
                <w:sz w:val="20"/>
                <w:szCs w:val="20"/>
              </w:rPr>
            </w:pPr>
            <w:r w:rsidRPr="00BC0E90">
              <w:rPr>
                <w:sz w:val="20"/>
                <w:szCs w:val="20"/>
              </w:rPr>
              <w:t>-.003</w:t>
            </w:r>
          </w:p>
          <w:p w14:paraId="0A4EFABF" w14:textId="77777777" w:rsidR="00C46CD2" w:rsidRPr="00BC0E90" w:rsidRDefault="00C46CD2" w:rsidP="00347997">
            <w:pPr>
              <w:jc w:val="center"/>
              <w:rPr>
                <w:sz w:val="20"/>
                <w:szCs w:val="20"/>
              </w:rPr>
            </w:pPr>
            <w:r w:rsidRPr="00BC0E90">
              <w:rPr>
                <w:sz w:val="20"/>
                <w:szCs w:val="20"/>
              </w:rPr>
              <w:t>(.004)</w:t>
            </w:r>
          </w:p>
        </w:tc>
        <w:tc>
          <w:tcPr>
            <w:tcW w:w="1275" w:type="dxa"/>
            <w:tcBorders>
              <w:top w:val="single" w:sz="4" w:space="0" w:color="auto"/>
            </w:tcBorders>
          </w:tcPr>
          <w:p w14:paraId="12F61CC6" w14:textId="77777777" w:rsidR="006B2FAD" w:rsidRPr="00BC0E90" w:rsidRDefault="005707C3" w:rsidP="00347997">
            <w:pPr>
              <w:jc w:val="center"/>
              <w:rPr>
                <w:sz w:val="20"/>
                <w:szCs w:val="20"/>
              </w:rPr>
            </w:pPr>
            <w:r w:rsidRPr="00BC0E90">
              <w:rPr>
                <w:sz w:val="20"/>
                <w:szCs w:val="20"/>
              </w:rPr>
              <w:t>.012***</w:t>
            </w:r>
          </w:p>
          <w:p w14:paraId="06BA91EE" w14:textId="77777777" w:rsidR="005707C3" w:rsidRPr="00BC0E90" w:rsidRDefault="005707C3" w:rsidP="00347997">
            <w:pPr>
              <w:jc w:val="center"/>
              <w:rPr>
                <w:sz w:val="20"/>
                <w:szCs w:val="20"/>
              </w:rPr>
            </w:pPr>
            <w:r w:rsidRPr="00BC0E90">
              <w:rPr>
                <w:sz w:val="20"/>
                <w:szCs w:val="20"/>
              </w:rPr>
              <w:t>(.003)</w:t>
            </w:r>
          </w:p>
        </w:tc>
        <w:tc>
          <w:tcPr>
            <w:tcW w:w="1394" w:type="dxa"/>
            <w:tcBorders>
              <w:top w:val="single" w:sz="4" w:space="0" w:color="auto"/>
            </w:tcBorders>
          </w:tcPr>
          <w:p w14:paraId="3E7CFB34" w14:textId="77777777" w:rsidR="006B2FAD" w:rsidRPr="00BC0E90" w:rsidRDefault="005707C3" w:rsidP="00347997">
            <w:pPr>
              <w:jc w:val="center"/>
              <w:rPr>
                <w:sz w:val="20"/>
                <w:szCs w:val="20"/>
              </w:rPr>
            </w:pPr>
            <w:r w:rsidRPr="00BC0E90">
              <w:rPr>
                <w:sz w:val="20"/>
                <w:szCs w:val="20"/>
              </w:rPr>
              <w:t>.038***</w:t>
            </w:r>
          </w:p>
          <w:p w14:paraId="5BBDC604" w14:textId="77777777" w:rsidR="005707C3" w:rsidRPr="00BC0E90" w:rsidRDefault="005707C3" w:rsidP="00347997">
            <w:pPr>
              <w:jc w:val="center"/>
              <w:rPr>
                <w:sz w:val="20"/>
                <w:szCs w:val="20"/>
              </w:rPr>
            </w:pPr>
            <w:r w:rsidRPr="00BC0E90">
              <w:rPr>
                <w:sz w:val="20"/>
                <w:szCs w:val="20"/>
              </w:rPr>
              <w:t>(.002)</w:t>
            </w:r>
          </w:p>
        </w:tc>
        <w:tc>
          <w:tcPr>
            <w:tcW w:w="1262" w:type="dxa"/>
            <w:tcBorders>
              <w:top w:val="single" w:sz="4" w:space="0" w:color="auto"/>
            </w:tcBorders>
          </w:tcPr>
          <w:p w14:paraId="1A627646" w14:textId="77777777" w:rsidR="006B2FAD" w:rsidRPr="00BC0E90" w:rsidRDefault="005707C3" w:rsidP="00347997">
            <w:pPr>
              <w:jc w:val="center"/>
              <w:rPr>
                <w:sz w:val="20"/>
                <w:szCs w:val="20"/>
              </w:rPr>
            </w:pPr>
            <w:r w:rsidRPr="00BC0E90">
              <w:rPr>
                <w:sz w:val="20"/>
                <w:szCs w:val="20"/>
              </w:rPr>
              <w:t>-.002</w:t>
            </w:r>
          </w:p>
          <w:p w14:paraId="4E6027B5" w14:textId="77777777" w:rsidR="005707C3" w:rsidRPr="00BC0E90" w:rsidRDefault="005707C3" w:rsidP="00347997">
            <w:pPr>
              <w:jc w:val="center"/>
              <w:rPr>
                <w:sz w:val="20"/>
                <w:szCs w:val="20"/>
              </w:rPr>
            </w:pPr>
            <w:r w:rsidRPr="00BC0E90">
              <w:rPr>
                <w:sz w:val="20"/>
                <w:szCs w:val="20"/>
              </w:rPr>
              <w:t>(.003)</w:t>
            </w:r>
          </w:p>
        </w:tc>
        <w:tc>
          <w:tcPr>
            <w:tcW w:w="1262" w:type="dxa"/>
            <w:tcBorders>
              <w:top w:val="single" w:sz="4" w:space="0" w:color="auto"/>
            </w:tcBorders>
          </w:tcPr>
          <w:p w14:paraId="59E02125" w14:textId="77777777" w:rsidR="006B2FAD" w:rsidRPr="00BC0E90" w:rsidRDefault="00233A8C" w:rsidP="00347997">
            <w:pPr>
              <w:jc w:val="center"/>
              <w:rPr>
                <w:sz w:val="20"/>
                <w:szCs w:val="20"/>
              </w:rPr>
            </w:pPr>
            <w:r w:rsidRPr="00BC0E90">
              <w:rPr>
                <w:sz w:val="20"/>
                <w:szCs w:val="20"/>
              </w:rPr>
              <w:t>-.008***</w:t>
            </w:r>
          </w:p>
          <w:p w14:paraId="066472D8" w14:textId="77777777" w:rsidR="00233A8C" w:rsidRPr="00BC0E90" w:rsidRDefault="00233A8C" w:rsidP="00347997">
            <w:pPr>
              <w:jc w:val="center"/>
              <w:rPr>
                <w:sz w:val="20"/>
                <w:szCs w:val="20"/>
              </w:rPr>
            </w:pPr>
            <w:r w:rsidRPr="00BC0E90">
              <w:rPr>
                <w:sz w:val="20"/>
                <w:szCs w:val="20"/>
              </w:rPr>
              <w:t>(.003)</w:t>
            </w:r>
          </w:p>
        </w:tc>
      </w:tr>
      <w:tr w:rsidR="00C46CD2" w14:paraId="52D32E65" w14:textId="77777777" w:rsidTr="002E3ED6">
        <w:tc>
          <w:tcPr>
            <w:tcW w:w="2405" w:type="dxa"/>
          </w:tcPr>
          <w:p w14:paraId="65B6493D" w14:textId="77777777" w:rsidR="00C46CD2" w:rsidRPr="00BC0E90" w:rsidRDefault="00C46CD2" w:rsidP="00BC0E90">
            <w:pPr>
              <w:jc w:val="right"/>
              <w:rPr>
                <w:sz w:val="20"/>
                <w:szCs w:val="20"/>
              </w:rPr>
            </w:pPr>
            <w:r w:rsidRPr="00BC0E90">
              <w:rPr>
                <w:sz w:val="20"/>
                <w:szCs w:val="20"/>
              </w:rPr>
              <w:t>λ</w:t>
            </w:r>
            <w:proofErr w:type="gramStart"/>
            <w:r w:rsidRPr="00BC0E90">
              <w:rPr>
                <w:sz w:val="20"/>
                <w:szCs w:val="20"/>
                <w:vertAlign w:val="subscript"/>
              </w:rPr>
              <w:t>1,t</w:t>
            </w:r>
            <w:proofErr w:type="gramEnd"/>
            <w:r w:rsidRPr="00BC0E90">
              <w:rPr>
                <w:sz w:val="20"/>
                <w:szCs w:val="20"/>
                <w:vertAlign w:val="subscript"/>
              </w:rPr>
              <w:t>+1</w:t>
            </w:r>
          </w:p>
        </w:tc>
        <w:tc>
          <w:tcPr>
            <w:tcW w:w="1418" w:type="dxa"/>
          </w:tcPr>
          <w:p w14:paraId="1D24A3D2" w14:textId="77777777" w:rsidR="00C46CD2" w:rsidRPr="00BC0E90" w:rsidRDefault="00C46CD2" w:rsidP="00347997">
            <w:pPr>
              <w:jc w:val="center"/>
              <w:rPr>
                <w:sz w:val="20"/>
                <w:szCs w:val="20"/>
              </w:rPr>
            </w:pPr>
            <w:r w:rsidRPr="00BC0E90">
              <w:rPr>
                <w:sz w:val="20"/>
                <w:szCs w:val="20"/>
              </w:rPr>
              <w:t>-.024***</w:t>
            </w:r>
          </w:p>
          <w:p w14:paraId="21AD7007" w14:textId="77777777" w:rsidR="00C46CD2" w:rsidRPr="00BC0E90" w:rsidRDefault="00C46CD2" w:rsidP="00347997">
            <w:pPr>
              <w:jc w:val="center"/>
              <w:rPr>
                <w:sz w:val="20"/>
                <w:szCs w:val="20"/>
              </w:rPr>
            </w:pPr>
            <w:r w:rsidRPr="00BC0E90">
              <w:rPr>
                <w:sz w:val="20"/>
                <w:szCs w:val="20"/>
              </w:rPr>
              <w:t>(.007)</w:t>
            </w:r>
          </w:p>
        </w:tc>
        <w:tc>
          <w:tcPr>
            <w:tcW w:w="1275" w:type="dxa"/>
          </w:tcPr>
          <w:p w14:paraId="15AF93FD" w14:textId="77777777" w:rsidR="00C46CD2" w:rsidRPr="00BC0E90" w:rsidRDefault="005707C3" w:rsidP="00347997">
            <w:pPr>
              <w:jc w:val="center"/>
              <w:rPr>
                <w:sz w:val="20"/>
                <w:szCs w:val="20"/>
              </w:rPr>
            </w:pPr>
            <w:r w:rsidRPr="00BC0E90">
              <w:rPr>
                <w:sz w:val="20"/>
                <w:szCs w:val="20"/>
              </w:rPr>
              <w:t>.032***</w:t>
            </w:r>
          </w:p>
          <w:p w14:paraId="0BCD036A" w14:textId="77777777" w:rsidR="005707C3" w:rsidRPr="00BC0E90" w:rsidRDefault="005707C3" w:rsidP="00347997">
            <w:pPr>
              <w:jc w:val="center"/>
              <w:rPr>
                <w:sz w:val="20"/>
                <w:szCs w:val="20"/>
              </w:rPr>
            </w:pPr>
            <w:r w:rsidRPr="00BC0E90">
              <w:rPr>
                <w:sz w:val="20"/>
                <w:szCs w:val="20"/>
              </w:rPr>
              <w:t>(.005)</w:t>
            </w:r>
          </w:p>
        </w:tc>
        <w:tc>
          <w:tcPr>
            <w:tcW w:w="1394" w:type="dxa"/>
          </w:tcPr>
          <w:p w14:paraId="5308BD51" w14:textId="77777777" w:rsidR="00C46CD2" w:rsidRPr="00BC0E90" w:rsidRDefault="005707C3" w:rsidP="00347997">
            <w:pPr>
              <w:jc w:val="center"/>
              <w:rPr>
                <w:sz w:val="20"/>
                <w:szCs w:val="20"/>
              </w:rPr>
            </w:pPr>
            <w:r w:rsidRPr="00BC0E90">
              <w:rPr>
                <w:sz w:val="20"/>
                <w:szCs w:val="20"/>
              </w:rPr>
              <w:t>.071***</w:t>
            </w:r>
          </w:p>
          <w:p w14:paraId="1153B507" w14:textId="77777777" w:rsidR="005707C3" w:rsidRPr="00BC0E90" w:rsidRDefault="005707C3" w:rsidP="00347997">
            <w:pPr>
              <w:jc w:val="center"/>
              <w:rPr>
                <w:sz w:val="20"/>
                <w:szCs w:val="20"/>
              </w:rPr>
            </w:pPr>
            <w:r w:rsidRPr="00BC0E90">
              <w:rPr>
                <w:sz w:val="20"/>
                <w:szCs w:val="20"/>
              </w:rPr>
              <w:t>(.004)</w:t>
            </w:r>
          </w:p>
        </w:tc>
        <w:tc>
          <w:tcPr>
            <w:tcW w:w="1262" w:type="dxa"/>
          </w:tcPr>
          <w:p w14:paraId="535496E6" w14:textId="77777777" w:rsidR="00C46CD2" w:rsidRPr="00BC0E90" w:rsidRDefault="005707C3" w:rsidP="00347997">
            <w:pPr>
              <w:jc w:val="center"/>
              <w:rPr>
                <w:sz w:val="20"/>
                <w:szCs w:val="20"/>
              </w:rPr>
            </w:pPr>
            <w:r w:rsidRPr="00BC0E90">
              <w:rPr>
                <w:sz w:val="20"/>
                <w:szCs w:val="20"/>
              </w:rPr>
              <w:t>-.022</w:t>
            </w:r>
            <w:r w:rsidR="00233A8C" w:rsidRPr="00BC0E90">
              <w:rPr>
                <w:sz w:val="20"/>
                <w:szCs w:val="20"/>
              </w:rPr>
              <w:t>***</w:t>
            </w:r>
          </w:p>
          <w:p w14:paraId="6F2DC8B9" w14:textId="77777777" w:rsidR="005707C3" w:rsidRPr="00BC0E90" w:rsidRDefault="005707C3" w:rsidP="00347997">
            <w:pPr>
              <w:jc w:val="center"/>
              <w:rPr>
                <w:sz w:val="20"/>
                <w:szCs w:val="20"/>
              </w:rPr>
            </w:pPr>
            <w:r w:rsidRPr="00BC0E90">
              <w:rPr>
                <w:sz w:val="20"/>
                <w:szCs w:val="20"/>
              </w:rPr>
              <w:t>(.007)</w:t>
            </w:r>
          </w:p>
        </w:tc>
        <w:tc>
          <w:tcPr>
            <w:tcW w:w="1262" w:type="dxa"/>
          </w:tcPr>
          <w:p w14:paraId="4A7A52DF" w14:textId="77777777" w:rsidR="00C46CD2" w:rsidRPr="00BC0E90" w:rsidRDefault="00233A8C" w:rsidP="00347997">
            <w:pPr>
              <w:jc w:val="center"/>
              <w:rPr>
                <w:sz w:val="20"/>
                <w:szCs w:val="20"/>
              </w:rPr>
            </w:pPr>
            <w:r w:rsidRPr="00BC0E90">
              <w:rPr>
                <w:sz w:val="20"/>
                <w:szCs w:val="20"/>
              </w:rPr>
              <w:t>-.033***</w:t>
            </w:r>
          </w:p>
          <w:p w14:paraId="51CA23FB" w14:textId="77777777" w:rsidR="00233A8C" w:rsidRPr="00BC0E90" w:rsidRDefault="00233A8C" w:rsidP="00347997">
            <w:pPr>
              <w:jc w:val="center"/>
              <w:rPr>
                <w:sz w:val="20"/>
                <w:szCs w:val="20"/>
              </w:rPr>
            </w:pPr>
            <w:r w:rsidRPr="00BC0E90">
              <w:rPr>
                <w:sz w:val="20"/>
                <w:szCs w:val="20"/>
              </w:rPr>
              <w:t>(.006)</w:t>
            </w:r>
          </w:p>
        </w:tc>
      </w:tr>
      <w:tr w:rsidR="00C46CD2" w14:paraId="7E1E2552" w14:textId="77777777" w:rsidTr="002E3ED6">
        <w:tc>
          <w:tcPr>
            <w:tcW w:w="2405" w:type="dxa"/>
          </w:tcPr>
          <w:p w14:paraId="0AA7CD35" w14:textId="77777777" w:rsidR="00C46CD2" w:rsidRPr="00BC0E90" w:rsidRDefault="00C46CD2" w:rsidP="00BC0E90">
            <w:pPr>
              <w:jc w:val="right"/>
              <w:rPr>
                <w:sz w:val="20"/>
                <w:szCs w:val="20"/>
              </w:rPr>
            </w:pPr>
            <w:r w:rsidRPr="00BC0E90">
              <w:rPr>
                <w:sz w:val="20"/>
                <w:szCs w:val="20"/>
              </w:rPr>
              <w:t>λ</w:t>
            </w:r>
            <w:proofErr w:type="gramStart"/>
            <w:r w:rsidRPr="00BC0E90">
              <w:rPr>
                <w:sz w:val="20"/>
                <w:szCs w:val="20"/>
                <w:vertAlign w:val="subscript"/>
              </w:rPr>
              <w:t>1,t</w:t>
            </w:r>
            <w:proofErr w:type="gramEnd"/>
            <w:r w:rsidRPr="00BC0E90">
              <w:rPr>
                <w:sz w:val="20"/>
                <w:szCs w:val="20"/>
                <w:vertAlign w:val="subscript"/>
              </w:rPr>
              <w:t>+2</w:t>
            </w:r>
          </w:p>
        </w:tc>
        <w:tc>
          <w:tcPr>
            <w:tcW w:w="1418" w:type="dxa"/>
          </w:tcPr>
          <w:p w14:paraId="62782F09" w14:textId="77777777" w:rsidR="00C46CD2" w:rsidRPr="00BC0E90" w:rsidRDefault="00C46CD2" w:rsidP="00347997">
            <w:pPr>
              <w:jc w:val="center"/>
              <w:rPr>
                <w:sz w:val="20"/>
                <w:szCs w:val="20"/>
              </w:rPr>
            </w:pPr>
            <w:r w:rsidRPr="00BC0E90">
              <w:rPr>
                <w:sz w:val="20"/>
                <w:szCs w:val="20"/>
              </w:rPr>
              <w:t>-.062***</w:t>
            </w:r>
          </w:p>
          <w:p w14:paraId="37B162BB" w14:textId="77777777" w:rsidR="00C46CD2" w:rsidRPr="00BC0E90" w:rsidRDefault="00C46CD2" w:rsidP="00347997">
            <w:pPr>
              <w:jc w:val="center"/>
              <w:rPr>
                <w:sz w:val="20"/>
                <w:szCs w:val="20"/>
              </w:rPr>
            </w:pPr>
            <w:r w:rsidRPr="00BC0E90">
              <w:rPr>
                <w:sz w:val="20"/>
                <w:szCs w:val="20"/>
              </w:rPr>
              <w:t>(.011)</w:t>
            </w:r>
          </w:p>
        </w:tc>
        <w:tc>
          <w:tcPr>
            <w:tcW w:w="1275" w:type="dxa"/>
          </w:tcPr>
          <w:p w14:paraId="2B258071" w14:textId="77777777" w:rsidR="00C46CD2" w:rsidRPr="00BC0E90" w:rsidRDefault="005707C3" w:rsidP="00347997">
            <w:pPr>
              <w:jc w:val="center"/>
              <w:rPr>
                <w:sz w:val="20"/>
                <w:szCs w:val="20"/>
              </w:rPr>
            </w:pPr>
            <w:r w:rsidRPr="00BC0E90">
              <w:rPr>
                <w:sz w:val="20"/>
                <w:szCs w:val="20"/>
              </w:rPr>
              <w:t>.051***</w:t>
            </w:r>
          </w:p>
          <w:p w14:paraId="58BD4717" w14:textId="77777777" w:rsidR="005707C3" w:rsidRPr="00BC0E90" w:rsidRDefault="005707C3" w:rsidP="00347997">
            <w:pPr>
              <w:jc w:val="center"/>
              <w:rPr>
                <w:sz w:val="20"/>
                <w:szCs w:val="20"/>
              </w:rPr>
            </w:pPr>
            <w:r w:rsidRPr="00BC0E90">
              <w:rPr>
                <w:sz w:val="20"/>
                <w:szCs w:val="20"/>
              </w:rPr>
              <w:t>(.007)</w:t>
            </w:r>
          </w:p>
        </w:tc>
        <w:tc>
          <w:tcPr>
            <w:tcW w:w="1394" w:type="dxa"/>
          </w:tcPr>
          <w:p w14:paraId="705D279A" w14:textId="77777777" w:rsidR="00C46CD2" w:rsidRPr="00BC0E90" w:rsidRDefault="005707C3" w:rsidP="00347997">
            <w:pPr>
              <w:jc w:val="center"/>
              <w:rPr>
                <w:sz w:val="20"/>
                <w:szCs w:val="20"/>
              </w:rPr>
            </w:pPr>
            <w:r w:rsidRPr="00BC0E90">
              <w:rPr>
                <w:sz w:val="20"/>
                <w:szCs w:val="20"/>
              </w:rPr>
              <w:t>.077***</w:t>
            </w:r>
          </w:p>
          <w:p w14:paraId="40C52E84" w14:textId="77777777" w:rsidR="005707C3" w:rsidRPr="00BC0E90" w:rsidRDefault="005707C3" w:rsidP="00347997">
            <w:pPr>
              <w:jc w:val="center"/>
              <w:rPr>
                <w:sz w:val="20"/>
                <w:szCs w:val="20"/>
              </w:rPr>
            </w:pPr>
            <w:r w:rsidRPr="00BC0E90">
              <w:rPr>
                <w:sz w:val="20"/>
                <w:szCs w:val="20"/>
              </w:rPr>
              <w:t>(.006)</w:t>
            </w:r>
          </w:p>
        </w:tc>
        <w:tc>
          <w:tcPr>
            <w:tcW w:w="1262" w:type="dxa"/>
          </w:tcPr>
          <w:p w14:paraId="67964342" w14:textId="77777777" w:rsidR="00C46CD2" w:rsidRPr="00BC0E90" w:rsidRDefault="005707C3" w:rsidP="00347997">
            <w:pPr>
              <w:jc w:val="center"/>
              <w:rPr>
                <w:sz w:val="20"/>
                <w:szCs w:val="20"/>
              </w:rPr>
            </w:pPr>
            <w:r w:rsidRPr="00BC0E90">
              <w:rPr>
                <w:sz w:val="20"/>
                <w:szCs w:val="20"/>
              </w:rPr>
              <w:t>-.059***</w:t>
            </w:r>
          </w:p>
          <w:p w14:paraId="0A9F3BDB" w14:textId="77777777" w:rsidR="005707C3" w:rsidRPr="00BC0E90" w:rsidRDefault="005707C3" w:rsidP="00347997">
            <w:pPr>
              <w:jc w:val="center"/>
              <w:rPr>
                <w:sz w:val="20"/>
                <w:szCs w:val="20"/>
              </w:rPr>
            </w:pPr>
            <w:r w:rsidRPr="00BC0E90">
              <w:rPr>
                <w:sz w:val="20"/>
                <w:szCs w:val="20"/>
              </w:rPr>
              <w:t>(.010)</w:t>
            </w:r>
          </w:p>
        </w:tc>
        <w:tc>
          <w:tcPr>
            <w:tcW w:w="1262" w:type="dxa"/>
          </w:tcPr>
          <w:p w14:paraId="19C80439" w14:textId="77777777" w:rsidR="00C46CD2" w:rsidRPr="00BC0E90" w:rsidRDefault="00233A8C" w:rsidP="00347997">
            <w:pPr>
              <w:jc w:val="center"/>
              <w:rPr>
                <w:sz w:val="20"/>
                <w:szCs w:val="20"/>
              </w:rPr>
            </w:pPr>
            <w:r w:rsidRPr="00BC0E90">
              <w:rPr>
                <w:sz w:val="20"/>
                <w:szCs w:val="20"/>
              </w:rPr>
              <w:t>-.070***</w:t>
            </w:r>
          </w:p>
          <w:p w14:paraId="2956B302" w14:textId="77777777" w:rsidR="00233A8C" w:rsidRPr="00BC0E90" w:rsidRDefault="00233A8C" w:rsidP="00347997">
            <w:pPr>
              <w:jc w:val="center"/>
              <w:rPr>
                <w:sz w:val="20"/>
                <w:szCs w:val="20"/>
              </w:rPr>
            </w:pPr>
            <w:r w:rsidRPr="00BC0E90">
              <w:rPr>
                <w:sz w:val="20"/>
                <w:szCs w:val="20"/>
              </w:rPr>
              <w:t>(.009)</w:t>
            </w:r>
          </w:p>
        </w:tc>
      </w:tr>
      <w:tr w:rsidR="00C46CD2" w14:paraId="640BE48E" w14:textId="77777777" w:rsidTr="002E3ED6">
        <w:tc>
          <w:tcPr>
            <w:tcW w:w="2405" w:type="dxa"/>
          </w:tcPr>
          <w:p w14:paraId="658AB392" w14:textId="77777777" w:rsidR="00C46CD2" w:rsidRPr="00BC0E90" w:rsidRDefault="00C46CD2" w:rsidP="00BC0E90">
            <w:pPr>
              <w:jc w:val="right"/>
              <w:rPr>
                <w:sz w:val="20"/>
                <w:szCs w:val="20"/>
              </w:rPr>
            </w:pPr>
            <w:r w:rsidRPr="00BC0E90">
              <w:rPr>
                <w:sz w:val="20"/>
                <w:szCs w:val="20"/>
              </w:rPr>
              <w:t>λ</w:t>
            </w:r>
            <w:proofErr w:type="gramStart"/>
            <w:r w:rsidRPr="00BC0E90">
              <w:rPr>
                <w:sz w:val="20"/>
                <w:szCs w:val="20"/>
                <w:vertAlign w:val="subscript"/>
              </w:rPr>
              <w:t>1,t</w:t>
            </w:r>
            <w:proofErr w:type="gramEnd"/>
            <w:r w:rsidRPr="00BC0E90">
              <w:rPr>
                <w:sz w:val="20"/>
                <w:szCs w:val="20"/>
                <w:vertAlign w:val="subscript"/>
              </w:rPr>
              <w:t>+3</w:t>
            </w:r>
          </w:p>
        </w:tc>
        <w:tc>
          <w:tcPr>
            <w:tcW w:w="1418" w:type="dxa"/>
          </w:tcPr>
          <w:p w14:paraId="1517E0C0" w14:textId="77777777" w:rsidR="00C46CD2" w:rsidRPr="00BC0E90" w:rsidRDefault="00C46CD2" w:rsidP="00347997">
            <w:pPr>
              <w:jc w:val="center"/>
              <w:rPr>
                <w:sz w:val="20"/>
                <w:szCs w:val="20"/>
              </w:rPr>
            </w:pPr>
            <w:r w:rsidRPr="00BC0E90">
              <w:rPr>
                <w:sz w:val="20"/>
                <w:szCs w:val="20"/>
              </w:rPr>
              <w:t>-.120***</w:t>
            </w:r>
          </w:p>
          <w:p w14:paraId="5015F121" w14:textId="77777777" w:rsidR="00C46CD2" w:rsidRPr="00BC0E90" w:rsidRDefault="00C46CD2" w:rsidP="00347997">
            <w:pPr>
              <w:jc w:val="center"/>
              <w:rPr>
                <w:sz w:val="20"/>
                <w:szCs w:val="20"/>
              </w:rPr>
            </w:pPr>
            <w:r w:rsidRPr="00BC0E90">
              <w:rPr>
                <w:sz w:val="20"/>
                <w:szCs w:val="20"/>
              </w:rPr>
              <w:t>(.014)</w:t>
            </w:r>
          </w:p>
        </w:tc>
        <w:tc>
          <w:tcPr>
            <w:tcW w:w="1275" w:type="dxa"/>
          </w:tcPr>
          <w:p w14:paraId="74D04E7C" w14:textId="77777777" w:rsidR="00C46CD2" w:rsidRPr="00BC0E90" w:rsidRDefault="005707C3" w:rsidP="00347997">
            <w:pPr>
              <w:jc w:val="center"/>
              <w:rPr>
                <w:sz w:val="20"/>
                <w:szCs w:val="20"/>
              </w:rPr>
            </w:pPr>
            <w:r w:rsidRPr="00BC0E90">
              <w:rPr>
                <w:sz w:val="20"/>
                <w:szCs w:val="20"/>
              </w:rPr>
              <w:t>.058***</w:t>
            </w:r>
          </w:p>
          <w:p w14:paraId="765FE088" w14:textId="77777777" w:rsidR="005707C3" w:rsidRPr="00BC0E90" w:rsidRDefault="005707C3" w:rsidP="00347997">
            <w:pPr>
              <w:jc w:val="center"/>
              <w:rPr>
                <w:sz w:val="20"/>
                <w:szCs w:val="20"/>
              </w:rPr>
            </w:pPr>
            <w:r w:rsidRPr="00BC0E90">
              <w:rPr>
                <w:sz w:val="20"/>
                <w:szCs w:val="20"/>
              </w:rPr>
              <w:t>(.009)</w:t>
            </w:r>
          </w:p>
        </w:tc>
        <w:tc>
          <w:tcPr>
            <w:tcW w:w="1394" w:type="dxa"/>
          </w:tcPr>
          <w:p w14:paraId="5735BA6A" w14:textId="77777777" w:rsidR="00C46CD2" w:rsidRPr="00BC0E90" w:rsidRDefault="005707C3" w:rsidP="00347997">
            <w:pPr>
              <w:jc w:val="center"/>
              <w:rPr>
                <w:sz w:val="20"/>
                <w:szCs w:val="20"/>
              </w:rPr>
            </w:pPr>
            <w:r w:rsidRPr="00BC0E90">
              <w:rPr>
                <w:sz w:val="20"/>
                <w:szCs w:val="20"/>
              </w:rPr>
              <w:t>.066***</w:t>
            </w:r>
          </w:p>
          <w:p w14:paraId="433D5BD6" w14:textId="77777777" w:rsidR="005707C3" w:rsidRPr="00BC0E90" w:rsidRDefault="005707C3" w:rsidP="00347997">
            <w:pPr>
              <w:jc w:val="center"/>
              <w:rPr>
                <w:sz w:val="20"/>
                <w:szCs w:val="20"/>
              </w:rPr>
            </w:pPr>
            <w:r w:rsidRPr="00BC0E90">
              <w:rPr>
                <w:sz w:val="20"/>
                <w:szCs w:val="20"/>
              </w:rPr>
              <w:t>(.008)</w:t>
            </w:r>
          </w:p>
        </w:tc>
        <w:tc>
          <w:tcPr>
            <w:tcW w:w="1262" w:type="dxa"/>
          </w:tcPr>
          <w:p w14:paraId="23F8E6BA" w14:textId="77777777" w:rsidR="00C46CD2" w:rsidRPr="00BC0E90" w:rsidRDefault="005707C3" w:rsidP="00347997">
            <w:pPr>
              <w:jc w:val="center"/>
              <w:rPr>
                <w:sz w:val="20"/>
                <w:szCs w:val="20"/>
              </w:rPr>
            </w:pPr>
            <w:r w:rsidRPr="00BC0E90">
              <w:rPr>
                <w:sz w:val="20"/>
                <w:szCs w:val="20"/>
              </w:rPr>
              <w:t>-.117***</w:t>
            </w:r>
          </w:p>
          <w:p w14:paraId="1EB83A13" w14:textId="77777777" w:rsidR="005707C3" w:rsidRPr="00BC0E90" w:rsidRDefault="005707C3" w:rsidP="00347997">
            <w:pPr>
              <w:jc w:val="center"/>
              <w:rPr>
                <w:sz w:val="20"/>
                <w:szCs w:val="20"/>
              </w:rPr>
            </w:pPr>
            <w:r w:rsidRPr="00BC0E90">
              <w:rPr>
                <w:sz w:val="20"/>
                <w:szCs w:val="20"/>
              </w:rPr>
              <w:t>(.013)</w:t>
            </w:r>
          </w:p>
        </w:tc>
        <w:tc>
          <w:tcPr>
            <w:tcW w:w="1262" w:type="dxa"/>
          </w:tcPr>
          <w:p w14:paraId="1C98AFD7" w14:textId="77777777" w:rsidR="00C46CD2" w:rsidRPr="00BC0E90" w:rsidRDefault="00233A8C" w:rsidP="00347997">
            <w:pPr>
              <w:jc w:val="center"/>
              <w:rPr>
                <w:sz w:val="20"/>
                <w:szCs w:val="20"/>
              </w:rPr>
            </w:pPr>
            <w:r w:rsidRPr="00BC0E90">
              <w:rPr>
                <w:sz w:val="20"/>
                <w:szCs w:val="20"/>
              </w:rPr>
              <w:t>-.111***</w:t>
            </w:r>
          </w:p>
          <w:p w14:paraId="289E82C7" w14:textId="77777777" w:rsidR="00233A8C" w:rsidRPr="00BC0E90" w:rsidRDefault="00233A8C" w:rsidP="00347997">
            <w:pPr>
              <w:jc w:val="center"/>
              <w:rPr>
                <w:sz w:val="20"/>
                <w:szCs w:val="20"/>
              </w:rPr>
            </w:pPr>
            <w:r w:rsidRPr="00BC0E90">
              <w:rPr>
                <w:sz w:val="20"/>
                <w:szCs w:val="20"/>
              </w:rPr>
              <w:t>(.011)</w:t>
            </w:r>
          </w:p>
        </w:tc>
      </w:tr>
      <w:tr w:rsidR="00C46CD2" w14:paraId="348408C6" w14:textId="77777777" w:rsidTr="002E3ED6">
        <w:tc>
          <w:tcPr>
            <w:tcW w:w="2405" w:type="dxa"/>
          </w:tcPr>
          <w:p w14:paraId="374C1ABD" w14:textId="77777777" w:rsidR="00C46CD2" w:rsidRPr="00BC0E90" w:rsidRDefault="00C46CD2" w:rsidP="00BC0E90">
            <w:pPr>
              <w:jc w:val="right"/>
              <w:rPr>
                <w:sz w:val="20"/>
                <w:szCs w:val="20"/>
              </w:rPr>
            </w:pPr>
            <w:r w:rsidRPr="00BC0E90">
              <w:rPr>
                <w:sz w:val="20"/>
                <w:szCs w:val="20"/>
              </w:rPr>
              <w:t>λ</w:t>
            </w:r>
            <w:proofErr w:type="gramStart"/>
            <w:r w:rsidRPr="00BC0E90">
              <w:rPr>
                <w:sz w:val="20"/>
                <w:szCs w:val="20"/>
                <w:vertAlign w:val="subscript"/>
              </w:rPr>
              <w:t>1,t</w:t>
            </w:r>
            <w:proofErr w:type="gramEnd"/>
            <w:r w:rsidRPr="00BC0E90">
              <w:rPr>
                <w:sz w:val="20"/>
                <w:szCs w:val="20"/>
                <w:vertAlign w:val="subscript"/>
              </w:rPr>
              <w:t>+4</w:t>
            </w:r>
          </w:p>
        </w:tc>
        <w:tc>
          <w:tcPr>
            <w:tcW w:w="1418" w:type="dxa"/>
          </w:tcPr>
          <w:p w14:paraId="7DAAA7DD" w14:textId="77777777" w:rsidR="00C46CD2" w:rsidRPr="00BC0E90" w:rsidRDefault="00C46CD2" w:rsidP="00347997">
            <w:pPr>
              <w:jc w:val="center"/>
              <w:rPr>
                <w:sz w:val="20"/>
                <w:szCs w:val="20"/>
              </w:rPr>
            </w:pPr>
            <w:r w:rsidRPr="00BC0E90">
              <w:rPr>
                <w:sz w:val="20"/>
                <w:szCs w:val="20"/>
              </w:rPr>
              <w:t>-.178***</w:t>
            </w:r>
          </w:p>
          <w:p w14:paraId="16F6B602" w14:textId="77777777" w:rsidR="00C46CD2" w:rsidRPr="00BC0E90" w:rsidRDefault="00C46CD2" w:rsidP="00347997">
            <w:pPr>
              <w:jc w:val="center"/>
              <w:rPr>
                <w:sz w:val="20"/>
                <w:szCs w:val="20"/>
              </w:rPr>
            </w:pPr>
            <w:r w:rsidRPr="00BC0E90">
              <w:rPr>
                <w:sz w:val="20"/>
                <w:szCs w:val="20"/>
              </w:rPr>
              <w:t>(.016)</w:t>
            </w:r>
          </w:p>
        </w:tc>
        <w:tc>
          <w:tcPr>
            <w:tcW w:w="1275" w:type="dxa"/>
          </w:tcPr>
          <w:p w14:paraId="11B133C9" w14:textId="77777777" w:rsidR="00C46CD2" w:rsidRPr="00BC0E90" w:rsidRDefault="005707C3" w:rsidP="00347997">
            <w:pPr>
              <w:jc w:val="center"/>
              <w:rPr>
                <w:sz w:val="20"/>
                <w:szCs w:val="20"/>
              </w:rPr>
            </w:pPr>
            <w:r w:rsidRPr="00BC0E90">
              <w:rPr>
                <w:sz w:val="20"/>
                <w:szCs w:val="20"/>
              </w:rPr>
              <w:t>.056***</w:t>
            </w:r>
          </w:p>
          <w:p w14:paraId="561C5D51" w14:textId="77777777" w:rsidR="005707C3" w:rsidRPr="00BC0E90" w:rsidRDefault="005707C3" w:rsidP="00347997">
            <w:pPr>
              <w:jc w:val="center"/>
              <w:rPr>
                <w:sz w:val="20"/>
                <w:szCs w:val="20"/>
              </w:rPr>
            </w:pPr>
            <w:r w:rsidRPr="00BC0E90">
              <w:rPr>
                <w:sz w:val="20"/>
                <w:szCs w:val="20"/>
              </w:rPr>
              <w:t>(.009)</w:t>
            </w:r>
          </w:p>
        </w:tc>
        <w:tc>
          <w:tcPr>
            <w:tcW w:w="1394" w:type="dxa"/>
          </w:tcPr>
          <w:p w14:paraId="1934C837" w14:textId="77777777" w:rsidR="00C46CD2" w:rsidRPr="00BC0E90" w:rsidRDefault="005707C3" w:rsidP="00347997">
            <w:pPr>
              <w:jc w:val="center"/>
              <w:rPr>
                <w:sz w:val="20"/>
                <w:szCs w:val="20"/>
              </w:rPr>
            </w:pPr>
            <w:r w:rsidRPr="00BC0E90">
              <w:rPr>
                <w:sz w:val="20"/>
                <w:szCs w:val="20"/>
              </w:rPr>
              <w:t>.055***</w:t>
            </w:r>
          </w:p>
          <w:p w14:paraId="18F1AD04" w14:textId="77777777" w:rsidR="005707C3" w:rsidRPr="00BC0E90" w:rsidRDefault="005707C3" w:rsidP="00347997">
            <w:pPr>
              <w:jc w:val="center"/>
              <w:rPr>
                <w:sz w:val="20"/>
                <w:szCs w:val="20"/>
              </w:rPr>
            </w:pPr>
            <w:r w:rsidRPr="00BC0E90">
              <w:rPr>
                <w:sz w:val="20"/>
                <w:szCs w:val="20"/>
              </w:rPr>
              <w:t>(.010)</w:t>
            </w:r>
          </w:p>
        </w:tc>
        <w:tc>
          <w:tcPr>
            <w:tcW w:w="1262" w:type="dxa"/>
          </w:tcPr>
          <w:p w14:paraId="0A872D6D" w14:textId="77777777" w:rsidR="00C46CD2" w:rsidRPr="00BC0E90" w:rsidRDefault="005707C3" w:rsidP="00347997">
            <w:pPr>
              <w:jc w:val="center"/>
              <w:rPr>
                <w:sz w:val="20"/>
                <w:szCs w:val="20"/>
              </w:rPr>
            </w:pPr>
            <w:r w:rsidRPr="00BC0E90">
              <w:rPr>
                <w:sz w:val="20"/>
                <w:szCs w:val="20"/>
              </w:rPr>
              <w:t>-.175***</w:t>
            </w:r>
          </w:p>
          <w:p w14:paraId="7EE66032" w14:textId="77777777" w:rsidR="005707C3" w:rsidRPr="00BC0E90" w:rsidRDefault="005707C3" w:rsidP="00347997">
            <w:pPr>
              <w:jc w:val="center"/>
              <w:rPr>
                <w:sz w:val="20"/>
                <w:szCs w:val="20"/>
              </w:rPr>
            </w:pPr>
            <w:r w:rsidRPr="00BC0E90">
              <w:rPr>
                <w:sz w:val="20"/>
                <w:szCs w:val="20"/>
              </w:rPr>
              <w:t>(.015)</w:t>
            </w:r>
          </w:p>
        </w:tc>
        <w:tc>
          <w:tcPr>
            <w:tcW w:w="1262" w:type="dxa"/>
          </w:tcPr>
          <w:p w14:paraId="670567CE" w14:textId="77777777" w:rsidR="00C46CD2" w:rsidRPr="00BC0E90" w:rsidRDefault="00233A8C" w:rsidP="00347997">
            <w:pPr>
              <w:jc w:val="center"/>
              <w:rPr>
                <w:sz w:val="20"/>
                <w:szCs w:val="20"/>
              </w:rPr>
            </w:pPr>
            <w:r w:rsidRPr="00BC0E90">
              <w:rPr>
                <w:sz w:val="20"/>
                <w:szCs w:val="20"/>
              </w:rPr>
              <w:t>-.141***</w:t>
            </w:r>
          </w:p>
          <w:p w14:paraId="556C3D99" w14:textId="77777777" w:rsidR="00233A8C" w:rsidRPr="00BC0E90" w:rsidRDefault="00233A8C" w:rsidP="00347997">
            <w:pPr>
              <w:jc w:val="center"/>
              <w:rPr>
                <w:sz w:val="20"/>
                <w:szCs w:val="20"/>
              </w:rPr>
            </w:pPr>
            <w:r w:rsidRPr="00BC0E90">
              <w:rPr>
                <w:sz w:val="20"/>
                <w:szCs w:val="20"/>
              </w:rPr>
              <w:t>(.013)</w:t>
            </w:r>
          </w:p>
        </w:tc>
      </w:tr>
      <w:tr w:rsidR="00C46CD2" w14:paraId="713FAC6E" w14:textId="77777777" w:rsidTr="002E3ED6">
        <w:tc>
          <w:tcPr>
            <w:tcW w:w="2405" w:type="dxa"/>
          </w:tcPr>
          <w:p w14:paraId="485166E0" w14:textId="77777777" w:rsidR="00C46CD2" w:rsidRPr="00BC0E90" w:rsidRDefault="00C46CD2" w:rsidP="00BC0E90">
            <w:pPr>
              <w:jc w:val="right"/>
              <w:rPr>
                <w:sz w:val="20"/>
                <w:szCs w:val="20"/>
              </w:rPr>
            </w:pPr>
            <w:r w:rsidRPr="00BC0E90">
              <w:rPr>
                <w:sz w:val="20"/>
                <w:szCs w:val="20"/>
              </w:rPr>
              <w:t>λ</w:t>
            </w:r>
            <w:proofErr w:type="gramStart"/>
            <w:r w:rsidRPr="00BC0E90">
              <w:rPr>
                <w:sz w:val="20"/>
                <w:szCs w:val="20"/>
                <w:vertAlign w:val="subscript"/>
              </w:rPr>
              <w:t>1,t</w:t>
            </w:r>
            <w:proofErr w:type="gramEnd"/>
            <w:r w:rsidRPr="00BC0E90">
              <w:rPr>
                <w:sz w:val="20"/>
                <w:szCs w:val="20"/>
                <w:vertAlign w:val="subscript"/>
              </w:rPr>
              <w:t>+5</w:t>
            </w:r>
          </w:p>
        </w:tc>
        <w:tc>
          <w:tcPr>
            <w:tcW w:w="1418" w:type="dxa"/>
            <w:tcBorders>
              <w:bottom w:val="single" w:sz="4" w:space="0" w:color="auto"/>
            </w:tcBorders>
          </w:tcPr>
          <w:p w14:paraId="75E47C22" w14:textId="77777777" w:rsidR="00C46CD2" w:rsidRPr="00BC0E90" w:rsidRDefault="00C46CD2" w:rsidP="00347997">
            <w:pPr>
              <w:jc w:val="center"/>
              <w:rPr>
                <w:sz w:val="20"/>
                <w:szCs w:val="20"/>
              </w:rPr>
            </w:pPr>
            <w:r w:rsidRPr="00BC0E90">
              <w:rPr>
                <w:sz w:val="20"/>
                <w:szCs w:val="20"/>
              </w:rPr>
              <w:t>-.215***</w:t>
            </w:r>
          </w:p>
          <w:p w14:paraId="597B1F9B" w14:textId="77777777" w:rsidR="00C46CD2" w:rsidRPr="00BC0E90" w:rsidRDefault="00C46CD2" w:rsidP="00347997">
            <w:pPr>
              <w:jc w:val="center"/>
              <w:rPr>
                <w:sz w:val="20"/>
                <w:szCs w:val="20"/>
              </w:rPr>
            </w:pPr>
            <w:r w:rsidRPr="00BC0E90">
              <w:rPr>
                <w:sz w:val="20"/>
                <w:szCs w:val="20"/>
              </w:rPr>
              <w:t>(.017)</w:t>
            </w:r>
          </w:p>
        </w:tc>
        <w:tc>
          <w:tcPr>
            <w:tcW w:w="1275" w:type="dxa"/>
            <w:tcBorders>
              <w:bottom w:val="single" w:sz="4" w:space="0" w:color="auto"/>
            </w:tcBorders>
          </w:tcPr>
          <w:p w14:paraId="637875DE" w14:textId="77777777" w:rsidR="00C46CD2" w:rsidRPr="00BC0E90" w:rsidRDefault="005707C3" w:rsidP="00347997">
            <w:pPr>
              <w:jc w:val="center"/>
              <w:rPr>
                <w:sz w:val="20"/>
                <w:szCs w:val="20"/>
              </w:rPr>
            </w:pPr>
            <w:r w:rsidRPr="00BC0E90">
              <w:rPr>
                <w:sz w:val="20"/>
                <w:szCs w:val="20"/>
              </w:rPr>
              <w:t>.055***</w:t>
            </w:r>
          </w:p>
          <w:p w14:paraId="1F4EA975" w14:textId="77777777" w:rsidR="005707C3" w:rsidRPr="00BC0E90" w:rsidRDefault="005707C3" w:rsidP="00347997">
            <w:pPr>
              <w:jc w:val="center"/>
              <w:rPr>
                <w:sz w:val="20"/>
                <w:szCs w:val="20"/>
              </w:rPr>
            </w:pPr>
            <w:r w:rsidRPr="00BC0E90">
              <w:rPr>
                <w:sz w:val="20"/>
                <w:szCs w:val="20"/>
              </w:rPr>
              <w:t>(.010)</w:t>
            </w:r>
          </w:p>
        </w:tc>
        <w:tc>
          <w:tcPr>
            <w:tcW w:w="1394" w:type="dxa"/>
            <w:tcBorders>
              <w:bottom w:val="single" w:sz="4" w:space="0" w:color="auto"/>
            </w:tcBorders>
          </w:tcPr>
          <w:p w14:paraId="27C79EE2" w14:textId="77777777" w:rsidR="00C46CD2" w:rsidRPr="00BC0E90" w:rsidRDefault="005707C3" w:rsidP="00347997">
            <w:pPr>
              <w:jc w:val="center"/>
              <w:rPr>
                <w:sz w:val="20"/>
                <w:szCs w:val="20"/>
              </w:rPr>
            </w:pPr>
            <w:r w:rsidRPr="00BC0E90">
              <w:rPr>
                <w:sz w:val="20"/>
                <w:szCs w:val="20"/>
              </w:rPr>
              <w:t>.056***</w:t>
            </w:r>
          </w:p>
          <w:p w14:paraId="3027127A" w14:textId="77777777" w:rsidR="005707C3" w:rsidRPr="00BC0E90" w:rsidRDefault="005707C3" w:rsidP="00347997">
            <w:pPr>
              <w:jc w:val="center"/>
              <w:rPr>
                <w:sz w:val="20"/>
                <w:szCs w:val="20"/>
              </w:rPr>
            </w:pPr>
            <w:r w:rsidRPr="00BC0E90">
              <w:rPr>
                <w:sz w:val="20"/>
                <w:szCs w:val="20"/>
              </w:rPr>
              <w:t>(.011)</w:t>
            </w:r>
          </w:p>
        </w:tc>
        <w:tc>
          <w:tcPr>
            <w:tcW w:w="1262" w:type="dxa"/>
            <w:tcBorders>
              <w:bottom w:val="single" w:sz="4" w:space="0" w:color="auto"/>
            </w:tcBorders>
          </w:tcPr>
          <w:p w14:paraId="65FCAC02" w14:textId="77777777" w:rsidR="00C46CD2" w:rsidRPr="00BC0E90" w:rsidRDefault="005707C3" w:rsidP="00347997">
            <w:pPr>
              <w:jc w:val="center"/>
              <w:rPr>
                <w:sz w:val="20"/>
                <w:szCs w:val="20"/>
              </w:rPr>
            </w:pPr>
            <w:r w:rsidRPr="00BC0E90">
              <w:rPr>
                <w:sz w:val="20"/>
                <w:szCs w:val="20"/>
              </w:rPr>
              <w:t>-.216***</w:t>
            </w:r>
          </w:p>
          <w:p w14:paraId="295FB2D4" w14:textId="77777777" w:rsidR="005707C3" w:rsidRPr="00BC0E90" w:rsidRDefault="005707C3" w:rsidP="00347997">
            <w:pPr>
              <w:jc w:val="center"/>
              <w:rPr>
                <w:sz w:val="20"/>
                <w:szCs w:val="20"/>
              </w:rPr>
            </w:pPr>
            <w:r w:rsidRPr="00BC0E90">
              <w:rPr>
                <w:sz w:val="20"/>
                <w:szCs w:val="20"/>
              </w:rPr>
              <w:t>(.016)</w:t>
            </w:r>
          </w:p>
        </w:tc>
        <w:tc>
          <w:tcPr>
            <w:tcW w:w="1262" w:type="dxa"/>
            <w:tcBorders>
              <w:bottom w:val="single" w:sz="4" w:space="0" w:color="auto"/>
            </w:tcBorders>
          </w:tcPr>
          <w:p w14:paraId="575C2A48" w14:textId="77777777" w:rsidR="00C46CD2" w:rsidRPr="00BC0E90" w:rsidRDefault="00233A8C" w:rsidP="00347997">
            <w:pPr>
              <w:jc w:val="center"/>
              <w:rPr>
                <w:sz w:val="20"/>
                <w:szCs w:val="20"/>
              </w:rPr>
            </w:pPr>
            <w:r w:rsidRPr="00BC0E90">
              <w:rPr>
                <w:sz w:val="20"/>
                <w:szCs w:val="20"/>
              </w:rPr>
              <w:t>-.143***</w:t>
            </w:r>
          </w:p>
          <w:p w14:paraId="05CF0000" w14:textId="77777777" w:rsidR="00233A8C" w:rsidRPr="00BC0E90" w:rsidRDefault="00233A8C" w:rsidP="00347997">
            <w:pPr>
              <w:jc w:val="center"/>
              <w:rPr>
                <w:sz w:val="20"/>
                <w:szCs w:val="20"/>
              </w:rPr>
            </w:pPr>
            <w:r w:rsidRPr="00BC0E90">
              <w:rPr>
                <w:sz w:val="20"/>
                <w:szCs w:val="20"/>
              </w:rPr>
              <w:t>(.015)</w:t>
            </w:r>
          </w:p>
        </w:tc>
      </w:tr>
      <w:tr w:rsidR="006B2FAD" w14:paraId="211EBDC9" w14:textId="77777777" w:rsidTr="002E3ED6">
        <w:tc>
          <w:tcPr>
            <w:tcW w:w="2405" w:type="dxa"/>
          </w:tcPr>
          <w:p w14:paraId="32C6ED26" w14:textId="77777777" w:rsidR="006B2FAD" w:rsidRPr="00BC0E90" w:rsidRDefault="00C46CD2" w:rsidP="00BC0E90">
            <w:pPr>
              <w:jc w:val="right"/>
              <w:rPr>
                <w:sz w:val="20"/>
                <w:szCs w:val="20"/>
              </w:rPr>
            </w:pPr>
            <w:r w:rsidRPr="00BC0E90">
              <w:rPr>
                <w:sz w:val="20"/>
                <w:szCs w:val="20"/>
              </w:rPr>
              <w:t>End-of-sample placebo</w:t>
            </w:r>
            <w:r w:rsidR="007316D4" w:rsidRPr="00BC0E90">
              <w:rPr>
                <w:sz w:val="20"/>
                <w:szCs w:val="20"/>
              </w:rPr>
              <w:t xml:space="preserve"> </w:t>
            </w:r>
            <w:r w:rsidR="008A4F94" w:rsidRPr="00BC0E90">
              <w:rPr>
                <w:sz w:val="20"/>
                <w:szCs w:val="20"/>
              </w:rPr>
              <w:t>DiD coefficient</w:t>
            </w:r>
          </w:p>
        </w:tc>
        <w:tc>
          <w:tcPr>
            <w:tcW w:w="1418" w:type="dxa"/>
            <w:tcBorders>
              <w:top w:val="single" w:sz="4" w:space="0" w:color="auto"/>
              <w:bottom w:val="single" w:sz="4" w:space="0" w:color="auto"/>
            </w:tcBorders>
          </w:tcPr>
          <w:p w14:paraId="1484A7F2" w14:textId="77777777" w:rsidR="006B2FAD" w:rsidRPr="00BC0E90" w:rsidRDefault="00C46CD2" w:rsidP="00347997">
            <w:pPr>
              <w:jc w:val="center"/>
              <w:rPr>
                <w:sz w:val="20"/>
                <w:szCs w:val="20"/>
              </w:rPr>
            </w:pPr>
            <w:r w:rsidRPr="00BC0E90">
              <w:rPr>
                <w:sz w:val="20"/>
                <w:szCs w:val="20"/>
              </w:rPr>
              <w:t>-.0005</w:t>
            </w:r>
          </w:p>
          <w:p w14:paraId="402B99EC" w14:textId="77777777" w:rsidR="00C46CD2" w:rsidRPr="00BC0E90" w:rsidRDefault="00C46CD2" w:rsidP="00347997">
            <w:pPr>
              <w:jc w:val="center"/>
              <w:rPr>
                <w:sz w:val="20"/>
                <w:szCs w:val="20"/>
              </w:rPr>
            </w:pPr>
            <w:r w:rsidRPr="00BC0E90">
              <w:rPr>
                <w:sz w:val="20"/>
                <w:szCs w:val="20"/>
              </w:rPr>
              <w:t>(.003)</w:t>
            </w:r>
          </w:p>
        </w:tc>
        <w:tc>
          <w:tcPr>
            <w:tcW w:w="1275" w:type="dxa"/>
            <w:tcBorders>
              <w:top w:val="single" w:sz="4" w:space="0" w:color="auto"/>
              <w:bottom w:val="single" w:sz="4" w:space="0" w:color="auto"/>
            </w:tcBorders>
          </w:tcPr>
          <w:p w14:paraId="63BCD69D" w14:textId="77777777" w:rsidR="006B2FAD" w:rsidRPr="00BC0E90" w:rsidRDefault="005707C3" w:rsidP="00347997">
            <w:pPr>
              <w:jc w:val="center"/>
              <w:rPr>
                <w:sz w:val="20"/>
                <w:szCs w:val="20"/>
              </w:rPr>
            </w:pPr>
            <w:r w:rsidRPr="00BC0E90">
              <w:rPr>
                <w:sz w:val="20"/>
                <w:szCs w:val="20"/>
              </w:rPr>
              <w:t>-.034</w:t>
            </w:r>
          </w:p>
          <w:p w14:paraId="5E8223BE" w14:textId="77777777" w:rsidR="005707C3" w:rsidRPr="00BC0E90" w:rsidRDefault="005707C3" w:rsidP="00347997">
            <w:pPr>
              <w:jc w:val="center"/>
              <w:rPr>
                <w:sz w:val="20"/>
                <w:szCs w:val="20"/>
              </w:rPr>
            </w:pPr>
            <w:r w:rsidRPr="00BC0E90">
              <w:rPr>
                <w:sz w:val="20"/>
                <w:szCs w:val="20"/>
              </w:rPr>
              <w:t>(.002)</w:t>
            </w:r>
          </w:p>
        </w:tc>
        <w:tc>
          <w:tcPr>
            <w:tcW w:w="1394" w:type="dxa"/>
            <w:tcBorders>
              <w:top w:val="single" w:sz="4" w:space="0" w:color="auto"/>
              <w:bottom w:val="single" w:sz="4" w:space="0" w:color="auto"/>
            </w:tcBorders>
          </w:tcPr>
          <w:p w14:paraId="41A220A4" w14:textId="77777777" w:rsidR="006B2FAD" w:rsidRPr="00BC0E90" w:rsidRDefault="005707C3" w:rsidP="00347997">
            <w:pPr>
              <w:jc w:val="center"/>
              <w:rPr>
                <w:sz w:val="20"/>
                <w:szCs w:val="20"/>
              </w:rPr>
            </w:pPr>
            <w:r w:rsidRPr="00BC0E90">
              <w:rPr>
                <w:sz w:val="20"/>
                <w:szCs w:val="20"/>
              </w:rPr>
              <w:t>.028</w:t>
            </w:r>
          </w:p>
          <w:p w14:paraId="03CB0DA5" w14:textId="77777777" w:rsidR="005707C3" w:rsidRPr="00BC0E90" w:rsidRDefault="005707C3" w:rsidP="00347997">
            <w:pPr>
              <w:jc w:val="center"/>
              <w:rPr>
                <w:sz w:val="20"/>
                <w:szCs w:val="20"/>
              </w:rPr>
            </w:pPr>
            <w:r w:rsidRPr="00BC0E90">
              <w:rPr>
                <w:sz w:val="20"/>
                <w:szCs w:val="20"/>
              </w:rPr>
              <w:t>(.002)</w:t>
            </w:r>
          </w:p>
        </w:tc>
        <w:tc>
          <w:tcPr>
            <w:tcW w:w="1262" w:type="dxa"/>
            <w:tcBorders>
              <w:top w:val="single" w:sz="4" w:space="0" w:color="auto"/>
              <w:bottom w:val="single" w:sz="4" w:space="0" w:color="auto"/>
            </w:tcBorders>
          </w:tcPr>
          <w:p w14:paraId="1FD73328" w14:textId="77777777" w:rsidR="006B2FAD" w:rsidRPr="00BC0E90" w:rsidRDefault="005707C3" w:rsidP="00347997">
            <w:pPr>
              <w:jc w:val="center"/>
              <w:rPr>
                <w:sz w:val="20"/>
                <w:szCs w:val="20"/>
              </w:rPr>
            </w:pPr>
            <w:r w:rsidRPr="00BC0E90">
              <w:rPr>
                <w:sz w:val="20"/>
                <w:szCs w:val="20"/>
              </w:rPr>
              <w:t>-.0006</w:t>
            </w:r>
          </w:p>
          <w:p w14:paraId="1DD2528F" w14:textId="77777777" w:rsidR="005707C3" w:rsidRPr="00BC0E90" w:rsidRDefault="005707C3" w:rsidP="00347997">
            <w:pPr>
              <w:jc w:val="center"/>
              <w:rPr>
                <w:sz w:val="20"/>
                <w:szCs w:val="20"/>
              </w:rPr>
            </w:pPr>
            <w:r w:rsidRPr="00BC0E90">
              <w:rPr>
                <w:sz w:val="20"/>
                <w:szCs w:val="20"/>
              </w:rPr>
              <w:t>(.003)</w:t>
            </w:r>
          </w:p>
        </w:tc>
        <w:tc>
          <w:tcPr>
            <w:tcW w:w="1262" w:type="dxa"/>
            <w:tcBorders>
              <w:top w:val="single" w:sz="4" w:space="0" w:color="auto"/>
              <w:bottom w:val="single" w:sz="4" w:space="0" w:color="auto"/>
            </w:tcBorders>
          </w:tcPr>
          <w:p w14:paraId="28B6074D" w14:textId="77777777" w:rsidR="006B2FAD" w:rsidRPr="00BC0E90" w:rsidRDefault="00233A8C" w:rsidP="00347997">
            <w:pPr>
              <w:jc w:val="center"/>
              <w:rPr>
                <w:sz w:val="20"/>
                <w:szCs w:val="20"/>
              </w:rPr>
            </w:pPr>
            <w:r w:rsidRPr="00BC0E90">
              <w:rPr>
                <w:sz w:val="20"/>
                <w:szCs w:val="20"/>
              </w:rPr>
              <w:t>-.008</w:t>
            </w:r>
          </w:p>
          <w:p w14:paraId="6A42D628" w14:textId="77777777" w:rsidR="00233A8C" w:rsidRPr="00BC0E90" w:rsidRDefault="00233A8C" w:rsidP="00347997">
            <w:pPr>
              <w:jc w:val="center"/>
              <w:rPr>
                <w:sz w:val="20"/>
                <w:szCs w:val="20"/>
              </w:rPr>
            </w:pPr>
            <w:r w:rsidRPr="00BC0E90">
              <w:rPr>
                <w:sz w:val="20"/>
                <w:szCs w:val="20"/>
              </w:rPr>
              <w:t>(.002)</w:t>
            </w:r>
          </w:p>
        </w:tc>
      </w:tr>
      <w:tr w:rsidR="00347997" w14:paraId="228F21C1" w14:textId="77777777" w:rsidTr="002E3ED6">
        <w:tc>
          <w:tcPr>
            <w:tcW w:w="2405" w:type="dxa"/>
          </w:tcPr>
          <w:p w14:paraId="33638829" w14:textId="77777777" w:rsidR="00347997" w:rsidRPr="00BC0E90" w:rsidRDefault="00347997" w:rsidP="00347997">
            <w:pPr>
              <w:jc w:val="right"/>
              <w:rPr>
                <w:sz w:val="20"/>
                <w:szCs w:val="20"/>
              </w:rPr>
            </w:pPr>
            <w:r>
              <w:rPr>
                <w:sz w:val="20"/>
                <w:szCs w:val="20"/>
              </w:rPr>
              <w:t xml:space="preserve"># </w:t>
            </w:r>
            <w:proofErr w:type="gramStart"/>
            <w:r>
              <w:rPr>
                <w:sz w:val="20"/>
                <w:szCs w:val="20"/>
              </w:rPr>
              <w:t>observations</w:t>
            </w:r>
            <w:proofErr w:type="gramEnd"/>
          </w:p>
        </w:tc>
        <w:tc>
          <w:tcPr>
            <w:tcW w:w="1418" w:type="dxa"/>
            <w:tcBorders>
              <w:top w:val="single" w:sz="4" w:space="0" w:color="auto"/>
            </w:tcBorders>
          </w:tcPr>
          <w:p w14:paraId="0C6B52F5" w14:textId="77777777" w:rsidR="00347997" w:rsidRPr="00BC0E90" w:rsidRDefault="00347997" w:rsidP="00347997">
            <w:pPr>
              <w:jc w:val="center"/>
              <w:rPr>
                <w:sz w:val="20"/>
                <w:szCs w:val="20"/>
              </w:rPr>
            </w:pPr>
            <w:r w:rsidRPr="00BC0E90">
              <w:rPr>
                <w:sz w:val="20"/>
                <w:szCs w:val="20"/>
              </w:rPr>
              <w:t>11,500</w:t>
            </w:r>
          </w:p>
        </w:tc>
        <w:tc>
          <w:tcPr>
            <w:tcW w:w="1275" w:type="dxa"/>
            <w:tcBorders>
              <w:top w:val="single" w:sz="4" w:space="0" w:color="auto"/>
            </w:tcBorders>
          </w:tcPr>
          <w:p w14:paraId="0C5A2E1D" w14:textId="77777777" w:rsidR="00347997" w:rsidRPr="00BC0E90" w:rsidRDefault="00347997" w:rsidP="00347997">
            <w:pPr>
              <w:jc w:val="center"/>
              <w:rPr>
                <w:sz w:val="20"/>
                <w:szCs w:val="20"/>
              </w:rPr>
            </w:pPr>
            <w:r w:rsidRPr="00BC0E90">
              <w:rPr>
                <w:sz w:val="20"/>
                <w:szCs w:val="20"/>
              </w:rPr>
              <w:t>11,500</w:t>
            </w:r>
          </w:p>
        </w:tc>
        <w:tc>
          <w:tcPr>
            <w:tcW w:w="1394" w:type="dxa"/>
            <w:tcBorders>
              <w:top w:val="single" w:sz="4" w:space="0" w:color="auto"/>
            </w:tcBorders>
          </w:tcPr>
          <w:p w14:paraId="7AA7CF58" w14:textId="77777777" w:rsidR="00347997" w:rsidRPr="00BC0E90" w:rsidRDefault="00347997" w:rsidP="00347997">
            <w:pPr>
              <w:jc w:val="center"/>
              <w:rPr>
                <w:sz w:val="20"/>
                <w:szCs w:val="20"/>
              </w:rPr>
            </w:pPr>
            <w:r w:rsidRPr="00BC0E90">
              <w:rPr>
                <w:sz w:val="20"/>
                <w:szCs w:val="20"/>
              </w:rPr>
              <w:t>11,500</w:t>
            </w:r>
          </w:p>
        </w:tc>
        <w:tc>
          <w:tcPr>
            <w:tcW w:w="1262" w:type="dxa"/>
            <w:tcBorders>
              <w:top w:val="single" w:sz="4" w:space="0" w:color="auto"/>
            </w:tcBorders>
          </w:tcPr>
          <w:p w14:paraId="12CA67BF" w14:textId="77777777" w:rsidR="00347997" w:rsidRPr="00BC0E90" w:rsidRDefault="00347997" w:rsidP="00347997">
            <w:pPr>
              <w:jc w:val="center"/>
              <w:rPr>
                <w:sz w:val="20"/>
                <w:szCs w:val="20"/>
              </w:rPr>
            </w:pPr>
            <w:r w:rsidRPr="00BC0E90">
              <w:rPr>
                <w:sz w:val="20"/>
                <w:szCs w:val="20"/>
              </w:rPr>
              <w:t>11,500</w:t>
            </w:r>
          </w:p>
        </w:tc>
        <w:tc>
          <w:tcPr>
            <w:tcW w:w="1262" w:type="dxa"/>
            <w:tcBorders>
              <w:top w:val="single" w:sz="4" w:space="0" w:color="auto"/>
            </w:tcBorders>
          </w:tcPr>
          <w:p w14:paraId="79FAB8C4" w14:textId="77777777" w:rsidR="00347997" w:rsidRPr="00BC0E90" w:rsidRDefault="00347997" w:rsidP="00347997">
            <w:pPr>
              <w:jc w:val="center"/>
              <w:rPr>
                <w:sz w:val="20"/>
                <w:szCs w:val="20"/>
              </w:rPr>
            </w:pPr>
            <w:r w:rsidRPr="00BC0E90">
              <w:rPr>
                <w:sz w:val="20"/>
                <w:szCs w:val="20"/>
              </w:rPr>
              <w:t>11,500</w:t>
            </w:r>
          </w:p>
        </w:tc>
      </w:tr>
      <w:tr w:rsidR="00C46CD2" w14:paraId="77401A9E" w14:textId="77777777" w:rsidTr="002E3ED6">
        <w:tc>
          <w:tcPr>
            <w:tcW w:w="2405" w:type="dxa"/>
          </w:tcPr>
          <w:p w14:paraId="680EA7FA" w14:textId="77777777" w:rsidR="00C46CD2" w:rsidRPr="00BC0E90" w:rsidRDefault="00C46CD2" w:rsidP="00BC0E90">
            <w:pPr>
              <w:jc w:val="right"/>
              <w:rPr>
                <w:sz w:val="20"/>
                <w:szCs w:val="20"/>
              </w:rPr>
            </w:pPr>
            <w:r w:rsidRPr="00BC0E90">
              <w:rPr>
                <w:sz w:val="20"/>
                <w:szCs w:val="20"/>
              </w:rPr>
              <w:t xml:space="preserve"># </w:t>
            </w:r>
            <w:proofErr w:type="gramStart"/>
            <w:r w:rsidRPr="00BC0E90">
              <w:rPr>
                <w:sz w:val="20"/>
                <w:szCs w:val="20"/>
              </w:rPr>
              <w:t>treated</w:t>
            </w:r>
            <w:proofErr w:type="gramEnd"/>
          </w:p>
        </w:tc>
        <w:tc>
          <w:tcPr>
            <w:tcW w:w="1418" w:type="dxa"/>
          </w:tcPr>
          <w:p w14:paraId="154F0ADF" w14:textId="77777777" w:rsidR="00C46CD2" w:rsidRPr="00BC0E90" w:rsidRDefault="00C46CD2" w:rsidP="00347997">
            <w:pPr>
              <w:jc w:val="center"/>
              <w:rPr>
                <w:sz w:val="20"/>
                <w:szCs w:val="20"/>
              </w:rPr>
            </w:pPr>
            <w:r w:rsidRPr="00BC0E90">
              <w:rPr>
                <w:sz w:val="20"/>
                <w:szCs w:val="20"/>
              </w:rPr>
              <w:t>460</w:t>
            </w:r>
          </w:p>
        </w:tc>
        <w:tc>
          <w:tcPr>
            <w:tcW w:w="1275" w:type="dxa"/>
          </w:tcPr>
          <w:p w14:paraId="1460D9D1" w14:textId="77777777" w:rsidR="00C46CD2" w:rsidRPr="00BC0E90" w:rsidRDefault="005707C3" w:rsidP="00347997">
            <w:pPr>
              <w:jc w:val="center"/>
              <w:rPr>
                <w:sz w:val="20"/>
                <w:szCs w:val="20"/>
              </w:rPr>
            </w:pPr>
            <w:r w:rsidRPr="00BC0E90">
              <w:rPr>
                <w:sz w:val="20"/>
                <w:szCs w:val="20"/>
              </w:rPr>
              <w:t>460</w:t>
            </w:r>
          </w:p>
        </w:tc>
        <w:tc>
          <w:tcPr>
            <w:tcW w:w="1394" w:type="dxa"/>
          </w:tcPr>
          <w:p w14:paraId="6290E15E" w14:textId="77777777" w:rsidR="00C46CD2" w:rsidRPr="00BC0E90" w:rsidRDefault="005707C3" w:rsidP="00347997">
            <w:pPr>
              <w:jc w:val="center"/>
              <w:rPr>
                <w:sz w:val="20"/>
                <w:szCs w:val="20"/>
              </w:rPr>
            </w:pPr>
            <w:r w:rsidRPr="00BC0E90">
              <w:rPr>
                <w:sz w:val="20"/>
                <w:szCs w:val="20"/>
              </w:rPr>
              <w:t>460</w:t>
            </w:r>
          </w:p>
        </w:tc>
        <w:tc>
          <w:tcPr>
            <w:tcW w:w="1262" w:type="dxa"/>
          </w:tcPr>
          <w:p w14:paraId="6B22C70F" w14:textId="77777777" w:rsidR="00C46CD2" w:rsidRPr="00BC0E90" w:rsidRDefault="005707C3" w:rsidP="00347997">
            <w:pPr>
              <w:jc w:val="center"/>
              <w:rPr>
                <w:sz w:val="20"/>
                <w:szCs w:val="20"/>
              </w:rPr>
            </w:pPr>
            <w:r w:rsidRPr="00BC0E90">
              <w:rPr>
                <w:sz w:val="20"/>
                <w:szCs w:val="20"/>
              </w:rPr>
              <w:t>460</w:t>
            </w:r>
          </w:p>
        </w:tc>
        <w:tc>
          <w:tcPr>
            <w:tcW w:w="1262" w:type="dxa"/>
          </w:tcPr>
          <w:p w14:paraId="303B8A94" w14:textId="77777777" w:rsidR="00C46CD2" w:rsidRPr="00BC0E90" w:rsidRDefault="00233A8C" w:rsidP="00347997">
            <w:pPr>
              <w:jc w:val="center"/>
              <w:rPr>
                <w:sz w:val="20"/>
                <w:szCs w:val="20"/>
              </w:rPr>
            </w:pPr>
            <w:r w:rsidRPr="00BC0E90">
              <w:rPr>
                <w:sz w:val="20"/>
                <w:szCs w:val="20"/>
              </w:rPr>
              <w:t>460</w:t>
            </w:r>
          </w:p>
        </w:tc>
      </w:tr>
      <w:tr w:rsidR="00C46CD2" w14:paraId="02B8B0B0" w14:textId="77777777" w:rsidTr="002E3ED6">
        <w:tc>
          <w:tcPr>
            <w:tcW w:w="2405" w:type="dxa"/>
            <w:tcBorders>
              <w:bottom w:val="single" w:sz="4" w:space="0" w:color="auto"/>
            </w:tcBorders>
          </w:tcPr>
          <w:p w14:paraId="714A0AD8" w14:textId="77777777" w:rsidR="00C46CD2" w:rsidRPr="00BC0E90" w:rsidRDefault="00C46CD2" w:rsidP="00BC0E90">
            <w:pPr>
              <w:jc w:val="right"/>
              <w:rPr>
                <w:sz w:val="20"/>
                <w:szCs w:val="20"/>
              </w:rPr>
            </w:pPr>
            <w:r w:rsidRPr="00BC0E90">
              <w:rPr>
                <w:sz w:val="20"/>
                <w:szCs w:val="20"/>
              </w:rPr>
              <w:t xml:space="preserve"># </w:t>
            </w:r>
            <w:proofErr w:type="gramStart"/>
            <w:r w:rsidRPr="00BC0E90">
              <w:rPr>
                <w:sz w:val="20"/>
                <w:szCs w:val="20"/>
              </w:rPr>
              <w:t>switchers</w:t>
            </w:r>
            <w:proofErr w:type="gramEnd"/>
          </w:p>
        </w:tc>
        <w:tc>
          <w:tcPr>
            <w:tcW w:w="1418" w:type="dxa"/>
            <w:tcBorders>
              <w:bottom w:val="single" w:sz="4" w:space="0" w:color="auto"/>
            </w:tcBorders>
          </w:tcPr>
          <w:p w14:paraId="408EEC97" w14:textId="77777777" w:rsidR="00C46CD2" w:rsidRPr="00BC0E90" w:rsidRDefault="00C46CD2" w:rsidP="00347997">
            <w:pPr>
              <w:jc w:val="center"/>
              <w:rPr>
                <w:sz w:val="20"/>
                <w:szCs w:val="20"/>
              </w:rPr>
            </w:pPr>
            <w:r w:rsidRPr="00BC0E90">
              <w:rPr>
                <w:sz w:val="20"/>
                <w:szCs w:val="20"/>
              </w:rPr>
              <w:t>212</w:t>
            </w:r>
          </w:p>
        </w:tc>
        <w:tc>
          <w:tcPr>
            <w:tcW w:w="1275" w:type="dxa"/>
            <w:tcBorders>
              <w:bottom w:val="single" w:sz="4" w:space="0" w:color="auto"/>
            </w:tcBorders>
          </w:tcPr>
          <w:p w14:paraId="46173AE4" w14:textId="77777777" w:rsidR="00C46CD2" w:rsidRPr="00BC0E90" w:rsidRDefault="005707C3" w:rsidP="00347997">
            <w:pPr>
              <w:jc w:val="center"/>
              <w:rPr>
                <w:sz w:val="20"/>
                <w:szCs w:val="20"/>
              </w:rPr>
            </w:pPr>
            <w:r w:rsidRPr="00BC0E90">
              <w:rPr>
                <w:sz w:val="20"/>
                <w:szCs w:val="20"/>
              </w:rPr>
              <w:t>212</w:t>
            </w:r>
          </w:p>
        </w:tc>
        <w:tc>
          <w:tcPr>
            <w:tcW w:w="1394" w:type="dxa"/>
            <w:tcBorders>
              <w:bottom w:val="single" w:sz="4" w:space="0" w:color="auto"/>
            </w:tcBorders>
          </w:tcPr>
          <w:p w14:paraId="043B1519" w14:textId="77777777" w:rsidR="00C46CD2" w:rsidRPr="00BC0E90" w:rsidRDefault="005707C3" w:rsidP="00347997">
            <w:pPr>
              <w:jc w:val="center"/>
              <w:rPr>
                <w:sz w:val="20"/>
                <w:szCs w:val="20"/>
              </w:rPr>
            </w:pPr>
            <w:r w:rsidRPr="00BC0E90">
              <w:rPr>
                <w:sz w:val="20"/>
                <w:szCs w:val="20"/>
              </w:rPr>
              <w:t>212</w:t>
            </w:r>
          </w:p>
        </w:tc>
        <w:tc>
          <w:tcPr>
            <w:tcW w:w="1262" w:type="dxa"/>
            <w:tcBorders>
              <w:bottom w:val="single" w:sz="4" w:space="0" w:color="auto"/>
            </w:tcBorders>
          </w:tcPr>
          <w:p w14:paraId="69A51282" w14:textId="77777777" w:rsidR="00C46CD2" w:rsidRPr="00BC0E90" w:rsidRDefault="005707C3" w:rsidP="00347997">
            <w:pPr>
              <w:jc w:val="center"/>
              <w:rPr>
                <w:sz w:val="20"/>
                <w:szCs w:val="20"/>
              </w:rPr>
            </w:pPr>
            <w:r w:rsidRPr="00BC0E90">
              <w:rPr>
                <w:sz w:val="20"/>
                <w:szCs w:val="20"/>
              </w:rPr>
              <w:t>212</w:t>
            </w:r>
          </w:p>
        </w:tc>
        <w:tc>
          <w:tcPr>
            <w:tcW w:w="1262" w:type="dxa"/>
            <w:tcBorders>
              <w:bottom w:val="single" w:sz="4" w:space="0" w:color="auto"/>
            </w:tcBorders>
          </w:tcPr>
          <w:p w14:paraId="7CC3E86E" w14:textId="77777777" w:rsidR="00C46CD2" w:rsidRPr="00BC0E90" w:rsidRDefault="00233A8C" w:rsidP="00347997">
            <w:pPr>
              <w:jc w:val="center"/>
              <w:rPr>
                <w:sz w:val="20"/>
                <w:szCs w:val="20"/>
              </w:rPr>
            </w:pPr>
            <w:r w:rsidRPr="00BC0E90">
              <w:rPr>
                <w:sz w:val="20"/>
                <w:szCs w:val="20"/>
              </w:rPr>
              <w:t>212</w:t>
            </w:r>
          </w:p>
        </w:tc>
      </w:tr>
      <w:tr w:rsidR="00060563" w14:paraId="0F8EE827" w14:textId="77777777" w:rsidTr="002E3ED6">
        <w:tc>
          <w:tcPr>
            <w:tcW w:w="9016" w:type="dxa"/>
            <w:gridSpan w:val="6"/>
            <w:tcBorders>
              <w:top w:val="single" w:sz="4" w:space="0" w:color="auto"/>
              <w:bottom w:val="single" w:sz="4" w:space="0" w:color="auto"/>
            </w:tcBorders>
          </w:tcPr>
          <w:p w14:paraId="025EF2A2" w14:textId="77777777" w:rsidR="00060563" w:rsidRPr="00BC0E90" w:rsidRDefault="00060563" w:rsidP="00C46CD2">
            <w:pPr>
              <w:rPr>
                <w:sz w:val="20"/>
                <w:szCs w:val="20"/>
              </w:rPr>
            </w:pPr>
            <w:r w:rsidRPr="00BC0E90">
              <w:rPr>
                <w:sz w:val="20"/>
                <w:szCs w:val="20"/>
              </w:rPr>
              <w:t>Panel C: Nearest-neighboring matching estimates</w:t>
            </w:r>
          </w:p>
        </w:tc>
      </w:tr>
      <w:tr w:rsidR="00C46CD2" w14:paraId="0AAA1968" w14:textId="77777777" w:rsidTr="002E3ED6">
        <w:tc>
          <w:tcPr>
            <w:tcW w:w="2405" w:type="dxa"/>
            <w:tcBorders>
              <w:top w:val="single" w:sz="4" w:space="0" w:color="auto"/>
            </w:tcBorders>
          </w:tcPr>
          <w:p w14:paraId="786CEC96" w14:textId="77777777" w:rsidR="00C46CD2" w:rsidRPr="00BC0E90" w:rsidRDefault="00060563" w:rsidP="00BC0E90">
            <w:pPr>
              <w:jc w:val="right"/>
              <w:rPr>
                <w:sz w:val="20"/>
                <w:szCs w:val="20"/>
              </w:rPr>
            </w:pPr>
            <w:r w:rsidRPr="00BC0E90">
              <w:rPr>
                <w:sz w:val="20"/>
                <w:szCs w:val="20"/>
              </w:rPr>
              <w:t>λ</w:t>
            </w:r>
            <w:r w:rsidRPr="00BC0E90">
              <w:rPr>
                <w:sz w:val="20"/>
                <w:szCs w:val="20"/>
                <w:vertAlign w:val="subscript"/>
              </w:rPr>
              <w:t>1</w:t>
            </w:r>
          </w:p>
        </w:tc>
        <w:tc>
          <w:tcPr>
            <w:tcW w:w="1418" w:type="dxa"/>
            <w:tcBorders>
              <w:top w:val="single" w:sz="4" w:space="0" w:color="auto"/>
              <w:bottom w:val="single" w:sz="4" w:space="0" w:color="auto"/>
            </w:tcBorders>
          </w:tcPr>
          <w:p w14:paraId="05BD3990" w14:textId="77777777" w:rsidR="00C46CD2" w:rsidRPr="00BC0E90" w:rsidRDefault="00060563" w:rsidP="00402A10">
            <w:pPr>
              <w:jc w:val="center"/>
              <w:rPr>
                <w:sz w:val="20"/>
                <w:szCs w:val="20"/>
              </w:rPr>
            </w:pPr>
            <w:r w:rsidRPr="00BC0E90">
              <w:rPr>
                <w:sz w:val="20"/>
                <w:szCs w:val="20"/>
              </w:rPr>
              <w:t>-.517***</w:t>
            </w:r>
          </w:p>
          <w:p w14:paraId="47560F85" w14:textId="77777777" w:rsidR="00060563" w:rsidRPr="00BC0E90" w:rsidRDefault="00060563" w:rsidP="00402A10">
            <w:pPr>
              <w:jc w:val="center"/>
              <w:rPr>
                <w:sz w:val="20"/>
                <w:szCs w:val="20"/>
              </w:rPr>
            </w:pPr>
            <w:r w:rsidRPr="00BC0E90">
              <w:rPr>
                <w:sz w:val="20"/>
                <w:szCs w:val="20"/>
              </w:rPr>
              <w:t>(.007)</w:t>
            </w:r>
          </w:p>
        </w:tc>
        <w:tc>
          <w:tcPr>
            <w:tcW w:w="1275" w:type="dxa"/>
            <w:tcBorders>
              <w:top w:val="single" w:sz="4" w:space="0" w:color="auto"/>
              <w:bottom w:val="single" w:sz="4" w:space="0" w:color="auto"/>
            </w:tcBorders>
          </w:tcPr>
          <w:p w14:paraId="4B9E42B9" w14:textId="77777777" w:rsidR="00C46CD2" w:rsidRPr="00BC0E90" w:rsidRDefault="00060563" w:rsidP="00402A10">
            <w:pPr>
              <w:jc w:val="center"/>
              <w:rPr>
                <w:sz w:val="20"/>
                <w:szCs w:val="20"/>
              </w:rPr>
            </w:pPr>
            <w:r w:rsidRPr="00BC0E90">
              <w:rPr>
                <w:sz w:val="20"/>
                <w:szCs w:val="20"/>
              </w:rPr>
              <w:t>-.441***</w:t>
            </w:r>
          </w:p>
          <w:p w14:paraId="11729225" w14:textId="77777777" w:rsidR="00060563" w:rsidRPr="00BC0E90" w:rsidRDefault="00060563" w:rsidP="00402A10">
            <w:pPr>
              <w:jc w:val="center"/>
              <w:rPr>
                <w:sz w:val="20"/>
                <w:szCs w:val="20"/>
              </w:rPr>
            </w:pPr>
            <w:r w:rsidRPr="00BC0E90">
              <w:rPr>
                <w:sz w:val="20"/>
                <w:szCs w:val="20"/>
              </w:rPr>
              <w:t>(.007)</w:t>
            </w:r>
          </w:p>
        </w:tc>
        <w:tc>
          <w:tcPr>
            <w:tcW w:w="1394" w:type="dxa"/>
            <w:tcBorders>
              <w:top w:val="single" w:sz="4" w:space="0" w:color="auto"/>
              <w:bottom w:val="single" w:sz="4" w:space="0" w:color="auto"/>
            </w:tcBorders>
          </w:tcPr>
          <w:p w14:paraId="735D4E3C" w14:textId="77777777" w:rsidR="00C46CD2" w:rsidRPr="00BC0E90" w:rsidRDefault="00060563" w:rsidP="00402A10">
            <w:pPr>
              <w:jc w:val="center"/>
              <w:rPr>
                <w:sz w:val="20"/>
                <w:szCs w:val="20"/>
              </w:rPr>
            </w:pPr>
            <w:r w:rsidRPr="00BC0E90">
              <w:rPr>
                <w:sz w:val="20"/>
                <w:szCs w:val="20"/>
              </w:rPr>
              <w:t>-.322***</w:t>
            </w:r>
          </w:p>
          <w:p w14:paraId="5D8F47DC" w14:textId="77777777" w:rsidR="00060563" w:rsidRPr="00BC0E90" w:rsidRDefault="00060563" w:rsidP="00402A10">
            <w:pPr>
              <w:jc w:val="center"/>
              <w:rPr>
                <w:sz w:val="20"/>
                <w:szCs w:val="20"/>
              </w:rPr>
            </w:pPr>
            <w:r w:rsidRPr="00BC0E90">
              <w:rPr>
                <w:sz w:val="20"/>
                <w:szCs w:val="20"/>
              </w:rPr>
              <w:t>(.007)</w:t>
            </w:r>
          </w:p>
        </w:tc>
        <w:tc>
          <w:tcPr>
            <w:tcW w:w="1262" w:type="dxa"/>
            <w:tcBorders>
              <w:top w:val="single" w:sz="4" w:space="0" w:color="auto"/>
              <w:bottom w:val="single" w:sz="4" w:space="0" w:color="auto"/>
            </w:tcBorders>
          </w:tcPr>
          <w:p w14:paraId="5CC4AAB2" w14:textId="77777777" w:rsidR="00C46CD2" w:rsidRPr="00BC0E90" w:rsidRDefault="00060563" w:rsidP="00402A10">
            <w:pPr>
              <w:jc w:val="center"/>
              <w:rPr>
                <w:sz w:val="20"/>
                <w:szCs w:val="20"/>
              </w:rPr>
            </w:pPr>
            <w:r w:rsidRPr="00BC0E90">
              <w:rPr>
                <w:sz w:val="20"/>
                <w:szCs w:val="20"/>
              </w:rPr>
              <w:t>-.507***</w:t>
            </w:r>
          </w:p>
          <w:p w14:paraId="7FD55E74" w14:textId="77777777" w:rsidR="00060563" w:rsidRPr="00BC0E90" w:rsidRDefault="00060563" w:rsidP="00402A10">
            <w:pPr>
              <w:jc w:val="center"/>
              <w:rPr>
                <w:sz w:val="20"/>
                <w:szCs w:val="20"/>
              </w:rPr>
            </w:pPr>
            <w:r w:rsidRPr="00BC0E90">
              <w:rPr>
                <w:sz w:val="20"/>
                <w:szCs w:val="20"/>
              </w:rPr>
              <w:t>(.007)</w:t>
            </w:r>
          </w:p>
        </w:tc>
        <w:tc>
          <w:tcPr>
            <w:tcW w:w="1262" w:type="dxa"/>
            <w:tcBorders>
              <w:top w:val="single" w:sz="4" w:space="0" w:color="auto"/>
              <w:bottom w:val="single" w:sz="4" w:space="0" w:color="auto"/>
            </w:tcBorders>
          </w:tcPr>
          <w:p w14:paraId="379588A5" w14:textId="77777777" w:rsidR="00C46CD2" w:rsidRPr="00BC0E90" w:rsidRDefault="00060563" w:rsidP="00402A10">
            <w:pPr>
              <w:jc w:val="center"/>
              <w:rPr>
                <w:sz w:val="20"/>
                <w:szCs w:val="20"/>
              </w:rPr>
            </w:pPr>
            <w:r w:rsidRPr="00BC0E90">
              <w:rPr>
                <w:sz w:val="20"/>
                <w:szCs w:val="20"/>
              </w:rPr>
              <w:t>-.539***</w:t>
            </w:r>
          </w:p>
          <w:p w14:paraId="7EA7E932" w14:textId="77777777" w:rsidR="00060563" w:rsidRPr="00BC0E90" w:rsidRDefault="00060563" w:rsidP="00402A10">
            <w:pPr>
              <w:jc w:val="center"/>
              <w:rPr>
                <w:sz w:val="20"/>
                <w:szCs w:val="20"/>
              </w:rPr>
            </w:pPr>
            <w:r w:rsidRPr="00BC0E90">
              <w:rPr>
                <w:sz w:val="20"/>
                <w:szCs w:val="20"/>
              </w:rPr>
              <w:t>(.012)</w:t>
            </w:r>
          </w:p>
        </w:tc>
      </w:tr>
      <w:tr w:rsidR="00347997" w14:paraId="6ED3BFA7" w14:textId="77777777" w:rsidTr="002E3ED6">
        <w:tc>
          <w:tcPr>
            <w:tcW w:w="2405" w:type="dxa"/>
          </w:tcPr>
          <w:p w14:paraId="3A9D502C" w14:textId="77777777" w:rsidR="00347997" w:rsidRPr="00BC0E90" w:rsidRDefault="00347997" w:rsidP="00347997">
            <w:pPr>
              <w:jc w:val="right"/>
              <w:rPr>
                <w:sz w:val="20"/>
                <w:szCs w:val="20"/>
              </w:rPr>
            </w:pPr>
            <w:r>
              <w:rPr>
                <w:sz w:val="20"/>
                <w:szCs w:val="20"/>
              </w:rPr>
              <w:t xml:space="preserve"># </w:t>
            </w:r>
            <w:proofErr w:type="gramStart"/>
            <w:r>
              <w:rPr>
                <w:sz w:val="20"/>
                <w:szCs w:val="20"/>
              </w:rPr>
              <w:t>observations</w:t>
            </w:r>
            <w:proofErr w:type="gramEnd"/>
          </w:p>
        </w:tc>
        <w:tc>
          <w:tcPr>
            <w:tcW w:w="1418" w:type="dxa"/>
            <w:tcBorders>
              <w:top w:val="single" w:sz="4" w:space="0" w:color="auto"/>
            </w:tcBorders>
          </w:tcPr>
          <w:p w14:paraId="401973F6" w14:textId="77777777" w:rsidR="00347997" w:rsidRPr="00BC0E90" w:rsidRDefault="00347997" w:rsidP="00347997">
            <w:pPr>
              <w:jc w:val="center"/>
              <w:rPr>
                <w:sz w:val="20"/>
                <w:szCs w:val="20"/>
              </w:rPr>
            </w:pPr>
            <w:r w:rsidRPr="00BC0E90">
              <w:rPr>
                <w:sz w:val="20"/>
                <w:szCs w:val="20"/>
              </w:rPr>
              <w:t>11,500</w:t>
            </w:r>
          </w:p>
        </w:tc>
        <w:tc>
          <w:tcPr>
            <w:tcW w:w="1275" w:type="dxa"/>
            <w:tcBorders>
              <w:top w:val="single" w:sz="4" w:space="0" w:color="auto"/>
            </w:tcBorders>
          </w:tcPr>
          <w:p w14:paraId="2B828540" w14:textId="77777777" w:rsidR="00347997" w:rsidRPr="00BC0E90" w:rsidRDefault="00347997" w:rsidP="00347997">
            <w:pPr>
              <w:jc w:val="center"/>
              <w:rPr>
                <w:sz w:val="20"/>
                <w:szCs w:val="20"/>
              </w:rPr>
            </w:pPr>
            <w:r w:rsidRPr="00BC0E90">
              <w:rPr>
                <w:sz w:val="20"/>
                <w:szCs w:val="20"/>
              </w:rPr>
              <w:t>11,500</w:t>
            </w:r>
          </w:p>
        </w:tc>
        <w:tc>
          <w:tcPr>
            <w:tcW w:w="1394" w:type="dxa"/>
            <w:tcBorders>
              <w:top w:val="single" w:sz="4" w:space="0" w:color="auto"/>
            </w:tcBorders>
          </w:tcPr>
          <w:p w14:paraId="493EBCC5" w14:textId="77777777" w:rsidR="00347997" w:rsidRPr="00BC0E90" w:rsidRDefault="00347997" w:rsidP="00347997">
            <w:pPr>
              <w:jc w:val="center"/>
              <w:rPr>
                <w:sz w:val="20"/>
                <w:szCs w:val="20"/>
              </w:rPr>
            </w:pPr>
            <w:r w:rsidRPr="00BC0E90">
              <w:rPr>
                <w:sz w:val="20"/>
                <w:szCs w:val="20"/>
              </w:rPr>
              <w:t>11,500</w:t>
            </w:r>
          </w:p>
        </w:tc>
        <w:tc>
          <w:tcPr>
            <w:tcW w:w="1262" w:type="dxa"/>
            <w:tcBorders>
              <w:top w:val="single" w:sz="4" w:space="0" w:color="auto"/>
            </w:tcBorders>
          </w:tcPr>
          <w:p w14:paraId="06DCA737" w14:textId="77777777" w:rsidR="00347997" w:rsidRPr="00BC0E90" w:rsidRDefault="00347997" w:rsidP="00347997">
            <w:pPr>
              <w:jc w:val="center"/>
              <w:rPr>
                <w:sz w:val="20"/>
                <w:szCs w:val="20"/>
              </w:rPr>
            </w:pPr>
            <w:r w:rsidRPr="00BC0E90">
              <w:rPr>
                <w:sz w:val="20"/>
                <w:szCs w:val="20"/>
              </w:rPr>
              <w:t>11,500</w:t>
            </w:r>
          </w:p>
        </w:tc>
        <w:tc>
          <w:tcPr>
            <w:tcW w:w="1262" w:type="dxa"/>
            <w:tcBorders>
              <w:top w:val="single" w:sz="4" w:space="0" w:color="auto"/>
            </w:tcBorders>
          </w:tcPr>
          <w:p w14:paraId="5A078DB2" w14:textId="77777777" w:rsidR="00347997" w:rsidRPr="00BC0E90" w:rsidRDefault="00347997" w:rsidP="00347997">
            <w:pPr>
              <w:jc w:val="center"/>
              <w:rPr>
                <w:sz w:val="20"/>
                <w:szCs w:val="20"/>
              </w:rPr>
            </w:pPr>
            <w:r w:rsidRPr="00BC0E90">
              <w:rPr>
                <w:sz w:val="20"/>
                <w:szCs w:val="20"/>
              </w:rPr>
              <w:t>11,500</w:t>
            </w:r>
          </w:p>
        </w:tc>
      </w:tr>
      <w:tr w:rsidR="00347997" w14:paraId="4F9FAC50" w14:textId="77777777" w:rsidTr="002E3ED6">
        <w:tc>
          <w:tcPr>
            <w:tcW w:w="2405" w:type="dxa"/>
          </w:tcPr>
          <w:p w14:paraId="4C6C4947" w14:textId="77777777" w:rsidR="00347997" w:rsidRPr="00BC0E90" w:rsidRDefault="00347997" w:rsidP="00347997">
            <w:pPr>
              <w:jc w:val="right"/>
              <w:rPr>
                <w:sz w:val="20"/>
                <w:szCs w:val="20"/>
              </w:rPr>
            </w:pPr>
            <w:r w:rsidRPr="00BC0E90">
              <w:rPr>
                <w:sz w:val="20"/>
                <w:szCs w:val="20"/>
              </w:rPr>
              <w:t xml:space="preserve"># </w:t>
            </w:r>
            <w:proofErr w:type="gramStart"/>
            <w:r w:rsidRPr="00BC0E90">
              <w:rPr>
                <w:sz w:val="20"/>
                <w:szCs w:val="20"/>
              </w:rPr>
              <w:t>match</w:t>
            </w:r>
            <w:proofErr w:type="gramEnd"/>
            <w:r w:rsidRPr="00BC0E90">
              <w:rPr>
                <w:sz w:val="20"/>
                <w:szCs w:val="20"/>
              </w:rPr>
              <w:t>-ups</w:t>
            </w:r>
          </w:p>
        </w:tc>
        <w:tc>
          <w:tcPr>
            <w:tcW w:w="1418" w:type="dxa"/>
          </w:tcPr>
          <w:p w14:paraId="7143F9F0" w14:textId="77777777" w:rsidR="00347997" w:rsidRPr="00BC0E90" w:rsidRDefault="00347997" w:rsidP="00347997">
            <w:pPr>
              <w:jc w:val="center"/>
              <w:rPr>
                <w:sz w:val="20"/>
                <w:szCs w:val="20"/>
              </w:rPr>
            </w:pPr>
            <w:r w:rsidRPr="00BC0E90">
              <w:rPr>
                <w:sz w:val="20"/>
                <w:szCs w:val="20"/>
              </w:rPr>
              <w:t>5</w:t>
            </w:r>
          </w:p>
        </w:tc>
        <w:tc>
          <w:tcPr>
            <w:tcW w:w="1275" w:type="dxa"/>
          </w:tcPr>
          <w:p w14:paraId="57D86186" w14:textId="77777777" w:rsidR="00347997" w:rsidRPr="00BC0E90" w:rsidRDefault="00347997" w:rsidP="00347997">
            <w:pPr>
              <w:jc w:val="center"/>
              <w:rPr>
                <w:sz w:val="20"/>
                <w:szCs w:val="20"/>
              </w:rPr>
            </w:pPr>
            <w:r w:rsidRPr="00BC0E90">
              <w:rPr>
                <w:sz w:val="20"/>
                <w:szCs w:val="20"/>
              </w:rPr>
              <w:t>5</w:t>
            </w:r>
          </w:p>
        </w:tc>
        <w:tc>
          <w:tcPr>
            <w:tcW w:w="1394" w:type="dxa"/>
          </w:tcPr>
          <w:p w14:paraId="23223CE7" w14:textId="77777777" w:rsidR="00347997" w:rsidRPr="00BC0E90" w:rsidRDefault="00347997" w:rsidP="00347997">
            <w:pPr>
              <w:jc w:val="center"/>
              <w:rPr>
                <w:sz w:val="20"/>
                <w:szCs w:val="20"/>
              </w:rPr>
            </w:pPr>
            <w:r w:rsidRPr="00BC0E90">
              <w:rPr>
                <w:sz w:val="20"/>
                <w:szCs w:val="20"/>
              </w:rPr>
              <w:t>5</w:t>
            </w:r>
          </w:p>
        </w:tc>
        <w:tc>
          <w:tcPr>
            <w:tcW w:w="1262" w:type="dxa"/>
          </w:tcPr>
          <w:p w14:paraId="738740FB" w14:textId="77777777" w:rsidR="00347997" w:rsidRPr="00BC0E90" w:rsidRDefault="00347997" w:rsidP="00347997">
            <w:pPr>
              <w:jc w:val="center"/>
              <w:rPr>
                <w:sz w:val="20"/>
                <w:szCs w:val="20"/>
              </w:rPr>
            </w:pPr>
            <w:r w:rsidRPr="00BC0E90">
              <w:rPr>
                <w:sz w:val="20"/>
                <w:szCs w:val="20"/>
              </w:rPr>
              <w:t>5</w:t>
            </w:r>
          </w:p>
        </w:tc>
        <w:tc>
          <w:tcPr>
            <w:tcW w:w="1262" w:type="dxa"/>
          </w:tcPr>
          <w:p w14:paraId="26D4DFEF" w14:textId="77777777" w:rsidR="00347997" w:rsidRPr="00BC0E90" w:rsidRDefault="00347997" w:rsidP="00347997">
            <w:pPr>
              <w:jc w:val="center"/>
              <w:rPr>
                <w:sz w:val="20"/>
                <w:szCs w:val="20"/>
              </w:rPr>
            </w:pPr>
            <w:r w:rsidRPr="00BC0E90">
              <w:rPr>
                <w:sz w:val="20"/>
                <w:szCs w:val="20"/>
              </w:rPr>
              <w:t>5</w:t>
            </w:r>
          </w:p>
        </w:tc>
      </w:tr>
      <w:tr w:rsidR="00347997" w14:paraId="7086B9CF" w14:textId="77777777" w:rsidTr="002E3ED6">
        <w:tc>
          <w:tcPr>
            <w:tcW w:w="2405" w:type="dxa"/>
            <w:tcBorders>
              <w:bottom w:val="single" w:sz="4" w:space="0" w:color="auto"/>
            </w:tcBorders>
          </w:tcPr>
          <w:p w14:paraId="3BA266C2" w14:textId="77777777" w:rsidR="00347997" w:rsidRPr="00BC0E90" w:rsidRDefault="00347997" w:rsidP="00347997">
            <w:pPr>
              <w:jc w:val="right"/>
              <w:rPr>
                <w:sz w:val="20"/>
                <w:szCs w:val="20"/>
              </w:rPr>
            </w:pPr>
            <w:r w:rsidRPr="00BC0E90">
              <w:rPr>
                <w:sz w:val="20"/>
                <w:szCs w:val="20"/>
              </w:rPr>
              <w:t>Distance matrix</w:t>
            </w:r>
          </w:p>
        </w:tc>
        <w:tc>
          <w:tcPr>
            <w:tcW w:w="1418" w:type="dxa"/>
            <w:tcBorders>
              <w:bottom w:val="single" w:sz="4" w:space="0" w:color="auto"/>
            </w:tcBorders>
          </w:tcPr>
          <w:p w14:paraId="604CF751" w14:textId="77777777" w:rsidR="00347997" w:rsidRPr="00BC0E90" w:rsidRDefault="00347997" w:rsidP="00347997">
            <w:pPr>
              <w:jc w:val="center"/>
              <w:rPr>
                <w:sz w:val="20"/>
                <w:szCs w:val="20"/>
              </w:rPr>
            </w:pPr>
            <w:r w:rsidRPr="00BC0E90">
              <w:rPr>
                <w:sz w:val="20"/>
                <w:szCs w:val="20"/>
              </w:rPr>
              <w:t>Mahalanobis</w:t>
            </w:r>
          </w:p>
        </w:tc>
        <w:tc>
          <w:tcPr>
            <w:tcW w:w="1275" w:type="dxa"/>
            <w:tcBorders>
              <w:bottom w:val="single" w:sz="4" w:space="0" w:color="auto"/>
            </w:tcBorders>
          </w:tcPr>
          <w:p w14:paraId="03B8CC46" w14:textId="77777777" w:rsidR="00347997" w:rsidRPr="00BC0E90" w:rsidRDefault="00347997" w:rsidP="00347997">
            <w:pPr>
              <w:jc w:val="center"/>
              <w:rPr>
                <w:sz w:val="20"/>
                <w:szCs w:val="20"/>
              </w:rPr>
            </w:pPr>
            <w:r w:rsidRPr="00BC0E90">
              <w:rPr>
                <w:sz w:val="20"/>
                <w:szCs w:val="20"/>
              </w:rPr>
              <w:t>Mahalanobis</w:t>
            </w:r>
          </w:p>
        </w:tc>
        <w:tc>
          <w:tcPr>
            <w:tcW w:w="1394" w:type="dxa"/>
            <w:tcBorders>
              <w:bottom w:val="single" w:sz="4" w:space="0" w:color="auto"/>
            </w:tcBorders>
          </w:tcPr>
          <w:p w14:paraId="638157D8" w14:textId="77777777" w:rsidR="00347997" w:rsidRPr="00BC0E90" w:rsidRDefault="00347997" w:rsidP="00347997">
            <w:pPr>
              <w:jc w:val="center"/>
              <w:rPr>
                <w:sz w:val="20"/>
                <w:szCs w:val="20"/>
              </w:rPr>
            </w:pPr>
            <w:r w:rsidRPr="00BC0E90">
              <w:rPr>
                <w:sz w:val="20"/>
                <w:szCs w:val="20"/>
              </w:rPr>
              <w:t>Mahalanobis</w:t>
            </w:r>
          </w:p>
        </w:tc>
        <w:tc>
          <w:tcPr>
            <w:tcW w:w="1262" w:type="dxa"/>
            <w:tcBorders>
              <w:bottom w:val="single" w:sz="4" w:space="0" w:color="auto"/>
            </w:tcBorders>
          </w:tcPr>
          <w:p w14:paraId="7413DF12" w14:textId="77777777" w:rsidR="00347997" w:rsidRPr="00BC0E90" w:rsidRDefault="00347997" w:rsidP="00347997">
            <w:pPr>
              <w:jc w:val="center"/>
              <w:rPr>
                <w:sz w:val="20"/>
                <w:szCs w:val="20"/>
              </w:rPr>
            </w:pPr>
            <w:r w:rsidRPr="00BC0E90">
              <w:rPr>
                <w:sz w:val="20"/>
                <w:szCs w:val="20"/>
              </w:rPr>
              <w:t>Mahalanobis</w:t>
            </w:r>
          </w:p>
        </w:tc>
        <w:tc>
          <w:tcPr>
            <w:tcW w:w="1262" w:type="dxa"/>
            <w:tcBorders>
              <w:bottom w:val="single" w:sz="4" w:space="0" w:color="auto"/>
            </w:tcBorders>
          </w:tcPr>
          <w:p w14:paraId="39619B11" w14:textId="77777777" w:rsidR="00347997" w:rsidRPr="00BC0E90" w:rsidRDefault="00347997" w:rsidP="00347997">
            <w:pPr>
              <w:jc w:val="center"/>
              <w:rPr>
                <w:sz w:val="20"/>
                <w:szCs w:val="20"/>
              </w:rPr>
            </w:pPr>
            <w:r w:rsidRPr="00BC0E90">
              <w:rPr>
                <w:sz w:val="20"/>
                <w:szCs w:val="20"/>
              </w:rPr>
              <w:t>Mahalanobis</w:t>
            </w:r>
          </w:p>
        </w:tc>
      </w:tr>
      <w:tr w:rsidR="002E3ED6" w14:paraId="56D31A2A" w14:textId="77777777" w:rsidTr="007F7B15">
        <w:tc>
          <w:tcPr>
            <w:tcW w:w="9016" w:type="dxa"/>
            <w:gridSpan w:val="6"/>
            <w:tcBorders>
              <w:top w:val="single" w:sz="4" w:space="0" w:color="auto"/>
              <w:bottom w:val="double" w:sz="4" w:space="0" w:color="auto"/>
            </w:tcBorders>
          </w:tcPr>
          <w:p w14:paraId="7B9323D8" w14:textId="77777777" w:rsidR="002E3ED6" w:rsidRPr="00BC0E90" w:rsidRDefault="002E3ED6" w:rsidP="000A713E">
            <w:pPr>
              <w:jc w:val="both"/>
              <w:rPr>
                <w:sz w:val="20"/>
                <w:szCs w:val="20"/>
              </w:rPr>
            </w:pPr>
            <w:r w:rsidRPr="00C81585">
              <w:rPr>
                <w:i/>
                <w:sz w:val="18"/>
                <w:szCs w:val="20"/>
              </w:rPr>
              <w:t>Notes</w:t>
            </w:r>
            <w:r w:rsidRPr="00C81585">
              <w:rPr>
                <w:sz w:val="18"/>
                <w:szCs w:val="20"/>
              </w:rPr>
              <w:t>:</w:t>
            </w:r>
            <w:r w:rsidR="00D01A6D" w:rsidRPr="00C81585">
              <w:rPr>
                <w:sz w:val="18"/>
                <w:szCs w:val="20"/>
              </w:rPr>
              <w:t xml:space="preserve"> the table reports difference-in-differences estimated effect of political instability on municipality-level institutional quality. The set of dependent variables comprises the latent institutional quality scores obtained through MCMC random sample sequencing method using Metropolis-Hasting algorithm. Panel A reports standard difference-in-differences estimates with municipality-fixed effects. Panel B reports de </w:t>
            </w:r>
            <w:r w:rsidR="00D01A6D" w:rsidRPr="00C81585">
              <w:rPr>
                <w:color w:val="4472C4" w:themeColor="accent5"/>
                <w:sz w:val="18"/>
                <w:szCs w:val="20"/>
              </w:rPr>
              <w:t>Chaisemartin and D'Haultfoeuille (2020)</w:t>
            </w:r>
            <w:r w:rsidR="00D01A6D" w:rsidRPr="00C81585">
              <w:rPr>
                <w:sz w:val="18"/>
                <w:szCs w:val="20"/>
              </w:rPr>
              <w:t xml:space="preserve"> heterogeneous difference-in-differences estimates with two-way fixed effects and time-v</w:t>
            </w:r>
            <w:r w:rsidR="000A713E" w:rsidRPr="00C81585">
              <w:rPr>
                <w:sz w:val="18"/>
                <w:szCs w:val="20"/>
              </w:rPr>
              <w:t xml:space="preserve">arying treatment heterogeneity. End-of-sample placebo coefficient is computed through the spatial permutation of the treatment to the full control group by capping placebo runs at 5,000. Panel C reports </w:t>
            </w:r>
            <w:r w:rsidR="00C81585">
              <w:rPr>
                <w:color w:val="4472C4" w:themeColor="accent5"/>
                <w:sz w:val="18"/>
                <w:szCs w:val="20"/>
              </w:rPr>
              <w:t>Abadie and Imbens (2006</w:t>
            </w:r>
            <w:r w:rsidR="000A713E" w:rsidRPr="00C81585">
              <w:rPr>
                <w:color w:val="4472C4" w:themeColor="accent5"/>
                <w:sz w:val="18"/>
                <w:szCs w:val="20"/>
              </w:rPr>
              <w:t>)</w:t>
            </w:r>
            <w:r w:rsidR="000A713E" w:rsidRPr="00C81585">
              <w:rPr>
                <w:sz w:val="18"/>
                <w:szCs w:val="20"/>
              </w:rPr>
              <w:t xml:space="preserve"> nearest-neighbor matching estimates of institutional quality effect of political instability using pairwise covariate-level distance matching between treated municipalities and their non-treated peers. Standard errors are adjusted for serially correlated stochastic disturbances and arbitrary heteroskedastic distribution of the error variance using non-nested multi-way clustering scheme and error component model for finite-sample adjustment of empirical distribution function. Asterisks denote statistically significant coefficients at 1% (*), 5% (**) and 10% (***), respectively.</w:t>
            </w:r>
          </w:p>
        </w:tc>
      </w:tr>
    </w:tbl>
    <w:p w14:paraId="7B9FB178" w14:textId="77777777" w:rsidR="007F7B15" w:rsidRDefault="007F7B15" w:rsidP="0067749B">
      <w:pPr>
        <w:spacing w:after="0"/>
      </w:pPr>
    </w:p>
    <w:p w14:paraId="38683E3B" w14:textId="77777777" w:rsidR="00D1007E" w:rsidRPr="00F8217C" w:rsidRDefault="00D1007E" w:rsidP="00522A8F">
      <w:pPr>
        <w:spacing w:after="0"/>
        <w:ind w:firstLine="720"/>
        <w:rPr>
          <w:i/>
          <w:sz w:val="22"/>
        </w:rPr>
      </w:pPr>
      <w:r w:rsidRPr="00F8217C">
        <w:rPr>
          <w:i/>
          <w:sz w:val="22"/>
        </w:rPr>
        <w:t>Synthetic control estimates</w:t>
      </w:r>
    </w:p>
    <w:p w14:paraId="12283E2B" w14:textId="77777777" w:rsidR="00D1007E" w:rsidRDefault="00D1007E" w:rsidP="0067749B">
      <w:pPr>
        <w:spacing w:after="0"/>
      </w:pPr>
    </w:p>
    <w:p w14:paraId="2CE5BE34" w14:textId="77777777" w:rsidR="005A286B" w:rsidRPr="00F8217C" w:rsidRDefault="00F80CCE" w:rsidP="00315842">
      <w:pPr>
        <w:spacing w:after="0"/>
        <w:jc w:val="both"/>
        <w:rPr>
          <w:sz w:val="22"/>
        </w:rPr>
      </w:pPr>
      <w:r w:rsidRPr="00F8217C">
        <w:rPr>
          <w:sz w:val="22"/>
        </w:rPr>
        <w:t xml:space="preserve">The local-level evidence based on difference-in-differences estimates of the institutional quality model specification indicate substantial deterioration in response to the political instability. Two limitations are inherent in the DiD approach. First, small size of the municipalities chiefly implies that local-level response of the latent institutional quality to political instability may be dominated by the response at the regional level. </w:t>
      </w:r>
      <w:r w:rsidR="00315842" w:rsidRPr="00F8217C">
        <w:rPr>
          <w:sz w:val="22"/>
        </w:rPr>
        <w:t>Second</w:t>
      </w:r>
      <w:r w:rsidRPr="00F8217C">
        <w:rPr>
          <w:sz w:val="22"/>
        </w:rPr>
        <w:t xml:space="preserve">, if the parallel trend assumption is sensitive to the length of the pre-treatment period or varying composition of control sample, estimating the counterfactual scenario through the application of synthetic control estimator may provide </w:t>
      </w:r>
      <w:proofErr w:type="gramStart"/>
      <w:r w:rsidRPr="00F8217C">
        <w:rPr>
          <w:sz w:val="22"/>
        </w:rPr>
        <w:t>a more plausible evidence</w:t>
      </w:r>
      <w:proofErr w:type="gramEnd"/>
      <w:r w:rsidRPr="00F8217C">
        <w:rPr>
          <w:sz w:val="22"/>
        </w:rPr>
        <w:t xml:space="preserve"> on the effect scope and size. Synthetic control estimator </w:t>
      </w:r>
      <w:r w:rsidR="005A286B" w:rsidRPr="00F8217C">
        <w:rPr>
          <w:sz w:val="22"/>
        </w:rPr>
        <w:t xml:space="preserve">provides evidence on the average treatment effect in each </w:t>
      </w:r>
      <w:r w:rsidR="005A286B" w:rsidRPr="00F8217C">
        <w:rPr>
          <w:sz w:val="22"/>
        </w:rPr>
        <w:lastRenderedPageBreak/>
        <w:t>respective year of the post-intervention period, which seems to be more informative about the nature of the political instability shock.</w:t>
      </w:r>
    </w:p>
    <w:p w14:paraId="04BEAEC8" w14:textId="77777777" w:rsidR="005A286B" w:rsidRPr="00F8217C" w:rsidRDefault="005A286B" w:rsidP="00315842">
      <w:pPr>
        <w:spacing w:after="0"/>
        <w:jc w:val="both"/>
        <w:rPr>
          <w:sz w:val="22"/>
        </w:rPr>
      </w:pPr>
    </w:p>
    <w:p w14:paraId="2243D2A0" w14:textId="77777777" w:rsidR="00D1007E" w:rsidRPr="00F8217C" w:rsidRDefault="005A286B" w:rsidP="00315842">
      <w:pPr>
        <w:spacing w:after="0"/>
        <w:jc w:val="both"/>
        <w:rPr>
          <w:sz w:val="22"/>
        </w:rPr>
      </w:pPr>
      <w:r w:rsidRPr="00F8217C">
        <w:rPr>
          <w:sz w:val="22"/>
        </w:rPr>
        <w:t>Table</w:t>
      </w:r>
      <w:r w:rsidR="00F80CCE" w:rsidRPr="00F8217C">
        <w:rPr>
          <w:sz w:val="22"/>
        </w:rPr>
        <w:t xml:space="preserve"> 2 reports the balance </w:t>
      </w:r>
      <w:r w:rsidRPr="00F8217C">
        <w:rPr>
          <w:sz w:val="22"/>
        </w:rPr>
        <w:t>of pre-instability institutional quality outcomes and auxiliary covariates between the selected treated regions and their resp</w:t>
      </w:r>
      <w:r w:rsidR="006731FA" w:rsidRPr="00F8217C">
        <w:rPr>
          <w:sz w:val="22"/>
        </w:rPr>
        <w:t xml:space="preserve">ective synthetic control groups for the three selected regions. </w:t>
      </w:r>
      <w:r w:rsidR="007E5E4F" w:rsidRPr="00F8217C">
        <w:rPr>
          <w:sz w:val="22"/>
        </w:rPr>
        <w:t>Balancing the outcomes in pre-</w:t>
      </w:r>
      <m:oMath>
        <m:sSub>
          <m:sSubPr>
            <m:ctrlPr>
              <w:rPr>
                <w:rFonts w:ascii="Cambria Math" w:hAnsi="Cambria Math"/>
                <w:i/>
                <w:sz w:val="22"/>
              </w:rPr>
            </m:ctrlPr>
          </m:sSubPr>
          <m:e>
            <m:r>
              <w:rPr>
                <w:rFonts w:ascii="Cambria Math" w:hAnsi="Cambria Math"/>
                <w:sz w:val="22"/>
              </w:rPr>
              <m:t>T</m:t>
            </m:r>
          </m:e>
          <m:sub>
            <m:r>
              <w:rPr>
                <w:rFonts w:ascii="Cambria Math" w:hAnsi="Cambria Math"/>
                <w:sz w:val="22"/>
              </w:rPr>
              <m:t>0</m:t>
            </m:r>
          </m:sub>
        </m:sSub>
      </m:oMath>
      <w:r w:rsidR="007E5E4F" w:rsidRPr="00F8217C">
        <w:rPr>
          <w:rFonts w:eastAsiaTheme="minorEastAsia"/>
          <w:sz w:val="22"/>
        </w:rPr>
        <w:t xml:space="preserve"> period and the auxilialy covariates indicate a reasonably good quality of the fit. Both the values of the outcomes and covariates in the pre-intervention period are closely aligned without major discrepancies. For instance, synthetically matched levels of outcome variables for the full set of treated regions are almost identical in the pre-treatment period. The estimated root mean square prediction (RMSE) is low and appears to be within 2 percent of the scale-adjusted error margin. At the same time, the matched control groups for the treated regions exhibit similar auxiliary </w:t>
      </w:r>
      <w:r w:rsidR="00F8217C" w:rsidRPr="00F8217C">
        <w:rPr>
          <w:rFonts w:eastAsiaTheme="minorEastAsia"/>
          <w:sz w:val="22"/>
        </w:rPr>
        <w:t>characteristics, which</w:t>
      </w:r>
      <w:r w:rsidR="00E40E0D" w:rsidRPr="00F8217C">
        <w:rPr>
          <w:rFonts w:eastAsiaTheme="minorEastAsia"/>
          <w:sz w:val="22"/>
        </w:rPr>
        <w:t xml:space="preserve"> implies that the synthetic control groups closely mimic both the dynamic and structural characteristics of the treated regions prior to the political instability shock. It should be noted that for some regions such as Littoral-Carso, the quality of the fit appears to be excellent (</w:t>
      </w:r>
      <w:proofErr w:type="gramStart"/>
      <w:r w:rsidR="00E40E0D" w:rsidRPr="00F8217C">
        <w:rPr>
          <w:rFonts w:eastAsiaTheme="minorEastAsia"/>
          <w:sz w:val="22"/>
        </w:rPr>
        <w:t>i.e.</w:t>
      </w:r>
      <w:proofErr w:type="gramEnd"/>
      <w:r w:rsidR="00E40E0D" w:rsidRPr="00F8217C">
        <w:rPr>
          <w:rFonts w:eastAsiaTheme="minorEastAsia"/>
          <w:sz w:val="22"/>
        </w:rPr>
        <w:t xml:space="preserve"> RMSE = 0.006) with evidence of few discrepancies compared to the synthetic control group in the pre-treatment period. </w:t>
      </w:r>
    </w:p>
    <w:p w14:paraId="1EF3FECC" w14:textId="77777777" w:rsidR="00D1007E" w:rsidRDefault="00D1007E" w:rsidP="0067749B">
      <w:pPr>
        <w:spacing w:after="0"/>
      </w:pPr>
    </w:p>
    <w:p w14:paraId="11829434" w14:textId="77777777" w:rsidR="00197642" w:rsidRPr="00F8217C" w:rsidRDefault="00E40E0D" w:rsidP="00FE10BD">
      <w:pPr>
        <w:spacing w:after="0" w:line="240" w:lineRule="auto"/>
        <w:rPr>
          <w:sz w:val="22"/>
        </w:rPr>
      </w:pPr>
      <w:r w:rsidRPr="00F8217C">
        <w:rPr>
          <w:b/>
          <w:sz w:val="22"/>
        </w:rPr>
        <w:t>Table 2</w:t>
      </w:r>
      <w:r w:rsidR="00586085" w:rsidRPr="00F8217C">
        <w:rPr>
          <w:sz w:val="22"/>
        </w:rPr>
        <w:t>: Pre-Instability Covariate Balancing</w:t>
      </w:r>
    </w:p>
    <w:tbl>
      <w:tblPr>
        <w:tblStyle w:val="Tabelamre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82"/>
        <w:gridCol w:w="978"/>
        <w:gridCol w:w="1017"/>
        <w:gridCol w:w="1111"/>
        <w:gridCol w:w="1017"/>
        <w:gridCol w:w="1130"/>
        <w:gridCol w:w="1081"/>
      </w:tblGrid>
      <w:tr w:rsidR="00586085" w14:paraId="6D9D651C" w14:textId="77777777" w:rsidTr="00E40E0D">
        <w:tc>
          <w:tcPr>
            <w:tcW w:w="2682" w:type="dxa"/>
            <w:tcBorders>
              <w:top w:val="double" w:sz="4" w:space="0" w:color="auto"/>
            </w:tcBorders>
          </w:tcPr>
          <w:p w14:paraId="597C5C4A" w14:textId="77777777" w:rsidR="00586085" w:rsidRPr="00FE10BD" w:rsidRDefault="00586085" w:rsidP="00586085">
            <w:pPr>
              <w:jc w:val="center"/>
              <w:rPr>
                <w:sz w:val="20"/>
              </w:rPr>
            </w:pPr>
          </w:p>
        </w:tc>
        <w:tc>
          <w:tcPr>
            <w:tcW w:w="1995" w:type="dxa"/>
            <w:gridSpan w:val="2"/>
            <w:tcBorders>
              <w:top w:val="double" w:sz="4" w:space="0" w:color="auto"/>
              <w:bottom w:val="single" w:sz="4" w:space="0" w:color="auto"/>
              <w:right w:val="single" w:sz="4" w:space="0" w:color="auto"/>
            </w:tcBorders>
          </w:tcPr>
          <w:p w14:paraId="12ED7514" w14:textId="77777777" w:rsidR="00586085" w:rsidRPr="00FE10BD" w:rsidRDefault="00586085" w:rsidP="00586085">
            <w:pPr>
              <w:jc w:val="center"/>
              <w:rPr>
                <w:sz w:val="20"/>
              </w:rPr>
            </w:pPr>
            <w:r w:rsidRPr="00FE10BD">
              <w:rPr>
                <w:sz w:val="20"/>
              </w:rPr>
              <w:t>Central Slovenia</w:t>
            </w:r>
          </w:p>
        </w:tc>
        <w:tc>
          <w:tcPr>
            <w:tcW w:w="2128" w:type="dxa"/>
            <w:gridSpan w:val="2"/>
            <w:tcBorders>
              <w:top w:val="double" w:sz="4" w:space="0" w:color="auto"/>
              <w:left w:val="single" w:sz="4" w:space="0" w:color="auto"/>
              <w:bottom w:val="single" w:sz="4" w:space="0" w:color="auto"/>
              <w:right w:val="single" w:sz="4" w:space="0" w:color="auto"/>
            </w:tcBorders>
          </w:tcPr>
          <w:p w14:paraId="3AB12CD9" w14:textId="77777777" w:rsidR="00586085" w:rsidRPr="00FE10BD" w:rsidRDefault="00586085" w:rsidP="00586085">
            <w:pPr>
              <w:jc w:val="center"/>
              <w:rPr>
                <w:sz w:val="20"/>
              </w:rPr>
            </w:pPr>
            <w:r w:rsidRPr="00FE10BD">
              <w:rPr>
                <w:sz w:val="20"/>
              </w:rPr>
              <w:t>Littoral-Carso</w:t>
            </w:r>
          </w:p>
        </w:tc>
        <w:tc>
          <w:tcPr>
            <w:tcW w:w="2211" w:type="dxa"/>
            <w:gridSpan w:val="2"/>
            <w:tcBorders>
              <w:top w:val="double" w:sz="4" w:space="0" w:color="auto"/>
              <w:left w:val="single" w:sz="4" w:space="0" w:color="auto"/>
              <w:bottom w:val="single" w:sz="4" w:space="0" w:color="auto"/>
            </w:tcBorders>
          </w:tcPr>
          <w:p w14:paraId="3A125D98" w14:textId="77777777" w:rsidR="00586085" w:rsidRPr="00FE10BD" w:rsidRDefault="00586085" w:rsidP="00586085">
            <w:pPr>
              <w:jc w:val="center"/>
              <w:rPr>
                <w:sz w:val="20"/>
              </w:rPr>
            </w:pPr>
            <w:r w:rsidRPr="00FE10BD">
              <w:rPr>
                <w:sz w:val="20"/>
              </w:rPr>
              <w:t>Styria-Maribor</w:t>
            </w:r>
          </w:p>
        </w:tc>
      </w:tr>
      <w:tr w:rsidR="008C24D1" w14:paraId="2CCEE911" w14:textId="77777777" w:rsidTr="00E40E0D">
        <w:tc>
          <w:tcPr>
            <w:tcW w:w="2682" w:type="dxa"/>
          </w:tcPr>
          <w:p w14:paraId="4A3CDBA8" w14:textId="77777777" w:rsidR="008C24D1" w:rsidRPr="00FE10BD" w:rsidRDefault="008C24D1" w:rsidP="00586085">
            <w:pPr>
              <w:jc w:val="center"/>
              <w:rPr>
                <w:sz w:val="20"/>
              </w:rPr>
            </w:pPr>
          </w:p>
        </w:tc>
        <w:tc>
          <w:tcPr>
            <w:tcW w:w="1995" w:type="dxa"/>
            <w:gridSpan w:val="2"/>
            <w:tcBorders>
              <w:top w:val="single" w:sz="4" w:space="0" w:color="auto"/>
              <w:bottom w:val="single" w:sz="4" w:space="0" w:color="auto"/>
              <w:right w:val="single" w:sz="4" w:space="0" w:color="auto"/>
            </w:tcBorders>
          </w:tcPr>
          <w:p w14:paraId="1BC398DF" w14:textId="77777777" w:rsidR="008C24D1" w:rsidRPr="00FE10BD" w:rsidRDefault="00B765ED" w:rsidP="00586085">
            <w:pPr>
              <w:jc w:val="center"/>
              <w:rPr>
                <w:sz w:val="20"/>
              </w:rPr>
            </w:pPr>
            <w:r w:rsidRPr="00FE10BD">
              <w:rPr>
                <w:sz w:val="20"/>
              </w:rPr>
              <w:t>Voice and accountability</w:t>
            </w:r>
          </w:p>
        </w:tc>
        <w:tc>
          <w:tcPr>
            <w:tcW w:w="2128" w:type="dxa"/>
            <w:gridSpan w:val="2"/>
            <w:tcBorders>
              <w:top w:val="single" w:sz="4" w:space="0" w:color="auto"/>
              <w:left w:val="single" w:sz="4" w:space="0" w:color="auto"/>
              <w:bottom w:val="single" w:sz="4" w:space="0" w:color="auto"/>
              <w:right w:val="single" w:sz="4" w:space="0" w:color="auto"/>
            </w:tcBorders>
          </w:tcPr>
          <w:p w14:paraId="39CC5883" w14:textId="77777777" w:rsidR="008C24D1" w:rsidRPr="00FE10BD" w:rsidRDefault="00B765ED" w:rsidP="00586085">
            <w:pPr>
              <w:jc w:val="center"/>
              <w:rPr>
                <w:sz w:val="20"/>
              </w:rPr>
            </w:pPr>
            <w:r w:rsidRPr="00FE10BD">
              <w:rPr>
                <w:sz w:val="20"/>
              </w:rPr>
              <w:t>Rule of law</w:t>
            </w:r>
          </w:p>
        </w:tc>
        <w:tc>
          <w:tcPr>
            <w:tcW w:w="2211" w:type="dxa"/>
            <w:gridSpan w:val="2"/>
            <w:tcBorders>
              <w:top w:val="single" w:sz="4" w:space="0" w:color="auto"/>
              <w:left w:val="single" w:sz="4" w:space="0" w:color="auto"/>
              <w:bottom w:val="single" w:sz="4" w:space="0" w:color="auto"/>
            </w:tcBorders>
          </w:tcPr>
          <w:p w14:paraId="6F6C6796" w14:textId="77777777" w:rsidR="008C24D1" w:rsidRPr="00FE10BD" w:rsidRDefault="00B765ED" w:rsidP="00586085">
            <w:pPr>
              <w:jc w:val="center"/>
              <w:rPr>
                <w:sz w:val="20"/>
              </w:rPr>
            </w:pPr>
            <w:r w:rsidRPr="00FE10BD">
              <w:rPr>
                <w:sz w:val="20"/>
              </w:rPr>
              <w:t>Control of corruption</w:t>
            </w:r>
          </w:p>
        </w:tc>
      </w:tr>
      <w:tr w:rsidR="00625EB6" w14:paraId="548B233D" w14:textId="77777777" w:rsidTr="00E40E0D">
        <w:tc>
          <w:tcPr>
            <w:tcW w:w="2682" w:type="dxa"/>
          </w:tcPr>
          <w:p w14:paraId="18D00985" w14:textId="77777777" w:rsidR="00625EB6" w:rsidRPr="00FE10BD" w:rsidRDefault="00625EB6" w:rsidP="00625EB6">
            <w:pPr>
              <w:jc w:val="right"/>
              <w:rPr>
                <w:sz w:val="20"/>
              </w:rPr>
            </w:pPr>
            <w:r w:rsidRPr="00FE10BD">
              <w:rPr>
                <w:sz w:val="20"/>
              </w:rPr>
              <w:t>RMSE</w:t>
            </w:r>
          </w:p>
        </w:tc>
        <w:tc>
          <w:tcPr>
            <w:tcW w:w="1995" w:type="dxa"/>
            <w:gridSpan w:val="2"/>
            <w:tcBorders>
              <w:top w:val="single" w:sz="4" w:space="0" w:color="auto"/>
              <w:bottom w:val="single" w:sz="4" w:space="0" w:color="auto"/>
              <w:right w:val="single" w:sz="4" w:space="0" w:color="auto"/>
            </w:tcBorders>
          </w:tcPr>
          <w:p w14:paraId="0009ECB7" w14:textId="77777777" w:rsidR="00625EB6" w:rsidRPr="00FE10BD" w:rsidRDefault="00625EB6" w:rsidP="00586085">
            <w:pPr>
              <w:jc w:val="center"/>
              <w:rPr>
                <w:sz w:val="20"/>
              </w:rPr>
            </w:pPr>
            <w:r w:rsidRPr="00FE10BD">
              <w:rPr>
                <w:sz w:val="20"/>
              </w:rPr>
              <w:t>0.022</w:t>
            </w:r>
          </w:p>
        </w:tc>
        <w:tc>
          <w:tcPr>
            <w:tcW w:w="2128" w:type="dxa"/>
            <w:gridSpan w:val="2"/>
            <w:tcBorders>
              <w:top w:val="single" w:sz="4" w:space="0" w:color="auto"/>
              <w:left w:val="single" w:sz="4" w:space="0" w:color="auto"/>
              <w:bottom w:val="single" w:sz="4" w:space="0" w:color="auto"/>
              <w:right w:val="single" w:sz="4" w:space="0" w:color="auto"/>
            </w:tcBorders>
          </w:tcPr>
          <w:p w14:paraId="17CAE134" w14:textId="77777777" w:rsidR="00625EB6" w:rsidRPr="00FE10BD" w:rsidRDefault="00625EB6" w:rsidP="00586085">
            <w:pPr>
              <w:jc w:val="center"/>
              <w:rPr>
                <w:sz w:val="20"/>
              </w:rPr>
            </w:pPr>
            <w:r w:rsidRPr="00FE10BD">
              <w:rPr>
                <w:sz w:val="20"/>
              </w:rPr>
              <w:t>0.006</w:t>
            </w:r>
          </w:p>
        </w:tc>
        <w:tc>
          <w:tcPr>
            <w:tcW w:w="2211" w:type="dxa"/>
            <w:gridSpan w:val="2"/>
            <w:tcBorders>
              <w:top w:val="single" w:sz="4" w:space="0" w:color="auto"/>
              <w:left w:val="single" w:sz="4" w:space="0" w:color="auto"/>
            </w:tcBorders>
          </w:tcPr>
          <w:p w14:paraId="5D2E4E9F" w14:textId="77777777" w:rsidR="00625EB6" w:rsidRPr="00FE10BD" w:rsidRDefault="00625EB6" w:rsidP="00586085">
            <w:pPr>
              <w:jc w:val="center"/>
              <w:rPr>
                <w:sz w:val="20"/>
              </w:rPr>
            </w:pPr>
            <w:r w:rsidRPr="00FE10BD">
              <w:rPr>
                <w:sz w:val="20"/>
              </w:rPr>
              <w:t>0.021</w:t>
            </w:r>
          </w:p>
        </w:tc>
      </w:tr>
      <w:tr w:rsidR="00586085" w14:paraId="5EEF725C" w14:textId="77777777" w:rsidTr="00E40E0D">
        <w:tc>
          <w:tcPr>
            <w:tcW w:w="2682" w:type="dxa"/>
          </w:tcPr>
          <w:p w14:paraId="78D3BDFD" w14:textId="77777777" w:rsidR="00586085" w:rsidRPr="00FE10BD" w:rsidRDefault="00586085" w:rsidP="00586085">
            <w:pPr>
              <w:jc w:val="center"/>
              <w:rPr>
                <w:sz w:val="20"/>
              </w:rPr>
            </w:pPr>
          </w:p>
        </w:tc>
        <w:tc>
          <w:tcPr>
            <w:tcW w:w="978" w:type="dxa"/>
            <w:tcBorders>
              <w:top w:val="single" w:sz="4" w:space="0" w:color="auto"/>
              <w:bottom w:val="single" w:sz="4" w:space="0" w:color="auto"/>
            </w:tcBorders>
          </w:tcPr>
          <w:p w14:paraId="6E2C8326" w14:textId="77777777" w:rsidR="00586085" w:rsidRPr="00FE10BD" w:rsidRDefault="00586085" w:rsidP="00586085">
            <w:pPr>
              <w:jc w:val="center"/>
              <w:rPr>
                <w:sz w:val="20"/>
              </w:rPr>
            </w:pPr>
            <w:r w:rsidRPr="00FE10BD">
              <w:rPr>
                <w:sz w:val="20"/>
              </w:rPr>
              <w:t>Treated</w:t>
            </w:r>
          </w:p>
        </w:tc>
        <w:tc>
          <w:tcPr>
            <w:tcW w:w="1017" w:type="dxa"/>
            <w:tcBorders>
              <w:top w:val="single" w:sz="4" w:space="0" w:color="auto"/>
              <w:bottom w:val="single" w:sz="4" w:space="0" w:color="auto"/>
              <w:right w:val="single" w:sz="4" w:space="0" w:color="auto"/>
            </w:tcBorders>
          </w:tcPr>
          <w:p w14:paraId="3CB04CE7" w14:textId="77777777" w:rsidR="00586085" w:rsidRPr="00FE10BD" w:rsidRDefault="00586085" w:rsidP="00586085">
            <w:pPr>
              <w:jc w:val="center"/>
              <w:rPr>
                <w:sz w:val="20"/>
              </w:rPr>
            </w:pPr>
            <w:r w:rsidRPr="00FE10BD">
              <w:rPr>
                <w:sz w:val="20"/>
              </w:rPr>
              <w:t>Matched</w:t>
            </w:r>
          </w:p>
        </w:tc>
        <w:tc>
          <w:tcPr>
            <w:tcW w:w="1111" w:type="dxa"/>
            <w:tcBorders>
              <w:top w:val="single" w:sz="4" w:space="0" w:color="auto"/>
              <w:left w:val="single" w:sz="4" w:space="0" w:color="auto"/>
              <w:bottom w:val="single" w:sz="4" w:space="0" w:color="auto"/>
            </w:tcBorders>
          </w:tcPr>
          <w:p w14:paraId="52831CBF" w14:textId="77777777" w:rsidR="00586085" w:rsidRPr="00FE10BD" w:rsidRDefault="00586085" w:rsidP="00586085">
            <w:pPr>
              <w:jc w:val="center"/>
              <w:rPr>
                <w:sz w:val="20"/>
              </w:rPr>
            </w:pPr>
            <w:r w:rsidRPr="00FE10BD">
              <w:rPr>
                <w:sz w:val="20"/>
              </w:rPr>
              <w:t>Treated</w:t>
            </w:r>
          </w:p>
        </w:tc>
        <w:tc>
          <w:tcPr>
            <w:tcW w:w="1017" w:type="dxa"/>
            <w:tcBorders>
              <w:top w:val="single" w:sz="4" w:space="0" w:color="auto"/>
              <w:bottom w:val="single" w:sz="4" w:space="0" w:color="auto"/>
              <w:right w:val="single" w:sz="4" w:space="0" w:color="auto"/>
            </w:tcBorders>
          </w:tcPr>
          <w:p w14:paraId="0AF2BBA2" w14:textId="77777777" w:rsidR="00586085" w:rsidRPr="00FE10BD" w:rsidRDefault="00586085" w:rsidP="00586085">
            <w:pPr>
              <w:jc w:val="center"/>
              <w:rPr>
                <w:sz w:val="20"/>
              </w:rPr>
            </w:pPr>
            <w:r w:rsidRPr="00FE10BD">
              <w:rPr>
                <w:sz w:val="20"/>
              </w:rPr>
              <w:t>Matched</w:t>
            </w:r>
          </w:p>
        </w:tc>
        <w:tc>
          <w:tcPr>
            <w:tcW w:w="1130" w:type="dxa"/>
            <w:tcBorders>
              <w:top w:val="single" w:sz="4" w:space="0" w:color="auto"/>
              <w:left w:val="single" w:sz="4" w:space="0" w:color="auto"/>
              <w:bottom w:val="single" w:sz="4" w:space="0" w:color="auto"/>
            </w:tcBorders>
          </w:tcPr>
          <w:p w14:paraId="1D14ED14" w14:textId="77777777" w:rsidR="00586085" w:rsidRPr="00FE10BD" w:rsidRDefault="00586085" w:rsidP="00586085">
            <w:pPr>
              <w:jc w:val="center"/>
              <w:rPr>
                <w:sz w:val="20"/>
              </w:rPr>
            </w:pPr>
            <w:r w:rsidRPr="00FE10BD">
              <w:rPr>
                <w:sz w:val="20"/>
              </w:rPr>
              <w:t>Treated</w:t>
            </w:r>
          </w:p>
        </w:tc>
        <w:tc>
          <w:tcPr>
            <w:tcW w:w="1081" w:type="dxa"/>
            <w:tcBorders>
              <w:top w:val="single" w:sz="4" w:space="0" w:color="auto"/>
              <w:bottom w:val="single" w:sz="4" w:space="0" w:color="auto"/>
            </w:tcBorders>
          </w:tcPr>
          <w:p w14:paraId="46D7C6B9" w14:textId="77777777" w:rsidR="00586085" w:rsidRPr="00FE10BD" w:rsidRDefault="00586085" w:rsidP="00586085">
            <w:pPr>
              <w:jc w:val="center"/>
              <w:rPr>
                <w:sz w:val="20"/>
              </w:rPr>
            </w:pPr>
            <w:r w:rsidRPr="00FE10BD">
              <w:rPr>
                <w:sz w:val="20"/>
              </w:rPr>
              <w:t>Matched</w:t>
            </w:r>
          </w:p>
        </w:tc>
      </w:tr>
      <w:tr w:rsidR="00B765ED" w14:paraId="619BFC77" w14:textId="77777777" w:rsidTr="00E40E0D">
        <w:tc>
          <w:tcPr>
            <w:tcW w:w="2682" w:type="dxa"/>
          </w:tcPr>
          <w:p w14:paraId="23031462" w14:textId="77777777" w:rsidR="00B765ED" w:rsidRPr="00FE10BD" w:rsidRDefault="00B765ED" w:rsidP="00B765ED">
            <w:pPr>
              <w:jc w:val="right"/>
              <w:rPr>
                <w:sz w:val="20"/>
              </w:rPr>
            </w:pPr>
            <w:r w:rsidRPr="00FE10BD">
              <w:rPr>
                <w:sz w:val="20"/>
              </w:rPr>
              <w:t>Outcome variable in 1996</w:t>
            </w:r>
          </w:p>
        </w:tc>
        <w:tc>
          <w:tcPr>
            <w:tcW w:w="978" w:type="dxa"/>
            <w:tcBorders>
              <w:top w:val="single" w:sz="4" w:space="0" w:color="auto"/>
              <w:bottom w:val="single" w:sz="4" w:space="0" w:color="BFBFBF" w:themeColor="background1" w:themeShade="BF"/>
            </w:tcBorders>
            <w:vAlign w:val="bottom"/>
          </w:tcPr>
          <w:p w14:paraId="4831A8BA" w14:textId="77777777" w:rsidR="00B765ED" w:rsidRPr="00FE10BD" w:rsidRDefault="00B765ED" w:rsidP="00B765ED">
            <w:pPr>
              <w:jc w:val="center"/>
              <w:rPr>
                <w:color w:val="000000"/>
                <w:sz w:val="20"/>
              </w:rPr>
            </w:pPr>
            <w:r w:rsidRPr="00FE10BD">
              <w:rPr>
                <w:color w:val="000000"/>
                <w:sz w:val="20"/>
              </w:rPr>
              <w:t>0.31</w:t>
            </w:r>
          </w:p>
        </w:tc>
        <w:tc>
          <w:tcPr>
            <w:tcW w:w="1017" w:type="dxa"/>
            <w:tcBorders>
              <w:top w:val="single" w:sz="4" w:space="0" w:color="auto"/>
              <w:bottom w:val="single" w:sz="4" w:space="0" w:color="BFBFBF" w:themeColor="background1" w:themeShade="BF"/>
              <w:right w:val="single" w:sz="4" w:space="0" w:color="auto"/>
            </w:tcBorders>
            <w:vAlign w:val="bottom"/>
          </w:tcPr>
          <w:p w14:paraId="3422B918" w14:textId="77777777" w:rsidR="00B765ED" w:rsidRPr="00FE10BD" w:rsidRDefault="00B765ED" w:rsidP="00B765ED">
            <w:pPr>
              <w:jc w:val="center"/>
              <w:rPr>
                <w:color w:val="000000"/>
                <w:sz w:val="20"/>
              </w:rPr>
            </w:pPr>
            <w:r w:rsidRPr="00FE10BD">
              <w:rPr>
                <w:color w:val="000000"/>
                <w:sz w:val="20"/>
              </w:rPr>
              <w:t>0.28</w:t>
            </w:r>
          </w:p>
        </w:tc>
        <w:tc>
          <w:tcPr>
            <w:tcW w:w="1111" w:type="dxa"/>
            <w:tcBorders>
              <w:top w:val="single" w:sz="4" w:space="0" w:color="auto"/>
              <w:left w:val="single" w:sz="4" w:space="0" w:color="auto"/>
              <w:bottom w:val="single" w:sz="4" w:space="0" w:color="BFBFBF" w:themeColor="background1" w:themeShade="BF"/>
            </w:tcBorders>
            <w:vAlign w:val="bottom"/>
          </w:tcPr>
          <w:p w14:paraId="3323992C" w14:textId="77777777" w:rsidR="00B765ED" w:rsidRPr="00FE10BD" w:rsidRDefault="00B765ED" w:rsidP="00B765ED">
            <w:pPr>
              <w:jc w:val="center"/>
              <w:rPr>
                <w:color w:val="000000"/>
                <w:sz w:val="20"/>
              </w:rPr>
            </w:pPr>
            <w:r w:rsidRPr="00FE10BD">
              <w:rPr>
                <w:color w:val="000000"/>
                <w:sz w:val="20"/>
              </w:rPr>
              <w:t>0.32</w:t>
            </w:r>
          </w:p>
        </w:tc>
        <w:tc>
          <w:tcPr>
            <w:tcW w:w="1017" w:type="dxa"/>
            <w:tcBorders>
              <w:top w:val="single" w:sz="4" w:space="0" w:color="auto"/>
              <w:bottom w:val="single" w:sz="4" w:space="0" w:color="BFBFBF" w:themeColor="background1" w:themeShade="BF"/>
              <w:right w:val="single" w:sz="4" w:space="0" w:color="auto"/>
            </w:tcBorders>
            <w:vAlign w:val="bottom"/>
          </w:tcPr>
          <w:p w14:paraId="77B80373" w14:textId="77777777" w:rsidR="00B765ED" w:rsidRPr="00FE10BD" w:rsidRDefault="00B765ED" w:rsidP="00B765ED">
            <w:pPr>
              <w:jc w:val="center"/>
              <w:rPr>
                <w:color w:val="000000"/>
                <w:sz w:val="20"/>
              </w:rPr>
            </w:pPr>
            <w:r w:rsidRPr="00FE10BD">
              <w:rPr>
                <w:color w:val="000000"/>
                <w:sz w:val="20"/>
              </w:rPr>
              <w:t>0.32</w:t>
            </w:r>
          </w:p>
        </w:tc>
        <w:tc>
          <w:tcPr>
            <w:tcW w:w="1130" w:type="dxa"/>
            <w:tcBorders>
              <w:top w:val="single" w:sz="4" w:space="0" w:color="auto"/>
              <w:left w:val="single" w:sz="4" w:space="0" w:color="auto"/>
              <w:bottom w:val="single" w:sz="4" w:space="0" w:color="BFBFBF" w:themeColor="background1" w:themeShade="BF"/>
            </w:tcBorders>
            <w:vAlign w:val="bottom"/>
          </w:tcPr>
          <w:p w14:paraId="69694424" w14:textId="77777777" w:rsidR="00B765ED" w:rsidRPr="00FE10BD" w:rsidRDefault="00B765ED" w:rsidP="00B765ED">
            <w:pPr>
              <w:jc w:val="center"/>
              <w:rPr>
                <w:color w:val="000000"/>
                <w:sz w:val="20"/>
              </w:rPr>
            </w:pPr>
            <w:r w:rsidRPr="00FE10BD">
              <w:rPr>
                <w:color w:val="000000"/>
                <w:sz w:val="20"/>
              </w:rPr>
              <w:t>0.18</w:t>
            </w:r>
          </w:p>
        </w:tc>
        <w:tc>
          <w:tcPr>
            <w:tcW w:w="1081" w:type="dxa"/>
            <w:tcBorders>
              <w:top w:val="single" w:sz="4" w:space="0" w:color="auto"/>
              <w:bottom w:val="single" w:sz="4" w:space="0" w:color="BFBFBF" w:themeColor="background1" w:themeShade="BF"/>
            </w:tcBorders>
            <w:vAlign w:val="bottom"/>
          </w:tcPr>
          <w:p w14:paraId="0668128A" w14:textId="77777777" w:rsidR="00B765ED" w:rsidRPr="00FE10BD" w:rsidRDefault="00B765ED" w:rsidP="00B765ED">
            <w:pPr>
              <w:jc w:val="center"/>
              <w:rPr>
                <w:color w:val="000000"/>
                <w:sz w:val="20"/>
              </w:rPr>
            </w:pPr>
            <w:r w:rsidRPr="00FE10BD">
              <w:rPr>
                <w:color w:val="000000"/>
                <w:sz w:val="20"/>
              </w:rPr>
              <w:t>0.14</w:t>
            </w:r>
          </w:p>
        </w:tc>
      </w:tr>
      <w:tr w:rsidR="00B765ED" w14:paraId="16C78A0C" w14:textId="77777777" w:rsidTr="00E40E0D">
        <w:tc>
          <w:tcPr>
            <w:tcW w:w="2682" w:type="dxa"/>
          </w:tcPr>
          <w:p w14:paraId="3831543F" w14:textId="77777777" w:rsidR="00B765ED" w:rsidRPr="00FE10BD" w:rsidRDefault="00B765ED" w:rsidP="00B765ED">
            <w:pPr>
              <w:jc w:val="right"/>
              <w:rPr>
                <w:sz w:val="20"/>
              </w:rPr>
            </w:pPr>
            <w:r w:rsidRPr="00FE10BD">
              <w:rPr>
                <w:sz w:val="20"/>
              </w:rPr>
              <w:t>Outcome variable in 1998</w:t>
            </w:r>
          </w:p>
        </w:tc>
        <w:tc>
          <w:tcPr>
            <w:tcW w:w="978" w:type="dxa"/>
            <w:tcBorders>
              <w:top w:val="single" w:sz="4" w:space="0" w:color="BFBFBF" w:themeColor="background1" w:themeShade="BF"/>
              <w:bottom w:val="single" w:sz="4" w:space="0" w:color="BFBFBF" w:themeColor="background1" w:themeShade="BF"/>
            </w:tcBorders>
            <w:vAlign w:val="bottom"/>
          </w:tcPr>
          <w:p w14:paraId="5779C7C2" w14:textId="77777777" w:rsidR="00B765ED" w:rsidRPr="00FE10BD" w:rsidRDefault="00B765ED" w:rsidP="00B765ED">
            <w:pPr>
              <w:jc w:val="center"/>
              <w:rPr>
                <w:color w:val="000000"/>
                <w:sz w:val="20"/>
              </w:rPr>
            </w:pPr>
            <w:r w:rsidRPr="00FE10BD">
              <w:rPr>
                <w:color w:val="000000"/>
                <w:sz w:val="20"/>
              </w:rPr>
              <w:t>0.07</w:t>
            </w:r>
          </w:p>
        </w:tc>
        <w:tc>
          <w:tcPr>
            <w:tcW w:w="1017" w:type="dxa"/>
            <w:tcBorders>
              <w:top w:val="single" w:sz="4" w:space="0" w:color="BFBFBF" w:themeColor="background1" w:themeShade="BF"/>
              <w:bottom w:val="single" w:sz="4" w:space="0" w:color="BFBFBF" w:themeColor="background1" w:themeShade="BF"/>
              <w:right w:val="single" w:sz="4" w:space="0" w:color="auto"/>
            </w:tcBorders>
            <w:vAlign w:val="bottom"/>
          </w:tcPr>
          <w:p w14:paraId="75F13344" w14:textId="77777777" w:rsidR="00B765ED" w:rsidRPr="00FE10BD" w:rsidRDefault="00B765ED" w:rsidP="00B765ED">
            <w:pPr>
              <w:jc w:val="center"/>
              <w:rPr>
                <w:color w:val="000000"/>
                <w:sz w:val="20"/>
              </w:rPr>
            </w:pPr>
            <w:r w:rsidRPr="00FE10BD">
              <w:rPr>
                <w:color w:val="000000"/>
                <w:sz w:val="20"/>
              </w:rPr>
              <w:t>0.05</w:t>
            </w:r>
          </w:p>
        </w:tc>
        <w:tc>
          <w:tcPr>
            <w:tcW w:w="1111" w:type="dxa"/>
            <w:tcBorders>
              <w:top w:val="single" w:sz="4" w:space="0" w:color="BFBFBF" w:themeColor="background1" w:themeShade="BF"/>
              <w:left w:val="single" w:sz="4" w:space="0" w:color="auto"/>
              <w:bottom w:val="single" w:sz="4" w:space="0" w:color="BFBFBF" w:themeColor="background1" w:themeShade="BF"/>
            </w:tcBorders>
            <w:vAlign w:val="bottom"/>
          </w:tcPr>
          <w:p w14:paraId="4148B715" w14:textId="77777777" w:rsidR="00B765ED" w:rsidRPr="00FE10BD" w:rsidRDefault="00B765ED" w:rsidP="00B765ED">
            <w:pPr>
              <w:jc w:val="center"/>
              <w:rPr>
                <w:color w:val="000000"/>
                <w:sz w:val="20"/>
              </w:rPr>
            </w:pPr>
            <w:r w:rsidRPr="00FE10BD">
              <w:rPr>
                <w:color w:val="000000"/>
                <w:sz w:val="20"/>
              </w:rPr>
              <w:t>0.37</w:t>
            </w:r>
          </w:p>
        </w:tc>
        <w:tc>
          <w:tcPr>
            <w:tcW w:w="1017" w:type="dxa"/>
            <w:tcBorders>
              <w:top w:val="single" w:sz="4" w:space="0" w:color="BFBFBF" w:themeColor="background1" w:themeShade="BF"/>
              <w:bottom w:val="single" w:sz="4" w:space="0" w:color="BFBFBF" w:themeColor="background1" w:themeShade="BF"/>
              <w:right w:val="single" w:sz="4" w:space="0" w:color="auto"/>
            </w:tcBorders>
            <w:vAlign w:val="bottom"/>
          </w:tcPr>
          <w:p w14:paraId="1DA47261" w14:textId="77777777" w:rsidR="00B765ED" w:rsidRPr="00FE10BD" w:rsidRDefault="00B765ED" w:rsidP="00B765ED">
            <w:pPr>
              <w:jc w:val="center"/>
              <w:rPr>
                <w:color w:val="000000"/>
                <w:sz w:val="20"/>
              </w:rPr>
            </w:pPr>
            <w:r w:rsidRPr="00FE10BD">
              <w:rPr>
                <w:color w:val="000000"/>
                <w:sz w:val="20"/>
              </w:rPr>
              <w:t>0.37</w:t>
            </w:r>
          </w:p>
        </w:tc>
        <w:tc>
          <w:tcPr>
            <w:tcW w:w="1130" w:type="dxa"/>
            <w:tcBorders>
              <w:top w:val="single" w:sz="4" w:space="0" w:color="BFBFBF" w:themeColor="background1" w:themeShade="BF"/>
              <w:left w:val="single" w:sz="4" w:space="0" w:color="auto"/>
              <w:bottom w:val="single" w:sz="4" w:space="0" w:color="BFBFBF" w:themeColor="background1" w:themeShade="BF"/>
            </w:tcBorders>
            <w:vAlign w:val="bottom"/>
          </w:tcPr>
          <w:p w14:paraId="48C4AD3C" w14:textId="77777777" w:rsidR="00B765ED" w:rsidRPr="00FE10BD" w:rsidRDefault="00B765ED" w:rsidP="00B765ED">
            <w:pPr>
              <w:jc w:val="center"/>
              <w:rPr>
                <w:color w:val="000000"/>
                <w:sz w:val="20"/>
              </w:rPr>
            </w:pPr>
            <w:r w:rsidRPr="00FE10BD">
              <w:rPr>
                <w:color w:val="000000"/>
                <w:sz w:val="20"/>
              </w:rPr>
              <w:t>-0.06</w:t>
            </w:r>
          </w:p>
        </w:tc>
        <w:tc>
          <w:tcPr>
            <w:tcW w:w="1081" w:type="dxa"/>
            <w:tcBorders>
              <w:top w:val="single" w:sz="4" w:space="0" w:color="BFBFBF" w:themeColor="background1" w:themeShade="BF"/>
              <w:bottom w:val="single" w:sz="4" w:space="0" w:color="BFBFBF" w:themeColor="background1" w:themeShade="BF"/>
            </w:tcBorders>
            <w:vAlign w:val="bottom"/>
          </w:tcPr>
          <w:p w14:paraId="3C36A0E7" w14:textId="77777777" w:rsidR="00B765ED" w:rsidRPr="00FE10BD" w:rsidRDefault="00B765ED" w:rsidP="00B765ED">
            <w:pPr>
              <w:jc w:val="center"/>
              <w:rPr>
                <w:color w:val="000000"/>
                <w:sz w:val="20"/>
              </w:rPr>
            </w:pPr>
            <w:r w:rsidRPr="00FE10BD">
              <w:rPr>
                <w:color w:val="000000"/>
                <w:sz w:val="20"/>
              </w:rPr>
              <w:t>-0.06</w:t>
            </w:r>
          </w:p>
        </w:tc>
      </w:tr>
      <w:tr w:rsidR="00B765ED" w14:paraId="35FFBD96" w14:textId="77777777" w:rsidTr="00E40E0D">
        <w:tc>
          <w:tcPr>
            <w:tcW w:w="2682" w:type="dxa"/>
          </w:tcPr>
          <w:p w14:paraId="0007B6D2" w14:textId="77777777" w:rsidR="00B765ED" w:rsidRPr="00FE10BD" w:rsidRDefault="00B765ED" w:rsidP="00B765ED">
            <w:pPr>
              <w:jc w:val="right"/>
              <w:rPr>
                <w:sz w:val="20"/>
              </w:rPr>
            </w:pPr>
            <w:r w:rsidRPr="00FE10BD">
              <w:rPr>
                <w:sz w:val="20"/>
              </w:rPr>
              <w:t>Outcome variable in 2000</w:t>
            </w:r>
          </w:p>
        </w:tc>
        <w:tc>
          <w:tcPr>
            <w:tcW w:w="978" w:type="dxa"/>
            <w:tcBorders>
              <w:top w:val="single" w:sz="4" w:space="0" w:color="BFBFBF" w:themeColor="background1" w:themeShade="BF"/>
              <w:bottom w:val="single" w:sz="4" w:space="0" w:color="BFBFBF" w:themeColor="background1" w:themeShade="BF"/>
            </w:tcBorders>
            <w:vAlign w:val="bottom"/>
          </w:tcPr>
          <w:p w14:paraId="42FD3C34" w14:textId="77777777" w:rsidR="00B765ED" w:rsidRPr="00FE10BD" w:rsidRDefault="00B765ED" w:rsidP="00B765ED">
            <w:pPr>
              <w:jc w:val="center"/>
              <w:rPr>
                <w:color w:val="000000"/>
                <w:sz w:val="20"/>
              </w:rPr>
            </w:pPr>
            <w:r w:rsidRPr="00FE10BD">
              <w:rPr>
                <w:color w:val="000000"/>
                <w:sz w:val="20"/>
              </w:rPr>
              <w:t>-0.13</w:t>
            </w:r>
          </w:p>
        </w:tc>
        <w:tc>
          <w:tcPr>
            <w:tcW w:w="1017" w:type="dxa"/>
            <w:tcBorders>
              <w:top w:val="single" w:sz="4" w:space="0" w:color="BFBFBF" w:themeColor="background1" w:themeShade="BF"/>
              <w:bottom w:val="single" w:sz="4" w:space="0" w:color="BFBFBF" w:themeColor="background1" w:themeShade="BF"/>
              <w:right w:val="single" w:sz="4" w:space="0" w:color="auto"/>
            </w:tcBorders>
            <w:vAlign w:val="bottom"/>
          </w:tcPr>
          <w:p w14:paraId="07FB6D4A" w14:textId="77777777" w:rsidR="00B765ED" w:rsidRPr="00FE10BD" w:rsidRDefault="00B765ED" w:rsidP="00B765ED">
            <w:pPr>
              <w:jc w:val="center"/>
              <w:rPr>
                <w:color w:val="000000"/>
                <w:sz w:val="20"/>
              </w:rPr>
            </w:pPr>
            <w:r w:rsidRPr="00FE10BD">
              <w:rPr>
                <w:color w:val="000000"/>
                <w:sz w:val="20"/>
              </w:rPr>
              <w:t>-0.09</w:t>
            </w:r>
          </w:p>
        </w:tc>
        <w:tc>
          <w:tcPr>
            <w:tcW w:w="1111" w:type="dxa"/>
            <w:tcBorders>
              <w:top w:val="single" w:sz="4" w:space="0" w:color="BFBFBF" w:themeColor="background1" w:themeShade="BF"/>
              <w:left w:val="single" w:sz="4" w:space="0" w:color="auto"/>
              <w:bottom w:val="single" w:sz="4" w:space="0" w:color="BFBFBF" w:themeColor="background1" w:themeShade="BF"/>
            </w:tcBorders>
            <w:vAlign w:val="bottom"/>
          </w:tcPr>
          <w:p w14:paraId="539C5B31" w14:textId="77777777" w:rsidR="00B765ED" w:rsidRPr="00FE10BD" w:rsidRDefault="00B765ED" w:rsidP="00B765ED">
            <w:pPr>
              <w:jc w:val="center"/>
              <w:rPr>
                <w:color w:val="000000"/>
                <w:sz w:val="20"/>
              </w:rPr>
            </w:pPr>
            <w:r w:rsidRPr="00FE10BD">
              <w:rPr>
                <w:color w:val="000000"/>
                <w:sz w:val="20"/>
              </w:rPr>
              <w:t>0.33</w:t>
            </w:r>
          </w:p>
        </w:tc>
        <w:tc>
          <w:tcPr>
            <w:tcW w:w="1017" w:type="dxa"/>
            <w:tcBorders>
              <w:top w:val="single" w:sz="4" w:space="0" w:color="BFBFBF" w:themeColor="background1" w:themeShade="BF"/>
              <w:bottom w:val="single" w:sz="4" w:space="0" w:color="BFBFBF" w:themeColor="background1" w:themeShade="BF"/>
              <w:right w:val="single" w:sz="4" w:space="0" w:color="auto"/>
            </w:tcBorders>
            <w:vAlign w:val="bottom"/>
          </w:tcPr>
          <w:p w14:paraId="30634031" w14:textId="77777777" w:rsidR="00B765ED" w:rsidRPr="00FE10BD" w:rsidRDefault="00B765ED" w:rsidP="00B765ED">
            <w:pPr>
              <w:jc w:val="center"/>
              <w:rPr>
                <w:color w:val="000000"/>
                <w:sz w:val="20"/>
              </w:rPr>
            </w:pPr>
            <w:r w:rsidRPr="00FE10BD">
              <w:rPr>
                <w:color w:val="000000"/>
                <w:sz w:val="20"/>
              </w:rPr>
              <w:t>0.33</w:t>
            </w:r>
          </w:p>
        </w:tc>
        <w:tc>
          <w:tcPr>
            <w:tcW w:w="1130" w:type="dxa"/>
            <w:tcBorders>
              <w:top w:val="single" w:sz="4" w:space="0" w:color="BFBFBF" w:themeColor="background1" w:themeShade="BF"/>
              <w:left w:val="single" w:sz="4" w:space="0" w:color="auto"/>
              <w:bottom w:val="single" w:sz="4" w:space="0" w:color="BFBFBF" w:themeColor="background1" w:themeShade="BF"/>
            </w:tcBorders>
            <w:vAlign w:val="bottom"/>
          </w:tcPr>
          <w:p w14:paraId="6AA26606" w14:textId="77777777" w:rsidR="00B765ED" w:rsidRPr="00FE10BD" w:rsidRDefault="00B765ED" w:rsidP="00B765ED">
            <w:pPr>
              <w:jc w:val="center"/>
              <w:rPr>
                <w:color w:val="000000"/>
                <w:sz w:val="20"/>
              </w:rPr>
            </w:pPr>
            <w:r w:rsidRPr="00FE10BD">
              <w:rPr>
                <w:color w:val="000000"/>
                <w:sz w:val="20"/>
              </w:rPr>
              <w:t>-0.22</w:t>
            </w:r>
          </w:p>
        </w:tc>
        <w:tc>
          <w:tcPr>
            <w:tcW w:w="1081" w:type="dxa"/>
            <w:tcBorders>
              <w:top w:val="single" w:sz="4" w:space="0" w:color="BFBFBF" w:themeColor="background1" w:themeShade="BF"/>
              <w:bottom w:val="single" w:sz="4" w:space="0" w:color="BFBFBF" w:themeColor="background1" w:themeShade="BF"/>
            </w:tcBorders>
            <w:vAlign w:val="bottom"/>
          </w:tcPr>
          <w:p w14:paraId="7330E64B" w14:textId="77777777" w:rsidR="00B765ED" w:rsidRPr="00FE10BD" w:rsidRDefault="00B765ED" w:rsidP="00B765ED">
            <w:pPr>
              <w:jc w:val="center"/>
              <w:rPr>
                <w:color w:val="000000"/>
                <w:sz w:val="20"/>
              </w:rPr>
            </w:pPr>
            <w:r w:rsidRPr="00FE10BD">
              <w:rPr>
                <w:color w:val="000000"/>
                <w:sz w:val="20"/>
              </w:rPr>
              <w:t>-0.19</w:t>
            </w:r>
          </w:p>
        </w:tc>
      </w:tr>
      <w:tr w:rsidR="00B765ED" w14:paraId="612EC03C" w14:textId="77777777" w:rsidTr="00E40E0D">
        <w:tc>
          <w:tcPr>
            <w:tcW w:w="2682" w:type="dxa"/>
          </w:tcPr>
          <w:p w14:paraId="2F190487" w14:textId="77777777" w:rsidR="00B765ED" w:rsidRPr="00FE10BD" w:rsidRDefault="00B765ED" w:rsidP="00B765ED">
            <w:pPr>
              <w:jc w:val="right"/>
              <w:rPr>
                <w:sz w:val="20"/>
              </w:rPr>
            </w:pPr>
            <w:r w:rsidRPr="00FE10BD">
              <w:rPr>
                <w:sz w:val="20"/>
              </w:rPr>
              <w:t>Outcome variable in 2002</w:t>
            </w:r>
          </w:p>
        </w:tc>
        <w:tc>
          <w:tcPr>
            <w:tcW w:w="978" w:type="dxa"/>
            <w:tcBorders>
              <w:top w:val="single" w:sz="4" w:space="0" w:color="BFBFBF" w:themeColor="background1" w:themeShade="BF"/>
              <w:bottom w:val="single" w:sz="4" w:space="0" w:color="BFBFBF" w:themeColor="background1" w:themeShade="BF"/>
            </w:tcBorders>
            <w:vAlign w:val="bottom"/>
          </w:tcPr>
          <w:p w14:paraId="6DCF6B22" w14:textId="77777777" w:rsidR="00B765ED" w:rsidRPr="00FE10BD" w:rsidRDefault="00B765ED" w:rsidP="00B765ED">
            <w:pPr>
              <w:jc w:val="center"/>
              <w:rPr>
                <w:color w:val="000000"/>
                <w:sz w:val="20"/>
              </w:rPr>
            </w:pPr>
            <w:r w:rsidRPr="00FE10BD">
              <w:rPr>
                <w:color w:val="000000"/>
                <w:sz w:val="20"/>
              </w:rPr>
              <w:t>-0.20</w:t>
            </w:r>
          </w:p>
        </w:tc>
        <w:tc>
          <w:tcPr>
            <w:tcW w:w="1017" w:type="dxa"/>
            <w:tcBorders>
              <w:top w:val="single" w:sz="4" w:space="0" w:color="BFBFBF" w:themeColor="background1" w:themeShade="BF"/>
              <w:bottom w:val="single" w:sz="4" w:space="0" w:color="BFBFBF" w:themeColor="background1" w:themeShade="BF"/>
              <w:right w:val="single" w:sz="4" w:space="0" w:color="auto"/>
            </w:tcBorders>
            <w:vAlign w:val="bottom"/>
          </w:tcPr>
          <w:p w14:paraId="494DEB1E" w14:textId="77777777" w:rsidR="00B765ED" w:rsidRPr="00FE10BD" w:rsidRDefault="00B765ED" w:rsidP="00B765ED">
            <w:pPr>
              <w:jc w:val="center"/>
              <w:rPr>
                <w:color w:val="000000"/>
                <w:sz w:val="20"/>
              </w:rPr>
            </w:pPr>
            <w:r w:rsidRPr="00FE10BD">
              <w:rPr>
                <w:color w:val="000000"/>
                <w:sz w:val="20"/>
              </w:rPr>
              <w:t>-0.19</w:t>
            </w:r>
          </w:p>
        </w:tc>
        <w:tc>
          <w:tcPr>
            <w:tcW w:w="1111" w:type="dxa"/>
            <w:tcBorders>
              <w:top w:val="single" w:sz="4" w:space="0" w:color="BFBFBF" w:themeColor="background1" w:themeShade="BF"/>
              <w:left w:val="single" w:sz="4" w:space="0" w:color="auto"/>
              <w:bottom w:val="single" w:sz="4" w:space="0" w:color="BFBFBF" w:themeColor="background1" w:themeShade="BF"/>
            </w:tcBorders>
            <w:vAlign w:val="bottom"/>
          </w:tcPr>
          <w:p w14:paraId="4D41A9CD" w14:textId="77777777" w:rsidR="00B765ED" w:rsidRPr="00FE10BD" w:rsidRDefault="00B765ED" w:rsidP="00B765ED">
            <w:pPr>
              <w:jc w:val="center"/>
              <w:rPr>
                <w:color w:val="000000"/>
                <w:sz w:val="20"/>
              </w:rPr>
            </w:pPr>
            <w:r w:rsidRPr="00FE10BD">
              <w:rPr>
                <w:color w:val="000000"/>
                <w:sz w:val="20"/>
              </w:rPr>
              <w:t>0.26</w:t>
            </w:r>
          </w:p>
        </w:tc>
        <w:tc>
          <w:tcPr>
            <w:tcW w:w="1017" w:type="dxa"/>
            <w:tcBorders>
              <w:top w:val="single" w:sz="4" w:space="0" w:color="BFBFBF" w:themeColor="background1" w:themeShade="BF"/>
              <w:bottom w:val="single" w:sz="4" w:space="0" w:color="BFBFBF" w:themeColor="background1" w:themeShade="BF"/>
              <w:right w:val="single" w:sz="4" w:space="0" w:color="auto"/>
            </w:tcBorders>
            <w:vAlign w:val="bottom"/>
          </w:tcPr>
          <w:p w14:paraId="6B1BF762" w14:textId="77777777" w:rsidR="00B765ED" w:rsidRPr="00FE10BD" w:rsidRDefault="00B765ED" w:rsidP="00B765ED">
            <w:pPr>
              <w:jc w:val="center"/>
              <w:rPr>
                <w:color w:val="000000"/>
                <w:sz w:val="20"/>
              </w:rPr>
            </w:pPr>
            <w:r w:rsidRPr="00FE10BD">
              <w:rPr>
                <w:color w:val="000000"/>
                <w:sz w:val="20"/>
              </w:rPr>
              <w:t>0.26</w:t>
            </w:r>
          </w:p>
        </w:tc>
        <w:tc>
          <w:tcPr>
            <w:tcW w:w="1130" w:type="dxa"/>
            <w:tcBorders>
              <w:top w:val="single" w:sz="4" w:space="0" w:color="BFBFBF" w:themeColor="background1" w:themeShade="BF"/>
              <w:left w:val="single" w:sz="4" w:space="0" w:color="auto"/>
              <w:bottom w:val="single" w:sz="4" w:space="0" w:color="BFBFBF" w:themeColor="background1" w:themeShade="BF"/>
            </w:tcBorders>
            <w:vAlign w:val="bottom"/>
          </w:tcPr>
          <w:p w14:paraId="2AEE699B" w14:textId="77777777" w:rsidR="00B765ED" w:rsidRPr="00FE10BD" w:rsidRDefault="00B765ED" w:rsidP="00B765ED">
            <w:pPr>
              <w:jc w:val="center"/>
              <w:rPr>
                <w:color w:val="000000"/>
                <w:sz w:val="20"/>
              </w:rPr>
            </w:pPr>
            <w:r w:rsidRPr="00FE10BD">
              <w:rPr>
                <w:color w:val="000000"/>
                <w:sz w:val="20"/>
              </w:rPr>
              <w:t>-0.28</w:t>
            </w:r>
          </w:p>
        </w:tc>
        <w:tc>
          <w:tcPr>
            <w:tcW w:w="1081" w:type="dxa"/>
            <w:tcBorders>
              <w:top w:val="single" w:sz="4" w:space="0" w:color="BFBFBF" w:themeColor="background1" w:themeShade="BF"/>
              <w:bottom w:val="single" w:sz="4" w:space="0" w:color="BFBFBF" w:themeColor="background1" w:themeShade="BF"/>
            </w:tcBorders>
            <w:vAlign w:val="bottom"/>
          </w:tcPr>
          <w:p w14:paraId="175634A8" w14:textId="77777777" w:rsidR="00B765ED" w:rsidRPr="00FE10BD" w:rsidRDefault="00B765ED" w:rsidP="00B765ED">
            <w:pPr>
              <w:jc w:val="center"/>
              <w:rPr>
                <w:color w:val="000000"/>
                <w:sz w:val="20"/>
              </w:rPr>
            </w:pPr>
            <w:r w:rsidRPr="00FE10BD">
              <w:rPr>
                <w:color w:val="000000"/>
                <w:sz w:val="20"/>
              </w:rPr>
              <w:t>-0.27</w:t>
            </w:r>
          </w:p>
        </w:tc>
      </w:tr>
      <w:tr w:rsidR="00B765ED" w14:paraId="24C4DFC8" w14:textId="77777777" w:rsidTr="00E40E0D">
        <w:tc>
          <w:tcPr>
            <w:tcW w:w="2682" w:type="dxa"/>
          </w:tcPr>
          <w:p w14:paraId="5991A845" w14:textId="77777777" w:rsidR="00B765ED" w:rsidRPr="00FE10BD" w:rsidRDefault="00B765ED" w:rsidP="00B765ED">
            <w:pPr>
              <w:jc w:val="right"/>
              <w:rPr>
                <w:sz w:val="20"/>
              </w:rPr>
            </w:pPr>
            <w:r w:rsidRPr="00FE10BD">
              <w:rPr>
                <w:sz w:val="20"/>
              </w:rPr>
              <w:t>Outcome variable in 2004</w:t>
            </w:r>
          </w:p>
        </w:tc>
        <w:tc>
          <w:tcPr>
            <w:tcW w:w="978" w:type="dxa"/>
            <w:tcBorders>
              <w:top w:val="single" w:sz="4" w:space="0" w:color="BFBFBF" w:themeColor="background1" w:themeShade="BF"/>
              <w:bottom w:val="single" w:sz="4" w:space="0" w:color="BFBFBF" w:themeColor="background1" w:themeShade="BF"/>
            </w:tcBorders>
            <w:vAlign w:val="bottom"/>
          </w:tcPr>
          <w:p w14:paraId="43F13D2D" w14:textId="77777777" w:rsidR="00B765ED" w:rsidRPr="00FE10BD" w:rsidRDefault="00B765ED" w:rsidP="00B765ED">
            <w:pPr>
              <w:jc w:val="center"/>
              <w:rPr>
                <w:color w:val="000000"/>
                <w:sz w:val="20"/>
              </w:rPr>
            </w:pPr>
            <w:r w:rsidRPr="00FE10BD">
              <w:rPr>
                <w:color w:val="000000"/>
                <w:sz w:val="20"/>
              </w:rPr>
              <w:t>-0.19</w:t>
            </w:r>
          </w:p>
        </w:tc>
        <w:tc>
          <w:tcPr>
            <w:tcW w:w="1017" w:type="dxa"/>
            <w:tcBorders>
              <w:top w:val="single" w:sz="4" w:space="0" w:color="BFBFBF" w:themeColor="background1" w:themeShade="BF"/>
              <w:bottom w:val="single" w:sz="4" w:space="0" w:color="BFBFBF" w:themeColor="background1" w:themeShade="BF"/>
              <w:right w:val="single" w:sz="4" w:space="0" w:color="auto"/>
            </w:tcBorders>
            <w:vAlign w:val="bottom"/>
          </w:tcPr>
          <w:p w14:paraId="18C4C696" w14:textId="77777777" w:rsidR="00B765ED" w:rsidRPr="00FE10BD" w:rsidRDefault="00B765ED" w:rsidP="00B765ED">
            <w:pPr>
              <w:jc w:val="center"/>
              <w:rPr>
                <w:color w:val="000000"/>
                <w:sz w:val="20"/>
              </w:rPr>
            </w:pPr>
            <w:r w:rsidRPr="00FE10BD">
              <w:rPr>
                <w:color w:val="000000"/>
                <w:sz w:val="20"/>
              </w:rPr>
              <w:t>-0.20</w:t>
            </w:r>
          </w:p>
        </w:tc>
        <w:tc>
          <w:tcPr>
            <w:tcW w:w="1111" w:type="dxa"/>
            <w:tcBorders>
              <w:top w:val="single" w:sz="4" w:space="0" w:color="BFBFBF" w:themeColor="background1" w:themeShade="BF"/>
              <w:left w:val="single" w:sz="4" w:space="0" w:color="auto"/>
              <w:bottom w:val="single" w:sz="4" w:space="0" w:color="BFBFBF" w:themeColor="background1" w:themeShade="BF"/>
            </w:tcBorders>
            <w:vAlign w:val="bottom"/>
          </w:tcPr>
          <w:p w14:paraId="500316CC" w14:textId="77777777" w:rsidR="00B765ED" w:rsidRPr="00FE10BD" w:rsidRDefault="00B765ED" w:rsidP="00B765ED">
            <w:pPr>
              <w:jc w:val="center"/>
              <w:rPr>
                <w:color w:val="000000"/>
                <w:sz w:val="20"/>
              </w:rPr>
            </w:pPr>
            <w:r w:rsidRPr="00FE10BD">
              <w:rPr>
                <w:color w:val="000000"/>
                <w:sz w:val="20"/>
              </w:rPr>
              <w:t>0.15</w:t>
            </w:r>
          </w:p>
        </w:tc>
        <w:tc>
          <w:tcPr>
            <w:tcW w:w="1017" w:type="dxa"/>
            <w:tcBorders>
              <w:top w:val="single" w:sz="4" w:space="0" w:color="BFBFBF" w:themeColor="background1" w:themeShade="BF"/>
              <w:bottom w:val="single" w:sz="4" w:space="0" w:color="BFBFBF" w:themeColor="background1" w:themeShade="BF"/>
              <w:right w:val="single" w:sz="4" w:space="0" w:color="auto"/>
            </w:tcBorders>
            <w:vAlign w:val="bottom"/>
          </w:tcPr>
          <w:p w14:paraId="218E73B1" w14:textId="77777777" w:rsidR="00B765ED" w:rsidRPr="00FE10BD" w:rsidRDefault="00B765ED" w:rsidP="00B765ED">
            <w:pPr>
              <w:jc w:val="center"/>
              <w:rPr>
                <w:color w:val="000000"/>
                <w:sz w:val="20"/>
              </w:rPr>
            </w:pPr>
            <w:r w:rsidRPr="00FE10BD">
              <w:rPr>
                <w:color w:val="000000"/>
                <w:sz w:val="20"/>
              </w:rPr>
              <w:t>0.16</w:t>
            </w:r>
          </w:p>
        </w:tc>
        <w:tc>
          <w:tcPr>
            <w:tcW w:w="1130" w:type="dxa"/>
            <w:tcBorders>
              <w:top w:val="single" w:sz="4" w:space="0" w:color="BFBFBF" w:themeColor="background1" w:themeShade="BF"/>
              <w:left w:val="single" w:sz="4" w:space="0" w:color="auto"/>
              <w:bottom w:val="single" w:sz="4" w:space="0" w:color="BFBFBF" w:themeColor="background1" w:themeShade="BF"/>
            </w:tcBorders>
            <w:vAlign w:val="bottom"/>
          </w:tcPr>
          <w:p w14:paraId="70F91022" w14:textId="77777777" w:rsidR="00B765ED" w:rsidRPr="00FE10BD" w:rsidRDefault="00B765ED" w:rsidP="00B765ED">
            <w:pPr>
              <w:jc w:val="center"/>
              <w:rPr>
                <w:color w:val="000000"/>
                <w:sz w:val="20"/>
              </w:rPr>
            </w:pPr>
            <w:r w:rsidRPr="00FE10BD">
              <w:rPr>
                <w:color w:val="000000"/>
                <w:sz w:val="20"/>
              </w:rPr>
              <w:t>-0.25</w:t>
            </w:r>
          </w:p>
        </w:tc>
        <w:tc>
          <w:tcPr>
            <w:tcW w:w="1081" w:type="dxa"/>
            <w:tcBorders>
              <w:top w:val="single" w:sz="4" w:space="0" w:color="BFBFBF" w:themeColor="background1" w:themeShade="BF"/>
              <w:bottom w:val="single" w:sz="4" w:space="0" w:color="BFBFBF" w:themeColor="background1" w:themeShade="BF"/>
            </w:tcBorders>
            <w:vAlign w:val="bottom"/>
          </w:tcPr>
          <w:p w14:paraId="1DECE975" w14:textId="77777777" w:rsidR="00B765ED" w:rsidRPr="00FE10BD" w:rsidRDefault="00B765ED" w:rsidP="00B765ED">
            <w:pPr>
              <w:jc w:val="center"/>
              <w:rPr>
                <w:color w:val="000000"/>
                <w:sz w:val="20"/>
              </w:rPr>
            </w:pPr>
            <w:r w:rsidRPr="00FE10BD">
              <w:rPr>
                <w:color w:val="000000"/>
                <w:sz w:val="20"/>
              </w:rPr>
              <w:t>-0.27</w:t>
            </w:r>
          </w:p>
        </w:tc>
      </w:tr>
      <w:tr w:rsidR="00B765ED" w14:paraId="4224AD84" w14:textId="77777777" w:rsidTr="00E40E0D">
        <w:tc>
          <w:tcPr>
            <w:tcW w:w="2682" w:type="dxa"/>
          </w:tcPr>
          <w:p w14:paraId="2FC9D0ED" w14:textId="77777777" w:rsidR="00B765ED" w:rsidRPr="00FE10BD" w:rsidRDefault="00B765ED" w:rsidP="00B765ED">
            <w:pPr>
              <w:jc w:val="right"/>
              <w:rPr>
                <w:sz w:val="20"/>
              </w:rPr>
            </w:pPr>
            <w:r w:rsidRPr="00FE10BD">
              <w:rPr>
                <w:sz w:val="20"/>
              </w:rPr>
              <w:t>Outcome variable in 2006</w:t>
            </w:r>
          </w:p>
        </w:tc>
        <w:tc>
          <w:tcPr>
            <w:tcW w:w="978" w:type="dxa"/>
            <w:tcBorders>
              <w:top w:val="single" w:sz="4" w:space="0" w:color="BFBFBF" w:themeColor="background1" w:themeShade="BF"/>
              <w:bottom w:val="single" w:sz="4" w:space="0" w:color="BFBFBF" w:themeColor="background1" w:themeShade="BF"/>
            </w:tcBorders>
            <w:vAlign w:val="bottom"/>
          </w:tcPr>
          <w:p w14:paraId="6C60E2B2" w14:textId="77777777" w:rsidR="00B765ED" w:rsidRPr="00FE10BD" w:rsidRDefault="00B765ED" w:rsidP="00B765ED">
            <w:pPr>
              <w:jc w:val="center"/>
              <w:rPr>
                <w:color w:val="000000"/>
                <w:sz w:val="20"/>
              </w:rPr>
            </w:pPr>
            <w:r w:rsidRPr="00FE10BD">
              <w:rPr>
                <w:color w:val="000000"/>
                <w:sz w:val="20"/>
              </w:rPr>
              <w:t>-0.08</w:t>
            </w:r>
          </w:p>
        </w:tc>
        <w:tc>
          <w:tcPr>
            <w:tcW w:w="1017" w:type="dxa"/>
            <w:tcBorders>
              <w:top w:val="single" w:sz="4" w:space="0" w:color="BFBFBF" w:themeColor="background1" w:themeShade="BF"/>
              <w:bottom w:val="single" w:sz="4" w:space="0" w:color="BFBFBF" w:themeColor="background1" w:themeShade="BF"/>
              <w:right w:val="single" w:sz="4" w:space="0" w:color="auto"/>
            </w:tcBorders>
            <w:vAlign w:val="bottom"/>
          </w:tcPr>
          <w:p w14:paraId="5BE5B542" w14:textId="77777777" w:rsidR="00B765ED" w:rsidRPr="00FE10BD" w:rsidRDefault="00B765ED" w:rsidP="00B765ED">
            <w:pPr>
              <w:jc w:val="center"/>
              <w:rPr>
                <w:color w:val="000000"/>
                <w:sz w:val="20"/>
              </w:rPr>
            </w:pPr>
            <w:r w:rsidRPr="00FE10BD">
              <w:rPr>
                <w:color w:val="000000"/>
                <w:sz w:val="20"/>
              </w:rPr>
              <w:t>-0.08</w:t>
            </w:r>
          </w:p>
        </w:tc>
        <w:tc>
          <w:tcPr>
            <w:tcW w:w="1111" w:type="dxa"/>
            <w:tcBorders>
              <w:top w:val="single" w:sz="4" w:space="0" w:color="BFBFBF" w:themeColor="background1" w:themeShade="BF"/>
              <w:left w:val="single" w:sz="4" w:space="0" w:color="auto"/>
              <w:bottom w:val="single" w:sz="4" w:space="0" w:color="BFBFBF" w:themeColor="background1" w:themeShade="BF"/>
            </w:tcBorders>
            <w:vAlign w:val="bottom"/>
          </w:tcPr>
          <w:p w14:paraId="166782B7" w14:textId="77777777" w:rsidR="00B765ED" w:rsidRPr="00FE10BD" w:rsidRDefault="00B765ED" w:rsidP="00B765ED">
            <w:pPr>
              <w:jc w:val="center"/>
              <w:rPr>
                <w:color w:val="000000"/>
                <w:sz w:val="20"/>
              </w:rPr>
            </w:pPr>
            <w:r w:rsidRPr="00FE10BD">
              <w:rPr>
                <w:color w:val="000000"/>
                <w:sz w:val="20"/>
              </w:rPr>
              <w:t>0.13</w:t>
            </w:r>
          </w:p>
        </w:tc>
        <w:tc>
          <w:tcPr>
            <w:tcW w:w="1017" w:type="dxa"/>
            <w:tcBorders>
              <w:top w:val="single" w:sz="4" w:space="0" w:color="BFBFBF" w:themeColor="background1" w:themeShade="BF"/>
              <w:bottom w:val="single" w:sz="4" w:space="0" w:color="BFBFBF" w:themeColor="background1" w:themeShade="BF"/>
              <w:right w:val="single" w:sz="4" w:space="0" w:color="auto"/>
            </w:tcBorders>
            <w:vAlign w:val="bottom"/>
          </w:tcPr>
          <w:p w14:paraId="1C0E62E0" w14:textId="77777777" w:rsidR="00B765ED" w:rsidRPr="00FE10BD" w:rsidRDefault="00B765ED" w:rsidP="00B765ED">
            <w:pPr>
              <w:jc w:val="center"/>
              <w:rPr>
                <w:color w:val="000000"/>
                <w:sz w:val="20"/>
              </w:rPr>
            </w:pPr>
            <w:r w:rsidRPr="00FE10BD">
              <w:rPr>
                <w:color w:val="000000"/>
                <w:sz w:val="20"/>
              </w:rPr>
              <w:t>0.13</w:t>
            </w:r>
          </w:p>
        </w:tc>
        <w:tc>
          <w:tcPr>
            <w:tcW w:w="1130" w:type="dxa"/>
            <w:tcBorders>
              <w:top w:val="single" w:sz="4" w:space="0" w:color="BFBFBF" w:themeColor="background1" w:themeShade="BF"/>
              <w:left w:val="single" w:sz="4" w:space="0" w:color="auto"/>
              <w:bottom w:val="single" w:sz="4" w:space="0" w:color="BFBFBF" w:themeColor="background1" w:themeShade="BF"/>
            </w:tcBorders>
            <w:vAlign w:val="bottom"/>
          </w:tcPr>
          <w:p w14:paraId="6EF3EE49" w14:textId="77777777" w:rsidR="00B765ED" w:rsidRPr="00FE10BD" w:rsidRDefault="00B765ED" w:rsidP="00B765ED">
            <w:pPr>
              <w:jc w:val="center"/>
              <w:rPr>
                <w:color w:val="000000"/>
                <w:sz w:val="20"/>
              </w:rPr>
            </w:pPr>
            <w:r w:rsidRPr="00FE10BD">
              <w:rPr>
                <w:color w:val="000000"/>
                <w:sz w:val="20"/>
              </w:rPr>
              <w:t>-0.17</w:t>
            </w:r>
          </w:p>
        </w:tc>
        <w:tc>
          <w:tcPr>
            <w:tcW w:w="1081" w:type="dxa"/>
            <w:tcBorders>
              <w:top w:val="single" w:sz="4" w:space="0" w:color="BFBFBF" w:themeColor="background1" w:themeShade="BF"/>
              <w:bottom w:val="single" w:sz="4" w:space="0" w:color="BFBFBF" w:themeColor="background1" w:themeShade="BF"/>
            </w:tcBorders>
            <w:vAlign w:val="bottom"/>
          </w:tcPr>
          <w:p w14:paraId="1F09483A" w14:textId="77777777" w:rsidR="00B765ED" w:rsidRPr="00FE10BD" w:rsidRDefault="00B765ED" w:rsidP="00B765ED">
            <w:pPr>
              <w:jc w:val="center"/>
              <w:rPr>
                <w:color w:val="000000"/>
                <w:sz w:val="20"/>
              </w:rPr>
            </w:pPr>
            <w:r w:rsidRPr="00FE10BD">
              <w:rPr>
                <w:color w:val="000000"/>
                <w:sz w:val="20"/>
              </w:rPr>
              <w:t>-0.18</w:t>
            </w:r>
          </w:p>
        </w:tc>
      </w:tr>
      <w:tr w:rsidR="00B765ED" w14:paraId="0DF71F77" w14:textId="77777777" w:rsidTr="00E40E0D">
        <w:tc>
          <w:tcPr>
            <w:tcW w:w="2682" w:type="dxa"/>
          </w:tcPr>
          <w:p w14:paraId="14216FA1" w14:textId="77777777" w:rsidR="00B765ED" w:rsidRPr="00FE10BD" w:rsidRDefault="00B765ED" w:rsidP="00B765ED">
            <w:pPr>
              <w:jc w:val="right"/>
              <w:rPr>
                <w:sz w:val="20"/>
              </w:rPr>
            </w:pPr>
            <w:r w:rsidRPr="00FE10BD">
              <w:rPr>
                <w:sz w:val="20"/>
              </w:rPr>
              <w:t>Outcome variable in 2007</w:t>
            </w:r>
          </w:p>
        </w:tc>
        <w:tc>
          <w:tcPr>
            <w:tcW w:w="978" w:type="dxa"/>
            <w:tcBorders>
              <w:top w:val="single" w:sz="4" w:space="0" w:color="BFBFBF" w:themeColor="background1" w:themeShade="BF"/>
              <w:bottom w:val="single" w:sz="4" w:space="0" w:color="BFBFBF" w:themeColor="background1" w:themeShade="BF"/>
            </w:tcBorders>
            <w:vAlign w:val="bottom"/>
          </w:tcPr>
          <w:p w14:paraId="61C442B0" w14:textId="77777777" w:rsidR="00B765ED" w:rsidRPr="00FE10BD" w:rsidRDefault="00B765ED" w:rsidP="00B765ED">
            <w:pPr>
              <w:jc w:val="center"/>
              <w:rPr>
                <w:color w:val="000000"/>
                <w:sz w:val="20"/>
              </w:rPr>
            </w:pPr>
            <w:r w:rsidRPr="00FE10BD">
              <w:rPr>
                <w:color w:val="000000"/>
                <w:sz w:val="20"/>
              </w:rPr>
              <w:t>0.01</w:t>
            </w:r>
          </w:p>
        </w:tc>
        <w:tc>
          <w:tcPr>
            <w:tcW w:w="1017" w:type="dxa"/>
            <w:tcBorders>
              <w:top w:val="single" w:sz="4" w:space="0" w:color="BFBFBF" w:themeColor="background1" w:themeShade="BF"/>
              <w:bottom w:val="single" w:sz="4" w:space="0" w:color="BFBFBF" w:themeColor="background1" w:themeShade="BF"/>
              <w:right w:val="single" w:sz="4" w:space="0" w:color="auto"/>
            </w:tcBorders>
            <w:vAlign w:val="bottom"/>
          </w:tcPr>
          <w:p w14:paraId="413F338D" w14:textId="77777777" w:rsidR="00B765ED" w:rsidRPr="00FE10BD" w:rsidRDefault="00B765ED" w:rsidP="00B765ED">
            <w:pPr>
              <w:jc w:val="center"/>
              <w:rPr>
                <w:color w:val="000000"/>
                <w:sz w:val="20"/>
              </w:rPr>
            </w:pPr>
            <w:r w:rsidRPr="00FE10BD">
              <w:rPr>
                <w:color w:val="000000"/>
                <w:sz w:val="20"/>
              </w:rPr>
              <w:t>0.00</w:t>
            </w:r>
          </w:p>
        </w:tc>
        <w:tc>
          <w:tcPr>
            <w:tcW w:w="1111" w:type="dxa"/>
            <w:tcBorders>
              <w:top w:val="single" w:sz="4" w:space="0" w:color="BFBFBF" w:themeColor="background1" w:themeShade="BF"/>
              <w:left w:val="single" w:sz="4" w:space="0" w:color="auto"/>
              <w:bottom w:val="single" w:sz="4" w:space="0" w:color="BFBFBF" w:themeColor="background1" w:themeShade="BF"/>
            </w:tcBorders>
            <w:vAlign w:val="bottom"/>
          </w:tcPr>
          <w:p w14:paraId="30A98B5B" w14:textId="77777777" w:rsidR="00B765ED" w:rsidRPr="00FE10BD" w:rsidRDefault="00B765ED" w:rsidP="00B765ED">
            <w:pPr>
              <w:jc w:val="center"/>
              <w:rPr>
                <w:color w:val="000000"/>
                <w:sz w:val="20"/>
              </w:rPr>
            </w:pPr>
            <w:r w:rsidRPr="00FE10BD">
              <w:rPr>
                <w:color w:val="000000"/>
                <w:sz w:val="20"/>
              </w:rPr>
              <w:t>0.16</w:t>
            </w:r>
          </w:p>
        </w:tc>
        <w:tc>
          <w:tcPr>
            <w:tcW w:w="1017" w:type="dxa"/>
            <w:tcBorders>
              <w:top w:val="single" w:sz="4" w:space="0" w:color="BFBFBF" w:themeColor="background1" w:themeShade="BF"/>
              <w:bottom w:val="single" w:sz="4" w:space="0" w:color="BFBFBF" w:themeColor="background1" w:themeShade="BF"/>
              <w:right w:val="single" w:sz="4" w:space="0" w:color="auto"/>
            </w:tcBorders>
            <w:vAlign w:val="bottom"/>
          </w:tcPr>
          <w:p w14:paraId="7353E172" w14:textId="77777777" w:rsidR="00B765ED" w:rsidRPr="00FE10BD" w:rsidRDefault="00B765ED" w:rsidP="00B765ED">
            <w:pPr>
              <w:jc w:val="center"/>
              <w:rPr>
                <w:color w:val="000000"/>
                <w:sz w:val="20"/>
              </w:rPr>
            </w:pPr>
            <w:r w:rsidRPr="00FE10BD">
              <w:rPr>
                <w:color w:val="000000"/>
                <w:sz w:val="20"/>
              </w:rPr>
              <w:t>0.16</w:t>
            </w:r>
          </w:p>
        </w:tc>
        <w:tc>
          <w:tcPr>
            <w:tcW w:w="1130" w:type="dxa"/>
            <w:tcBorders>
              <w:top w:val="single" w:sz="4" w:space="0" w:color="BFBFBF" w:themeColor="background1" w:themeShade="BF"/>
              <w:left w:val="single" w:sz="4" w:space="0" w:color="auto"/>
              <w:bottom w:val="single" w:sz="4" w:space="0" w:color="BFBFBF" w:themeColor="background1" w:themeShade="BF"/>
            </w:tcBorders>
            <w:vAlign w:val="bottom"/>
          </w:tcPr>
          <w:p w14:paraId="73FCC5E0" w14:textId="77777777" w:rsidR="00B765ED" w:rsidRPr="00FE10BD" w:rsidRDefault="00B765ED" w:rsidP="00B765ED">
            <w:pPr>
              <w:jc w:val="center"/>
              <w:rPr>
                <w:color w:val="000000"/>
                <w:sz w:val="20"/>
              </w:rPr>
            </w:pPr>
            <w:r w:rsidRPr="00FE10BD">
              <w:rPr>
                <w:color w:val="000000"/>
                <w:sz w:val="20"/>
              </w:rPr>
              <w:t>-0.13</w:t>
            </w:r>
          </w:p>
        </w:tc>
        <w:tc>
          <w:tcPr>
            <w:tcW w:w="1081" w:type="dxa"/>
            <w:tcBorders>
              <w:top w:val="single" w:sz="4" w:space="0" w:color="BFBFBF" w:themeColor="background1" w:themeShade="BF"/>
              <w:bottom w:val="single" w:sz="4" w:space="0" w:color="BFBFBF" w:themeColor="background1" w:themeShade="BF"/>
            </w:tcBorders>
            <w:vAlign w:val="bottom"/>
          </w:tcPr>
          <w:p w14:paraId="43401F21" w14:textId="77777777" w:rsidR="00B765ED" w:rsidRPr="00FE10BD" w:rsidRDefault="00B765ED" w:rsidP="00B765ED">
            <w:pPr>
              <w:jc w:val="center"/>
              <w:rPr>
                <w:color w:val="000000"/>
                <w:sz w:val="20"/>
              </w:rPr>
            </w:pPr>
            <w:r w:rsidRPr="00FE10BD">
              <w:rPr>
                <w:color w:val="000000"/>
                <w:sz w:val="20"/>
              </w:rPr>
              <w:t>-0.12</w:t>
            </w:r>
          </w:p>
        </w:tc>
      </w:tr>
      <w:tr w:rsidR="00B765ED" w14:paraId="1F313EDF" w14:textId="77777777" w:rsidTr="00E40E0D">
        <w:tc>
          <w:tcPr>
            <w:tcW w:w="2682" w:type="dxa"/>
          </w:tcPr>
          <w:p w14:paraId="5C7ECFFA" w14:textId="77777777" w:rsidR="00B765ED" w:rsidRPr="00FE10BD" w:rsidRDefault="00B765ED" w:rsidP="00B765ED">
            <w:pPr>
              <w:jc w:val="right"/>
              <w:rPr>
                <w:sz w:val="20"/>
              </w:rPr>
            </w:pPr>
            <w:r w:rsidRPr="00FE10BD">
              <w:rPr>
                <w:sz w:val="20"/>
              </w:rPr>
              <w:t>Latitude</w:t>
            </w:r>
          </w:p>
        </w:tc>
        <w:tc>
          <w:tcPr>
            <w:tcW w:w="978" w:type="dxa"/>
            <w:tcBorders>
              <w:top w:val="single" w:sz="4" w:space="0" w:color="BFBFBF" w:themeColor="background1" w:themeShade="BF"/>
              <w:bottom w:val="single" w:sz="4" w:space="0" w:color="BFBFBF" w:themeColor="background1" w:themeShade="BF"/>
            </w:tcBorders>
            <w:vAlign w:val="bottom"/>
          </w:tcPr>
          <w:p w14:paraId="07FD890F" w14:textId="77777777" w:rsidR="00B765ED" w:rsidRPr="00FE10BD" w:rsidRDefault="00B765ED" w:rsidP="00B765ED">
            <w:pPr>
              <w:jc w:val="center"/>
              <w:rPr>
                <w:color w:val="000000"/>
                <w:sz w:val="20"/>
              </w:rPr>
            </w:pPr>
            <w:r w:rsidRPr="00FE10BD">
              <w:rPr>
                <w:color w:val="000000"/>
                <w:sz w:val="20"/>
              </w:rPr>
              <w:t>46.05</w:t>
            </w:r>
          </w:p>
        </w:tc>
        <w:tc>
          <w:tcPr>
            <w:tcW w:w="1017" w:type="dxa"/>
            <w:tcBorders>
              <w:top w:val="single" w:sz="4" w:space="0" w:color="BFBFBF" w:themeColor="background1" w:themeShade="BF"/>
              <w:bottom w:val="single" w:sz="4" w:space="0" w:color="BFBFBF" w:themeColor="background1" w:themeShade="BF"/>
              <w:right w:val="single" w:sz="4" w:space="0" w:color="auto"/>
            </w:tcBorders>
            <w:vAlign w:val="bottom"/>
          </w:tcPr>
          <w:p w14:paraId="247FB2C2" w14:textId="77777777" w:rsidR="00B765ED" w:rsidRPr="00FE10BD" w:rsidRDefault="00B765ED" w:rsidP="00B765ED">
            <w:pPr>
              <w:jc w:val="center"/>
              <w:rPr>
                <w:color w:val="000000"/>
                <w:sz w:val="20"/>
              </w:rPr>
            </w:pPr>
            <w:r w:rsidRPr="00FE10BD">
              <w:rPr>
                <w:color w:val="000000"/>
                <w:sz w:val="20"/>
              </w:rPr>
              <w:t>47.10</w:t>
            </w:r>
          </w:p>
        </w:tc>
        <w:tc>
          <w:tcPr>
            <w:tcW w:w="1111" w:type="dxa"/>
            <w:tcBorders>
              <w:top w:val="single" w:sz="4" w:space="0" w:color="BFBFBF" w:themeColor="background1" w:themeShade="BF"/>
              <w:left w:val="single" w:sz="4" w:space="0" w:color="auto"/>
              <w:bottom w:val="single" w:sz="4" w:space="0" w:color="BFBFBF" w:themeColor="background1" w:themeShade="BF"/>
            </w:tcBorders>
            <w:vAlign w:val="bottom"/>
          </w:tcPr>
          <w:p w14:paraId="51F979B1" w14:textId="77777777" w:rsidR="00B765ED" w:rsidRPr="00FE10BD" w:rsidRDefault="00B765ED" w:rsidP="00B765ED">
            <w:pPr>
              <w:jc w:val="center"/>
              <w:rPr>
                <w:color w:val="000000"/>
                <w:sz w:val="20"/>
              </w:rPr>
            </w:pPr>
            <w:r w:rsidRPr="00FE10BD">
              <w:rPr>
                <w:color w:val="000000"/>
                <w:sz w:val="20"/>
              </w:rPr>
              <w:t>45.54</w:t>
            </w:r>
          </w:p>
        </w:tc>
        <w:tc>
          <w:tcPr>
            <w:tcW w:w="1017" w:type="dxa"/>
            <w:tcBorders>
              <w:top w:val="single" w:sz="4" w:space="0" w:color="BFBFBF" w:themeColor="background1" w:themeShade="BF"/>
              <w:bottom w:val="single" w:sz="4" w:space="0" w:color="BFBFBF" w:themeColor="background1" w:themeShade="BF"/>
              <w:right w:val="single" w:sz="4" w:space="0" w:color="auto"/>
            </w:tcBorders>
            <w:vAlign w:val="bottom"/>
          </w:tcPr>
          <w:p w14:paraId="6ABE647F" w14:textId="77777777" w:rsidR="00B765ED" w:rsidRPr="00FE10BD" w:rsidRDefault="00B765ED" w:rsidP="00B765ED">
            <w:pPr>
              <w:jc w:val="center"/>
              <w:rPr>
                <w:color w:val="000000"/>
                <w:sz w:val="20"/>
              </w:rPr>
            </w:pPr>
            <w:r w:rsidRPr="00FE10BD">
              <w:rPr>
                <w:color w:val="000000"/>
                <w:sz w:val="20"/>
              </w:rPr>
              <w:t>36.30</w:t>
            </w:r>
          </w:p>
        </w:tc>
        <w:tc>
          <w:tcPr>
            <w:tcW w:w="1130" w:type="dxa"/>
            <w:tcBorders>
              <w:top w:val="single" w:sz="4" w:space="0" w:color="BFBFBF" w:themeColor="background1" w:themeShade="BF"/>
              <w:left w:val="single" w:sz="4" w:space="0" w:color="auto"/>
              <w:bottom w:val="single" w:sz="4" w:space="0" w:color="BFBFBF" w:themeColor="background1" w:themeShade="BF"/>
            </w:tcBorders>
            <w:vAlign w:val="bottom"/>
          </w:tcPr>
          <w:p w14:paraId="25225D3D" w14:textId="77777777" w:rsidR="00B765ED" w:rsidRPr="00FE10BD" w:rsidRDefault="00B765ED" w:rsidP="00B765ED">
            <w:pPr>
              <w:jc w:val="center"/>
              <w:rPr>
                <w:color w:val="000000"/>
                <w:sz w:val="20"/>
              </w:rPr>
            </w:pPr>
            <w:r w:rsidRPr="00FE10BD">
              <w:rPr>
                <w:color w:val="000000"/>
                <w:sz w:val="20"/>
              </w:rPr>
              <w:t>46.55</w:t>
            </w:r>
          </w:p>
        </w:tc>
        <w:tc>
          <w:tcPr>
            <w:tcW w:w="1081" w:type="dxa"/>
            <w:tcBorders>
              <w:top w:val="single" w:sz="4" w:space="0" w:color="BFBFBF" w:themeColor="background1" w:themeShade="BF"/>
              <w:bottom w:val="single" w:sz="4" w:space="0" w:color="BFBFBF" w:themeColor="background1" w:themeShade="BF"/>
            </w:tcBorders>
            <w:vAlign w:val="bottom"/>
          </w:tcPr>
          <w:p w14:paraId="325FC5BA" w14:textId="77777777" w:rsidR="00B765ED" w:rsidRPr="00FE10BD" w:rsidRDefault="00B765ED" w:rsidP="00B765ED">
            <w:pPr>
              <w:jc w:val="center"/>
              <w:rPr>
                <w:color w:val="000000"/>
                <w:sz w:val="20"/>
              </w:rPr>
            </w:pPr>
            <w:r w:rsidRPr="00FE10BD">
              <w:rPr>
                <w:color w:val="000000"/>
                <w:sz w:val="20"/>
              </w:rPr>
              <w:t>42.98</w:t>
            </w:r>
          </w:p>
        </w:tc>
      </w:tr>
      <w:tr w:rsidR="00B765ED" w14:paraId="1DB39A56" w14:textId="77777777" w:rsidTr="00E40E0D">
        <w:tc>
          <w:tcPr>
            <w:tcW w:w="2682" w:type="dxa"/>
          </w:tcPr>
          <w:p w14:paraId="3F45C3BC" w14:textId="77777777" w:rsidR="00B765ED" w:rsidRPr="00FE10BD" w:rsidRDefault="00B765ED" w:rsidP="00B765ED">
            <w:pPr>
              <w:jc w:val="right"/>
              <w:rPr>
                <w:sz w:val="20"/>
              </w:rPr>
            </w:pPr>
            <w:r w:rsidRPr="00FE10BD">
              <w:rPr>
                <w:sz w:val="20"/>
              </w:rPr>
              <w:t>Longitude</w:t>
            </w:r>
          </w:p>
        </w:tc>
        <w:tc>
          <w:tcPr>
            <w:tcW w:w="978" w:type="dxa"/>
            <w:tcBorders>
              <w:top w:val="single" w:sz="4" w:space="0" w:color="BFBFBF" w:themeColor="background1" w:themeShade="BF"/>
              <w:bottom w:val="single" w:sz="4" w:space="0" w:color="BFBFBF" w:themeColor="background1" w:themeShade="BF"/>
            </w:tcBorders>
            <w:vAlign w:val="bottom"/>
          </w:tcPr>
          <w:p w14:paraId="7272CB26" w14:textId="77777777" w:rsidR="00B765ED" w:rsidRPr="00FE10BD" w:rsidRDefault="00B765ED" w:rsidP="00B765ED">
            <w:pPr>
              <w:jc w:val="center"/>
              <w:rPr>
                <w:color w:val="000000"/>
                <w:sz w:val="20"/>
              </w:rPr>
            </w:pPr>
            <w:r w:rsidRPr="00FE10BD">
              <w:rPr>
                <w:color w:val="000000"/>
                <w:sz w:val="20"/>
              </w:rPr>
              <w:t>14.50</w:t>
            </w:r>
          </w:p>
        </w:tc>
        <w:tc>
          <w:tcPr>
            <w:tcW w:w="1017" w:type="dxa"/>
            <w:tcBorders>
              <w:top w:val="single" w:sz="4" w:space="0" w:color="BFBFBF" w:themeColor="background1" w:themeShade="BF"/>
              <w:bottom w:val="single" w:sz="4" w:space="0" w:color="BFBFBF" w:themeColor="background1" w:themeShade="BF"/>
              <w:right w:val="single" w:sz="4" w:space="0" w:color="auto"/>
            </w:tcBorders>
            <w:vAlign w:val="bottom"/>
          </w:tcPr>
          <w:p w14:paraId="38E8786D" w14:textId="77777777" w:rsidR="00B765ED" w:rsidRPr="00FE10BD" w:rsidRDefault="00B765ED" w:rsidP="00B765ED">
            <w:pPr>
              <w:jc w:val="center"/>
              <w:rPr>
                <w:color w:val="000000"/>
                <w:sz w:val="20"/>
              </w:rPr>
            </w:pPr>
            <w:r w:rsidRPr="00FE10BD">
              <w:rPr>
                <w:color w:val="000000"/>
                <w:sz w:val="20"/>
              </w:rPr>
              <w:t>14.95</w:t>
            </w:r>
          </w:p>
        </w:tc>
        <w:tc>
          <w:tcPr>
            <w:tcW w:w="1111" w:type="dxa"/>
            <w:tcBorders>
              <w:top w:val="single" w:sz="4" w:space="0" w:color="BFBFBF" w:themeColor="background1" w:themeShade="BF"/>
              <w:left w:val="single" w:sz="4" w:space="0" w:color="auto"/>
              <w:bottom w:val="single" w:sz="4" w:space="0" w:color="BFBFBF" w:themeColor="background1" w:themeShade="BF"/>
            </w:tcBorders>
            <w:vAlign w:val="bottom"/>
          </w:tcPr>
          <w:p w14:paraId="4960BEBF" w14:textId="77777777" w:rsidR="00B765ED" w:rsidRPr="00FE10BD" w:rsidRDefault="00B765ED" w:rsidP="00B765ED">
            <w:pPr>
              <w:jc w:val="center"/>
              <w:rPr>
                <w:color w:val="000000"/>
                <w:sz w:val="20"/>
              </w:rPr>
            </w:pPr>
            <w:r w:rsidRPr="00FE10BD">
              <w:rPr>
                <w:color w:val="000000"/>
                <w:sz w:val="20"/>
              </w:rPr>
              <w:t>13.73</w:t>
            </w:r>
          </w:p>
        </w:tc>
        <w:tc>
          <w:tcPr>
            <w:tcW w:w="1017" w:type="dxa"/>
            <w:tcBorders>
              <w:top w:val="single" w:sz="4" w:space="0" w:color="BFBFBF" w:themeColor="background1" w:themeShade="BF"/>
              <w:bottom w:val="single" w:sz="4" w:space="0" w:color="BFBFBF" w:themeColor="background1" w:themeShade="BF"/>
              <w:right w:val="single" w:sz="4" w:space="0" w:color="auto"/>
            </w:tcBorders>
            <w:vAlign w:val="bottom"/>
          </w:tcPr>
          <w:p w14:paraId="1F82745D" w14:textId="77777777" w:rsidR="00B765ED" w:rsidRPr="00FE10BD" w:rsidRDefault="00B765ED" w:rsidP="00B765ED">
            <w:pPr>
              <w:jc w:val="center"/>
              <w:rPr>
                <w:color w:val="000000"/>
                <w:sz w:val="20"/>
              </w:rPr>
            </w:pPr>
            <w:r w:rsidRPr="00FE10BD">
              <w:rPr>
                <w:color w:val="000000"/>
                <w:sz w:val="20"/>
              </w:rPr>
              <w:t>61.88</w:t>
            </w:r>
          </w:p>
        </w:tc>
        <w:tc>
          <w:tcPr>
            <w:tcW w:w="1130" w:type="dxa"/>
            <w:tcBorders>
              <w:top w:val="single" w:sz="4" w:space="0" w:color="BFBFBF" w:themeColor="background1" w:themeShade="BF"/>
              <w:left w:val="single" w:sz="4" w:space="0" w:color="auto"/>
              <w:bottom w:val="single" w:sz="4" w:space="0" w:color="BFBFBF" w:themeColor="background1" w:themeShade="BF"/>
            </w:tcBorders>
            <w:vAlign w:val="bottom"/>
          </w:tcPr>
          <w:p w14:paraId="6AB6D87E" w14:textId="77777777" w:rsidR="00B765ED" w:rsidRPr="00FE10BD" w:rsidRDefault="00B765ED" w:rsidP="00B765ED">
            <w:pPr>
              <w:jc w:val="center"/>
              <w:rPr>
                <w:color w:val="000000"/>
                <w:sz w:val="20"/>
              </w:rPr>
            </w:pPr>
            <w:r w:rsidRPr="00FE10BD">
              <w:rPr>
                <w:color w:val="000000"/>
                <w:sz w:val="20"/>
              </w:rPr>
              <w:t>15.64</w:t>
            </w:r>
          </w:p>
        </w:tc>
        <w:tc>
          <w:tcPr>
            <w:tcW w:w="1081" w:type="dxa"/>
            <w:tcBorders>
              <w:top w:val="single" w:sz="4" w:space="0" w:color="BFBFBF" w:themeColor="background1" w:themeShade="BF"/>
              <w:bottom w:val="single" w:sz="4" w:space="0" w:color="BFBFBF" w:themeColor="background1" w:themeShade="BF"/>
            </w:tcBorders>
            <w:vAlign w:val="bottom"/>
          </w:tcPr>
          <w:p w14:paraId="039C4945" w14:textId="77777777" w:rsidR="00B765ED" w:rsidRPr="00FE10BD" w:rsidRDefault="00B765ED" w:rsidP="00B765ED">
            <w:pPr>
              <w:jc w:val="center"/>
              <w:rPr>
                <w:color w:val="000000"/>
                <w:sz w:val="20"/>
              </w:rPr>
            </w:pPr>
            <w:r w:rsidRPr="00FE10BD">
              <w:rPr>
                <w:color w:val="000000"/>
                <w:sz w:val="20"/>
              </w:rPr>
              <w:t>-5.61</w:t>
            </w:r>
          </w:p>
        </w:tc>
      </w:tr>
      <w:tr w:rsidR="00B765ED" w14:paraId="0DA995BC" w14:textId="77777777" w:rsidTr="00E40E0D">
        <w:tc>
          <w:tcPr>
            <w:tcW w:w="2682" w:type="dxa"/>
          </w:tcPr>
          <w:p w14:paraId="0E34868C" w14:textId="77777777" w:rsidR="00B765ED" w:rsidRPr="00FE10BD" w:rsidRDefault="00B765ED" w:rsidP="00B765ED">
            <w:pPr>
              <w:jc w:val="right"/>
              <w:rPr>
                <w:sz w:val="20"/>
              </w:rPr>
            </w:pPr>
            <w:r w:rsidRPr="00FE10BD">
              <w:rPr>
                <w:sz w:val="20"/>
              </w:rPr>
              <w:t>Capital</w:t>
            </w:r>
          </w:p>
        </w:tc>
        <w:tc>
          <w:tcPr>
            <w:tcW w:w="978" w:type="dxa"/>
            <w:tcBorders>
              <w:top w:val="single" w:sz="4" w:space="0" w:color="BFBFBF" w:themeColor="background1" w:themeShade="BF"/>
              <w:bottom w:val="single" w:sz="4" w:space="0" w:color="BFBFBF" w:themeColor="background1" w:themeShade="BF"/>
            </w:tcBorders>
            <w:vAlign w:val="bottom"/>
          </w:tcPr>
          <w:p w14:paraId="101A7045" w14:textId="77777777" w:rsidR="00B765ED" w:rsidRPr="00FE10BD" w:rsidRDefault="00B765ED" w:rsidP="00B765ED">
            <w:pPr>
              <w:jc w:val="center"/>
              <w:rPr>
                <w:color w:val="000000"/>
                <w:sz w:val="20"/>
              </w:rPr>
            </w:pPr>
            <w:r w:rsidRPr="00FE10BD">
              <w:rPr>
                <w:color w:val="000000"/>
                <w:sz w:val="20"/>
              </w:rPr>
              <w:t>1</w:t>
            </w:r>
          </w:p>
        </w:tc>
        <w:tc>
          <w:tcPr>
            <w:tcW w:w="1017" w:type="dxa"/>
            <w:tcBorders>
              <w:top w:val="single" w:sz="4" w:space="0" w:color="BFBFBF" w:themeColor="background1" w:themeShade="BF"/>
              <w:bottom w:val="single" w:sz="4" w:space="0" w:color="BFBFBF" w:themeColor="background1" w:themeShade="BF"/>
              <w:right w:val="single" w:sz="4" w:space="0" w:color="auto"/>
            </w:tcBorders>
            <w:vAlign w:val="bottom"/>
          </w:tcPr>
          <w:p w14:paraId="6151BE83" w14:textId="77777777" w:rsidR="00B765ED" w:rsidRPr="00FE10BD" w:rsidRDefault="00B765ED" w:rsidP="00B765ED">
            <w:pPr>
              <w:jc w:val="center"/>
              <w:rPr>
                <w:color w:val="000000"/>
                <w:sz w:val="20"/>
              </w:rPr>
            </w:pPr>
            <w:r w:rsidRPr="00FE10BD">
              <w:rPr>
                <w:color w:val="000000"/>
                <w:sz w:val="20"/>
              </w:rPr>
              <w:t>0</w:t>
            </w:r>
          </w:p>
        </w:tc>
        <w:tc>
          <w:tcPr>
            <w:tcW w:w="1111" w:type="dxa"/>
            <w:tcBorders>
              <w:top w:val="single" w:sz="4" w:space="0" w:color="BFBFBF" w:themeColor="background1" w:themeShade="BF"/>
              <w:left w:val="single" w:sz="4" w:space="0" w:color="auto"/>
              <w:bottom w:val="single" w:sz="4" w:space="0" w:color="BFBFBF" w:themeColor="background1" w:themeShade="BF"/>
            </w:tcBorders>
            <w:vAlign w:val="bottom"/>
          </w:tcPr>
          <w:p w14:paraId="18069151" w14:textId="77777777" w:rsidR="00B765ED" w:rsidRPr="00FE10BD" w:rsidRDefault="00B765ED" w:rsidP="00B765ED">
            <w:pPr>
              <w:jc w:val="center"/>
              <w:rPr>
                <w:color w:val="000000"/>
                <w:sz w:val="20"/>
              </w:rPr>
            </w:pPr>
            <w:r w:rsidRPr="00FE10BD">
              <w:rPr>
                <w:color w:val="000000"/>
                <w:sz w:val="20"/>
              </w:rPr>
              <w:t>0</w:t>
            </w:r>
          </w:p>
        </w:tc>
        <w:tc>
          <w:tcPr>
            <w:tcW w:w="1017" w:type="dxa"/>
            <w:tcBorders>
              <w:top w:val="single" w:sz="4" w:space="0" w:color="BFBFBF" w:themeColor="background1" w:themeShade="BF"/>
              <w:bottom w:val="single" w:sz="4" w:space="0" w:color="BFBFBF" w:themeColor="background1" w:themeShade="BF"/>
              <w:right w:val="single" w:sz="4" w:space="0" w:color="auto"/>
            </w:tcBorders>
            <w:vAlign w:val="bottom"/>
          </w:tcPr>
          <w:p w14:paraId="4F018F37" w14:textId="77777777" w:rsidR="00B765ED" w:rsidRPr="00FE10BD" w:rsidRDefault="00B765ED" w:rsidP="00B765ED">
            <w:pPr>
              <w:jc w:val="center"/>
              <w:rPr>
                <w:color w:val="000000"/>
                <w:sz w:val="20"/>
              </w:rPr>
            </w:pPr>
            <w:r w:rsidRPr="00FE10BD">
              <w:rPr>
                <w:color w:val="000000"/>
                <w:sz w:val="20"/>
              </w:rPr>
              <w:t>0</w:t>
            </w:r>
          </w:p>
        </w:tc>
        <w:tc>
          <w:tcPr>
            <w:tcW w:w="1130" w:type="dxa"/>
            <w:tcBorders>
              <w:top w:val="single" w:sz="4" w:space="0" w:color="BFBFBF" w:themeColor="background1" w:themeShade="BF"/>
              <w:left w:val="single" w:sz="4" w:space="0" w:color="auto"/>
              <w:bottom w:val="single" w:sz="4" w:space="0" w:color="BFBFBF" w:themeColor="background1" w:themeShade="BF"/>
            </w:tcBorders>
            <w:vAlign w:val="bottom"/>
          </w:tcPr>
          <w:p w14:paraId="09E01311" w14:textId="77777777" w:rsidR="00B765ED" w:rsidRPr="00FE10BD" w:rsidRDefault="00B765ED" w:rsidP="00B765ED">
            <w:pPr>
              <w:jc w:val="center"/>
              <w:rPr>
                <w:color w:val="000000"/>
                <w:sz w:val="20"/>
              </w:rPr>
            </w:pPr>
            <w:r w:rsidRPr="00FE10BD">
              <w:rPr>
                <w:color w:val="000000"/>
                <w:sz w:val="20"/>
              </w:rPr>
              <w:t>0</w:t>
            </w:r>
          </w:p>
        </w:tc>
        <w:tc>
          <w:tcPr>
            <w:tcW w:w="1081" w:type="dxa"/>
            <w:tcBorders>
              <w:top w:val="single" w:sz="4" w:space="0" w:color="BFBFBF" w:themeColor="background1" w:themeShade="BF"/>
              <w:bottom w:val="single" w:sz="4" w:space="0" w:color="BFBFBF" w:themeColor="background1" w:themeShade="BF"/>
            </w:tcBorders>
            <w:vAlign w:val="bottom"/>
          </w:tcPr>
          <w:p w14:paraId="74481DBB" w14:textId="77777777" w:rsidR="00B765ED" w:rsidRPr="00FE10BD" w:rsidRDefault="00B765ED" w:rsidP="00B765ED">
            <w:pPr>
              <w:jc w:val="center"/>
              <w:rPr>
                <w:color w:val="000000"/>
                <w:sz w:val="20"/>
              </w:rPr>
            </w:pPr>
            <w:r w:rsidRPr="00FE10BD">
              <w:rPr>
                <w:color w:val="000000"/>
                <w:sz w:val="20"/>
              </w:rPr>
              <w:t>0</w:t>
            </w:r>
          </w:p>
        </w:tc>
      </w:tr>
      <w:tr w:rsidR="00B765ED" w14:paraId="419CFC91" w14:textId="77777777" w:rsidTr="00E40E0D">
        <w:tc>
          <w:tcPr>
            <w:tcW w:w="2682" w:type="dxa"/>
          </w:tcPr>
          <w:p w14:paraId="3DE1F815" w14:textId="77777777" w:rsidR="00B765ED" w:rsidRPr="00FE10BD" w:rsidRDefault="00B765ED" w:rsidP="00B765ED">
            <w:pPr>
              <w:jc w:val="right"/>
              <w:rPr>
                <w:sz w:val="20"/>
              </w:rPr>
            </w:pPr>
            <w:r w:rsidRPr="00FE10BD">
              <w:rPr>
                <w:sz w:val="20"/>
              </w:rPr>
              <w:t>Island</w:t>
            </w:r>
          </w:p>
        </w:tc>
        <w:tc>
          <w:tcPr>
            <w:tcW w:w="978" w:type="dxa"/>
            <w:tcBorders>
              <w:top w:val="single" w:sz="4" w:space="0" w:color="BFBFBF" w:themeColor="background1" w:themeShade="BF"/>
              <w:bottom w:val="single" w:sz="4" w:space="0" w:color="BFBFBF" w:themeColor="background1" w:themeShade="BF"/>
            </w:tcBorders>
            <w:vAlign w:val="bottom"/>
          </w:tcPr>
          <w:p w14:paraId="20F70C9B" w14:textId="77777777" w:rsidR="00B765ED" w:rsidRPr="00FE10BD" w:rsidRDefault="00B765ED" w:rsidP="00B765ED">
            <w:pPr>
              <w:jc w:val="center"/>
              <w:rPr>
                <w:color w:val="000000"/>
                <w:sz w:val="20"/>
              </w:rPr>
            </w:pPr>
            <w:r w:rsidRPr="00FE10BD">
              <w:rPr>
                <w:color w:val="000000"/>
                <w:sz w:val="20"/>
              </w:rPr>
              <w:t>0</w:t>
            </w:r>
          </w:p>
        </w:tc>
        <w:tc>
          <w:tcPr>
            <w:tcW w:w="1017" w:type="dxa"/>
            <w:tcBorders>
              <w:top w:val="single" w:sz="4" w:space="0" w:color="BFBFBF" w:themeColor="background1" w:themeShade="BF"/>
              <w:bottom w:val="single" w:sz="4" w:space="0" w:color="BFBFBF" w:themeColor="background1" w:themeShade="BF"/>
              <w:right w:val="single" w:sz="4" w:space="0" w:color="auto"/>
            </w:tcBorders>
            <w:vAlign w:val="bottom"/>
          </w:tcPr>
          <w:p w14:paraId="40AB5B05" w14:textId="77777777" w:rsidR="00B765ED" w:rsidRPr="00FE10BD" w:rsidRDefault="00B765ED" w:rsidP="00B765ED">
            <w:pPr>
              <w:jc w:val="center"/>
              <w:rPr>
                <w:color w:val="000000"/>
                <w:sz w:val="20"/>
              </w:rPr>
            </w:pPr>
            <w:r w:rsidRPr="00FE10BD">
              <w:rPr>
                <w:color w:val="000000"/>
                <w:sz w:val="20"/>
              </w:rPr>
              <w:t>0.97</w:t>
            </w:r>
          </w:p>
        </w:tc>
        <w:tc>
          <w:tcPr>
            <w:tcW w:w="1111" w:type="dxa"/>
            <w:tcBorders>
              <w:top w:val="single" w:sz="4" w:space="0" w:color="BFBFBF" w:themeColor="background1" w:themeShade="BF"/>
              <w:left w:val="single" w:sz="4" w:space="0" w:color="auto"/>
              <w:bottom w:val="single" w:sz="4" w:space="0" w:color="BFBFBF" w:themeColor="background1" w:themeShade="BF"/>
            </w:tcBorders>
            <w:vAlign w:val="bottom"/>
          </w:tcPr>
          <w:p w14:paraId="08CF97F3" w14:textId="77777777" w:rsidR="00B765ED" w:rsidRPr="00FE10BD" w:rsidRDefault="00B765ED" w:rsidP="00B765ED">
            <w:pPr>
              <w:jc w:val="center"/>
              <w:rPr>
                <w:color w:val="000000"/>
                <w:sz w:val="20"/>
              </w:rPr>
            </w:pPr>
            <w:r w:rsidRPr="00FE10BD">
              <w:rPr>
                <w:color w:val="000000"/>
                <w:sz w:val="20"/>
              </w:rPr>
              <w:t>0</w:t>
            </w:r>
          </w:p>
        </w:tc>
        <w:tc>
          <w:tcPr>
            <w:tcW w:w="1017" w:type="dxa"/>
            <w:tcBorders>
              <w:top w:val="single" w:sz="4" w:space="0" w:color="BFBFBF" w:themeColor="background1" w:themeShade="BF"/>
              <w:bottom w:val="single" w:sz="4" w:space="0" w:color="BFBFBF" w:themeColor="background1" w:themeShade="BF"/>
              <w:right w:val="single" w:sz="4" w:space="0" w:color="auto"/>
            </w:tcBorders>
            <w:vAlign w:val="bottom"/>
          </w:tcPr>
          <w:p w14:paraId="1F05038C" w14:textId="77777777" w:rsidR="00B765ED" w:rsidRPr="00FE10BD" w:rsidRDefault="00B765ED" w:rsidP="00B765ED">
            <w:pPr>
              <w:jc w:val="center"/>
              <w:rPr>
                <w:color w:val="000000"/>
                <w:sz w:val="20"/>
              </w:rPr>
            </w:pPr>
            <w:r w:rsidRPr="00FE10BD">
              <w:rPr>
                <w:color w:val="000000"/>
                <w:sz w:val="20"/>
              </w:rPr>
              <w:t>0.90</w:t>
            </w:r>
          </w:p>
        </w:tc>
        <w:tc>
          <w:tcPr>
            <w:tcW w:w="1130" w:type="dxa"/>
            <w:tcBorders>
              <w:top w:val="single" w:sz="4" w:space="0" w:color="BFBFBF" w:themeColor="background1" w:themeShade="BF"/>
              <w:left w:val="single" w:sz="4" w:space="0" w:color="auto"/>
              <w:bottom w:val="single" w:sz="4" w:space="0" w:color="BFBFBF" w:themeColor="background1" w:themeShade="BF"/>
            </w:tcBorders>
            <w:vAlign w:val="bottom"/>
          </w:tcPr>
          <w:p w14:paraId="1E65C32A" w14:textId="77777777" w:rsidR="00B765ED" w:rsidRPr="00FE10BD" w:rsidRDefault="00B765ED" w:rsidP="00B765ED">
            <w:pPr>
              <w:jc w:val="center"/>
              <w:rPr>
                <w:color w:val="000000"/>
                <w:sz w:val="20"/>
              </w:rPr>
            </w:pPr>
            <w:r w:rsidRPr="00FE10BD">
              <w:rPr>
                <w:color w:val="000000"/>
                <w:sz w:val="20"/>
              </w:rPr>
              <w:t>0</w:t>
            </w:r>
          </w:p>
        </w:tc>
        <w:tc>
          <w:tcPr>
            <w:tcW w:w="1081" w:type="dxa"/>
            <w:tcBorders>
              <w:top w:val="single" w:sz="4" w:space="0" w:color="BFBFBF" w:themeColor="background1" w:themeShade="BF"/>
              <w:bottom w:val="single" w:sz="4" w:space="0" w:color="BFBFBF" w:themeColor="background1" w:themeShade="BF"/>
            </w:tcBorders>
            <w:vAlign w:val="bottom"/>
          </w:tcPr>
          <w:p w14:paraId="40FCE9AA" w14:textId="77777777" w:rsidR="00B765ED" w:rsidRPr="00FE10BD" w:rsidRDefault="00B765ED" w:rsidP="00B765ED">
            <w:pPr>
              <w:jc w:val="center"/>
              <w:rPr>
                <w:color w:val="000000"/>
                <w:sz w:val="20"/>
              </w:rPr>
            </w:pPr>
            <w:r w:rsidRPr="00FE10BD">
              <w:rPr>
                <w:color w:val="000000"/>
                <w:sz w:val="20"/>
              </w:rPr>
              <w:t>0.76</w:t>
            </w:r>
          </w:p>
        </w:tc>
      </w:tr>
      <w:tr w:rsidR="00B765ED" w14:paraId="6792E4FC" w14:textId="77777777" w:rsidTr="00E40E0D">
        <w:tc>
          <w:tcPr>
            <w:tcW w:w="2682" w:type="dxa"/>
          </w:tcPr>
          <w:p w14:paraId="3E923066" w14:textId="77777777" w:rsidR="00B765ED" w:rsidRPr="00FE10BD" w:rsidRDefault="00B765ED" w:rsidP="00B765ED">
            <w:pPr>
              <w:jc w:val="right"/>
              <w:rPr>
                <w:sz w:val="20"/>
              </w:rPr>
            </w:pPr>
            <w:r w:rsidRPr="00FE10BD">
              <w:rPr>
                <w:sz w:val="20"/>
              </w:rPr>
              <w:t>Landlocked</w:t>
            </w:r>
          </w:p>
        </w:tc>
        <w:tc>
          <w:tcPr>
            <w:tcW w:w="978" w:type="dxa"/>
            <w:tcBorders>
              <w:top w:val="single" w:sz="4" w:space="0" w:color="BFBFBF" w:themeColor="background1" w:themeShade="BF"/>
              <w:bottom w:val="single" w:sz="4" w:space="0" w:color="BFBFBF" w:themeColor="background1" w:themeShade="BF"/>
            </w:tcBorders>
            <w:vAlign w:val="bottom"/>
          </w:tcPr>
          <w:p w14:paraId="09579E36" w14:textId="77777777" w:rsidR="00B765ED" w:rsidRPr="00FE10BD" w:rsidRDefault="00B765ED" w:rsidP="00B765ED">
            <w:pPr>
              <w:jc w:val="center"/>
              <w:rPr>
                <w:color w:val="000000"/>
                <w:sz w:val="20"/>
              </w:rPr>
            </w:pPr>
            <w:r w:rsidRPr="00FE10BD">
              <w:rPr>
                <w:color w:val="000000"/>
                <w:sz w:val="20"/>
              </w:rPr>
              <w:t>1</w:t>
            </w:r>
          </w:p>
        </w:tc>
        <w:tc>
          <w:tcPr>
            <w:tcW w:w="1017" w:type="dxa"/>
            <w:tcBorders>
              <w:top w:val="single" w:sz="4" w:space="0" w:color="BFBFBF" w:themeColor="background1" w:themeShade="BF"/>
              <w:bottom w:val="single" w:sz="4" w:space="0" w:color="BFBFBF" w:themeColor="background1" w:themeShade="BF"/>
              <w:right w:val="single" w:sz="4" w:space="0" w:color="auto"/>
            </w:tcBorders>
            <w:vAlign w:val="bottom"/>
          </w:tcPr>
          <w:p w14:paraId="015D3957" w14:textId="77777777" w:rsidR="00B765ED" w:rsidRPr="00FE10BD" w:rsidRDefault="00B765ED" w:rsidP="00B765ED">
            <w:pPr>
              <w:jc w:val="center"/>
              <w:rPr>
                <w:color w:val="000000"/>
                <w:sz w:val="20"/>
              </w:rPr>
            </w:pPr>
            <w:r w:rsidRPr="00FE10BD">
              <w:rPr>
                <w:color w:val="000000"/>
                <w:sz w:val="20"/>
              </w:rPr>
              <w:t>0.03</w:t>
            </w:r>
          </w:p>
        </w:tc>
        <w:tc>
          <w:tcPr>
            <w:tcW w:w="1111" w:type="dxa"/>
            <w:tcBorders>
              <w:top w:val="single" w:sz="4" w:space="0" w:color="BFBFBF" w:themeColor="background1" w:themeShade="BF"/>
              <w:left w:val="single" w:sz="4" w:space="0" w:color="auto"/>
              <w:bottom w:val="single" w:sz="4" w:space="0" w:color="BFBFBF" w:themeColor="background1" w:themeShade="BF"/>
            </w:tcBorders>
            <w:vAlign w:val="bottom"/>
          </w:tcPr>
          <w:p w14:paraId="706D692A" w14:textId="77777777" w:rsidR="00B765ED" w:rsidRPr="00FE10BD" w:rsidRDefault="00B765ED" w:rsidP="00B765ED">
            <w:pPr>
              <w:jc w:val="center"/>
              <w:rPr>
                <w:color w:val="000000"/>
                <w:sz w:val="20"/>
              </w:rPr>
            </w:pPr>
            <w:r w:rsidRPr="00FE10BD">
              <w:rPr>
                <w:color w:val="000000"/>
                <w:sz w:val="20"/>
              </w:rPr>
              <w:t>0</w:t>
            </w:r>
          </w:p>
        </w:tc>
        <w:tc>
          <w:tcPr>
            <w:tcW w:w="1017" w:type="dxa"/>
            <w:tcBorders>
              <w:top w:val="single" w:sz="4" w:space="0" w:color="BFBFBF" w:themeColor="background1" w:themeShade="BF"/>
              <w:bottom w:val="single" w:sz="4" w:space="0" w:color="BFBFBF" w:themeColor="background1" w:themeShade="BF"/>
              <w:right w:val="single" w:sz="4" w:space="0" w:color="auto"/>
            </w:tcBorders>
            <w:vAlign w:val="bottom"/>
          </w:tcPr>
          <w:p w14:paraId="306850B1" w14:textId="77777777" w:rsidR="00B765ED" w:rsidRPr="00FE10BD" w:rsidRDefault="00B765ED" w:rsidP="00B765ED">
            <w:pPr>
              <w:jc w:val="center"/>
              <w:rPr>
                <w:color w:val="000000"/>
                <w:sz w:val="20"/>
              </w:rPr>
            </w:pPr>
            <w:r w:rsidRPr="00FE10BD">
              <w:rPr>
                <w:color w:val="000000"/>
                <w:sz w:val="20"/>
              </w:rPr>
              <w:t>0.10</w:t>
            </w:r>
          </w:p>
        </w:tc>
        <w:tc>
          <w:tcPr>
            <w:tcW w:w="1130" w:type="dxa"/>
            <w:tcBorders>
              <w:top w:val="single" w:sz="4" w:space="0" w:color="BFBFBF" w:themeColor="background1" w:themeShade="BF"/>
              <w:left w:val="single" w:sz="4" w:space="0" w:color="auto"/>
              <w:bottom w:val="single" w:sz="4" w:space="0" w:color="BFBFBF" w:themeColor="background1" w:themeShade="BF"/>
            </w:tcBorders>
            <w:vAlign w:val="bottom"/>
          </w:tcPr>
          <w:p w14:paraId="2CEC72FD" w14:textId="77777777" w:rsidR="00B765ED" w:rsidRPr="00FE10BD" w:rsidRDefault="00B765ED" w:rsidP="00B765ED">
            <w:pPr>
              <w:jc w:val="center"/>
              <w:rPr>
                <w:color w:val="000000"/>
                <w:sz w:val="20"/>
              </w:rPr>
            </w:pPr>
            <w:r w:rsidRPr="00FE10BD">
              <w:rPr>
                <w:color w:val="000000"/>
                <w:sz w:val="20"/>
              </w:rPr>
              <w:t>1</w:t>
            </w:r>
          </w:p>
        </w:tc>
        <w:tc>
          <w:tcPr>
            <w:tcW w:w="1081" w:type="dxa"/>
            <w:tcBorders>
              <w:top w:val="single" w:sz="4" w:space="0" w:color="BFBFBF" w:themeColor="background1" w:themeShade="BF"/>
              <w:bottom w:val="single" w:sz="4" w:space="0" w:color="BFBFBF" w:themeColor="background1" w:themeShade="BF"/>
            </w:tcBorders>
            <w:vAlign w:val="bottom"/>
          </w:tcPr>
          <w:p w14:paraId="060421D7" w14:textId="77777777" w:rsidR="00B765ED" w:rsidRPr="00FE10BD" w:rsidRDefault="00B765ED" w:rsidP="00B765ED">
            <w:pPr>
              <w:jc w:val="center"/>
              <w:rPr>
                <w:color w:val="000000"/>
                <w:sz w:val="20"/>
              </w:rPr>
            </w:pPr>
            <w:r w:rsidRPr="00FE10BD">
              <w:rPr>
                <w:color w:val="000000"/>
                <w:sz w:val="20"/>
              </w:rPr>
              <w:t>0.24</w:t>
            </w:r>
          </w:p>
        </w:tc>
      </w:tr>
      <w:tr w:rsidR="00B765ED" w14:paraId="5B118BB4" w14:textId="77777777" w:rsidTr="00E40E0D">
        <w:tc>
          <w:tcPr>
            <w:tcW w:w="2682" w:type="dxa"/>
          </w:tcPr>
          <w:p w14:paraId="09677403" w14:textId="77777777" w:rsidR="00B765ED" w:rsidRPr="00FE10BD" w:rsidRDefault="00B765ED" w:rsidP="00B765ED">
            <w:pPr>
              <w:jc w:val="right"/>
              <w:rPr>
                <w:sz w:val="20"/>
              </w:rPr>
            </w:pPr>
            <w:r w:rsidRPr="00FE10BD">
              <w:rPr>
                <w:sz w:val="20"/>
              </w:rPr>
              <w:t>Land area (log)</w:t>
            </w:r>
          </w:p>
        </w:tc>
        <w:tc>
          <w:tcPr>
            <w:tcW w:w="978" w:type="dxa"/>
            <w:tcBorders>
              <w:top w:val="single" w:sz="4" w:space="0" w:color="BFBFBF" w:themeColor="background1" w:themeShade="BF"/>
              <w:bottom w:val="single" w:sz="4" w:space="0" w:color="BFBFBF" w:themeColor="background1" w:themeShade="BF"/>
            </w:tcBorders>
            <w:vAlign w:val="bottom"/>
          </w:tcPr>
          <w:p w14:paraId="60DA501C" w14:textId="77777777" w:rsidR="00B765ED" w:rsidRPr="00FE10BD" w:rsidRDefault="00B765ED" w:rsidP="00B765ED">
            <w:pPr>
              <w:jc w:val="center"/>
              <w:rPr>
                <w:color w:val="000000"/>
                <w:sz w:val="20"/>
              </w:rPr>
            </w:pPr>
            <w:r w:rsidRPr="00FE10BD">
              <w:rPr>
                <w:color w:val="000000"/>
                <w:sz w:val="20"/>
              </w:rPr>
              <w:t>7.85</w:t>
            </w:r>
          </w:p>
        </w:tc>
        <w:tc>
          <w:tcPr>
            <w:tcW w:w="1017" w:type="dxa"/>
            <w:tcBorders>
              <w:top w:val="single" w:sz="4" w:space="0" w:color="BFBFBF" w:themeColor="background1" w:themeShade="BF"/>
              <w:bottom w:val="single" w:sz="4" w:space="0" w:color="BFBFBF" w:themeColor="background1" w:themeShade="BF"/>
              <w:right w:val="single" w:sz="4" w:space="0" w:color="auto"/>
            </w:tcBorders>
            <w:vAlign w:val="bottom"/>
          </w:tcPr>
          <w:p w14:paraId="324024C7" w14:textId="77777777" w:rsidR="00B765ED" w:rsidRPr="00FE10BD" w:rsidRDefault="00B765ED" w:rsidP="00B765ED">
            <w:pPr>
              <w:jc w:val="center"/>
              <w:rPr>
                <w:color w:val="000000"/>
                <w:sz w:val="20"/>
              </w:rPr>
            </w:pPr>
            <w:r w:rsidRPr="00FE10BD">
              <w:rPr>
                <w:color w:val="000000"/>
                <w:sz w:val="20"/>
              </w:rPr>
              <w:t>9.29</w:t>
            </w:r>
          </w:p>
        </w:tc>
        <w:tc>
          <w:tcPr>
            <w:tcW w:w="1111" w:type="dxa"/>
            <w:tcBorders>
              <w:top w:val="single" w:sz="4" w:space="0" w:color="BFBFBF" w:themeColor="background1" w:themeShade="BF"/>
              <w:left w:val="single" w:sz="4" w:space="0" w:color="auto"/>
              <w:bottom w:val="single" w:sz="4" w:space="0" w:color="BFBFBF" w:themeColor="background1" w:themeShade="BF"/>
            </w:tcBorders>
            <w:vAlign w:val="bottom"/>
          </w:tcPr>
          <w:p w14:paraId="61CFC1A1" w14:textId="77777777" w:rsidR="00B765ED" w:rsidRPr="00FE10BD" w:rsidRDefault="00B765ED" w:rsidP="00B765ED">
            <w:pPr>
              <w:jc w:val="center"/>
              <w:rPr>
                <w:color w:val="000000"/>
                <w:sz w:val="20"/>
              </w:rPr>
            </w:pPr>
            <w:r w:rsidRPr="00FE10BD">
              <w:rPr>
                <w:color w:val="000000"/>
                <w:sz w:val="20"/>
              </w:rPr>
              <w:t>6.95</w:t>
            </w:r>
          </w:p>
        </w:tc>
        <w:tc>
          <w:tcPr>
            <w:tcW w:w="1017" w:type="dxa"/>
            <w:tcBorders>
              <w:top w:val="single" w:sz="4" w:space="0" w:color="BFBFBF" w:themeColor="background1" w:themeShade="BF"/>
              <w:bottom w:val="single" w:sz="4" w:space="0" w:color="BFBFBF" w:themeColor="background1" w:themeShade="BF"/>
              <w:right w:val="single" w:sz="4" w:space="0" w:color="auto"/>
            </w:tcBorders>
            <w:vAlign w:val="bottom"/>
          </w:tcPr>
          <w:p w14:paraId="7A44276F" w14:textId="77777777" w:rsidR="00B765ED" w:rsidRPr="00FE10BD" w:rsidRDefault="00B765ED" w:rsidP="00B765ED">
            <w:pPr>
              <w:jc w:val="center"/>
              <w:rPr>
                <w:color w:val="000000"/>
                <w:sz w:val="20"/>
              </w:rPr>
            </w:pPr>
            <w:r w:rsidRPr="00FE10BD">
              <w:rPr>
                <w:color w:val="000000"/>
                <w:sz w:val="20"/>
              </w:rPr>
              <w:t>8.08</w:t>
            </w:r>
          </w:p>
        </w:tc>
        <w:tc>
          <w:tcPr>
            <w:tcW w:w="1130" w:type="dxa"/>
            <w:tcBorders>
              <w:top w:val="single" w:sz="4" w:space="0" w:color="BFBFBF" w:themeColor="background1" w:themeShade="BF"/>
              <w:left w:val="single" w:sz="4" w:space="0" w:color="auto"/>
              <w:bottom w:val="single" w:sz="4" w:space="0" w:color="BFBFBF" w:themeColor="background1" w:themeShade="BF"/>
            </w:tcBorders>
            <w:vAlign w:val="bottom"/>
          </w:tcPr>
          <w:p w14:paraId="23A9C762" w14:textId="77777777" w:rsidR="00B765ED" w:rsidRPr="00FE10BD" w:rsidRDefault="00B765ED" w:rsidP="00B765ED">
            <w:pPr>
              <w:jc w:val="center"/>
              <w:rPr>
                <w:color w:val="000000"/>
                <w:sz w:val="20"/>
              </w:rPr>
            </w:pPr>
            <w:r w:rsidRPr="00FE10BD">
              <w:rPr>
                <w:color w:val="000000"/>
                <w:sz w:val="20"/>
              </w:rPr>
              <w:t>7.68</w:t>
            </w:r>
          </w:p>
        </w:tc>
        <w:tc>
          <w:tcPr>
            <w:tcW w:w="1081" w:type="dxa"/>
            <w:tcBorders>
              <w:top w:val="single" w:sz="4" w:space="0" w:color="BFBFBF" w:themeColor="background1" w:themeShade="BF"/>
              <w:bottom w:val="single" w:sz="4" w:space="0" w:color="BFBFBF" w:themeColor="background1" w:themeShade="BF"/>
            </w:tcBorders>
            <w:vAlign w:val="bottom"/>
          </w:tcPr>
          <w:p w14:paraId="4352D065" w14:textId="77777777" w:rsidR="00B765ED" w:rsidRPr="00FE10BD" w:rsidRDefault="00B765ED" w:rsidP="00B765ED">
            <w:pPr>
              <w:jc w:val="center"/>
              <w:rPr>
                <w:color w:val="000000"/>
                <w:sz w:val="20"/>
              </w:rPr>
            </w:pPr>
            <w:r w:rsidRPr="00FE10BD">
              <w:rPr>
                <w:color w:val="000000"/>
                <w:sz w:val="20"/>
              </w:rPr>
              <w:t>9.43</w:t>
            </w:r>
          </w:p>
        </w:tc>
      </w:tr>
      <w:tr w:rsidR="00B765ED" w14:paraId="49F6C5FF" w14:textId="77777777" w:rsidTr="00E40E0D">
        <w:tc>
          <w:tcPr>
            <w:tcW w:w="2682" w:type="dxa"/>
          </w:tcPr>
          <w:p w14:paraId="4B297080" w14:textId="77777777" w:rsidR="00B765ED" w:rsidRPr="00FE10BD" w:rsidRDefault="00B765ED" w:rsidP="00B765ED">
            <w:pPr>
              <w:jc w:val="right"/>
              <w:rPr>
                <w:sz w:val="20"/>
              </w:rPr>
            </w:pPr>
            <w:r w:rsidRPr="00FE10BD">
              <w:rPr>
                <w:sz w:val="20"/>
              </w:rPr>
              <w:t>Altitude</w:t>
            </w:r>
          </w:p>
        </w:tc>
        <w:tc>
          <w:tcPr>
            <w:tcW w:w="978" w:type="dxa"/>
            <w:tcBorders>
              <w:top w:val="single" w:sz="4" w:space="0" w:color="BFBFBF" w:themeColor="background1" w:themeShade="BF"/>
              <w:bottom w:val="single" w:sz="4" w:space="0" w:color="BFBFBF" w:themeColor="background1" w:themeShade="BF"/>
            </w:tcBorders>
            <w:vAlign w:val="bottom"/>
          </w:tcPr>
          <w:p w14:paraId="0FCDBEDC" w14:textId="77777777" w:rsidR="00B765ED" w:rsidRPr="00FE10BD" w:rsidRDefault="00B765ED" w:rsidP="00B765ED">
            <w:pPr>
              <w:jc w:val="center"/>
              <w:rPr>
                <w:color w:val="000000"/>
                <w:sz w:val="20"/>
              </w:rPr>
            </w:pPr>
            <w:r w:rsidRPr="00FE10BD">
              <w:rPr>
                <w:color w:val="000000"/>
                <w:sz w:val="20"/>
              </w:rPr>
              <w:t>295</w:t>
            </w:r>
          </w:p>
        </w:tc>
        <w:tc>
          <w:tcPr>
            <w:tcW w:w="1017" w:type="dxa"/>
            <w:tcBorders>
              <w:top w:val="single" w:sz="4" w:space="0" w:color="BFBFBF" w:themeColor="background1" w:themeShade="BF"/>
              <w:bottom w:val="single" w:sz="4" w:space="0" w:color="BFBFBF" w:themeColor="background1" w:themeShade="BF"/>
              <w:right w:val="single" w:sz="4" w:space="0" w:color="auto"/>
            </w:tcBorders>
            <w:vAlign w:val="bottom"/>
          </w:tcPr>
          <w:p w14:paraId="631FC806" w14:textId="77777777" w:rsidR="00B765ED" w:rsidRPr="00FE10BD" w:rsidRDefault="00B765ED" w:rsidP="00B765ED">
            <w:pPr>
              <w:jc w:val="center"/>
              <w:rPr>
                <w:color w:val="000000"/>
                <w:sz w:val="20"/>
              </w:rPr>
            </w:pPr>
            <w:r w:rsidRPr="00FE10BD">
              <w:rPr>
                <w:color w:val="000000"/>
                <w:sz w:val="20"/>
              </w:rPr>
              <w:t>39.75</w:t>
            </w:r>
          </w:p>
        </w:tc>
        <w:tc>
          <w:tcPr>
            <w:tcW w:w="1111" w:type="dxa"/>
            <w:tcBorders>
              <w:top w:val="single" w:sz="4" w:space="0" w:color="BFBFBF" w:themeColor="background1" w:themeShade="BF"/>
              <w:left w:val="single" w:sz="4" w:space="0" w:color="auto"/>
              <w:bottom w:val="single" w:sz="4" w:space="0" w:color="BFBFBF" w:themeColor="background1" w:themeShade="BF"/>
            </w:tcBorders>
            <w:vAlign w:val="bottom"/>
          </w:tcPr>
          <w:p w14:paraId="554980AB" w14:textId="77777777" w:rsidR="00B765ED" w:rsidRPr="00FE10BD" w:rsidRDefault="00B765ED" w:rsidP="00B765ED">
            <w:pPr>
              <w:jc w:val="center"/>
              <w:rPr>
                <w:color w:val="000000"/>
                <w:sz w:val="20"/>
              </w:rPr>
            </w:pPr>
            <w:r w:rsidRPr="00FE10BD">
              <w:rPr>
                <w:color w:val="000000"/>
                <w:sz w:val="20"/>
              </w:rPr>
              <w:t>15</w:t>
            </w:r>
          </w:p>
        </w:tc>
        <w:tc>
          <w:tcPr>
            <w:tcW w:w="1017" w:type="dxa"/>
            <w:tcBorders>
              <w:top w:val="single" w:sz="4" w:space="0" w:color="BFBFBF" w:themeColor="background1" w:themeShade="BF"/>
              <w:bottom w:val="single" w:sz="4" w:space="0" w:color="BFBFBF" w:themeColor="background1" w:themeShade="BF"/>
              <w:right w:val="single" w:sz="4" w:space="0" w:color="auto"/>
            </w:tcBorders>
            <w:vAlign w:val="bottom"/>
          </w:tcPr>
          <w:p w14:paraId="7FDA0EF0" w14:textId="77777777" w:rsidR="00B765ED" w:rsidRPr="00FE10BD" w:rsidRDefault="00B765ED" w:rsidP="00B765ED">
            <w:pPr>
              <w:jc w:val="center"/>
              <w:rPr>
                <w:color w:val="000000"/>
                <w:sz w:val="20"/>
              </w:rPr>
            </w:pPr>
            <w:r w:rsidRPr="00FE10BD">
              <w:rPr>
                <w:color w:val="000000"/>
                <w:sz w:val="20"/>
              </w:rPr>
              <w:t>147.21</w:t>
            </w:r>
          </w:p>
        </w:tc>
        <w:tc>
          <w:tcPr>
            <w:tcW w:w="1130" w:type="dxa"/>
            <w:tcBorders>
              <w:top w:val="single" w:sz="4" w:space="0" w:color="BFBFBF" w:themeColor="background1" w:themeShade="BF"/>
              <w:left w:val="single" w:sz="4" w:space="0" w:color="auto"/>
              <w:bottom w:val="single" w:sz="4" w:space="0" w:color="BFBFBF" w:themeColor="background1" w:themeShade="BF"/>
            </w:tcBorders>
            <w:vAlign w:val="bottom"/>
          </w:tcPr>
          <w:p w14:paraId="6B7BFFD3" w14:textId="77777777" w:rsidR="00B765ED" w:rsidRPr="00FE10BD" w:rsidRDefault="00B765ED" w:rsidP="00B765ED">
            <w:pPr>
              <w:jc w:val="center"/>
              <w:rPr>
                <w:color w:val="000000"/>
                <w:sz w:val="20"/>
              </w:rPr>
            </w:pPr>
            <w:r w:rsidRPr="00FE10BD">
              <w:rPr>
                <w:color w:val="000000"/>
                <w:sz w:val="20"/>
              </w:rPr>
              <w:t>279</w:t>
            </w:r>
          </w:p>
        </w:tc>
        <w:tc>
          <w:tcPr>
            <w:tcW w:w="1081" w:type="dxa"/>
            <w:tcBorders>
              <w:top w:val="single" w:sz="4" w:space="0" w:color="BFBFBF" w:themeColor="background1" w:themeShade="BF"/>
              <w:bottom w:val="single" w:sz="4" w:space="0" w:color="BFBFBF" w:themeColor="background1" w:themeShade="BF"/>
            </w:tcBorders>
            <w:vAlign w:val="bottom"/>
          </w:tcPr>
          <w:p w14:paraId="0F123E90" w14:textId="77777777" w:rsidR="00B765ED" w:rsidRPr="00FE10BD" w:rsidRDefault="00B765ED" w:rsidP="00B765ED">
            <w:pPr>
              <w:jc w:val="center"/>
              <w:rPr>
                <w:color w:val="000000"/>
                <w:sz w:val="20"/>
              </w:rPr>
            </w:pPr>
            <w:r w:rsidRPr="00FE10BD">
              <w:rPr>
                <w:color w:val="000000"/>
                <w:sz w:val="20"/>
              </w:rPr>
              <w:t>132.28</w:t>
            </w:r>
          </w:p>
        </w:tc>
      </w:tr>
      <w:tr w:rsidR="00B765ED" w14:paraId="4B61457D" w14:textId="77777777" w:rsidTr="00E40E0D">
        <w:tc>
          <w:tcPr>
            <w:tcW w:w="2682" w:type="dxa"/>
          </w:tcPr>
          <w:p w14:paraId="1B169D82" w14:textId="77777777" w:rsidR="00B765ED" w:rsidRPr="00FE10BD" w:rsidRDefault="00B765ED" w:rsidP="00B765ED">
            <w:pPr>
              <w:jc w:val="right"/>
              <w:rPr>
                <w:sz w:val="20"/>
              </w:rPr>
            </w:pPr>
            <w:r w:rsidRPr="00FE10BD">
              <w:rPr>
                <w:sz w:val="20"/>
              </w:rPr>
              <w:t>Temperature</w:t>
            </w:r>
          </w:p>
        </w:tc>
        <w:tc>
          <w:tcPr>
            <w:tcW w:w="978" w:type="dxa"/>
            <w:tcBorders>
              <w:top w:val="single" w:sz="4" w:space="0" w:color="BFBFBF" w:themeColor="background1" w:themeShade="BF"/>
              <w:bottom w:val="single" w:sz="4" w:space="0" w:color="BFBFBF" w:themeColor="background1" w:themeShade="BF"/>
            </w:tcBorders>
            <w:vAlign w:val="bottom"/>
          </w:tcPr>
          <w:p w14:paraId="4DA53DD9" w14:textId="77777777" w:rsidR="00B765ED" w:rsidRPr="00FE10BD" w:rsidRDefault="00B765ED" w:rsidP="00B765ED">
            <w:pPr>
              <w:jc w:val="center"/>
              <w:rPr>
                <w:color w:val="000000"/>
                <w:sz w:val="20"/>
              </w:rPr>
            </w:pPr>
            <w:r w:rsidRPr="00FE10BD">
              <w:rPr>
                <w:color w:val="000000"/>
                <w:sz w:val="20"/>
              </w:rPr>
              <w:t>10.40</w:t>
            </w:r>
          </w:p>
        </w:tc>
        <w:tc>
          <w:tcPr>
            <w:tcW w:w="1017" w:type="dxa"/>
            <w:tcBorders>
              <w:top w:val="single" w:sz="4" w:space="0" w:color="BFBFBF" w:themeColor="background1" w:themeShade="BF"/>
              <w:bottom w:val="single" w:sz="4" w:space="0" w:color="BFBFBF" w:themeColor="background1" w:themeShade="BF"/>
              <w:right w:val="single" w:sz="4" w:space="0" w:color="auto"/>
            </w:tcBorders>
            <w:vAlign w:val="bottom"/>
          </w:tcPr>
          <w:p w14:paraId="57427B75" w14:textId="77777777" w:rsidR="00B765ED" w:rsidRPr="00FE10BD" w:rsidRDefault="00B765ED" w:rsidP="00B765ED">
            <w:pPr>
              <w:jc w:val="center"/>
              <w:rPr>
                <w:color w:val="000000"/>
                <w:sz w:val="20"/>
              </w:rPr>
            </w:pPr>
            <w:r w:rsidRPr="00FE10BD">
              <w:rPr>
                <w:color w:val="000000"/>
                <w:sz w:val="20"/>
              </w:rPr>
              <w:t>11.75</w:t>
            </w:r>
          </w:p>
        </w:tc>
        <w:tc>
          <w:tcPr>
            <w:tcW w:w="1111" w:type="dxa"/>
            <w:tcBorders>
              <w:top w:val="single" w:sz="4" w:space="0" w:color="BFBFBF" w:themeColor="background1" w:themeShade="BF"/>
              <w:left w:val="single" w:sz="4" w:space="0" w:color="auto"/>
              <w:bottom w:val="single" w:sz="4" w:space="0" w:color="BFBFBF" w:themeColor="background1" w:themeShade="BF"/>
            </w:tcBorders>
            <w:vAlign w:val="bottom"/>
          </w:tcPr>
          <w:p w14:paraId="2C87183D" w14:textId="77777777" w:rsidR="00B765ED" w:rsidRPr="00FE10BD" w:rsidRDefault="00B765ED" w:rsidP="00B765ED">
            <w:pPr>
              <w:jc w:val="center"/>
              <w:rPr>
                <w:color w:val="000000"/>
                <w:sz w:val="20"/>
              </w:rPr>
            </w:pPr>
            <w:r w:rsidRPr="00FE10BD">
              <w:rPr>
                <w:color w:val="000000"/>
                <w:sz w:val="20"/>
              </w:rPr>
              <w:t>14.4</w:t>
            </w:r>
          </w:p>
        </w:tc>
        <w:tc>
          <w:tcPr>
            <w:tcW w:w="1017" w:type="dxa"/>
            <w:tcBorders>
              <w:top w:val="single" w:sz="4" w:space="0" w:color="BFBFBF" w:themeColor="background1" w:themeShade="BF"/>
              <w:bottom w:val="single" w:sz="4" w:space="0" w:color="BFBFBF" w:themeColor="background1" w:themeShade="BF"/>
              <w:right w:val="single" w:sz="4" w:space="0" w:color="auto"/>
            </w:tcBorders>
            <w:vAlign w:val="bottom"/>
          </w:tcPr>
          <w:p w14:paraId="55B9A2BE" w14:textId="77777777" w:rsidR="00B765ED" w:rsidRPr="00FE10BD" w:rsidRDefault="00B765ED" w:rsidP="00B765ED">
            <w:pPr>
              <w:jc w:val="center"/>
              <w:rPr>
                <w:color w:val="000000"/>
                <w:sz w:val="20"/>
              </w:rPr>
            </w:pPr>
            <w:r w:rsidRPr="00FE10BD">
              <w:rPr>
                <w:color w:val="000000"/>
                <w:sz w:val="20"/>
              </w:rPr>
              <w:t>15.68</w:t>
            </w:r>
          </w:p>
        </w:tc>
        <w:tc>
          <w:tcPr>
            <w:tcW w:w="1130" w:type="dxa"/>
            <w:tcBorders>
              <w:top w:val="single" w:sz="4" w:space="0" w:color="BFBFBF" w:themeColor="background1" w:themeShade="BF"/>
              <w:left w:val="single" w:sz="4" w:space="0" w:color="auto"/>
              <w:bottom w:val="single" w:sz="4" w:space="0" w:color="BFBFBF" w:themeColor="background1" w:themeShade="BF"/>
            </w:tcBorders>
            <w:vAlign w:val="bottom"/>
          </w:tcPr>
          <w:p w14:paraId="4DA530E8" w14:textId="77777777" w:rsidR="00B765ED" w:rsidRPr="00FE10BD" w:rsidRDefault="00B765ED" w:rsidP="00B765ED">
            <w:pPr>
              <w:jc w:val="center"/>
              <w:rPr>
                <w:color w:val="000000"/>
                <w:sz w:val="20"/>
              </w:rPr>
            </w:pPr>
            <w:r w:rsidRPr="00FE10BD">
              <w:rPr>
                <w:color w:val="000000"/>
                <w:sz w:val="20"/>
              </w:rPr>
              <w:t>9.5</w:t>
            </w:r>
          </w:p>
        </w:tc>
        <w:tc>
          <w:tcPr>
            <w:tcW w:w="1081" w:type="dxa"/>
            <w:tcBorders>
              <w:top w:val="single" w:sz="4" w:space="0" w:color="BFBFBF" w:themeColor="background1" w:themeShade="BF"/>
              <w:bottom w:val="single" w:sz="4" w:space="0" w:color="BFBFBF" w:themeColor="background1" w:themeShade="BF"/>
            </w:tcBorders>
            <w:vAlign w:val="bottom"/>
          </w:tcPr>
          <w:p w14:paraId="555224F9" w14:textId="77777777" w:rsidR="00B765ED" w:rsidRPr="00FE10BD" w:rsidRDefault="00B765ED" w:rsidP="00B765ED">
            <w:pPr>
              <w:jc w:val="center"/>
              <w:rPr>
                <w:color w:val="000000"/>
                <w:sz w:val="20"/>
              </w:rPr>
            </w:pPr>
            <w:r w:rsidRPr="00FE10BD">
              <w:rPr>
                <w:color w:val="000000"/>
                <w:sz w:val="20"/>
              </w:rPr>
              <w:t>12.24</w:t>
            </w:r>
          </w:p>
        </w:tc>
      </w:tr>
      <w:tr w:rsidR="00B765ED" w14:paraId="2A6B81B9" w14:textId="77777777" w:rsidTr="00E40E0D">
        <w:tc>
          <w:tcPr>
            <w:tcW w:w="2682" w:type="dxa"/>
          </w:tcPr>
          <w:p w14:paraId="6DB3AEDD" w14:textId="77777777" w:rsidR="00B765ED" w:rsidRPr="00FE10BD" w:rsidRDefault="00B765ED" w:rsidP="00B765ED">
            <w:pPr>
              <w:jc w:val="right"/>
              <w:rPr>
                <w:sz w:val="20"/>
              </w:rPr>
            </w:pPr>
            <w:r w:rsidRPr="00FE10BD">
              <w:rPr>
                <w:sz w:val="20"/>
              </w:rPr>
              <w:t>Rainfall</w:t>
            </w:r>
          </w:p>
        </w:tc>
        <w:tc>
          <w:tcPr>
            <w:tcW w:w="978" w:type="dxa"/>
            <w:tcBorders>
              <w:top w:val="single" w:sz="4" w:space="0" w:color="BFBFBF" w:themeColor="background1" w:themeShade="BF"/>
              <w:bottom w:val="single" w:sz="4" w:space="0" w:color="BFBFBF" w:themeColor="background1" w:themeShade="BF"/>
            </w:tcBorders>
            <w:vAlign w:val="bottom"/>
          </w:tcPr>
          <w:p w14:paraId="2148480D" w14:textId="77777777" w:rsidR="00B765ED" w:rsidRPr="00FE10BD" w:rsidRDefault="00B765ED" w:rsidP="00B765ED">
            <w:pPr>
              <w:jc w:val="center"/>
              <w:rPr>
                <w:color w:val="000000"/>
                <w:sz w:val="20"/>
              </w:rPr>
            </w:pPr>
            <w:r w:rsidRPr="00FE10BD">
              <w:rPr>
                <w:color w:val="000000"/>
                <w:sz w:val="20"/>
              </w:rPr>
              <w:t>1290</w:t>
            </w:r>
          </w:p>
        </w:tc>
        <w:tc>
          <w:tcPr>
            <w:tcW w:w="1017" w:type="dxa"/>
            <w:tcBorders>
              <w:top w:val="single" w:sz="4" w:space="0" w:color="BFBFBF" w:themeColor="background1" w:themeShade="BF"/>
              <w:bottom w:val="single" w:sz="4" w:space="0" w:color="BFBFBF" w:themeColor="background1" w:themeShade="BF"/>
              <w:right w:val="single" w:sz="4" w:space="0" w:color="auto"/>
            </w:tcBorders>
            <w:vAlign w:val="bottom"/>
          </w:tcPr>
          <w:p w14:paraId="6D00E69F" w14:textId="77777777" w:rsidR="00B765ED" w:rsidRPr="00FE10BD" w:rsidRDefault="00B765ED" w:rsidP="00B765ED">
            <w:pPr>
              <w:jc w:val="center"/>
              <w:rPr>
                <w:color w:val="000000"/>
                <w:sz w:val="20"/>
              </w:rPr>
            </w:pPr>
            <w:r w:rsidRPr="00FE10BD">
              <w:rPr>
                <w:color w:val="000000"/>
                <w:sz w:val="20"/>
              </w:rPr>
              <w:t>1231</w:t>
            </w:r>
          </w:p>
        </w:tc>
        <w:tc>
          <w:tcPr>
            <w:tcW w:w="1111" w:type="dxa"/>
            <w:tcBorders>
              <w:top w:val="single" w:sz="4" w:space="0" w:color="BFBFBF" w:themeColor="background1" w:themeShade="BF"/>
              <w:left w:val="single" w:sz="4" w:space="0" w:color="auto"/>
              <w:bottom w:val="single" w:sz="4" w:space="0" w:color="BFBFBF" w:themeColor="background1" w:themeShade="BF"/>
            </w:tcBorders>
            <w:vAlign w:val="bottom"/>
          </w:tcPr>
          <w:p w14:paraId="569C620A" w14:textId="77777777" w:rsidR="00B765ED" w:rsidRPr="00FE10BD" w:rsidRDefault="00B765ED" w:rsidP="00B765ED">
            <w:pPr>
              <w:jc w:val="center"/>
              <w:rPr>
                <w:color w:val="000000"/>
                <w:sz w:val="20"/>
              </w:rPr>
            </w:pPr>
            <w:r w:rsidRPr="00FE10BD">
              <w:rPr>
                <w:color w:val="000000"/>
                <w:sz w:val="20"/>
              </w:rPr>
              <w:t>1056</w:t>
            </w:r>
          </w:p>
        </w:tc>
        <w:tc>
          <w:tcPr>
            <w:tcW w:w="1017" w:type="dxa"/>
            <w:tcBorders>
              <w:top w:val="single" w:sz="4" w:space="0" w:color="BFBFBF" w:themeColor="background1" w:themeShade="BF"/>
              <w:bottom w:val="single" w:sz="4" w:space="0" w:color="BFBFBF" w:themeColor="background1" w:themeShade="BF"/>
              <w:right w:val="single" w:sz="4" w:space="0" w:color="auto"/>
            </w:tcBorders>
            <w:vAlign w:val="bottom"/>
          </w:tcPr>
          <w:p w14:paraId="4869F246" w14:textId="77777777" w:rsidR="00B765ED" w:rsidRPr="00FE10BD" w:rsidRDefault="00B765ED" w:rsidP="00B765ED">
            <w:pPr>
              <w:jc w:val="center"/>
              <w:rPr>
                <w:color w:val="000000"/>
                <w:sz w:val="20"/>
              </w:rPr>
            </w:pPr>
            <w:r w:rsidRPr="00FE10BD">
              <w:rPr>
                <w:color w:val="000000"/>
                <w:sz w:val="20"/>
              </w:rPr>
              <w:t>1615.78</w:t>
            </w:r>
          </w:p>
        </w:tc>
        <w:tc>
          <w:tcPr>
            <w:tcW w:w="1130" w:type="dxa"/>
            <w:tcBorders>
              <w:top w:val="single" w:sz="4" w:space="0" w:color="BFBFBF" w:themeColor="background1" w:themeShade="BF"/>
              <w:left w:val="single" w:sz="4" w:space="0" w:color="auto"/>
              <w:bottom w:val="single" w:sz="4" w:space="0" w:color="BFBFBF" w:themeColor="background1" w:themeShade="BF"/>
            </w:tcBorders>
            <w:vAlign w:val="bottom"/>
          </w:tcPr>
          <w:p w14:paraId="23803CB3" w14:textId="77777777" w:rsidR="00B765ED" w:rsidRPr="00FE10BD" w:rsidRDefault="00B765ED" w:rsidP="00B765ED">
            <w:pPr>
              <w:jc w:val="center"/>
              <w:rPr>
                <w:color w:val="000000"/>
                <w:sz w:val="20"/>
              </w:rPr>
            </w:pPr>
            <w:r w:rsidRPr="00FE10BD">
              <w:rPr>
                <w:color w:val="000000"/>
                <w:sz w:val="20"/>
              </w:rPr>
              <w:t>986</w:t>
            </w:r>
          </w:p>
        </w:tc>
        <w:tc>
          <w:tcPr>
            <w:tcW w:w="1081" w:type="dxa"/>
            <w:tcBorders>
              <w:top w:val="single" w:sz="4" w:space="0" w:color="BFBFBF" w:themeColor="background1" w:themeShade="BF"/>
              <w:bottom w:val="single" w:sz="4" w:space="0" w:color="BFBFBF" w:themeColor="background1" w:themeShade="BF"/>
            </w:tcBorders>
            <w:vAlign w:val="bottom"/>
          </w:tcPr>
          <w:p w14:paraId="09A56DA1" w14:textId="77777777" w:rsidR="00B765ED" w:rsidRPr="00FE10BD" w:rsidRDefault="00B765ED" w:rsidP="00B765ED">
            <w:pPr>
              <w:jc w:val="center"/>
              <w:rPr>
                <w:color w:val="000000"/>
                <w:sz w:val="20"/>
              </w:rPr>
            </w:pPr>
            <w:r w:rsidRPr="00FE10BD">
              <w:rPr>
                <w:color w:val="000000"/>
                <w:sz w:val="20"/>
              </w:rPr>
              <w:t>946.41</w:t>
            </w:r>
          </w:p>
        </w:tc>
      </w:tr>
      <w:tr w:rsidR="00B765ED" w14:paraId="77BAEB09" w14:textId="77777777" w:rsidTr="00E40E0D">
        <w:tc>
          <w:tcPr>
            <w:tcW w:w="2682" w:type="dxa"/>
          </w:tcPr>
          <w:p w14:paraId="795C4D93" w14:textId="77777777" w:rsidR="00B765ED" w:rsidRPr="00FE10BD" w:rsidRDefault="00B765ED" w:rsidP="00B765ED">
            <w:pPr>
              <w:jc w:val="right"/>
              <w:rPr>
                <w:sz w:val="20"/>
              </w:rPr>
            </w:pPr>
            <w:r w:rsidRPr="00FE10BD">
              <w:rPr>
                <w:sz w:val="20"/>
              </w:rPr>
              <w:t>Sunshine duration</w:t>
            </w:r>
          </w:p>
        </w:tc>
        <w:tc>
          <w:tcPr>
            <w:tcW w:w="978" w:type="dxa"/>
            <w:tcBorders>
              <w:top w:val="single" w:sz="4" w:space="0" w:color="BFBFBF" w:themeColor="background1" w:themeShade="BF"/>
              <w:bottom w:val="single" w:sz="4" w:space="0" w:color="BFBFBF" w:themeColor="background1" w:themeShade="BF"/>
            </w:tcBorders>
            <w:vAlign w:val="bottom"/>
          </w:tcPr>
          <w:p w14:paraId="65190985" w14:textId="77777777" w:rsidR="00B765ED" w:rsidRPr="00FE10BD" w:rsidRDefault="00B765ED" w:rsidP="00B765ED">
            <w:pPr>
              <w:jc w:val="center"/>
              <w:rPr>
                <w:color w:val="000000"/>
                <w:sz w:val="20"/>
              </w:rPr>
            </w:pPr>
            <w:r w:rsidRPr="00FE10BD">
              <w:rPr>
                <w:color w:val="000000"/>
                <w:sz w:val="20"/>
              </w:rPr>
              <w:t>1974</w:t>
            </w:r>
          </w:p>
        </w:tc>
        <w:tc>
          <w:tcPr>
            <w:tcW w:w="1017" w:type="dxa"/>
            <w:tcBorders>
              <w:top w:val="single" w:sz="4" w:space="0" w:color="BFBFBF" w:themeColor="background1" w:themeShade="BF"/>
              <w:bottom w:val="single" w:sz="4" w:space="0" w:color="BFBFBF" w:themeColor="background1" w:themeShade="BF"/>
              <w:right w:val="single" w:sz="4" w:space="0" w:color="auto"/>
            </w:tcBorders>
            <w:vAlign w:val="bottom"/>
          </w:tcPr>
          <w:p w14:paraId="0C8F1CBE" w14:textId="77777777" w:rsidR="00B765ED" w:rsidRPr="00FE10BD" w:rsidRDefault="00B765ED" w:rsidP="00B765ED">
            <w:pPr>
              <w:jc w:val="center"/>
              <w:rPr>
                <w:color w:val="000000"/>
                <w:sz w:val="20"/>
              </w:rPr>
            </w:pPr>
            <w:r w:rsidRPr="00FE10BD">
              <w:rPr>
                <w:color w:val="000000"/>
                <w:sz w:val="20"/>
              </w:rPr>
              <w:t>1613</w:t>
            </w:r>
          </w:p>
        </w:tc>
        <w:tc>
          <w:tcPr>
            <w:tcW w:w="1111" w:type="dxa"/>
            <w:tcBorders>
              <w:top w:val="single" w:sz="4" w:space="0" w:color="BFBFBF" w:themeColor="background1" w:themeShade="BF"/>
              <w:left w:val="single" w:sz="4" w:space="0" w:color="auto"/>
              <w:bottom w:val="single" w:sz="4" w:space="0" w:color="BFBFBF" w:themeColor="background1" w:themeShade="BF"/>
            </w:tcBorders>
            <w:vAlign w:val="bottom"/>
          </w:tcPr>
          <w:p w14:paraId="694E6E4D" w14:textId="77777777" w:rsidR="00B765ED" w:rsidRPr="00FE10BD" w:rsidRDefault="00B765ED" w:rsidP="00B765ED">
            <w:pPr>
              <w:jc w:val="center"/>
              <w:rPr>
                <w:color w:val="000000"/>
                <w:sz w:val="20"/>
              </w:rPr>
            </w:pPr>
            <w:r w:rsidRPr="00FE10BD">
              <w:rPr>
                <w:color w:val="000000"/>
                <w:sz w:val="20"/>
              </w:rPr>
              <w:t>2018.54</w:t>
            </w:r>
          </w:p>
        </w:tc>
        <w:tc>
          <w:tcPr>
            <w:tcW w:w="1017" w:type="dxa"/>
            <w:tcBorders>
              <w:top w:val="single" w:sz="4" w:space="0" w:color="BFBFBF" w:themeColor="background1" w:themeShade="BF"/>
              <w:bottom w:val="single" w:sz="4" w:space="0" w:color="BFBFBF" w:themeColor="background1" w:themeShade="BF"/>
              <w:right w:val="single" w:sz="4" w:space="0" w:color="auto"/>
            </w:tcBorders>
            <w:vAlign w:val="bottom"/>
          </w:tcPr>
          <w:p w14:paraId="00EA728B" w14:textId="77777777" w:rsidR="00B765ED" w:rsidRPr="00FE10BD" w:rsidRDefault="00B765ED" w:rsidP="00B765ED">
            <w:pPr>
              <w:jc w:val="center"/>
              <w:rPr>
                <w:color w:val="000000"/>
                <w:sz w:val="20"/>
              </w:rPr>
            </w:pPr>
            <w:r w:rsidRPr="00FE10BD">
              <w:rPr>
                <w:color w:val="000000"/>
                <w:sz w:val="20"/>
              </w:rPr>
              <w:t>1791.25</w:t>
            </w:r>
          </w:p>
        </w:tc>
        <w:tc>
          <w:tcPr>
            <w:tcW w:w="1130" w:type="dxa"/>
            <w:tcBorders>
              <w:top w:val="single" w:sz="4" w:space="0" w:color="BFBFBF" w:themeColor="background1" w:themeShade="BF"/>
              <w:left w:val="single" w:sz="4" w:space="0" w:color="auto"/>
              <w:bottom w:val="single" w:sz="4" w:space="0" w:color="BFBFBF" w:themeColor="background1" w:themeShade="BF"/>
            </w:tcBorders>
            <w:vAlign w:val="bottom"/>
          </w:tcPr>
          <w:p w14:paraId="3D38E78F" w14:textId="77777777" w:rsidR="00B765ED" w:rsidRPr="00FE10BD" w:rsidRDefault="00B765ED" w:rsidP="00B765ED">
            <w:pPr>
              <w:jc w:val="center"/>
              <w:rPr>
                <w:color w:val="000000"/>
                <w:sz w:val="20"/>
              </w:rPr>
            </w:pPr>
            <w:r w:rsidRPr="00FE10BD">
              <w:rPr>
                <w:color w:val="000000"/>
                <w:sz w:val="20"/>
              </w:rPr>
              <w:t>2037</w:t>
            </w:r>
          </w:p>
        </w:tc>
        <w:tc>
          <w:tcPr>
            <w:tcW w:w="1081" w:type="dxa"/>
            <w:tcBorders>
              <w:top w:val="single" w:sz="4" w:space="0" w:color="BFBFBF" w:themeColor="background1" w:themeShade="BF"/>
              <w:bottom w:val="single" w:sz="4" w:space="0" w:color="BFBFBF" w:themeColor="background1" w:themeShade="BF"/>
            </w:tcBorders>
            <w:vAlign w:val="bottom"/>
          </w:tcPr>
          <w:p w14:paraId="4B18211B" w14:textId="77777777" w:rsidR="00B765ED" w:rsidRPr="00FE10BD" w:rsidRDefault="00B765ED" w:rsidP="00B765ED">
            <w:pPr>
              <w:jc w:val="center"/>
              <w:rPr>
                <w:color w:val="000000"/>
                <w:sz w:val="20"/>
              </w:rPr>
            </w:pPr>
            <w:r w:rsidRPr="00FE10BD">
              <w:rPr>
                <w:color w:val="000000"/>
                <w:sz w:val="20"/>
              </w:rPr>
              <w:t>1837.03</w:t>
            </w:r>
          </w:p>
        </w:tc>
      </w:tr>
      <w:tr w:rsidR="00B765ED" w14:paraId="6E53687C" w14:textId="77777777" w:rsidTr="00E40E0D">
        <w:tc>
          <w:tcPr>
            <w:tcW w:w="2682" w:type="dxa"/>
            <w:tcBorders>
              <w:bottom w:val="double" w:sz="4" w:space="0" w:color="auto"/>
            </w:tcBorders>
          </w:tcPr>
          <w:p w14:paraId="58D7BD7E" w14:textId="77777777" w:rsidR="00B765ED" w:rsidRPr="00FE10BD" w:rsidRDefault="00B765ED" w:rsidP="00B765ED">
            <w:pPr>
              <w:jc w:val="right"/>
              <w:rPr>
                <w:sz w:val="20"/>
              </w:rPr>
            </w:pPr>
            <w:r w:rsidRPr="00FE10BD">
              <w:rPr>
                <w:sz w:val="20"/>
              </w:rPr>
              <w:t>Europe</w:t>
            </w:r>
          </w:p>
        </w:tc>
        <w:tc>
          <w:tcPr>
            <w:tcW w:w="978" w:type="dxa"/>
            <w:tcBorders>
              <w:top w:val="single" w:sz="4" w:space="0" w:color="BFBFBF" w:themeColor="background1" w:themeShade="BF"/>
              <w:bottom w:val="double" w:sz="4" w:space="0" w:color="auto"/>
            </w:tcBorders>
            <w:vAlign w:val="bottom"/>
          </w:tcPr>
          <w:p w14:paraId="678D631D" w14:textId="77777777" w:rsidR="00B765ED" w:rsidRPr="00FE10BD" w:rsidRDefault="00B765ED" w:rsidP="00B765ED">
            <w:pPr>
              <w:jc w:val="center"/>
              <w:rPr>
                <w:color w:val="000000"/>
                <w:sz w:val="20"/>
              </w:rPr>
            </w:pPr>
            <w:r w:rsidRPr="00FE10BD">
              <w:rPr>
                <w:color w:val="000000"/>
                <w:sz w:val="20"/>
              </w:rPr>
              <w:t>1</w:t>
            </w:r>
          </w:p>
        </w:tc>
        <w:tc>
          <w:tcPr>
            <w:tcW w:w="1017" w:type="dxa"/>
            <w:tcBorders>
              <w:top w:val="single" w:sz="4" w:space="0" w:color="BFBFBF" w:themeColor="background1" w:themeShade="BF"/>
              <w:bottom w:val="double" w:sz="4" w:space="0" w:color="auto"/>
              <w:right w:val="single" w:sz="4" w:space="0" w:color="auto"/>
            </w:tcBorders>
            <w:vAlign w:val="bottom"/>
          </w:tcPr>
          <w:p w14:paraId="36202F4B" w14:textId="77777777" w:rsidR="00B765ED" w:rsidRPr="00FE10BD" w:rsidRDefault="00B765ED" w:rsidP="00B765ED">
            <w:pPr>
              <w:jc w:val="center"/>
              <w:rPr>
                <w:color w:val="000000"/>
                <w:sz w:val="20"/>
              </w:rPr>
            </w:pPr>
            <w:r w:rsidRPr="00FE10BD">
              <w:rPr>
                <w:color w:val="000000"/>
                <w:sz w:val="20"/>
              </w:rPr>
              <w:t>0.82</w:t>
            </w:r>
          </w:p>
        </w:tc>
        <w:tc>
          <w:tcPr>
            <w:tcW w:w="1111" w:type="dxa"/>
            <w:tcBorders>
              <w:top w:val="single" w:sz="4" w:space="0" w:color="BFBFBF" w:themeColor="background1" w:themeShade="BF"/>
              <w:left w:val="single" w:sz="4" w:space="0" w:color="auto"/>
              <w:bottom w:val="double" w:sz="4" w:space="0" w:color="auto"/>
            </w:tcBorders>
            <w:vAlign w:val="bottom"/>
          </w:tcPr>
          <w:p w14:paraId="0BC32F55" w14:textId="77777777" w:rsidR="00B765ED" w:rsidRPr="00FE10BD" w:rsidRDefault="00B765ED" w:rsidP="00B765ED">
            <w:pPr>
              <w:jc w:val="center"/>
              <w:rPr>
                <w:color w:val="000000"/>
                <w:sz w:val="20"/>
              </w:rPr>
            </w:pPr>
            <w:r w:rsidRPr="00FE10BD">
              <w:rPr>
                <w:color w:val="000000"/>
                <w:sz w:val="20"/>
              </w:rPr>
              <w:t>1</w:t>
            </w:r>
          </w:p>
        </w:tc>
        <w:tc>
          <w:tcPr>
            <w:tcW w:w="1017" w:type="dxa"/>
            <w:tcBorders>
              <w:top w:val="single" w:sz="4" w:space="0" w:color="BFBFBF" w:themeColor="background1" w:themeShade="BF"/>
              <w:bottom w:val="double" w:sz="4" w:space="0" w:color="auto"/>
              <w:right w:val="single" w:sz="4" w:space="0" w:color="auto"/>
            </w:tcBorders>
            <w:vAlign w:val="bottom"/>
          </w:tcPr>
          <w:p w14:paraId="59FB969C" w14:textId="77777777" w:rsidR="00B765ED" w:rsidRPr="00FE10BD" w:rsidRDefault="00B765ED" w:rsidP="00B765ED">
            <w:pPr>
              <w:jc w:val="center"/>
              <w:rPr>
                <w:color w:val="000000"/>
                <w:sz w:val="20"/>
              </w:rPr>
            </w:pPr>
            <w:r w:rsidRPr="00FE10BD">
              <w:rPr>
                <w:color w:val="000000"/>
                <w:sz w:val="20"/>
              </w:rPr>
              <w:t>0.47</w:t>
            </w:r>
          </w:p>
        </w:tc>
        <w:tc>
          <w:tcPr>
            <w:tcW w:w="1130" w:type="dxa"/>
            <w:tcBorders>
              <w:top w:val="single" w:sz="4" w:space="0" w:color="BFBFBF" w:themeColor="background1" w:themeShade="BF"/>
              <w:left w:val="single" w:sz="4" w:space="0" w:color="auto"/>
              <w:bottom w:val="double" w:sz="4" w:space="0" w:color="auto"/>
            </w:tcBorders>
            <w:vAlign w:val="bottom"/>
          </w:tcPr>
          <w:p w14:paraId="23CDCA7F" w14:textId="77777777" w:rsidR="00B765ED" w:rsidRPr="00FE10BD" w:rsidRDefault="00B765ED" w:rsidP="00B765ED">
            <w:pPr>
              <w:jc w:val="center"/>
              <w:rPr>
                <w:color w:val="000000"/>
                <w:sz w:val="20"/>
              </w:rPr>
            </w:pPr>
            <w:r w:rsidRPr="00FE10BD">
              <w:rPr>
                <w:color w:val="000000"/>
                <w:sz w:val="20"/>
              </w:rPr>
              <w:t>1</w:t>
            </w:r>
          </w:p>
        </w:tc>
        <w:tc>
          <w:tcPr>
            <w:tcW w:w="1081" w:type="dxa"/>
            <w:tcBorders>
              <w:top w:val="single" w:sz="4" w:space="0" w:color="BFBFBF" w:themeColor="background1" w:themeShade="BF"/>
              <w:bottom w:val="double" w:sz="4" w:space="0" w:color="auto"/>
            </w:tcBorders>
            <w:vAlign w:val="bottom"/>
          </w:tcPr>
          <w:p w14:paraId="28DE2C3A" w14:textId="77777777" w:rsidR="00B765ED" w:rsidRPr="00FE10BD" w:rsidRDefault="00B765ED" w:rsidP="00B765ED">
            <w:pPr>
              <w:jc w:val="center"/>
              <w:rPr>
                <w:color w:val="000000"/>
                <w:sz w:val="20"/>
              </w:rPr>
            </w:pPr>
            <w:r w:rsidRPr="00FE10BD">
              <w:rPr>
                <w:color w:val="000000"/>
                <w:sz w:val="20"/>
              </w:rPr>
              <w:t>0.91</w:t>
            </w:r>
          </w:p>
        </w:tc>
      </w:tr>
    </w:tbl>
    <w:p w14:paraId="10DC5ED3" w14:textId="77777777" w:rsidR="00A27A9B" w:rsidRDefault="00A27A9B" w:rsidP="0067749B">
      <w:pPr>
        <w:spacing w:after="0"/>
      </w:pPr>
    </w:p>
    <w:p w14:paraId="712E8F34" w14:textId="77777777" w:rsidR="00E40E0D" w:rsidRPr="00F8217C" w:rsidRDefault="00E40E0D" w:rsidP="00B40EA4">
      <w:pPr>
        <w:spacing w:after="0"/>
        <w:jc w:val="both"/>
        <w:rPr>
          <w:sz w:val="22"/>
        </w:rPr>
      </w:pPr>
      <w:r w:rsidRPr="00F8217C">
        <w:rPr>
          <w:sz w:val="22"/>
        </w:rPr>
        <w:t>Figure 3 reports the composition of synthetic control groups for the selected treated regions.</w:t>
      </w:r>
      <w:r w:rsidRPr="00F8217C">
        <w:rPr>
          <w:rStyle w:val="Sprotnaopomba-sklic"/>
          <w:sz w:val="22"/>
        </w:rPr>
        <w:footnoteReference w:id="12"/>
      </w:r>
      <w:r w:rsidRPr="00F8217C">
        <w:rPr>
          <w:sz w:val="22"/>
        </w:rPr>
        <w:t xml:space="preserve"> In spite of the numerous similarities, several differences are perceptible in the composition of control groups between the treated regions. For instance, the </w:t>
      </w:r>
      <w:r w:rsidR="009F2D0F" w:rsidRPr="00F8217C">
        <w:rPr>
          <w:sz w:val="22"/>
        </w:rPr>
        <w:t>voice and accountability</w:t>
      </w:r>
      <w:r w:rsidRPr="00F8217C">
        <w:rPr>
          <w:sz w:val="22"/>
        </w:rPr>
        <w:t xml:space="preserve"> trajectory of Littoral-Carso in the pre-instability period is best reproduced as a convex combination of the implied attributes of </w:t>
      </w:r>
      <w:r w:rsidR="009F2D0F" w:rsidRPr="00F8217C">
        <w:rPr>
          <w:sz w:val="22"/>
        </w:rPr>
        <w:t xml:space="preserve">Midland Ireland (24 percent), Madeira (13 percent), Burgenland (18 percent), </w:t>
      </w:r>
      <w:r w:rsidR="00D13A43" w:rsidRPr="00F8217C">
        <w:rPr>
          <w:sz w:val="22"/>
        </w:rPr>
        <w:t xml:space="preserve">Aomori (14 percent), Porto (11 percent), Gaborone (11 percent), Regiao de Leiria (4 percent), Azores (4 percent) and Kagawa (&lt;1 percent). Taken altogether, 41 percent of the control group consists of Portuguese intermunicipal </w:t>
      </w:r>
      <w:r w:rsidR="00D13A43" w:rsidRPr="00F8217C">
        <w:rPr>
          <w:sz w:val="22"/>
        </w:rPr>
        <w:lastRenderedPageBreak/>
        <w:t xml:space="preserve">regions, followed by Irish regions (24 percent), Austrian federal states (18 percent), Japanese prefectures (15 percent) and </w:t>
      </w:r>
      <w:r w:rsidR="00F8217C" w:rsidRPr="00F8217C">
        <w:rPr>
          <w:sz w:val="22"/>
        </w:rPr>
        <w:t>Botswanan</w:t>
      </w:r>
      <w:r w:rsidR="00D13A43" w:rsidRPr="00F8217C">
        <w:rPr>
          <w:sz w:val="22"/>
        </w:rPr>
        <w:t xml:space="preserve"> districts, particularly Gaborone City (11 percent). In a similar vein, </w:t>
      </w:r>
      <w:r w:rsidR="00B40EA4" w:rsidRPr="00F8217C">
        <w:rPr>
          <w:sz w:val="22"/>
        </w:rPr>
        <w:t xml:space="preserve">the rule of law trajectory of Central Slovenia prior to the political instability is best synthesized as convex combination of institutional development and the auxiliary characteristics of Madeira (66 percent), Saitama (13 percent), Southwest Ireland (11 percent), Tottori (7 percent), and Gotland (3 percent), respectively. Furthermore, the control of corruption trajectory of Drava region before the instability period appears to be best reproduced as linear combination of the implied characteristics of </w:t>
      </w:r>
      <w:proofErr w:type="gramStart"/>
      <w:r w:rsidR="00B40EA4" w:rsidRPr="00F8217C">
        <w:rPr>
          <w:sz w:val="22"/>
        </w:rPr>
        <w:t>South West</w:t>
      </w:r>
      <w:proofErr w:type="gramEnd"/>
      <w:r w:rsidR="00B40EA4" w:rsidRPr="00F8217C">
        <w:rPr>
          <w:sz w:val="22"/>
        </w:rPr>
        <w:t xml:space="preserve"> Ireland (76 percent), Medio Tejo (15 percent) and Ghanzi (10 percent). In terms of further example, the composition of synthetic control group for Upper Carniola’s trajectory of regulatory quality is similar and appears to be dominated by Irish regions, followed by one Botswana’s district (Ngamiland) and one Portuguese intermunicipal region (Ave/Braga) where the combined total weight share of Irish regions is around 80 percent. </w:t>
      </w:r>
    </w:p>
    <w:p w14:paraId="2238B3D4" w14:textId="77777777" w:rsidR="00E40E0D" w:rsidRPr="00F8217C" w:rsidRDefault="00E40E0D" w:rsidP="0067749B">
      <w:pPr>
        <w:spacing w:after="0"/>
        <w:rPr>
          <w:sz w:val="22"/>
        </w:rPr>
      </w:pPr>
    </w:p>
    <w:p w14:paraId="7457A241" w14:textId="77777777" w:rsidR="005F5983" w:rsidRPr="00F8217C" w:rsidRDefault="005F5983" w:rsidP="0067749B">
      <w:pPr>
        <w:spacing w:after="0"/>
        <w:rPr>
          <w:sz w:val="22"/>
        </w:rPr>
      </w:pPr>
      <w:r w:rsidRPr="00F8217C">
        <w:rPr>
          <w:b/>
          <w:sz w:val="22"/>
        </w:rPr>
        <w:t>Figure</w:t>
      </w:r>
      <w:r w:rsidR="00E40E0D" w:rsidRPr="00F8217C">
        <w:rPr>
          <w:b/>
          <w:sz w:val="22"/>
        </w:rPr>
        <w:t xml:space="preserve"> 3</w:t>
      </w:r>
      <w:r w:rsidRPr="00F8217C">
        <w:rPr>
          <w:sz w:val="22"/>
        </w:rPr>
        <w:t xml:space="preserve">: </w:t>
      </w:r>
      <w:r w:rsidR="00E40E0D" w:rsidRPr="00F8217C">
        <w:rPr>
          <w:sz w:val="22"/>
        </w:rPr>
        <w:t>Composition of region-level synthetic control groups</w:t>
      </w:r>
    </w:p>
    <w:p w14:paraId="60F89A70" w14:textId="77777777" w:rsidR="005F5983" w:rsidRDefault="009F2D0F" w:rsidP="0067749B">
      <w:pPr>
        <w:spacing w:after="0"/>
      </w:pPr>
      <w:r w:rsidRPr="009F2D0F">
        <w:rPr>
          <w:noProof/>
          <w:lang w:eastAsia="en-GB"/>
        </w:rPr>
        <w:drawing>
          <wp:inline distT="0" distB="0" distL="0" distR="0" wp14:anchorId="7E86CF65" wp14:editId="14CF621C">
            <wp:extent cx="4018133" cy="2921000"/>
            <wp:effectExtent l="0" t="0" r="1905"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4019864" cy="2922259"/>
                    </a:xfrm>
                    <a:prstGeom prst="rect">
                      <a:avLst/>
                    </a:prstGeom>
                    <a:noFill/>
                    <a:ln>
                      <a:noFill/>
                    </a:ln>
                  </pic:spPr>
                </pic:pic>
              </a:graphicData>
            </a:graphic>
          </wp:inline>
        </w:drawing>
      </w:r>
    </w:p>
    <w:p w14:paraId="3C499A39" w14:textId="77777777" w:rsidR="00522A8F" w:rsidRDefault="00522A8F" w:rsidP="0067749B">
      <w:pPr>
        <w:spacing w:after="0"/>
      </w:pPr>
    </w:p>
    <w:p w14:paraId="6EAE46E2" w14:textId="77777777" w:rsidR="00522A8F" w:rsidRPr="00F8217C" w:rsidRDefault="00522A8F" w:rsidP="009877F7">
      <w:pPr>
        <w:spacing w:after="0"/>
        <w:jc w:val="both"/>
        <w:rPr>
          <w:sz w:val="22"/>
        </w:rPr>
      </w:pPr>
      <w:r w:rsidRPr="00F8217C">
        <w:rPr>
          <w:sz w:val="22"/>
        </w:rPr>
        <w:t>Figure 4 reports synthetic control estimates of the institutional quality effect of political instability. More specifically, the figure reports the quality effect of instability for each of the five outcomes by displaying the mean effect for the full post-treatment period alongside 95 percent confidence bounds. Thus, the vertical axis exhibits the institutional quality gap between the treated region and its synthetic peer. The estimates indicate plausible evidence of the pervasive institutional quality breakdown induced by the political instability. The estimated effect of instability on voice and accountability appears to be temporary. Whilst the respective trajectory decreases markedly in the early post-instability period, it tends to rebound back to the pre-instability level in the end-of-sample years.</w:t>
      </w:r>
      <w:r w:rsidR="009877F7" w:rsidRPr="00F8217C">
        <w:rPr>
          <w:sz w:val="22"/>
        </w:rPr>
        <w:t xml:space="preserve"> This </w:t>
      </w:r>
      <w:proofErr w:type="gramStart"/>
      <w:r w:rsidR="009877F7" w:rsidRPr="00F8217C">
        <w:rPr>
          <w:sz w:val="22"/>
        </w:rPr>
        <w:t>indicate</w:t>
      </w:r>
      <w:proofErr w:type="gramEnd"/>
      <w:r w:rsidR="009877F7" w:rsidRPr="00F8217C">
        <w:rPr>
          <w:sz w:val="22"/>
        </w:rPr>
        <w:t xml:space="preserve"> a sharp temporary effect of instability instead of its permanency. We also find evidence of the pervasive deterioration of the rule of law in response to the instability. After 2008, the rule of law trajectory appears to improve modestly followed by a rapid drop, which tends to amplify in the end-of-sample year. Pointwise, the average treatment effect of political instability on the treated amounts to -0.2 basis points in the end-of-sample year, respectively. The evidence based on synthetic control analysis also uncovers substantial deterioration of government effectiveness in the post-instability years. </w:t>
      </w:r>
      <w:proofErr w:type="gramStart"/>
      <w:r w:rsidR="009877F7" w:rsidRPr="00F8217C">
        <w:rPr>
          <w:sz w:val="22"/>
        </w:rPr>
        <w:t>In spite of</w:t>
      </w:r>
      <w:proofErr w:type="gramEnd"/>
      <w:r w:rsidR="009877F7" w:rsidRPr="00F8217C">
        <w:rPr>
          <w:sz w:val="22"/>
        </w:rPr>
        <w:t xml:space="preserve"> somewhat markedly lower gap behind the synthetic peers after 2015, the upper and lower bound of the confidence interval are firmly below zero, indicating an arguably strong and pervasive effect of instability on the ability of the government to effectively formulate and implement sound policies. The estimated gaps of regulatory quality are similarly negative in the entire post-treatment period, indicating </w:t>
      </w:r>
      <w:r w:rsidR="009877F7" w:rsidRPr="00F8217C">
        <w:rPr>
          <w:sz w:val="22"/>
        </w:rPr>
        <w:lastRenderedPageBreak/>
        <w:t xml:space="preserve">a large regulatory quality cost associated with political instability. Furthermore, the synthetic control estimates indicate a pervasive and rigorous deterioration of the control of corruption. Whilst the gap between the treated regions and their synthetic peers appears to be both indiscernible and imperceptible in the pre-treatment period, the average treatment effect on the treated with respect to corruption control is both immediate, </w:t>
      </w:r>
      <w:proofErr w:type="gramStart"/>
      <w:r w:rsidR="009877F7" w:rsidRPr="00F8217C">
        <w:rPr>
          <w:sz w:val="22"/>
        </w:rPr>
        <w:t>large</w:t>
      </w:r>
      <w:proofErr w:type="gramEnd"/>
      <w:r w:rsidR="009877F7" w:rsidRPr="00F8217C">
        <w:rPr>
          <w:sz w:val="22"/>
        </w:rPr>
        <w:t xml:space="preserve"> and pervasive. The control of corruption trajectory of </w:t>
      </w:r>
      <w:r w:rsidR="004C0E33" w:rsidRPr="00F8217C">
        <w:rPr>
          <w:sz w:val="22"/>
        </w:rPr>
        <w:t>the treated regions deviates substantially from its synthetic benchmark in a considerable manner. The deterioration of the trajectory continues unabated and appears to be large. In the end-of-sample year, the average treatment effect of instability on the institutional quality amounts to -0.35 basis points and seems to be large and ubiquitous.</w:t>
      </w:r>
    </w:p>
    <w:p w14:paraId="2EE24590" w14:textId="77777777" w:rsidR="009877F7" w:rsidRPr="00522A8F" w:rsidRDefault="009877F7" w:rsidP="009877F7">
      <w:pPr>
        <w:spacing w:after="0"/>
        <w:jc w:val="both"/>
        <w:rPr>
          <w:sz w:val="24"/>
          <w:szCs w:val="24"/>
        </w:rPr>
      </w:pPr>
    </w:p>
    <w:p w14:paraId="399369B9" w14:textId="77777777" w:rsidR="00347997" w:rsidRPr="00F8217C" w:rsidRDefault="00A27A9B" w:rsidP="0067749B">
      <w:pPr>
        <w:spacing w:after="0"/>
        <w:rPr>
          <w:sz w:val="22"/>
        </w:rPr>
      </w:pPr>
      <w:r w:rsidRPr="00F8217C">
        <w:rPr>
          <w:b/>
          <w:sz w:val="22"/>
        </w:rPr>
        <w:t>Figure</w:t>
      </w:r>
      <w:r w:rsidR="004C0E33" w:rsidRPr="00F8217C">
        <w:rPr>
          <w:b/>
          <w:sz w:val="22"/>
        </w:rPr>
        <w:t xml:space="preserve"> 4</w:t>
      </w:r>
      <w:r w:rsidRPr="00F8217C">
        <w:rPr>
          <w:sz w:val="22"/>
        </w:rPr>
        <w:t xml:space="preserve">: </w:t>
      </w:r>
      <w:r w:rsidR="004C0E33" w:rsidRPr="00F8217C">
        <w:rPr>
          <w:sz w:val="22"/>
        </w:rPr>
        <w:t>Average treatment effect of political instability on institutional quality of Slovenian regions, 1996-2020</w:t>
      </w:r>
    </w:p>
    <w:p w14:paraId="674BB1D3" w14:textId="77777777" w:rsidR="00A27A9B" w:rsidRDefault="00D1007E" w:rsidP="0067749B">
      <w:pPr>
        <w:spacing w:after="0"/>
      </w:pPr>
      <w:r w:rsidRPr="00D1007E">
        <w:rPr>
          <w:noProof/>
          <w:lang w:eastAsia="en-GB"/>
        </w:rPr>
        <w:drawing>
          <wp:inline distT="0" distB="0" distL="0" distR="0" wp14:anchorId="72F38EEE" wp14:editId="04BF3A99">
            <wp:extent cx="5029200" cy="3657600"/>
            <wp:effectExtent l="0" t="0" r="0" b="0"/>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5029200" cy="3657600"/>
                    </a:xfrm>
                    <a:prstGeom prst="rect">
                      <a:avLst/>
                    </a:prstGeom>
                    <a:noFill/>
                    <a:ln>
                      <a:noFill/>
                    </a:ln>
                  </pic:spPr>
                </pic:pic>
              </a:graphicData>
            </a:graphic>
          </wp:inline>
        </w:drawing>
      </w:r>
    </w:p>
    <w:p w14:paraId="5DF1E0C4" w14:textId="77777777" w:rsidR="00181A0F" w:rsidRPr="009C7369" w:rsidRDefault="00181A0F" w:rsidP="0067749B">
      <w:pPr>
        <w:spacing w:after="0"/>
        <w:rPr>
          <w:sz w:val="24"/>
        </w:rPr>
      </w:pPr>
    </w:p>
    <w:p w14:paraId="2348955F" w14:textId="77777777" w:rsidR="009C7369" w:rsidRPr="00F8217C" w:rsidRDefault="008F2869" w:rsidP="0060745C">
      <w:pPr>
        <w:spacing w:after="0"/>
        <w:jc w:val="both"/>
        <w:rPr>
          <w:sz w:val="22"/>
        </w:rPr>
      </w:pPr>
      <w:r w:rsidRPr="00F8217C">
        <w:rPr>
          <w:sz w:val="22"/>
        </w:rPr>
        <w:t>In Table 3, we compare the contrasts between the pre-treatment and post-treatment effects of political instability for each outco</w:t>
      </w:r>
      <w:r w:rsidR="00947E77" w:rsidRPr="00F8217C">
        <w:rPr>
          <w:sz w:val="22"/>
        </w:rPr>
        <w:t xml:space="preserve">me variable. More specifically, in the presence of weak effects of instability, the pre-treatment effects and post-treatment effects should be roughly equal with the difference being statistically indistinguishable from zero. However, if the political instability triggers a discernible shift in the trajectories of institutional quality, the differences in the estimated post-treatment and pre-treatment effects should be both apparent and statistically significant. Three different implications emanate from these comparisons. First, Chow test statistics on the equality of coefficients before and after the instability shock indicates ample evidence of the structural break in each outcome, indicating a marked shift in the trajectories of institutional quality. The resulting p-values are uniformly within 1 percent significance </w:t>
      </w:r>
      <w:r w:rsidR="00F8217C" w:rsidRPr="00F8217C">
        <w:rPr>
          <w:sz w:val="22"/>
        </w:rPr>
        <w:t>threshold, which</w:t>
      </w:r>
      <w:r w:rsidR="00947E77" w:rsidRPr="00F8217C">
        <w:rPr>
          <w:sz w:val="22"/>
        </w:rPr>
        <w:t xml:space="preserve"> implies that the political instability has indeed triggered a differential trend in the post-treatment quality trajectory compared to the synthetic benchmark</w:t>
      </w:r>
      <w:r w:rsidR="0060745C" w:rsidRPr="00F8217C">
        <w:rPr>
          <w:sz w:val="22"/>
        </w:rPr>
        <w:t xml:space="preserve"> (</w:t>
      </w:r>
      <w:r w:rsidR="0060745C" w:rsidRPr="00C81585">
        <w:rPr>
          <w:color w:val="4472C4" w:themeColor="accent5"/>
          <w:sz w:val="22"/>
        </w:rPr>
        <w:t>Spruk and Kovac 2020</w:t>
      </w:r>
      <w:r w:rsidR="0060745C" w:rsidRPr="00F8217C">
        <w:rPr>
          <w:sz w:val="22"/>
        </w:rPr>
        <w:t>)</w:t>
      </w:r>
      <w:r w:rsidR="00947E77" w:rsidRPr="00F8217C">
        <w:rPr>
          <w:sz w:val="22"/>
        </w:rPr>
        <w:t>. Second, a simple te</w:t>
      </w:r>
      <w:r w:rsidR="0060745C" w:rsidRPr="00F8217C">
        <w:rPr>
          <w:sz w:val="22"/>
        </w:rPr>
        <w:t xml:space="preserve">st of parallel trend assumption in the spirit of </w:t>
      </w:r>
      <w:r w:rsidR="0060745C" w:rsidRPr="00C81585">
        <w:rPr>
          <w:color w:val="4472C4" w:themeColor="accent5"/>
          <w:sz w:val="22"/>
        </w:rPr>
        <w:t>Muralidharan and Prakash (2017)</w:t>
      </w:r>
      <w:r w:rsidR="0060745C" w:rsidRPr="00F8217C">
        <w:rPr>
          <w:sz w:val="22"/>
        </w:rPr>
        <w:t xml:space="preserve"> is performed to examine whether the trends in the gap between the observed and synthesized trajectories of institutional quality are parallel in the pre-treatment period. It should be noted that our test concerns parallel trends in the trajectories of institutional quality gaps compared to the trajectories in the donor pool. Non-parallel trajectories’ trends may indicate either large predictive </w:t>
      </w:r>
      <w:r w:rsidR="0060745C" w:rsidRPr="00F8217C">
        <w:rPr>
          <w:sz w:val="22"/>
        </w:rPr>
        <w:lastRenderedPageBreak/>
        <w:t xml:space="preserve">discrepancy between the treated regions and their synthetic peers, which may invoke the presence of policy shocks distinctive from political instability. In each model specification, we reject the null hypothesis of no parallel trends between the treated regions and their synthetic peers at 1% significance threshold, which implies that institutional quality gap at the regional level is plausibly captured by the trends in the synthetic control group. Lastly, another test we conduct </w:t>
      </w:r>
      <w:r w:rsidR="00D1534B" w:rsidRPr="00F8217C">
        <w:rPr>
          <w:sz w:val="22"/>
        </w:rPr>
        <w:t xml:space="preserve">is to see if in the anticipation of political instability, the treatment and control group change their institutional quality behaviour. </w:t>
      </w:r>
      <w:r w:rsidR="00AA3683" w:rsidRPr="00F8217C">
        <w:rPr>
          <w:sz w:val="22"/>
        </w:rPr>
        <w:t xml:space="preserve">In the presence of discernible anticipation effect, the estimated effects of political instability would be questionable at best. The evidence largely confirms the absence of the anticipation effects in each institutional quality outcome in the treatment and control group prior to the instability shock. The resulting p-value is high in each </w:t>
      </w:r>
      <w:proofErr w:type="gramStart"/>
      <w:r w:rsidR="00AA3683" w:rsidRPr="00F8217C">
        <w:rPr>
          <w:sz w:val="22"/>
        </w:rPr>
        <w:t>outcomes</w:t>
      </w:r>
      <w:proofErr w:type="gramEnd"/>
      <w:r w:rsidR="00AA3683" w:rsidRPr="00F8217C">
        <w:rPr>
          <w:sz w:val="22"/>
        </w:rPr>
        <w:t xml:space="preserve"> even when the significance threshold is set at artificially elevated levels, which implies that the null hypothesis of no effect in treatment anticipation cannot be rejected. Taken together, the tests readily suggest that synthetic control estimates plausibly capture the effect of political instability on institutional quality.</w:t>
      </w:r>
      <w:r w:rsidR="00F8217C">
        <w:rPr>
          <w:sz w:val="22"/>
        </w:rPr>
        <w:t xml:space="preserve"> No rejection of the null hypothesis also implies that the resulting post-treatment gap in the institutional quality is unlikely to be driven by the alternative political or structural shocks. If the null hypothesis were rejected, the hypothetical possibility of other shocks </w:t>
      </w:r>
      <w:r w:rsidR="004A2AF3">
        <w:rPr>
          <w:sz w:val="22"/>
        </w:rPr>
        <w:t>influencing</w:t>
      </w:r>
      <w:r w:rsidR="00F8217C">
        <w:rPr>
          <w:sz w:val="22"/>
        </w:rPr>
        <w:t xml:space="preserve"> the institutional quality trajectory would become more feasible to discuss.</w:t>
      </w:r>
    </w:p>
    <w:p w14:paraId="32973302" w14:textId="77777777" w:rsidR="009C7369" w:rsidRPr="009C7369" w:rsidRDefault="009C7369" w:rsidP="0067749B">
      <w:pPr>
        <w:spacing w:after="0"/>
        <w:rPr>
          <w:sz w:val="24"/>
        </w:rPr>
      </w:pPr>
    </w:p>
    <w:p w14:paraId="6D8C90DE" w14:textId="77777777" w:rsidR="00181A0F" w:rsidRPr="00F8217C" w:rsidRDefault="00181A0F" w:rsidP="00F8217C">
      <w:pPr>
        <w:spacing w:after="0" w:line="240" w:lineRule="auto"/>
        <w:rPr>
          <w:sz w:val="22"/>
          <w:szCs w:val="24"/>
        </w:rPr>
      </w:pPr>
      <w:r w:rsidRPr="00F8217C">
        <w:rPr>
          <w:b/>
          <w:sz w:val="22"/>
          <w:szCs w:val="24"/>
        </w:rPr>
        <w:t>Table</w:t>
      </w:r>
      <w:r w:rsidR="0060745C" w:rsidRPr="00F8217C">
        <w:rPr>
          <w:b/>
          <w:sz w:val="22"/>
          <w:szCs w:val="24"/>
        </w:rPr>
        <w:t xml:space="preserve"> 3</w:t>
      </w:r>
      <w:r w:rsidRPr="00F8217C">
        <w:rPr>
          <w:sz w:val="22"/>
          <w:szCs w:val="24"/>
        </w:rPr>
        <w:t xml:space="preserve">: Testing </w:t>
      </w:r>
      <w:r w:rsidR="008F2869" w:rsidRPr="00F8217C">
        <w:rPr>
          <w:sz w:val="22"/>
          <w:szCs w:val="24"/>
        </w:rPr>
        <w:t xml:space="preserve">structural break, parallel trends, </w:t>
      </w:r>
      <w:r w:rsidR="009C7369" w:rsidRPr="00F8217C">
        <w:rPr>
          <w:sz w:val="22"/>
          <w:szCs w:val="24"/>
        </w:rPr>
        <w:t xml:space="preserve">and </w:t>
      </w:r>
      <w:r w:rsidRPr="00F8217C">
        <w:rPr>
          <w:sz w:val="22"/>
          <w:szCs w:val="24"/>
        </w:rPr>
        <w:t>treatment anticipation effects</w:t>
      </w:r>
    </w:p>
    <w:tbl>
      <w:tblPr>
        <w:tblStyle w:val="Tabelamrea"/>
        <w:tblW w:w="0" w:type="auto"/>
        <w:tblLook w:val="04A0" w:firstRow="1" w:lastRow="0" w:firstColumn="1" w:lastColumn="0" w:noHBand="0" w:noVBand="1"/>
      </w:tblPr>
      <w:tblGrid>
        <w:gridCol w:w="1502"/>
        <w:gridCol w:w="1502"/>
        <w:gridCol w:w="1503"/>
        <w:gridCol w:w="1503"/>
        <w:gridCol w:w="1503"/>
        <w:gridCol w:w="1503"/>
      </w:tblGrid>
      <w:tr w:rsidR="00181A0F" w:rsidRPr="00AA3683" w14:paraId="3D7CB6A9" w14:textId="77777777" w:rsidTr="007171CA">
        <w:tc>
          <w:tcPr>
            <w:tcW w:w="1502" w:type="dxa"/>
            <w:tcBorders>
              <w:top w:val="double" w:sz="4" w:space="0" w:color="auto"/>
              <w:left w:val="nil"/>
              <w:bottom w:val="nil"/>
              <w:right w:val="nil"/>
            </w:tcBorders>
          </w:tcPr>
          <w:p w14:paraId="449E76E1" w14:textId="77777777" w:rsidR="00181A0F" w:rsidRPr="00F8217C" w:rsidRDefault="00181A0F" w:rsidP="00181A0F">
            <w:pPr>
              <w:rPr>
                <w:sz w:val="20"/>
              </w:rPr>
            </w:pPr>
          </w:p>
        </w:tc>
        <w:tc>
          <w:tcPr>
            <w:tcW w:w="1502" w:type="dxa"/>
            <w:tcBorders>
              <w:top w:val="double" w:sz="4" w:space="0" w:color="auto"/>
              <w:left w:val="nil"/>
              <w:bottom w:val="single" w:sz="4" w:space="0" w:color="auto"/>
              <w:right w:val="nil"/>
            </w:tcBorders>
          </w:tcPr>
          <w:p w14:paraId="0E4374AD" w14:textId="77777777" w:rsidR="00181A0F" w:rsidRPr="00F8217C" w:rsidRDefault="00181A0F" w:rsidP="00181A0F">
            <w:pPr>
              <w:jc w:val="center"/>
              <w:rPr>
                <w:sz w:val="20"/>
              </w:rPr>
            </w:pPr>
            <w:r w:rsidRPr="00F8217C">
              <w:rPr>
                <w:sz w:val="20"/>
              </w:rPr>
              <w:t>Voice and accountability</w:t>
            </w:r>
          </w:p>
        </w:tc>
        <w:tc>
          <w:tcPr>
            <w:tcW w:w="1503" w:type="dxa"/>
            <w:tcBorders>
              <w:top w:val="double" w:sz="4" w:space="0" w:color="auto"/>
              <w:left w:val="nil"/>
              <w:bottom w:val="single" w:sz="4" w:space="0" w:color="auto"/>
              <w:right w:val="nil"/>
            </w:tcBorders>
          </w:tcPr>
          <w:p w14:paraId="4CDFC9A5" w14:textId="77777777" w:rsidR="00181A0F" w:rsidRPr="00F8217C" w:rsidRDefault="00181A0F" w:rsidP="00181A0F">
            <w:pPr>
              <w:jc w:val="center"/>
              <w:rPr>
                <w:sz w:val="20"/>
              </w:rPr>
            </w:pPr>
            <w:r w:rsidRPr="00F8217C">
              <w:rPr>
                <w:sz w:val="20"/>
              </w:rPr>
              <w:t>Rule of law</w:t>
            </w:r>
          </w:p>
        </w:tc>
        <w:tc>
          <w:tcPr>
            <w:tcW w:w="1503" w:type="dxa"/>
            <w:tcBorders>
              <w:top w:val="double" w:sz="4" w:space="0" w:color="auto"/>
              <w:left w:val="nil"/>
              <w:bottom w:val="single" w:sz="4" w:space="0" w:color="auto"/>
              <w:right w:val="nil"/>
            </w:tcBorders>
          </w:tcPr>
          <w:p w14:paraId="40478CA4" w14:textId="77777777" w:rsidR="00181A0F" w:rsidRPr="00F8217C" w:rsidRDefault="00181A0F" w:rsidP="00181A0F">
            <w:pPr>
              <w:jc w:val="center"/>
              <w:rPr>
                <w:sz w:val="20"/>
              </w:rPr>
            </w:pPr>
            <w:r w:rsidRPr="00F8217C">
              <w:rPr>
                <w:sz w:val="20"/>
              </w:rPr>
              <w:t>Government effectiveness</w:t>
            </w:r>
          </w:p>
        </w:tc>
        <w:tc>
          <w:tcPr>
            <w:tcW w:w="1503" w:type="dxa"/>
            <w:tcBorders>
              <w:top w:val="double" w:sz="4" w:space="0" w:color="auto"/>
              <w:left w:val="nil"/>
              <w:bottom w:val="single" w:sz="4" w:space="0" w:color="auto"/>
              <w:right w:val="nil"/>
            </w:tcBorders>
          </w:tcPr>
          <w:p w14:paraId="13EB5748" w14:textId="77777777" w:rsidR="00181A0F" w:rsidRPr="00F8217C" w:rsidRDefault="00181A0F" w:rsidP="00181A0F">
            <w:pPr>
              <w:jc w:val="center"/>
              <w:rPr>
                <w:sz w:val="20"/>
              </w:rPr>
            </w:pPr>
            <w:r w:rsidRPr="00F8217C">
              <w:rPr>
                <w:sz w:val="20"/>
              </w:rPr>
              <w:t>Regulatory quality</w:t>
            </w:r>
          </w:p>
        </w:tc>
        <w:tc>
          <w:tcPr>
            <w:tcW w:w="1503" w:type="dxa"/>
            <w:tcBorders>
              <w:top w:val="double" w:sz="4" w:space="0" w:color="auto"/>
              <w:left w:val="nil"/>
              <w:bottom w:val="single" w:sz="4" w:space="0" w:color="auto"/>
              <w:right w:val="nil"/>
            </w:tcBorders>
          </w:tcPr>
          <w:p w14:paraId="4680279E" w14:textId="77777777" w:rsidR="00181A0F" w:rsidRPr="00F8217C" w:rsidRDefault="00181A0F" w:rsidP="00181A0F">
            <w:pPr>
              <w:jc w:val="center"/>
              <w:rPr>
                <w:sz w:val="20"/>
              </w:rPr>
            </w:pPr>
            <w:r w:rsidRPr="00F8217C">
              <w:rPr>
                <w:sz w:val="20"/>
              </w:rPr>
              <w:t>Control of corruption</w:t>
            </w:r>
          </w:p>
        </w:tc>
      </w:tr>
      <w:tr w:rsidR="00181A0F" w:rsidRPr="00AA3683" w14:paraId="6CD54DA7" w14:textId="77777777" w:rsidTr="007171CA">
        <w:tc>
          <w:tcPr>
            <w:tcW w:w="1502" w:type="dxa"/>
            <w:tcBorders>
              <w:top w:val="nil"/>
              <w:left w:val="nil"/>
              <w:bottom w:val="single" w:sz="4" w:space="0" w:color="auto"/>
              <w:right w:val="nil"/>
            </w:tcBorders>
          </w:tcPr>
          <w:p w14:paraId="74783833" w14:textId="77777777" w:rsidR="00181A0F" w:rsidRPr="00F8217C" w:rsidRDefault="00181A0F" w:rsidP="00181A0F">
            <w:pPr>
              <w:rPr>
                <w:sz w:val="20"/>
              </w:rPr>
            </w:pPr>
          </w:p>
        </w:tc>
        <w:tc>
          <w:tcPr>
            <w:tcW w:w="1502" w:type="dxa"/>
            <w:tcBorders>
              <w:top w:val="single" w:sz="4" w:space="0" w:color="auto"/>
              <w:left w:val="nil"/>
              <w:bottom w:val="single" w:sz="4" w:space="0" w:color="auto"/>
              <w:right w:val="nil"/>
            </w:tcBorders>
          </w:tcPr>
          <w:p w14:paraId="4310EF51" w14:textId="77777777" w:rsidR="00181A0F" w:rsidRPr="00F8217C" w:rsidRDefault="00181A0F" w:rsidP="00181A0F">
            <w:pPr>
              <w:jc w:val="center"/>
              <w:rPr>
                <w:sz w:val="20"/>
              </w:rPr>
            </w:pPr>
            <w:r w:rsidRPr="00F8217C">
              <w:rPr>
                <w:sz w:val="20"/>
              </w:rPr>
              <w:t>(1)</w:t>
            </w:r>
          </w:p>
        </w:tc>
        <w:tc>
          <w:tcPr>
            <w:tcW w:w="1503" w:type="dxa"/>
            <w:tcBorders>
              <w:top w:val="single" w:sz="4" w:space="0" w:color="auto"/>
              <w:left w:val="nil"/>
              <w:bottom w:val="single" w:sz="4" w:space="0" w:color="auto"/>
              <w:right w:val="nil"/>
            </w:tcBorders>
          </w:tcPr>
          <w:p w14:paraId="7BB9DAC0" w14:textId="77777777" w:rsidR="00181A0F" w:rsidRPr="00F8217C" w:rsidRDefault="00181A0F" w:rsidP="00181A0F">
            <w:pPr>
              <w:jc w:val="center"/>
              <w:rPr>
                <w:sz w:val="20"/>
              </w:rPr>
            </w:pPr>
            <w:r w:rsidRPr="00F8217C">
              <w:rPr>
                <w:sz w:val="20"/>
              </w:rPr>
              <w:t>(2)</w:t>
            </w:r>
          </w:p>
        </w:tc>
        <w:tc>
          <w:tcPr>
            <w:tcW w:w="1503" w:type="dxa"/>
            <w:tcBorders>
              <w:top w:val="single" w:sz="4" w:space="0" w:color="auto"/>
              <w:left w:val="nil"/>
              <w:bottom w:val="single" w:sz="4" w:space="0" w:color="auto"/>
              <w:right w:val="nil"/>
            </w:tcBorders>
          </w:tcPr>
          <w:p w14:paraId="240A0045" w14:textId="77777777" w:rsidR="00181A0F" w:rsidRPr="00F8217C" w:rsidRDefault="00181A0F" w:rsidP="00181A0F">
            <w:pPr>
              <w:jc w:val="center"/>
              <w:rPr>
                <w:sz w:val="20"/>
              </w:rPr>
            </w:pPr>
            <w:r w:rsidRPr="00F8217C">
              <w:rPr>
                <w:sz w:val="20"/>
              </w:rPr>
              <w:t>(3)</w:t>
            </w:r>
          </w:p>
        </w:tc>
        <w:tc>
          <w:tcPr>
            <w:tcW w:w="1503" w:type="dxa"/>
            <w:tcBorders>
              <w:top w:val="single" w:sz="4" w:space="0" w:color="auto"/>
              <w:left w:val="nil"/>
              <w:bottom w:val="single" w:sz="4" w:space="0" w:color="auto"/>
              <w:right w:val="nil"/>
            </w:tcBorders>
          </w:tcPr>
          <w:p w14:paraId="2EB92F1C" w14:textId="77777777" w:rsidR="00181A0F" w:rsidRPr="00F8217C" w:rsidRDefault="00181A0F" w:rsidP="00181A0F">
            <w:pPr>
              <w:jc w:val="center"/>
              <w:rPr>
                <w:sz w:val="20"/>
              </w:rPr>
            </w:pPr>
            <w:r w:rsidRPr="00F8217C">
              <w:rPr>
                <w:sz w:val="20"/>
              </w:rPr>
              <w:t>(4)</w:t>
            </w:r>
          </w:p>
        </w:tc>
        <w:tc>
          <w:tcPr>
            <w:tcW w:w="1503" w:type="dxa"/>
            <w:tcBorders>
              <w:top w:val="single" w:sz="4" w:space="0" w:color="auto"/>
              <w:left w:val="nil"/>
              <w:bottom w:val="single" w:sz="4" w:space="0" w:color="auto"/>
              <w:right w:val="nil"/>
            </w:tcBorders>
          </w:tcPr>
          <w:p w14:paraId="1151090F" w14:textId="77777777" w:rsidR="00181A0F" w:rsidRPr="00F8217C" w:rsidRDefault="00181A0F" w:rsidP="00181A0F">
            <w:pPr>
              <w:jc w:val="center"/>
              <w:rPr>
                <w:sz w:val="20"/>
              </w:rPr>
            </w:pPr>
            <w:r w:rsidRPr="00F8217C">
              <w:rPr>
                <w:sz w:val="20"/>
              </w:rPr>
              <w:t>(5)</w:t>
            </w:r>
          </w:p>
        </w:tc>
      </w:tr>
      <w:tr w:rsidR="00181A0F" w:rsidRPr="00AA3683" w14:paraId="7A1E633F" w14:textId="77777777" w:rsidTr="007171CA">
        <w:tc>
          <w:tcPr>
            <w:tcW w:w="9016" w:type="dxa"/>
            <w:gridSpan w:val="6"/>
            <w:tcBorders>
              <w:top w:val="single" w:sz="4" w:space="0" w:color="auto"/>
              <w:left w:val="nil"/>
              <w:bottom w:val="single" w:sz="4" w:space="0" w:color="auto"/>
              <w:right w:val="nil"/>
            </w:tcBorders>
          </w:tcPr>
          <w:p w14:paraId="4E10EB44" w14:textId="77777777" w:rsidR="00181A0F" w:rsidRPr="00F8217C" w:rsidRDefault="00181A0F" w:rsidP="0067749B">
            <w:pPr>
              <w:rPr>
                <w:sz w:val="20"/>
              </w:rPr>
            </w:pPr>
            <w:r w:rsidRPr="00F8217C">
              <w:rPr>
                <w:sz w:val="20"/>
              </w:rPr>
              <w:t>Panel A: Chow structural break test</w:t>
            </w:r>
          </w:p>
        </w:tc>
      </w:tr>
      <w:tr w:rsidR="008320E7" w:rsidRPr="00AA3683" w14:paraId="31438048" w14:textId="77777777" w:rsidTr="007171CA">
        <w:tc>
          <w:tcPr>
            <w:tcW w:w="1502" w:type="dxa"/>
            <w:tcBorders>
              <w:top w:val="single" w:sz="4" w:space="0" w:color="auto"/>
              <w:left w:val="nil"/>
              <w:bottom w:val="single" w:sz="4" w:space="0" w:color="auto"/>
              <w:right w:val="nil"/>
            </w:tcBorders>
          </w:tcPr>
          <w:p w14:paraId="7AD25607" w14:textId="77777777" w:rsidR="008320E7" w:rsidRPr="00F8217C" w:rsidRDefault="008320E7" w:rsidP="00F60A0F">
            <w:pPr>
              <w:jc w:val="right"/>
              <w:rPr>
                <w:sz w:val="20"/>
              </w:rPr>
            </w:pPr>
            <w:r w:rsidRPr="00F8217C">
              <w:rPr>
                <w:sz w:val="20"/>
              </w:rPr>
              <w:t>F-statistics</w:t>
            </w:r>
          </w:p>
          <w:p w14:paraId="723B4B58" w14:textId="77777777" w:rsidR="008320E7" w:rsidRPr="00F8217C" w:rsidRDefault="008320E7" w:rsidP="00F60A0F">
            <w:pPr>
              <w:jc w:val="right"/>
              <w:rPr>
                <w:sz w:val="20"/>
              </w:rPr>
            </w:pPr>
            <w:r w:rsidRPr="00F8217C">
              <w:rPr>
                <w:sz w:val="20"/>
              </w:rPr>
              <w:t>(p-value)</w:t>
            </w:r>
          </w:p>
        </w:tc>
        <w:tc>
          <w:tcPr>
            <w:tcW w:w="1502" w:type="dxa"/>
            <w:tcBorders>
              <w:top w:val="single" w:sz="4" w:space="0" w:color="auto"/>
              <w:left w:val="nil"/>
              <w:bottom w:val="single" w:sz="4" w:space="0" w:color="auto"/>
              <w:right w:val="nil"/>
            </w:tcBorders>
          </w:tcPr>
          <w:p w14:paraId="67C65219" w14:textId="77777777" w:rsidR="008320E7" w:rsidRPr="00F8217C" w:rsidRDefault="008320E7" w:rsidP="008320E7">
            <w:pPr>
              <w:jc w:val="center"/>
              <w:rPr>
                <w:sz w:val="20"/>
              </w:rPr>
            </w:pPr>
            <w:r w:rsidRPr="00F8217C">
              <w:rPr>
                <w:sz w:val="20"/>
              </w:rPr>
              <w:t>[0.000]</w:t>
            </w:r>
          </w:p>
        </w:tc>
        <w:tc>
          <w:tcPr>
            <w:tcW w:w="1503" w:type="dxa"/>
            <w:tcBorders>
              <w:top w:val="single" w:sz="4" w:space="0" w:color="auto"/>
              <w:left w:val="nil"/>
              <w:bottom w:val="single" w:sz="4" w:space="0" w:color="auto"/>
              <w:right w:val="nil"/>
            </w:tcBorders>
          </w:tcPr>
          <w:p w14:paraId="3E486EE9" w14:textId="77777777" w:rsidR="008320E7" w:rsidRPr="00F8217C" w:rsidRDefault="008320E7" w:rsidP="008320E7">
            <w:pPr>
              <w:jc w:val="center"/>
              <w:rPr>
                <w:sz w:val="20"/>
              </w:rPr>
            </w:pPr>
            <w:r w:rsidRPr="00F8217C">
              <w:rPr>
                <w:sz w:val="20"/>
              </w:rPr>
              <w:t>[0.000]</w:t>
            </w:r>
          </w:p>
        </w:tc>
        <w:tc>
          <w:tcPr>
            <w:tcW w:w="1503" w:type="dxa"/>
            <w:tcBorders>
              <w:top w:val="single" w:sz="4" w:space="0" w:color="auto"/>
              <w:left w:val="nil"/>
              <w:bottom w:val="single" w:sz="4" w:space="0" w:color="auto"/>
              <w:right w:val="nil"/>
            </w:tcBorders>
          </w:tcPr>
          <w:p w14:paraId="7BD3B4B6" w14:textId="77777777" w:rsidR="008320E7" w:rsidRPr="00F8217C" w:rsidRDefault="008320E7" w:rsidP="008320E7">
            <w:pPr>
              <w:jc w:val="center"/>
              <w:rPr>
                <w:sz w:val="20"/>
              </w:rPr>
            </w:pPr>
            <w:r w:rsidRPr="00F8217C">
              <w:rPr>
                <w:sz w:val="20"/>
              </w:rPr>
              <w:t>[0.000]</w:t>
            </w:r>
          </w:p>
        </w:tc>
        <w:tc>
          <w:tcPr>
            <w:tcW w:w="1503" w:type="dxa"/>
            <w:tcBorders>
              <w:top w:val="single" w:sz="4" w:space="0" w:color="auto"/>
              <w:left w:val="nil"/>
              <w:bottom w:val="single" w:sz="4" w:space="0" w:color="auto"/>
              <w:right w:val="nil"/>
            </w:tcBorders>
          </w:tcPr>
          <w:p w14:paraId="03C8A2AE" w14:textId="77777777" w:rsidR="008320E7" w:rsidRPr="00F8217C" w:rsidRDefault="008320E7" w:rsidP="008320E7">
            <w:pPr>
              <w:jc w:val="center"/>
              <w:rPr>
                <w:sz w:val="20"/>
              </w:rPr>
            </w:pPr>
            <w:r w:rsidRPr="00F8217C">
              <w:rPr>
                <w:sz w:val="20"/>
              </w:rPr>
              <w:t>[0.000]</w:t>
            </w:r>
          </w:p>
        </w:tc>
        <w:tc>
          <w:tcPr>
            <w:tcW w:w="1503" w:type="dxa"/>
            <w:tcBorders>
              <w:top w:val="single" w:sz="4" w:space="0" w:color="auto"/>
              <w:left w:val="nil"/>
              <w:bottom w:val="single" w:sz="4" w:space="0" w:color="auto"/>
              <w:right w:val="nil"/>
            </w:tcBorders>
          </w:tcPr>
          <w:p w14:paraId="4315AABA" w14:textId="77777777" w:rsidR="008320E7" w:rsidRPr="00F8217C" w:rsidRDefault="008320E7" w:rsidP="008320E7">
            <w:pPr>
              <w:jc w:val="center"/>
              <w:rPr>
                <w:sz w:val="20"/>
              </w:rPr>
            </w:pPr>
            <w:r w:rsidRPr="00F8217C">
              <w:rPr>
                <w:sz w:val="20"/>
              </w:rPr>
              <w:t>[0.000]</w:t>
            </w:r>
          </w:p>
        </w:tc>
      </w:tr>
      <w:tr w:rsidR="00181A0F" w:rsidRPr="00AA3683" w14:paraId="7624DA35" w14:textId="77777777" w:rsidTr="007171CA">
        <w:tc>
          <w:tcPr>
            <w:tcW w:w="9016" w:type="dxa"/>
            <w:gridSpan w:val="6"/>
            <w:tcBorders>
              <w:top w:val="single" w:sz="4" w:space="0" w:color="auto"/>
              <w:left w:val="nil"/>
              <w:bottom w:val="nil"/>
              <w:right w:val="nil"/>
            </w:tcBorders>
          </w:tcPr>
          <w:p w14:paraId="059D146A" w14:textId="77777777" w:rsidR="00181A0F" w:rsidRPr="00F8217C" w:rsidRDefault="00181A0F" w:rsidP="00181A0F">
            <w:pPr>
              <w:rPr>
                <w:sz w:val="20"/>
              </w:rPr>
            </w:pPr>
            <w:r w:rsidRPr="00F8217C">
              <w:rPr>
                <w:sz w:val="20"/>
              </w:rPr>
              <w:t>Panel B: Parallel trend assumption test</w:t>
            </w:r>
          </w:p>
        </w:tc>
      </w:tr>
      <w:tr w:rsidR="008320E7" w:rsidRPr="00AA3683" w14:paraId="2C52305D" w14:textId="77777777" w:rsidTr="007171CA">
        <w:tc>
          <w:tcPr>
            <w:tcW w:w="1502" w:type="dxa"/>
            <w:tcBorders>
              <w:top w:val="single" w:sz="4" w:space="0" w:color="auto"/>
              <w:left w:val="nil"/>
              <w:bottom w:val="single" w:sz="4" w:space="0" w:color="auto"/>
              <w:right w:val="nil"/>
            </w:tcBorders>
          </w:tcPr>
          <w:p w14:paraId="7ED409D4" w14:textId="77777777" w:rsidR="008320E7" w:rsidRPr="00F8217C" w:rsidRDefault="008320E7" w:rsidP="00F60A0F">
            <w:pPr>
              <w:jc w:val="right"/>
              <w:rPr>
                <w:sz w:val="20"/>
              </w:rPr>
            </w:pPr>
            <w:r w:rsidRPr="00F8217C">
              <w:rPr>
                <w:sz w:val="20"/>
              </w:rPr>
              <w:t>t-statistics</w:t>
            </w:r>
          </w:p>
          <w:p w14:paraId="2789FD7B" w14:textId="77777777" w:rsidR="008320E7" w:rsidRPr="00F8217C" w:rsidRDefault="008320E7" w:rsidP="00F60A0F">
            <w:pPr>
              <w:jc w:val="right"/>
              <w:rPr>
                <w:sz w:val="20"/>
              </w:rPr>
            </w:pPr>
            <w:r w:rsidRPr="00F8217C">
              <w:rPr>
                <w:sz w:val="20"/>
              </w:rPr>
              <w:t>(p-value)</w:t>
            </w:r>
          </w:p>
        </w:tc>
        <w:tc>
          <w:tcPr>
            <w:tcW w:w="1502" w:type="dxa"/>
            <w:tcBorders>
              <w:top w:val="single" w:sz="4" w:space="0" w:color="auto"/>
              <w:left w:val="nil"/>
              <w:bottom w:val="single" w:sz="4" w:space="0" w:color="auto"/>
              <w:right w:val="nil"/>
            </w:tcBorders>
          </w:tcPr>
          <w:p w14:paraId="73CE2E13" w14:textId="77777777" w:rsidR="008320E7" w:rsidRPr="00F8217C" w:rsidRDefault="008320E7" w:rsidP="008320E7">
            <w:pPr>
              <w:jc w:val="center"/>
              <w:rPr>
                <w:sz w:val="20"/>
              </w:rPr>
            </w:pPr>
            <w:r w:rsidRPr="00F8217C">
              <w:rPr>
                <w:sz w:val="20"/>
              </w:rPr>
              <w:t>[0.000]</w:t>
            </w:r>
          </w:p>
        </w:tc>
        <w:tc>
          <w:tcPr>
            <w:tcW w:w="1503" w:type="dxa"/>
            <w:tcBorders>
              <w:top w:val="single" w:sz="4" w:space="0" w:color="auto"/>
              <w:left w:val="nil"/>
              <w:bottom w:val="single" w:sz="4" w:space="0" w:color="auto"/>
              <w:right w:val="nil"/>
            </w:tcBorders>
          </w:tcPr>
          <w:p w14:paraId="47CA794D" w14:textId="77777777" w:rsidR="008320E7" w:rsidRPr="00F8217C" w:rsidRDefault="008320E7" w:rsidP="008320E7">
            <w:pPr>
              <w:jc w:val="center"/>
              <w:rPr>
                <w:sz w:val="20"/>
              </w:rPr>
            </w:pPr>
            <w:r w:rsidRPr="00F8217C">
              <w:rPr>
                <w:sz w:val="20"/>
              </w:rPr>
              <w:t>[0.000]</w:t>
            </w:r>
          </w:p>
        </w:tc>
        <w:tc>
          <w:tcPr>
            <w:tcW w:w="1503" w:type="dxa"/>
            <w:tcBorders>
              <w:top w:val="single" w:sz="4" w:space="0" w:color="auto"/>
              <w:left w:val="nil"/>
              <w:bottom w:val="single" w:sz="4" w:space="0" w:color="auto"/>
              <w:right w:val="nil"/>
            </w:tcBorders>
          </w:tcPr>
          <w:p w14:paraId="3D9C561D" w14:textId="77777777" w:rsidR="008320E7" w:rsidRPr="00F8217C" w:rsidRDefault="008320E7" w:rsidP="008320E7">
            <w:pPr>
              <w:jc w:val="center"/>
              <w:rPr>
                <w:sz w:val="20"/>
              </w:rPr>
            </w:pPr>
            <w:r w:rsidRPr="00F8217C">
              <w:rPr>
                <w:sz w:val="20"/>
              </w:rPr>
              <w:t>[0.000]</w:t>
            </w:r>
          </w:p>
        </w:tc>
        <w:tc>
          <w:tcPr>
            <w:tcW w:w="1503" w:type="dxa"/>
            <w:tcBorders>
              <w:top w:val="single" w:sz="4" w:space="0" w:color="auto"/>
              <w:left w:val="nil"/>
              <w:bottom w:val="single" w:sz="4" w:space="0" w:color="auto"/>
              <w:right w:val="nil"/>
            </w:tcBorders>
          </w:tcPr>
          <w:p w14:paraId="31A079E4" w14:textId="77777777" w:rsidR="008320E7" w:rsidRPr="00F8217C" w:rsidRDefault="008320E7" w:rsidP="008320E7">
            <w:pPr>
              <w:jc w:val="center"/>
              <w:rPr>
                <w:sz w:val="20"/>
              </w:rPr>
            </w:pPr>
            <w:r w:rsidRPr="00F8217C">
              <w:rPr>
                <w:sz w:val="20"/>
              </w:rPr>
              <w:t>[0.000]</w:t>
            </w:r>
          </w:p>
        </w:tc>
        <w:tc>
          <w:tcPr>
            <w:tcW w:w="1503" w:type="dxa"/>
            <w:tcBorders>
              <w:top w:val="single" w:sz="4" w:space="0" w:color="auto"/>
              <w:left w:val="nil"/>
              <w:bottom w:val="nil"/>
              <w:right w:val="nil"/>
            </w:tcBorders>
          </w:tcPr>
          <w:p w14:paraId="7470F41F" w14:textId="77777777" w:rsidR="008320E7" w:rsidRPr="00F8217C" w:rsidRDefault="008320E7" w:rsidP="008320E7">
            <w:pPr>
              <w:jc w:val="center"/>
              <w:rPr>
                <w:sz w:val="20"/>
              </w:rPr>
            </w:pPr>
            <w:r w:rsidRPr="00F8217C">
              <w:rPr>
                <w:sz w:val="20"/>
              </w:rPr>
              <w:t>[0.000]</w:t>
            </w:r>
          </w:p>
        </w:tc>
      </w:tr>
      <w:tr w:rsidR="00181A0F" w:rsidRPr="00AA3683" w14:paraId="375184F0" w14:textId="77777777" w:rsidTr="007171CA">
        <w:tc>
          <w:tcPr>
            <w:tcW w:w="9016" w:type="dxa"/>
            <w:gridSpan w:val="6"/>
            <w:tcBorders>
              <w:top w:val="single" w:sz="4" w:space="0" w:color="auto"/>
              <w:left w:val="nil"/>
              <w:bottom w:val="single" w:sz="4" w:space="0" w:color="auto"/>
              <w:right w:val="nil"/>
            </w:tcBorders>
          </w:tcPr>
          <w:p w14:paraId="68163739" w14:textId="77777777" w:rsidR="00181A0F" w:rsidRPr="00F8217C" w:rsidRDefault="00181A0F" w:rsidP="00181A0F">
            <w:pPr>
              <w:rPr>
                <w:sz w:val="20"/>
              </w:rPr>
            </w:pPr>
            <w:r w:rsidRPr="00F8217C">
              <w:rPr>
                <w:sz w:val="20"/>
              </w:rPr>
              <w:t>Panel C: Granger treatment anticipation test</w:t>
            </w:r>
          </w:p>
        </w:tc>
      </w:tr>
      <w:tr w:rsidR="008320E7" w:rsidRPr="00AA3683" w14:paraId="0995E897" w14:textId="77777777" w:rsidTr="007171CA">
        <w:tc>
          <w:tcPr>
            <w:tcW w:w="1502" w:type="dxa"/>
            <w:tcBorders>
              <w:top w:val="single" w:sz="4" w:space="0" w:color="auto"/>
              <w:left w:val="nil"/>
              <w:bottom w:val="single" w:sz="4" w:space="0" w:color="auto"/>
              <w:right w:val="nil"/>
            </w:tcBorders>
          </w:tcPr>
          <w:p w14:paraId="4D65AEFF" w14:textId="77777777" w:rsidR="008320E7" w:rsidRPr="00F8217C" w:rsidRDefault="008320E7" w:rsidP="00F60A0F">
            <w:pPr>
              <w:jc w:val="right"/>
              <w:rPr>
                <w:sz w:val="20"/>
              </w:rPr>
            </w:pPr>
            <w:r w:rsidRPr="00F8217C">
              <w:rPr>
                <w:sz w:val="20"/>
              </w:rPr>
              <w:t>F-statistics</w:t>
            </w:r>
          </w:p>
          <w:p w14:paraId="50F7553C" w14:textId="77777777" w:rsidR="008320E7" w:rsidRPr="00F8217C" w:rsidRDefault="008320E7" w:rsidP="00F60A0F">
            <w:pPr>
              <w:jc w:val="right"/>
              <w:rPr>
                <w:sz w:val="20"/>
              </w:rPr>
            </w:pPr>
            <w:r w:rsidRPr="00F8217C">
              <w:rPr>
                <w:sz w:val="20"/>
              </w:rPr>
              <w:t>(p-value)</w:t>
            </w:r>
          </w:p>
        </w:tc>
        <w:tc>
          <w:tcPr>
            <w:tcW w:w="1502" w:type="dxa"/>
            <w:tcBorders>
              <w:top w:val="single" w:sz="4" w:space="0" w:color="auto"/>
              <w:left w:val="nil"/>
              <w:bottom w:val="single" w:sz="4" w:space="0" w:color="auto"/>
              <w:right w:val="nil"/>
            </w:tcBorders>
          </w:tcPr>
          <w:p w14:paraId="3B8DCE84" w14:textId="77777777" w:rsidR="008320E7" w:rsidRPr="00F8217C" w:rsidRDefault="008320E7" w:rsidP="008320E7">
            <w:pPr>
              <w:jc w:val="center"/>
              <w:rPr>
                <w:sz w:val="20"/>
              </w:rPr>
            </w:pPr>
            <w:r w:rsidRPr="00F8217C">
              <w:rPr>
                <w:sz w:val="20"/>
              </w:rPr>
              <w:t>[0.945]</w:t>
            </w:r>
          </w:p>
        </w:tc>
        <w:tc>
          <w:tcPr>
            <w:tcW w:w="1503" w:type="dxa"/>
            <w:tcBorders>
              <w:top w:val="single" w:sz="4" w:space="0" w:color="auto"/>
              <w:left w:val="nil"/>
              <w:bottom w:val="single" w:sz="4" w:space="0" w:color="auto"/>
              <w:right w:val="nil"/>
            </w:tcBorders>
          </w:tcPr>
          <w:p w14:paraId="4A387120" w14:textId="77777777" w:rsidR="008320E7" w:rsidRPr="00F8217C" w:rsidRDefault="008320E7" w:rsidP="008320E7">
            <w:pPr>
              <w:jc w:val="center"/>
              <w:rPr>
                <w:sz w:val="20"/>
              </w:rPr>
            </w:pPr>
            <w:r w:rsidRPr="00F8217C">
              <w:rPr>
                <w:sz w:val="20"/>
              </w:rPr>
              <w:t>[0.675]</w:t>
            </w:r>
          </w:p>
        </w:tc>
        <w:tc>
          <w:tcPr>
            <w:tcW w:w="1503" w:type="dxa"/>
            <w:tcBorders>
              <w:top w:val="single" w:sz="4" w:space="0" w:color="auto"/>
              <w:left w:val="nil"/>
              <w:bottom w:val="single" w:sz="4" w:space="0" w:color="auto"/>
              <w:right w:val="nil"/>
            </w:tcBorders>
          </w:tcPr>
          <w:p w14:paraId="7258A3ED" w14:textId="77777777" w:rsidR="008320E7" w:rsidRPr="00F8217C" w:rsidRDefault="008320E7" w:rsidP="008320E7">
            <w:pPr>
              <w:jc w:val="center"/>
              <w:rPr>
                <w:sz w:val="20"/>
              </w:rPr>
            </w:pPr>
            <w:r w:rsidRPr="00F8217C">
              <w:rPr>
                <w:sz w:val="20"/>
              </w:rPr>
              <w:t>[0.132]</w:t>
            </w:r>
          </w:p>
        </w:tc>
        <w:tc>
          <w:tcPr>
            <w:tcW w:w="1503" w:type="dxa"/>
            <w:tcBorders>
              <w:top w:val="single" w:sz="4" w:space="0" w:color="auto"/>
              <w:left w:val="nil"/>
              <w:bottom w:val="single" w:sz="4" w:space="0" w:color="auto"/>
              <w:right w:val="nil"/>
            </w:tcBorders>
          </w:tcPr>
          <w:p w14:paraId="4D95A9FE" w14:textId="77777777" w:rsidR="008320E7" w:rsidRPr="00F8217C" w:rsidRDefault="008320E7" w:rsidP="008320E7">
            <w:pPr>
              <w:jc w:val="center"/>
              <w:rPr>
                <w:sz w:val="20"/>
              </w:rPr>
            </w:pPr>
            <w:r w:rsidRPr="00F8217C">
              <w:rPr>
                <w:sz w:val="20"/>
              </w:rPr>
              <w:t>[0.867]</w:t>
            </w:r>
          </w:p>
        </w:tc>
        <w:tc>
          <w:tcPr>
            <w:tcW w:w="1503" w:type="dxa"/>
            <w:tcBorders>
              <w:top w:val="single" w:sz="4" w:space="0" w:color="auto"/>
              <w:left w:val="nil"/>
              <w:bottom w:val="single" w:sz="4" w:space="0" w:color="auto"/>
              <w:right w:val="nil"/>
            </w:tcBorders>
          </w:tcPr>
          <w:p w14:paraId="01A74886" w14:textId="77777777" w:rsidR="008320E7" w:rsidRPr="00F8217C" w:rsidRDefault="008320E7" w:rsidP="008320E7">
            <w:pPr>
              <w:jc w:val="center"/>
              <w:rPr>
                <w:sz w:val="20"/>
              </w:rPr>
            </w:pPr>
            <w:r w:rsidRPr="00F8217C">
              <w:rPr>
                <w:sz w:val="20"/>
              </w:rPr>
              <w:t>[0.492]</w:t>
            </w:r>
          </w:p>
        </w:tc>
      </w:tr>
      <w:tr w:rsidR="008320E7" w:rsidRPr="00AA3683" w14:paraId="02EBE8D4" w14:textId="77777777" w:rsidTr="007171CA">
        <w:tc>
          <w:tcPr>
            <w:tcW w:w="9016" w:type="dxa"/>
            <w:gridSpan w:val="6"/>
            <w:tcBorders>
              <w:top w:val="single" w:sz="4" w:space="0" w:color="auto"/>
              <w:left w:val="nil"/>
              <w:bottom w:val="double" w:sz="4" w:space="0" w:color="auto"/>
              <w:right w:val="nil"/>
            </w:tcBorders>
          </w:tcPr>
          <w:p w14:paraId="5708AD44" w14:textId="77777777" w:rsidR="008320E7" w:rsidRPr="00F8217C" w:rsidRDefault="008320E7" w:rsidP="007171CA">
            <w:pPr>
              <w:jc w:val="both"/>
              <w:rPr>
                <w:sz w:val="20"/>
              </w:rPr>
            </w:pPr>
            <w:r w:rsidRPr="005D74AC">
              <w:rPr>
                <w:sz w:val="18"/>
              </w:rPr>
              <w:t xml:space="preserve">Notes: </w:t>
            </w:r>
            <w:r w:rsidR="00AA3683" w:rsidRPr="005D74AC">
              <w:rPr>
                <w:sz w:val="18"/>
              </w:rPr>
              <w:t xml:space="preserve">the table reports </w:t>
            </w:r>
            <w:r w:rsidR="00AA3683" w:rsidRPr="00C81585">
              <w:rPr>
                <w:color w:val="4472C4" w:themeColor="accent5"/>
                <w:sz w:val="18"/>
              </w:rPr>
              <w:t>Chow (1960)</w:t>
            </w:r>
            <w:r w:rsidR="00AA3683" w:rsidRPr="005D74AC">
              <w:rPr>
                <w:sz w:val="18"/>
              </w:rPr>
              <w:t xml:space="preserve"> structural break test in the institutional quality gap between treated regions and their control group for the post/pre-treatment period to test for the presence of differential trend induced by the instability. Parallel trend assumption is tested through a simple linear regression of the respective outcome variable on treatment status, year variable and the interaction term between the two. Granger test of treatment anticipation is tested through the equality of pre-treatment instability variables compared to the post-treatment instability variables</w:t>
            </w:r>
            <w:r w:rsidR="007171CA" w:rsidRPr="005D74AC">
              <w:rPr>
                <w:sz w:val="18"/>
              </w:rPr>
              <w:t xml:space="preserve"> between the treated regions and their control groups. The table reports the p-values on the test statistics.</w:t>
            </w:r>
          </w:p>
        </w:tc>
      </w:tr>
    </w:tbl>
    <w:p w14:paraId="2F4FC404" w14:textId="77777777" w:rsidR="00181A0F" w:rsidRDefault="00181A0F" w:rsidP="0067749B">
      <w:pPr>
        <w:spacing w:after="0"/>
      </w:pPr>
    </w:p>
    <w:p w14:paraId="221F8D5F" w14:textId="77777777" w:rsidR="00181A0F" w:rsidRPr="00F8217C" w:rsidRDefault="007171CA" w:rsidP="00FE10BD">
      <w:pPr>
        <w:spacing w:after="0"/>
        <w:jc w:val="both"/>
        <w:rPr>
          <w:sz w:val="22"/>
        </w:rPr>
      </w:pPr>
      <w:r w:rsidRPr="00F8217C">
        <w:rPr>
          <w:sz w:val="22"/>
        </w:rPr>
        <w:t>Figure 5 reports the overall composition of the synthetic control groups across the full set of treated regions for the full set of outcome variables. Instead of reporting the exhaustive composition for each region and outcome separately, the frequency distribution of donors with non-zero positive weight is reported which enables a more straightforward comparison of the contrasts in the composition of synthetic control group across the outcome categories. The evidence suggests both notable similarities and marked contrasts in the composition of control group. For instance, in the estimated synthetic control specifications with voice and accounta</w:t>
      </w:r>
      <w:r w:rsidR="00FE10BD" w:rsidRPr="00F8217C">
        <w:rPr>
          <w:sz w:val="22"/>
        </w:rPr>
        <w:t xml:space="preserve">bility latent outcome variable indicate Irish regions, Portuguese intermunicipal regions and Japanese prefectures as the most dominant donors with non-zero weights for the full treated set. Similarly, in the rule of law specifications, the control groups are disproportionately dominated by Madeira and Azores whilst with respect to government effectiveness, the control group is dominated by Azores followed by Japanese prefectures. In slight contrast, the control groups for regulatory quality specifications are characterized by the presence of Swedish counties such as Halland and Austrian federal states such as Salzburg and Burgenland. The presence of Australian states, particularly Tasmania, is also perceptible in the specifications estimating the effect of instability on the control of corruption. Taken together, this implies that pre-instability latent institutional quality trajectories of Slovenian regions can be </w:t>
      </w:r>
      <w:r w:rsidR="00F8217C" w:rsidRPr="00F8217C">
        <w:rPr>
          <w:sz w:val="22"/>
        </w:rPr>
        <w:t xml:space="preserve">plausibly tracked and reproduced as a </w:t>
      </w:r>
      <w:r w:rsidR="00F8217C" w:rsidRPr="00F8217C">
        <w:rPr>
          <w:sz w:val="22"/>
        </w:rPr>
        <w:lastRenderedPageBreak/>
        <w:t>convex combination of attributes of regions from countries having markedly and substantially higher level of political stability after 2008, which are predominantly concentrated in the Western Europe, East Asia,</w:t>
      </w:r>
      <w:r w:rsidR="0061634F">
        <w:rPr>
          <w:sz w:val="22"/>
        </w:rPr>
        <w:t xml:space="preserve"> North </w:t>
      </w:r>
      <w:proofErr w:type="gramStart"/>
      <w:r w:rsidR="0061634F">
        <w:rPr>
          <w:sz w:val="22"/>
        </w:rPr>
        <w:t>America</w:t>
      </w:r>
      <w:proofErr w:type="gramEnd"/>
      <w:r w:rsidR="0061634F">
        <w:rPr>
          <w:sz w:val="22"/>
        </w:rPr>
        <w:t xml:space="preserve"> and Australasia.</w:t>
      </w:r>
    </w:p>
    <w:p w14:paraId="2F7F3DAB" w14:textId="77777777" w:rsidR="00181A0F" w:rsidRDefault="00181A0F" w:rsidP="0067749B">
      <w:pPr>
        <w:spacing w:after="0"/>
      </w:pPr>
    </w:p>
    <w:p w14:paraId="3F6D9FE3" w14:textId="77777777" w:rsidR="00A27A9B" w:rsidRPr="00F8217C" w:rsidRDefault="009C30CF" w:rsidP="004A2AF3">
      <w:pPr>
        <w:spacing w:after="0" w:line="240" w:lineRule="auto"/>
        <w:rPr>
          <w:sz w:val="22"/>
        </w:rPr>
      </w:pPr>
      <w:r>
        <w:rPr>
          <w:b/>
          <w:sz w:val="22"/>
        </w:rPr>
        <w:t>Figure 5</w:t>
      </w:r>
      <w:r w:rsidR="00A27A9B" w:rsidRPr="00F8217C">
        <w:rPr>
          <w:sz w:val="22"/>
        </w:rPr>
        <w:t xml:space="preserve">: </w:t>
      </w:r>
      <w:r w:rsidR="00F8217C" w:rsidRPr="00F8217C">
        <w:rPr>
          <w:sz w:val="22"/>
        </w:rPr>
        <w:t>Frequency distribution of synthetic control groups</w:t>
      </w:r>
    </w:p>
    <w:p w14:paraId="6B9BAE57" w14:textId="77777777" w:rsidR="00A27A9B" w:rsidRDefault="00625EB6" w:rsidP="0067749B">
      <w:pPr>
        <w:spacing w:after="0"/>
      </w:pPr>
      <w:r w:rsidRPr="00625EB6">
        <w:rPr>
          <w:noProof/>
          <w:lang w:eastAsia="en-GB"/>
        </w:rPr>
        <w:drawing>
          <wp:inline distT="0" distB="0" distL="0" distR="0" wp14:anchorId="3737B60E" wp14:editId="6F5012F2">
            <wp:extent cx="4875530" cy="3545840"/>
            <wp:effectExtent l="0" t="0" r="1270" b="0"/>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4880074" cy="3549145"/>
                    </a:xfrm>
                    <a:prstGeom prst="rect">
                      <a:avLst/>
                    </a:prstGeom>
                    <a:noFill/>
                    <a:ln>
                      <a:noFill/>
                    </a:ln>
                  </pic:spPr>
                </pic:pic>
              </a:graphicData>
            </a:graphic>
          </wp:inline>
        </w:drawing>
      </w:r>
    </w:p>
    <w:p w14:paraId="4E7C2881" w14:textId="77777777" w:rsidR="00F8217C" w:rsidRPr="004A2AF3" w:rsidRDefault="00F8217C" w:rsidP="0067749B">
      <w:pPr>
        <w:spacing w:after="0"/>
        <w:rPr>
          <w:sz w:val="22"/>
        </w:rPr>
      </w:pPr>
    </w:p>
    <w:p w14:paraId="0C2AC218" w14:textId="77777777" w:rsidR="00F8217C" w:rsidRPr="004A2AF3" w:rsidRDefault="00F8217C" w:rsidP="0067749B">
      <w:pPr>
        <w:spacing w:after="0"/>
        <w:rPr>
          <w:i/>
          <w:sz w:val="22"/>
        </w:rPr>
      </w:pPr>
      <w:r w:rsidRPr="004A2AF3">
        <w:rPr>
          <w:i/>
          <w:sz w:val="22"/>
        </w:rPr>
        <w:tab/>
        <w:t>Placebo analysis</w:t>
      </w:r>
    </w:p>
    <w:p w14:paraId="5F64D567" w14:textId="77777777" w:rsidR="00F8217C" w:rsidRPr="00F8217C" w:rsidRDefault="00F8217C" w:rsidP="0067749B">
      <w:pPr>
        <w:spacing w:after="0"/>
        <w:rPr>
          <w:sz w:val="22"/>
        </w:rPr>
      </w:pPr>
    </w:p>
    <w:p w14:paraId="3A5BC395" w14:textId="77777777" w:rsidR="00F8217C" w:rsidRDefault="00F8217C" w:rsidP="004A2AF3">
      <w:pPr>
        <w:spacing w:after="0"/>
        <w:jc w:val="both"/>
        <w:rPr>
          <w:sz w:val="22"/>
        </w:rPr>
      </w:pPr>
      <w:r>
        <w:rPr>
          <w:sz w:val="22"/>
        </w:rPr>
        <w:t xml:space="preserve">The question </w:t>
      </w:r>
      <w:r w:rsidR="00147567">
        <w:rPr>
          <w:sz w:val="22"/>
        </w:rPr>
        <w:t xml:space="preserve">behind our estimates </w:t>
      </w:r>
      <w:r>
        <w:rPr>
          <w:sz w:val="22"/>
        </w:rPr>
        <w:t xml:space="preserve">that </w:t>
      </w:r>
      <w:proofErr w:type="gramStart"/>
      <w:r>
        <w:rPr>
          <w:sz w:val="22"/>
        </w:rPr>
        <w:t>still remains</w:t>
      </w:r>
      <w:proofErr w:type="gramEnd"/>
      <w:r>
        <w:rPr>
          <w:sz w:val="22"/>
        </w:rPr>
        <w:t xml:space="preserve"> unanswered</w:t>
      </w:r>
      <w:r w:rsidR="00147567">
        <w:rPr>
          <w:sz w:val="22"/>
        </w:rPr>
        <w:t xml:space="preserve"> is whether the estimated effects of political instability are driven by chance. To assess the significance of the estimated institutional quality gaps, we rely on the multiple-event placebo analysis proposed by </w:t>
      </w:r>
      <w:r w:rsidR="00147567" w:rsidRPr="00460CB1">
        <w:rPr>
          <w:color w:val="4472C4" w:themeColor="accent5"/>
          <w:sz w:val="22"/>
        </w:rPr>
        <w:t xml:space="preserve">Cavallo et. al. (2013) </w:t>
      </w:r>
      <w:r w:rsidR="00147567">
        <w:rPr>
          <w:sz w:val="22"/>
        </w:rPr>
        <w:t xml:space="preserve">based on </w:t>
      </w:r>
      <w:r w:rsidR="00147567" w:rsidRPr="00460CB1">
        <w:rPr>
          <w:color w:val="4472C4" w:themeColor="accent5"/>
          <w:sz w:val="22"/>
        </w:rPr>
        <w:t>Abadie et. al. (2010)</w:t>
      </w:r>
      <w:r w:rsidR="00147567">
        <w:rPr>
          <w:sz w:val="22"/>
        </w:rPr>
        <w:t xml:space="preserve">, and further extended by </w:t>
      </w:r>
      <w:r w:rsidR="00147567" w:rsidRPr="00460CB1">
        <w:rPr>
          <w:color w:val="4472C4" w:themeColor="accent5"/>
          <w:sz w:val="22"/>
        </w:rPr>
        <w:t>Galiani and Quistorff (2017)</w:t>
      </w:r>
      <w:r w:rsidR="00147567">
        <w:rPr>
          <w:sz w:val="22"/>
        </w:rPr>
        <w:t xml:space="preserve">. In the likely absence of anticipated treatment and presence of structural break reported in Table 3, our approach is to perform a series of placebo analyses by applying the synthetic control estimator to the battery of regions in the donor pool that never underwent the treatment itself, and thus never experience large-scale political instability opposed to Slovenia. If the placebo analysis creates institutional quality gaps with similar size to the ones obtained for Slovenian regions, then it is not likely that our analysis conveys evidence of the significant effect of political instability because, under such circumstances, the declining institutional quality conditions are absorbed by the general trend perceptible everywhere. By contrast, if the in-space placebo analysis uncovers evidence of unusually large institutional quality gaps of treated regions compared to the regions that did not undergo </w:t>
      </w:r>
      <w:r w:rsidR="00147567" w:rsidRPr="00147567">
        <w:rPr>
          <w:sz w:val="22"/>
        </w:rPr>
        <w:t>widespread</w:t>
      </w:r>
      <w:r w:rsidR="00147567">
        <w:rPr>
          <w:sz w:val="22"/>
        </w:rPr>
        <w:t xml:space="preserve"> political instability, then the notion of significant evidence of the negative effect of instability on institutional quality becomes more plausible. To quantatively evaluate and assess the significance of the estimates, the synthetic control estimator is iteratively applied to every region in the donor </w:t>
      </w:r>
      <w:r w:rsidR="004A2AF3">
        <w:rPr>
          <w:sz w:val="22"/>
        </w:rPr>
        <w:t>pool, which</w:t>
      </w:r>
      <w:r w:rsidR="00147567">
        <w:rPr>
          <w:sz w:val="22"/>
        </w:rPr>
        <w:t xml:space="preserve"> effectively reassigns the treatment and shifts the treated regions into the donor. In the next step, the estimated effect for each outcome and each quasi-treated region is estimated through the placebo run which </w:t>
      </w:r>
      <w:r w:rsidR="005D74AC">
        <w:rPr>
          <w:sz w:val="22"/>
        </w:rPr>
        <w:t>yields a distribution of placebo effects.</w:t>
      </w:r>
    </w:p>
    <w:p w14:paraId="6D6B0BEF" w14:textId="77777777" w:rsidR="005D74AC" w:rsidRDefault="005D74AC" w:rsidP="004A2AF3">
      <w:pPr>
        <w:spacing w:after="0"/>
        <w:jc w:val="both"/>
        <w:rPr>
          <w:sz w:val="22"/>
        </w:rPr>
      </w:pPr>
    </w:p>
    <w:p w14:paraId="3EB5C3BD" w14:textId="77777777" w:rsidR="005D74AC" w:rsidRDefault="005D74AC" w:rsidP="004A2AF3">
      <w:pPr>
        <w:spacing w:after="0"/>
        <w:jc w:val="both"/>
        <w:rPr>
          <w:rFonts w:eastAsiaTheme="minorEastAsia"/>
          <w:sz w:val="22"/>
        </w:rPr>
      </w:pPr>
      <w:r>
        <w:rPr>
          <w:sz w:val="22"/>
        </w:rPr>
        <w:t xml:space="preserve">Without the loss of generality, we follow </w:t>
      </w:r>
      <w:r w:rsidRPr="00460CB1">
        <w:rPr>
          <w:color w:val="4472C4" w:themeColor="accent5"/>
          <w:sz w:val="22"/>
        </w:rPr>
        <w:t>Cavallo et. al. (2013)</w:t>
      </w:r>
      <w:r>
        <w:rPr>
          <w:sz w:val="22"/>
        </w:rPr>
        <w:t xml:space="preserve"> and adopt a multi-treatment placebo framework. Let </w:t>
      </w:r>
      <m:oMath>
        <m:r>
          <w:rPr>
            <w:rFonts w:ascii="Cambria Math" w:hAnsi="Cambria Math"/>
            <w:sz w:val="22"/>
          </w:rPr>
          <m:t>g∈</m:t>
        </m:r>
        <m:d>
          <m:dPr>
            <m:begChr m:val="{"/>
            <m:endChr m:val="}"/>
            <m:ctrlPr>
              <w:rPr>
                <w:rFonts w:ascii="Cambria Math" w:hAnsi="Cambria Math"/>
                <w:i/>
                <w:sz w:val="22"/>
              </w:rPr>
            </m:ctrlPr>
          </m:dPr>
          <m:e>
            <m:r>
              <w:rPr>
                <w:rFonts w:ascii="Cambria Math" w:hAnsi="Cambria Math"/>
                <w:sz w:val="22"/>
              </w:rPr>
              <m:t>1,…,G</m:t>
            </m:r>
          </m:e>
        </m:d>
      </m:oMath>
      <w:r>
        <w:rPr>
          <w:rFonts w:eastAsiaTheme="minorEastAsia"/>
          <w:sz w:val="22"/>
        </w:rPr>
        <w:t xml:space="preserve"> be an index of treated regions and let </w:t>
      </w:r>
      <m:oMath>
        <m:r>
          <w:rPr>
            <w:rFonts w:ascii="Cambria Math" w:eastAsiaTheme="minorEastAsia" w:hAnsi="Cambria Math"/>
            <w:sz w:val="22"/>
          </w:rPr>
          <m:t>J</m:t>
        </m:r>
      </m:oMath>
      <w:r>
        <w:rPr>
          <w:rFonts w:eastAsiaTheme="minorEastAsia"/>
          <w:sz w:val="22"/>
        </w:rPr>
        <w:t xml:space="preserve"> represent the number of regions that never undergo the treatment. For each treated unit, we estimate the effect of instability in the first </w:t>
      </w:r>
      <w:r>
        <w:rPr>
          <w:rFonts w:eastAsiaTheme="minorEastAsia"/>
          <w:sz w:val="22"/>
        </w:rPr>
        <w:lastRenderedPageBreak/>
        <w:t xml:space="preserve">post-treatment year denoted by </w:t>
      </w:r>
      <m:oMath>
        <m:sSub>
          <m:sSubPr>
            <m:ctrlPr>
              <w:rPr>
                <w:rFonts w:ascii="Cambria Math" w:hAnsi="Cambria Math"/>
                <w:i/>
                <w:sz w:val="22"/>
              </w:rPr>
            </m:ctrlPr>
          </m:sSubPr>
          <m:e>
            <m:acc>
              <m:accPr>
                <m:ctrlPr>
                  <w:rPr>
                    <w:rFonts w:ascii="Cambria Math" w:hAnsi="Cambria Math"/>
                    <w:i/>
                    <w:sz w:val="22"/>
                  </w:rPr>
                </m:ctrlPr>
              </m:accPr>
              <m:e>
                <m:r>
                  <w:rPr>
                    <w:rFonts w:ascii="Cambria Math" w:hAnsi="Cambria Math"/>
                    <w:sz w:val="22"/>
                  </w:rPr>
                  <m:t>λ</m:t>
                </m:r>
              </m:e>
            </m:acc>
          </m:e>
          <m:sub>
            <m:r>
              <w:rPr>
                <w:rFonts w:ascii="Cambria Math" w:hAnsi="Cambria Math"/>
                <w:sz w:val="22"/>
              </w:rPr>
              <m:t>g,1,</m:t>
            </m:r>
            <m:sSub>
              <m:sSubPr>
                <m:ctrlPr>
                  <w:rPr>
                    <w:rFonts w:ascii="Cambria Math" w:hAnsi="Cambria Math"/>
                    <w:i/>
                    <w:sz w:val="22"/>
                  </w:rPr>
                </m:ctrlPr>
              </m:sSubPr>
              <m:e>
                <m:r>
                  <w:rPr>
                    <w:rFonts w:ascii="Cambria Math" w:hAnsi="Cambria Math"/>
                    <w:sz w:val="22"/>
                  </w:rPr>
                  <m:t>T</m:t>
                </m:r>
              </m:e>
              <m:sub>
                <m:r>
                  <w:rPr>
                    <w:rFonts w:ascii="Cambria Math" w:hAnsi="Cambria Math"/>
                    <w:sz w:val="22"/>
                  </w:rPr>
                  <m:t>0</m:t>
                </m:r>
              </m:sub>
            </m:sSub>
            <m:r>
              <w:rPr>
                <w:rFonts w:ascii="Cambria Math" w:hAnsi="Cambria Math"/>
                <w:sz w:val="22"/>
              </w:rPr>
              <m:t>+1</m:t>
            </m:r>
          </m:sub>
        </m:sSub>
      </m:oMath>
      <w:r>
        <w:rPr>
          <w:rFonts w:eastAsiaTheme="minorEastAsia"/>
          <w:sz w:val="22"/>
        </w:rPr>
        <w:t xml:space="preserve">. Across the full treatment set, the average effect is given by </w:t>
      </w:r>
      <m:oMath>
        <m:acc>
          <m:accPr>
            <m:chr m:val="̅"/>
            <m:ctrlPr>
              <w:rPr>
                <w:rFonts w:ascii="Cambria Math" w:eastAsiaTheme="minorEastAsia" w:hAnsi="Cambria Math"/>
                <w:i/>
                <w:sz w:val="22"/>
              </w:rPr>
            </m:ctrlPr>
          </m:accPr>
          <m:e>
            <m:r>
              <w:rPr>
                <w:rFonts w:ascii="Cambria Math" w:eastAsiaTheme="minorEastAsia" w:hAnsi="Cambria Math"/>
                <w:sz w:val="22"/>
              </w:rPr>
              <m:t>λ</m:t>
            </m:r>
          </m:e>
        </m:acc>
        <m:r>
          <w:rPr>
            <w:rFonts w:ascii="Cambria Math" w:eastAsiaTheme="minorEastAsia" w:hAnsi="Cambria Math"/>
            <w:sz w:val="22"/>
          </w:rPr>
          <m:t>=</m:t>
        </m:r>
        <m:sSup>
          <m:sSupPr>
            <m:ctrlPr>
              <w:rPr>
                <w:rFonts w:ascii="Cambria Math" w:eastAsiaTheme="minorEastAsia" w:hAnsi="Cambria Math"/>
                <w:i/>
                <w:sz w:val="22"/>
              </w:rPr>
            </m:ctrlPr>
          </m:sSupPr>
          <m:e>
            <m:r>
              <w:rPr>
                <w:rFonts w:ascii="Cambria Math" w:eastAsiaTheme="minorEastAsia" w:hAnsi="Cambria Math"/>
                <w:sz w:val="22"/>
              </w:rPr>
              <m:t>G</m:t>
            </m:r>
          </m:e>
          <m:sup>
            <m:r>
              <w:rPr>
                <w:rFonts w:ascii="Cambria Math" w:eastAsiaTheme="minorEastAsia" w:hAnsi="Cambria Math"/>
                <w:sz w:val="22"/>
              </w:rPr>
              <m:t>-1</m:t>
            </m:r>
          </m:sup>
        </m:sSup>
        <m:d>
          <m:dPr>
            <m:ctrlPr>
              <w:rPr>
                <w:rFonts w:ascii="Cambria Math" w:eastAsiaTheme="minorEastAsia" w:hAnsi="Cambria Math"/>
                <w:i/>
                <w:sz w:val="22"/>
              </w:rPr>
            </m:ctrlPr>
          </m:dPr>
          <m:e>
            <m:nary>
              <m:naryPr>
                <m:chr m:val="∑"/>
                <m:limLoc m:val="subSup"/>
                <m:ctrlPr>
                  <w:rPr>
                    <w:rFonts w:ascii="Cambria Math" w:eastAsiaTheme="minorEastAsia" w:hAnsi="Cambria Math"/>
                    <w:i/>
                    <w:sz w:val="22"/>
                  </w:rPr>
                </m:ctrlPr>
              </m:naryPr>
              <m:sub>
                <m:r>
                  <w:rPr>
                    <w:rFonts w:ascii="Cambria Math" w:eastAsiaTheme="minorEastAsia" w:hAnsi="Cambria Math"/>
                    <w:sz w:val="22"/>
                  </w:rPr>
                  <m:t>g=1</m:t>
                </m:r>
              </m:sub>
              <m:sup>
                <m:r>
                  <w:rPr>
                    <w:rFonts w:ascii="Cambria Math" w:eastAsiaTheme="minorEastAsia" w:hAnsi="Cambria Math"/>
                    <w:sz w:val="22"/>
                  </w:rPr>
                  <m:t>G</m:t>
                </m:r>
              </m:sup>
              <m:e>
                <m:sSub>
                  <m:sSubPr>
                    <m:ctrlPr>
                      <w:rPr>
                        <w:rFonts w:ascii="Cambria Math" w:hAnsi="Cambria Math"/>
                        <w:i/>
                        <w:sz w:val="22"/>
                      </w:rPr>
                    </m:ctrlPr>
                  </m:sSubPr>
                  <m:e>
                    <m:acc>
                      <m:accPr>
                        <m:ctrlPr>
                          <w:rPr>
                            <w:rFonts w:ascii="Cambria Math" w:hAnsi="Cambria Math"/>
                            <w:i/>
                            <w:sz w:val="22"/>
                          </w:rPr>
                        </m:ctrlPr>
                      </m:accPr>
                      <m:e>
                        <m:r>
                          <w:rPr>
                            <w:rFonts w:ascii="Cambria Math" w:hAnsi="Cambria Math"/>
                            <w:sz w:val="22"/>
                          </w:rPr>
                          <m:t>λ</m:t>
                        </m:r>
                      </m:e>
                    </m:acc>
                  </m:e>
                  <m:sub>
                    <m:r>
                      <w:rPr>
                        <w:rFonts w:ascii="Cambria Math" w:hAnsi="Cambria Math"/>
                        <w:sz w:val="22"/>
                      </w:rPr>
                      <m:t>g</m:t>
                    </m:r>
                  </m:sub>
                </m:sSub>
              </m:e>
            </m:nary>
          </m:e>
        </m:d>
      </m:oMath>
      <w:r>
        <w:rPr>
          <w:rFonts w:eastAsiaTheme="minorEastAsia"/>
          <w:sz w:val="22"/>
        </w:rPr>
        <w:t xml:space="preserve">. For each treatment </w:t>
      </w:r>
      <m:oMath>
        <m:r>
          <w:rPr>
            <w:rFonts w:ascii="Cambria Math" w:eastAsiaTheme="minorEastAsia" w:hAnsi="Cambria Math"/>
            <w:sz w:val="22"/>
          </w:rPr>
          <m:t>g</m:t>
        </m:r>
      </m:oMath>
      <w:r>
        <w:rPr>
          <w:rFonts w:eastAsiaTheme="minorEastAsia"/>
          <w:sz w:val="22"/>
        </w:rPr>
        <w:t xml:space="preserve">, we generate the unrestricted set of placebo effects, </w:t>
      </w:r>
      <m:oMath>
        <m:sSubSup>
          <m:sSubSupPr>
            <m:ctrlPr>
              <w:rPr>
                <w:rFonts w:ascii="Cambria Math" w:eastAsiaTheme="minorEastAsia" w:hAnsi="Cambria Math"/>
                <w:i/>
                <w:sz w:val="22"/>
              </w:rPr>
            </m:ctrlPr>
          </m:sSubSupPr>
          <m:e>
            <m:r>
              <w:rPr>
                <w:rFonts w:ascii="Cambria Math" w:eastAsiaTheme="minorEastAsia" w:hAnsi="Cambria Math"/>
                <w:sz w:val="22"/>
              </w:rPr>
              <m:t>λ</m:t>
            </m:r>
          </m:e>
          <m:sub>
            <m:r>
              <w:rPr>
                <w:rFonts w:ascii="Cambria Math" w:eastAsiaTheme="minorEastAsia" w:hAnsi="Cambria Math"/>
                <w:sz w:val="22"/>
              </w:rPr>
              <m:t>g,t</m:t>
            </m:r>
          </m:sub>
          <m:sup>
            <m:r>
              <w:rPr>
                <w:rFonts w:ascii="Cambria Math" w:eastAsiaTheme="minorEastAsia" w:hAnsi="Cambria Math"/>
                <w:sz w:val="22"/>
              </w:rPr>
              <m:t>Placebo</m:t>
            </m:r>
          </m:sup>
        </m:sSubSup>
        <m:r>
          <w:rPr>
            <w:rFonts w:ascii="Cambria Math" w:eastAsiaTheme="minorEastAsia" w:hAnsi="Cambria Math"/>
            <w:sz w:val="22"/>
          </w:rPr>
          <m:t>=</m:t>
        </m:r>
        <m:d>
          <m:dPr>
            <m:begChr m:val="{"/>
            <m:endChr m:val="}"/>
            <m:ctrlPr>
              <w:rPr>
                <w:rFonts w:ascii="Cambria Math" w:eastAsiaTheme="minorEastAsia" w:hAnsi="Cambria Math"/>
                <w:i/>
                <w:sz w:val="22"/>
              </w:rPr>
            </m:ctrlPr>
          </m:dPr>
          <m:e>
            <m:sSub>
              <m:sSubPr>
                <m:ctrlPr>
                  <w:rPr>
                    <w:rFonts w:ascii="Cambria Math" w:eastAsiaTheme="minorEastAsia" w:hAnsi="Cambria Math"/>
                    <w:i/>
                    <w:sz w:val="22"/>
                  </w:rPr>
                </m:ctrlPr>
              </m:sSubPr>
              <m:e>
                <m:acc>
                  <m:accPr>
                    <m:ctrlPr>
                      <w:rPr>
                        <w:rFonts w:ascii="Cambria Math" w:eastAsiaTheme="minorEastAsia" w:hAnsi="Cambria Math"/>
                        <w:i/>
                        <w:sz w:val="22"/>
                      </w:rPr>
                    </m:ctrlPr>
                  </m:accPr>
                  <m:e>
                    <m:r>
                      <w:rPr>
                        <w:rFonts w:ascii="Cambria Math" w:eastAsiaTheme="minorEastAsia" w:hAnsi="Cambria Math"/>
                        <w:sz w:val="22"/>
                      </w:rPr>
                      <m:t>λ</m:t>
                    </m:r>
                  </m:e>
                </m:acc>
              </m:e>
              <m:sub>
                <m:r>
                  <w:rPr>
                    <w:rFonts w:ascii="Cambria Math" w:eastAsiaTheme="minorEastAsia" w:hAnsi="Cambria Math"/>
                    <w:sz w:val="22"/>
                  </w:rPr>
                  <m:t>j,t</m:t>
                </m:r>
              </m:sub>
            </m:sSub>
            <m:r>
              <w:rPr>
                <w:rFonts w:ascii="Cambria Math" w:eastAsiaTheme="minorEastAsia" w:hAnsi="Cambria Math"/>
                <w:sz w:val="22"/>
              </w:rPr>
              <m:t>:j≠1</m:t>
            </m:r>
          </m:e>
        </m:d>
      </m:oMath>
      <w:r w:rsidR="00407E63">
        <w:rPr>
          <w:rFonts w:eastAsiaTheme="minorEastAsia"/>
          <w:sz w:val="22"/>
        </w:rPr>
        <w:t xml:space="preserve"> where each region</w:t>
      </w:r>
      <w:r>
        <w:rPr>
          <w:rFonts w:eastAsiaTheme="minorEastAsia"/>
          <w:sz w:val="22"/>
        </w:rPr>
        <w:t xml:space="preserve"> enters the treatment at the same time as region </w:t>
      </w:r>
      <m:oMath>
        <m:r>
          <w:rPr>
            <w:rFonts w:ascii="Cambria Math" w:eastAsiaTheme="minorEastAsia" w:hAnsi="Cambria Math"/>
            <w:sz w:val="22"/>
          </w:rPr>
          <m:t>g</m:t>
        </m:r>
      </m:oMath>
      <w:r>
        <w:rPr>
          <w:rFonts w:eastAsiaTheme="minorEastAsia"/>
          <w:sz w:val="22"/>
        </w:rPr>
        <w:t xml:space="preserve">. </w:t>
      </w:r>
      <w:r w:rsidR="00407E63">
        <w:rPr>
          <w:rFonts w:eastAsiaTheme="minorEastAsia"/>
          <w:sz w:val="22"/>
        </w:rPr>
        <w:t xml:space="preserve">By averaging </w:t>
      </w:r>
      <m:oMath>
        <m:sSubSup>
          <m:sSubSupPr>
            <m:ctrlPr>
              <w:rPr>
                <w:rFonts w:ascii="Cambria Math" w:eastAsiaTheme="minorEastAsia" w:hAnsi="Cambria Math"/>
                <w:i/>
                <w:sz w:val="22"/>
              </w:rPr>
            </m:ctrlPr>
          </m:sSubSupPr>
          <m:e>
            <m:r>
              <w:rPr>
                <w:rFonts w:ascii="Cambria Math" w:eastAsiaTheme="minorEastAsia" w:hAnsi="Cambria Math"/>
                <w:sz w:val="22"/>
              </w:rPr>
              <m:t>λ</m:t>
            </m:r>
          </m:e>
          <m:sub>
            <m:r>
              <w:rPr>
                <w:rFonts w:ascii="Cambria Math" w:eastAsiaTheme="minorEastAsia" w:hAnsi="Cambria Math"/>
                <w:sz w:val="22"/>
              </w:rPr>
              <m:t>g,t</m:t>
            </m:r>
          </m:sub>
          <m:sup>
            <m:r>
              <w:rPr>
                <w:rFonts w:ascii="Cambria Math" w:eastAsiaTheme="minorEastAsia" w:hAnsi="Cambria Math"/>
                <w:sz w:val="22"/>
              </w:rPr>
              <m:t>Placebo</m:t>
            </m:r>
          </m:sup>
        </m:sSubSup>
      </m:oMath>
      <w:r w:rsidR="00407E63">
        <w:rPr>
          <w:rFonts w:eastAsiaTheme="minorEastAsia"/>
          <w:sz w:val="22"/>
        </w:rPr>
        <w:t xml:space="preserve"> over the instability treatment to obtain </w:t>
      </w:r>
      <m:oMath>
        <m:acc>
          <m:accPr>
            <m:chr m:val="̅"/>
            <m:ctrlPr>
              <w:rPr>
                <w:rFonts w:ascii="Cambria Math" w:eastAsiaTheme="minorEastAsia" w:hAnsi="Cambria Math"/>
                <w:i/>
                <w:sz w:val="22"/>
              </w:rPr>
            </m:ctrlPr>
          </m:accPr>
          <m:e>
            <m:sSubSup>
              <m:sSubSupPr>
                <m:ctrlPr>
                  <w:rPr>
                    <w:rFonts w:ascii="Cambria Math" w:eastAsiaTheme="minorEastAsia" w:hAnsi="Cambria Math"/>
                    <w:i/>
                    <w:sz w:val="22"/>
                  </w:rPr>
                </m:ctrlPr>
              </m:sSubSupPr>
              <m:e>
                <m:r>
                  <w:rPr>
                    <w:rFonts w:ascii="Cambria Math" w:eastAsiaTheme="minorEastAsia" w:hAnsi="Cambria Math"/>
                    <w:sz w:val="22"/>
                  </w:rPr>
                  <m:t>λ</m:t>
                </m:r>
              </m:e>
              <m:sub>
                <m:r>
                  <w:rPr>
                    <w:rFonts w:ascii="Cambria Math" w:eastAsiaTheme="minorEastAsia" w:hAnsi="Cambria Math"/>
                    <w:sz w:val="22"/>
                  </w:rPr>
                  <m:t>g,t</m:t>
                </m:r>
              </m:sub>
              <m:sup>
                <m:r>
                  <w:rPr>
                    <w:rFonts w:ascii="Cambria Math" w:eastAsiaTheme="minorEastAsia" w:hAnsi="Cambria Math"/>
                    <w:sz w:val="22"/>
                  </w:rPr>
                  <m:t>Placebo</m:t>
                </m:r>
              </m:sup>
            </m:sSubSup>
          </m:e>
        </m:acc>
      </m:oMath>
      <w:r w:rsidR="00407E63">
        <w:rPr>
          <w:rFonts w:eastAsiaTheme="minorEastAsia"/>
          <w:sz w:val="22"/>
        </w:rPr>
        <w:t xml:space="preserve"> partially removes the noise from the estimates. This is constructed from all possible averages where a single placebo coefficient set is taken from each </w:t>
      </w:r>
      <m:oMath>
        <m:sSubSup>
          <m:sSubSupPr>
            <m:ctrlPr>
              <w:rPr>
                <w:rFonts w:ascii="Cambria Math" w:eastAsiaTheme="minorEastAsia" w:hAnsi="Cambria Math"/>
                <w:i/>
                <w:sz w:val="22"/>
              </w:rPr>
            </m:ctrlPr>
          </m:sSubSupPr>
          <m:e>
            <m:acc>
              <m:accPr>
                <m:ctrlPr>
                  <w:rPr>
                    <w:rFonts w:ascii="Cambria Math" w:eastAsiaTheme="minorEastAsia" w:hAnsi="Cambria Math"/>
                    <w:i/>
                    <w:sz w:val="22"/>
                  </w:rPr>
                </m:ctrlPr>
              </m:accPr>
              <m:e>
                <m:r>
                  <w:rPr>
                    <w:rFonts w:ascii="Cambria Math" w:eastAsiaTheme="minorEastAsia" w:hAnsi="Cambria Math"/>
                    <w:sz w:val="22"/>
                  </w:rPr>
                  <m:t>λ</m:t>
                </m:r>
              </m:e>
            </m:acc>
          </m:e>
          <m:sub>
            <m:r>
              <w:rPr>
                <w:rFonts w:ascii="Cambria Math" w:eastAsiaTheme="minorEastAsia" w:hAnsi="Cambria Math"/>
                <w:sz w:val="22"/>
              </w:rPr>
              <m:t>g,t</m:t>
            </m:r>
          </m:sub>
          <m:sup>
            <m:r>
              <w:rPr>
                <w:rFonts w:ascii="Cambria Math" w:eastAsiaTheme="minorEastAsia" w:hAnsi="Cambria Math"/>
                <w:sz w:val="22"/>
              </w:rPr>
              <m:t>Placebo</m:t>
            </m:r>
          </m:sup>
        </m:sSubSup>
      </m:oMath>
      <w:r w:rsidR="00407E63">
        <w:rPr>
          <w:rFonts w:eastAsiaTheme="minorEastAsia"/>
          <w:sz w:val="22"/>
        </w:rPr>
        <w:t xml:space="preserve">. Notice that there are </w:t>
      </w:r>
      <m:oMath>
        <m:sSub>
          <m:sSubPr>
            <m:ctrlPr>
              <w:rPr>
                <w:rFonts w:ascii="Cambria Math" w:eastAsiaTheme="minorEastAsia" w:hAnsi="Cambria Math"/>
                <w:i/>
                <w:sz w:val="22"/>
              </w:rPr>
            </m:ctrlPr>
          </m:sSubPr>
          <m:e>
            <m:r>
              <w:rPr>
                <w:rFonts w:ascii="Cambria Math" w:eastAsiaTheme="minorEastAsia" w:hAnsi="Cambria Math"/>
                <w:sz w:val="22"/>
              </w:rPr>
              <m:t>N</m:t>
            </m:r>
          </m:e>
          <m:sub>
            <m:acc>
              <m:accPr>
                <m:chr m:val="̅"/>
                <m:ctrlPr>
                  <w:rPr>
                    <w:rFonts w:ascii="Cambria Math" w:eastAsiaTheme="minorEastAsia" w:hAnsi="Cambria Math"/>
                    <w:i/>
                    <w:sz w:val="22"/>
                  </w:rPr>
                </m:ctrlPr>
              </m:accPr>
              <m:e>
                <m:r>
                  <w:rPr>
                    <w:rFonts w:ascii="Cambria Math" w:eastAsiaTheme="minorEastAsia" w:hAnsi="Cambria Math"/>
                    <w:sz w:val="22"/>
                  </w:rPr>
                  <m:t>Placebo</m:t>
                </m:r>
              </m:e>
            </m:acc>
          </m:sub>
        </m:sSub>
        <m:r>
          <w:rPr>
            <w:rFonts w:ascii="Cambria Math" w:eastAsiaTheme="minorEastAsia" w:hAnsi="Cambria Math"/>
            <w:sz w:val="22"/>
          </w:rPr>
          <m:t>=</m:t>
        </m:r>
        <m:nary>
          <m:naryPr>
            <m:chr m:val="∏"/>
            <m:limLoc m:val="subSup"/>
            <m:ctrlPr>
              <w:rPr>
                <w:rFonts w:ascii="Cambria Math" w:eastAsiaTheme="minorEastAsia" w:hAnsi="Cambria Math"/>
                <w:i/>
                <w:sz w:val="22"/>
              </w:rPr>
            </m:ctrlPr>
          </m:naryPr>
          <m:sub>
            <m:r>
              <w:rPr>
                <w:rFonts w:ascii="Cambria Math" w:eastAsiaTheme="minorEastAsia" w:hAnsi="Cambria Math"/>
                <w:sz w:val="22"/>
              </w:rPr>
              <m:t>g=1</m:t>
            </m:r>
          </m:sub>
          <m:sup>
            <m:r>
              <w:rPr>
                <w:rFonts w:ascii="Cambria Math" w:eastAsiaTheme="minorEastAsia" w:hAnsi="Cambria Math"/>
                <w:sz w:val="22"/>
              </w:rPr>
              <m:t>J</m:t>
            </m:r>
          </m:sup>
          <m:e>
            <m:sSub>
              <m:sSubPr>
                <m:ctrlPr>
                  <w:rPr>
                    <w:rFonts w:ascii="Cambria Math" w:eastAsiaTheme="minorEastAsia" w:hAnsi="Cambria Math"/>
                    <w:i/>
                    <w:sz w:val="22"/>
                  </w:rPr>
                </m:ctrlPr>
              </m:sSubPr>
              <m:e>
                <m:r>
                  <w:rPr>
                    <w:rFonts w:ascii="Cambria Math" w:eastAsiaTheme="minorEastAsia" w:hAnsi="Cambria Math"/>
                    <w:sz w:val="22"/>
                  </w:rPr>
                  <m:t>J</m:t>
                </m:r>
              </m:e>
              <m:sub>
                <m:r>
                  <w:rPr>
                    <w:rFonts w:ascii="Cambria Math" w:eastAsiaTheme="minorEastAsia" w:hAnsi="Cambria Math"/>
                    <w:sz w:val="22"/>
                  </w:rPr>
                  <m:t>g</m:t>
                </m:r>
              </m:sub>
            </m:sSub>
          </m:e>
        </m:nary>
      </m:oMath>
      <w:r w:rsidR="00407E63">
        <w:rPr>
          <w:rFonts w:eastAsiaTheme="minorEastAsia"/>
          <w:sz w:val="22"/>
        </w:rPr>
        <w:t xml:space="preserve"> possible averages. To keep the placebo analysis parsimonious, we restrict the donor pool by match quality and discard placebos that do not match well to prevent the distribution from being tainted by the placebos with extreme rarity of negative instability effect. If </w:t>
      </w:r>
      <m:oMath>
        <m:sSubSup>
          <m:sSubSupPr>
            <m:ctrlPr>
              <w:rPr>
                <w:rFonts w:ascii="Cambria Math" w:eastAsiaTheme="minorEastAsia" w:hAnsi="Cambria Math"/>
                <w:i/>
                <w:sz w:val="22"/>
              </w:rPr>
            </m:ctrlPr>
          </m:sSubSupPr>
          <m:e>
            <m:r>
              <w:rPr>
                <w:rFonts w:ascii="Cambria Math" w:eastAsiaTheme="minorEastAsia" w:hAnsi="Cambria Math"/>
                <w:sz w:val="22"/>
              </w:rPr>
              <m:t>K</m:t>
            </m:r>
          </m:e>
          <m:sub>
            <m:r>
              <w:rPr>
                <w:rFonts w:ascii="Cambria Math" w:eastAsiaTheme="minorEastAsia" w:hAnsi="Cambria Math"/>
                <w:sz w:val="22"/>
              </w:rPr>
              <m:t>g</m:t>
            </m:r>
          </m:sub>
          <m:sup>
            <m:r>
              <w:rPr>
                <w:rFonts w:ascii="Cambria Math" w:eastAsiaTheme="minorEastAsia" w:hAnsi="Cambria Math"/>
                <w:sz w:val="22"/>
              </w:rPr>
              <m:t>m</m:t>
            </m:r>
          </m:sup>
        </m:sSubSup>
      </m:oMath>
      <w:r w:rsidR="00407E63">
        <w:rPr>
          <w:rFonts w:eastAsiaTheme="minorEastAsia"/>
          <w:sz w:val="22"/>
        </w:rPr>
        <w:t xml:space="preserve"> denotes the number of controls that match as well as the treated unit </w:t>
      </w:r>
      <m:oMath>
        <m:r>
          <w:rPr>
            <w:rFonts w:ascii="Cambria Math" w:eastAsiaTheme="minorEastAsia" w:hAnsi="Cambria Math"/>
            <w:sz w:val="22"/>
          </w:rPr>
          <m:t>g</m:t>
        </m:r>
      </m:oMath>
      <w:r w:rsidR="00407E63">
        <w:rPr>
          <w:rFonts w:eastAsiaTheme="minorEastAsia"/>
          <w:sz w:val="22"/>
        </w:rPr>
        <w:t xml:space="preserve"> for the same </w:t>
      </w:r>
      <w:proofErr w:type="gramStart"/>
      <w:r w:rsidR="00407E63">
        <w:rPr>
          <w:rFonts w:eastAsiaTheme="minorEastAsia"/>
          <w:sz w:val="22"/>
        </w:rPr>
        <w:t>time period</w:t>
      </w:r>
      <w:proofErr w:type="gramEnd"/>
      <w:r w:rsidR="00407E63">
        <w:rPr>
          <w:rFonts w:eastAsiaTheme="minorEastAsia"/>
          <w:sz w:val="22"/>
        </w:rPr>
        <w:t xml:space="preserve">, then </w:t>
      </w:r>
      <m:oMath>
        <m:sSubSup>
          <m:sSubSupPr>
            <m:ctrlPr>
              <w:rPr>
                <w:rFonts w:ascii="Cambria Math" w:eastAsiaTheme="minorEastAsia" w:hAnsi="Cambria Math"/>
                <w:i/>
                <w:sz w:val="22"/>
              </w:rPr>
            </m:ctrlPr>
          </m:sSubSupPr>
          <m:e>
            <m:r>
              <w:rPr>
                <w:rFonts w:ascii="Cambria Math" w:eastAsiaTheme="minorEastAsia" w:hAnsi="Cambria Math"/>
                <w:sz w:val="22"/>
              </w:rPr>
              <m:t>N</m:t>
            </m:r>
          </m:e>
          <m:sub>
            <m:acc>
              <m:accPr>
                <m:chr m:val="̅"/>
                <m:ctrlPr>
                  <w:rPr>
                    <w:rFonts w:ascii="Cambria Math" w:eastAsiaTheme="minorEastAsia" w:hAnsi="Cambria Math"/>
                    <w:i/>
                    <w:sz w:val="22"/>
                  </w:rPr>
                </m:ctrlPr>
              </m:accPr>
              <m:e>
                <m:r>
                  <w:rPr>
                    <w:rFonts w:ascii="Cambria Math" w:eastAsiaTheme="minorEastAsia" w:hAnsi="Cambria Math"/>
                    <w:sz w:val="22"/>
                  </w:rPr>
                  <m:t>Placebo</m:t>
                </m:r>
              </m:e>
            </m:acc>
          </m:sub>
          <m:sup>
            <m:r>
              <w:rPr>
                <w:rFonts w:ascii="Cambria Math" w:eastAsiaTheme="minorEastAsia" w:hAnsi="Cambria Math"/>
                <w:sz w:val="22"/>
              </w:rPr>
              <m:t>m</m:t>
            </m:r>
          </m:sup>
        </m:sSubSup>
        <m:r>
          <w:rPr>
            <w:rFonts w:ascii="Cambria Math" w:eastAsiaTheme="minorEastAsia" w:hAnsi="Cambria Math"/>
            <w:sz w:val="22"/>
          </w:rPr>
          <m:t>=</m:t>
        </m:r>
        <m:nary>
          <m:naryPr>
            <m:chr m:val="∏"/>
            <m:limLoc m:val="subSup"/>
            <m:ctrlPr>
              <w:rPr>
                <w:rFonts w:ascii="Cambria Math" w:eastAsiaTheme="minorEastAsia" w:hAnsi="Cambria Math"/>
                <w:i/>
                <w:sz w:val="22"/>
              </w:rPr>
            </m:ctrlPr>
          </m:naryPr>
          <m:sub>
            <m:r>
              <w:rPr>
                <w:rFonts w:ascii="Cambria Math" w:eastAsiaTheme="minorEastAsia" w:hAnsi="Cambria Math"/>
                <w:sz w:val="22"/>
              </w:rPr>
              <m:t>g=1</m:t>
            </m:r>
          </m:sub>
          <m:sup>
            <m:r>
              <w:rPr>
                <w:rFonts w:ascii="Cambria Math" w:eastAsiaTheme="minorEastAsia" w:hAnsi="Cambria Math"/>
                <w:sz w:val="22"/>
              </w:rPr>
              <m:t>G</m:t>
            </m:r>
          </m:sup>
          <m:e>
            <m:sSubSup>
              <m:sSubSupPr>
                <m:ctrlPr>
                  <w:rPr>
                    <w:rFonts w:ascii="Cambria Math" w:eastAsiaTheme="minorEastAsia" w:hAnsi="Cambria Math"/>
                    <w:i/>
                    <w:sz w:val="22"/>
                  </w:rPr>
                </m:ctrlPr>
              </m:sSubSupPr>
              <m:e>
                <m:r>
                  <w:rPr>
                    <w:rFonts w:ascii="Cambria Math" w:eastAsiaTheme="minorEastAsia" w:hAnsi="Cambria Math"/>
                    <w:sz w:val="22"/>
                  </w:rPr>
                  <m:t>J</m:t>
                </m:r>
              </m:e>
              <m:sub>
                <m:r>
                  <w:rPr>
                    <w:rFonts w:ascii="Cambria Math" w:eastAsiaTheme="minorEastAsia" w:hAnsi="Cambria Math"/>
                    <w:sz w:val="22"/>
                  </w:rPr>
                  <m:t>g</m:t>
                </m:r>
              </m:sub>
              <m:sup>
                <m:r>
                  <w:rPr>
                    <w:rFonts w:ascii="Cambria Math" w:eastAsiaTheme="minorEastAsia" w:hAnsi="Cambria Math"/>
                    <w:sz w:val="22"/>
                  </w:rPr>
                  <m:t>m</m:t>
                </m:r>
              </m:sup>
            </m:sSubSup>
          </m:e>
        </m:nary>
      </m:oMath>
      <w:r w:rsidR="00407E63">
        <w:rPr>
          <w:rFonts w:eastAsiaTheme="minorEastAsia"/>
          <w:sz w:val="22"/>
        </w:rPr>
        <w:t xml:space="preserve">. Furthermore, if </w:t>
      </w:r>
      <m:oMath>
        <m:r>
          <w:rPr>
            <w:rFonts w:ascii="Cambria Math" w:eastAsiaTheme="minorEastAsia" w:hAnsi="Cambria Math"/>
            <w:sz w:val="22"/>
          </w:rPr>
          <m:t>b</m:t>
        </m:r>
      </m:oMath>
      <w:r w:rsidR="00407E63">
        <w:rPr>
          <w:rFonts w:eastAsiaTheme="minorEastAsia"/>
          <w:sz w:val="22"/>
        </w:rPr>
        <w:t xml:space="preserve"> is the selection index where a single placebo effect is drawn from each treatment placebo set, let </w:t>
      </w:r>
      <m:oMath>
        <m:sSup>
          <m:sSupPr>
            <m:ctrlPr>
              <w:rPr>
                <w:rFonts w:ascii="Cambria Math" w:eastAsiaTheme="minorEastAsia" w:hAnsi="Cambria Math"/>
                <w:i/>
                <w:sz w:val="22"/>
              </w:rPr>
            </m:ctrlPr>
          </m:sSupPr>
          <m:e>
            <m:r>
              <w:rPr>
                <w:rFonts w:ascii="Cambria Math" w:eastAsiaTheme="minorEastAsia" w:hAnsi="Cambria Math"/>
                <w:sz w:val="22"/>
              </w:rPr>
              <m:t>λ</m:t>
            </m:r>
          </m:e>
          <m:sup>
            <m:acc>
              <m:accPr>
                <m:chr m:val="̅"/>
                <m:ctrlPr>
                  <w:rPr>
                    <w:rFonts w:ascii="Cambria Math" w:eastAsiaTheme="minorEastAsia" w:hAnsi="Cambria Math"/>
                    <w:i/>
                    <w:sz w:val="22"/>
                  </w:rPr>
                </m:ctrlPr>
              </m:accPr>
              <m:e>
                <m:r>
                  <w:rPr>
                    <w:rFonts w:ascii="Cambria Math" w:eastAsiaTheme="minorEastAsia" w:hAnsi="Cambria Math"/>
                    <w:sz w:val="22"/>
                  </w:rPr>
                  <m:t>Placebo</m:t>
                </m:r>
              </m:e>
            </m:acc>
            <m:d>
              <m:dPr>
                <m:ctrlPr>
                  <w:rPr>
                    <w:rFonts w:ascii="Cambria Math" w:eastAsiaTheme="minorEastAsia" w:hAnsi="Cambria Math"/>
                    <w:i/>
                    <w:sz w:val="22"/>
                  </w:rPr>
                </m:ctrlPr>
              </m:dPr>
              <m:e>
                <m:r>
                  <w:rPr>
                    <w:rFonts w:ascii="Cambria Math" w:eastAsiaTheme="minorEastAsia" w:hAnsi="Cambria Math"/>
                    <w:sz w:val="22"/>
                  </w:rPr>
                  <m:t>i</m:t>
                </m:r>
              </m:e>
            </m:d>
          </m:sup>
        </m:sSup>
      </m:oMath>
      <w:r w:rsidR="00407E63">
        <w:rPr>
          <w:rFonts w:eastAsiaTheme="minorEastAsia"/>
          <w:sz w:val="22"/>
        </w:rPr>
        <w:t xml:space="preserve"> the mean of the placebo selection. Inference on the instability effect with multiple treated regions is then conducted through the following two-sided p-value:</w:t>
      </w:r>
    </w:p>
    <w:p w14:paraId="5E23037F" w14:textId="77777777" w:rsidR="00407E63" w:rsidRDefault="00407E63" w:rsidP="004A2AF3">
      <w:pPr>
        <w:spacing w:after="0"/>
        <w:jc w:val="both"/>
        <w:rPr>
          <w:rFonts w:eastAsiaTheme="minorEastAsia"/>
          <w:sz w:val="22"/>
        </w:rPr>
      </w:pPr>
    </w:p>
    <w:p w14:paraId="004A172D" w14:textId="77777777" w:rsidR="00407E63" w:rsidRPr="006D4165" w:rsidRDefault="00407E63" w:rsidP="004A2AF3">
      <w:pPr>
        <w:spacing w:after="0"/>
        <w:jc w:val="both"/>
        <w:rPr>
          <w:rFonts w:ascii="Bahnschrift Light" w:hAnsi="Bahnschrift Light"/>
          <w:sz w:val="22"/>
        </w:rPr>
      </w:pPr>
      <m:oMathPara>
        <m:oMath>
          <m:r>
            <m:rPr>
              <m:scr m:val="double-struck"/>
            </m:rPr>
            <w:rPr>
              <w:rFonts w:ascii="Cambria Math" w:hAnsi="Cambria Math"/>
              <w:sz w:val="22"/>
            </w:rPr>
            <m:t>P</m:t>
          </m:r>
          <m:d>
            <m:dPr>
              <m:ctrlPr>
                <w:rPr>
                  <w:rFonts w:ascii="Cambria Math" w:hAnsi="Cambria Math"/>
                  <w:i/>
                  <w:sz w:val="22"/>
                </w:rPr>
              </m:ctrlPr>
            </m:dPr>
            <m:e>
              <m:acc>
                <m:accPr>
                  <m:ctrlPr>
                    <w:rPr>
                      <w:rFonts w:ascii="Cambria Math" w:hAnsi="Cambria Math"/>
                      <w:i/>
                      <w:sz w:val="22"/>
                    </w:rPr>
                  </m:ctrlPr>
                </m:accPr>
                <m:e>
                  <m:r>
                    <w:rPr>
                      <w:rFonts w:ascii="Cambria Math" w:hAnsi="Cambria Math"/>
                      <w:sz w:val="22"/>
                    </w:rPr>
                    <m:t>λ</m:t>
                  </m:r>
                </m:e>
              </m:acc>
            </m:e>
          </m:d>
          <m:r>
            <w:rPr>
              <w:rFonts w:ascii="Cambria Math" w:eastAsiaTheme="minorEastAsia" w:hAnsi="Cambria Math"/>
              <w:sz w:val="22"/>
            </w:rPr>
            <m:t>=</m:t>
          </m:r>
          <m:r>
            <m:rPr>
              <m:sty m:val="p"/>
            </m:rPr>
            <w:rPr>
              <w:rFonts w:ascii="Cambria Math" w:eastAsiaTheme="minorEastAsia" w:hAnsi="Cambria Math"/>
              <w:sz w:val="22"/>
            </w:rPr>
            <m:t>Prob</m:t>
          </m:r>
          <m:d>
            <m:dPr>
              <m:ctrlPr>
                <w:rPr>
                  <w:rFonts w:ascii="Cambria Math" w:eastAsiaTheme="minorEastAsia" w:hAnsi="Cambria Math"/>
                  <w:i/>
                  <w:sz w:val="22"/>
                </w:rPr>
              </m:ctrlPr>
            </m:dPr>
            <m:e>
              <m:d>
                <m:dPr>
                  <m:begChr m:val="|"/>
                  <m:endChr m:val="|"/>
                  <m:ctrlPr>
                    <w:rPr>
                      <w:rFonts w:ascii="Cambria Math" w:eastAsiaTheme="minorEastAsia" w:hAnsi="Cambria Math"/>
                      <w:i/>
                      <w:sz w:val="22"/>
                    </w:rPr>
                  </m:ctrlPr>
                </m:dPr>
                <m:e>
                  <m:sSup>
                    <m:sSupPr>
                      <m:ctrlPr>
                        <w:rPr>
                          <w:rFonts w:ascii="Cambria Math" w:eastAsiaTheme="minorEastAsia" w:hAnsi="Cambria Math"/>
                          <w:i/>
                          <w:sz w:val="22"/>
                        </w:rPr>
                      </m:ctrlPr>
                    </m:sSupPr>
                    <m:e>
                      <m:acc>
                        <m:accPr>
                          <m:chr m:val="̅"/>
                          <m:ctrlPr>
                            <w:rPr>
                              <w:rFonts w:ascii="Cambria Math" w:eastAsiaTheme="minorEastAsia" w:hAnsi="Cambria Math"/>
                              <w:i/>
                              <w:sz w:val="22"/>
                            </w:rPr>
                          </m:ctrlPr>
                        </m:accPr>
                        <m:e>
                          <m:r>
                            <w:rPr>
                              <w:rFonts w:ascii="Cambria Math" w:eastAsiaTheme="minorEastAsia" w:hAnsi="Cambria Math"/>
                              <w:sz w:val="22"/>
                            </w:rPr>
                            <m:t>λ</m:t>
                          </m:r>
                        </m:e>
                      </m:acc>
                    </m:e>
                    <m:sup>
                      <m:r>
                        <w:rPr>
                          <w:rFonts w:ascii="Cambria Math" w:eastAsiaTheme="minorEastAsia" w:hAnsi="Cambria Math"/>
                          <w:sz w:val="22"/>
                        </w:rPr>
                        <m:t>Placebo</m:t>
                      </m:r>
                    </m:sup>
                  </m:sSup>
                </m:e>
              </m:d>
              <m:r>
                <w:rPr>
                  <w:rFonts w:ascii="Cambria Math" w:eastAsiaTheme="minorEastAsia" w:hAnsi="Cambria Math"/>
                  <w:sz w:val="22"/>
                </w:rPr>
                <m:t>≥</m:t>
              </m:r>
              <m:d>
                <m:dPr>
                  <m:begChr m:val="|"/>
                  <m:endChr m:val="|"/>
                  <m:ctrlPr>
                    <w:rPr>
                      <w:rFonts w:ascii="Cambria Math" w:eastAsiaTheme="minorEastAsia" w:hAnsi="Cambria Math"/>
                      <w:i/>
                      <w:sz w:val="22"/>
                    </w:rPr>
                  </m:ctrlPr>
                </m:dPr>
                <m:e>
                  <m:acc>
                    <m:accPr>
                      <m:chr m:val="̅"/>
                      <m:ctrlPr>
                        <w:rPr>
                          <w:rFonts w:ascii="Cambria Math" w:eastAsiaTheme="minorEastAsia" w:hAnsi="Cambria Math"/>
                          <w:i/>
                          <w:sz w:val="22"/>
                        </w:rPr>
                      </m:ctrlPr>
                    </m:accPr>
                    <m:e>
                      <m:r>
                        <w:rPr>
                          <w:rFonts w:ascii="Cambria Math" w:eastAsiaTheme="minorEastAsia" w:hAnsi="Cambria Math"/>
                          <w:sz w:val="22"/>
                        </w:rPr>
                        <m:t>λ</m:t>
                      </m:r>
                    </m:e>
                  </m:acc>
                </m:e>
              </m:d>
            </m:e>
          </m:d>
          <m:r>
            <w:rPr>
              <w:rFonts w:ascii="Cambria Math" w:eastAsiaTheme="minorEastAsia" w:hAnsi="Cambria Math"/>
              <w:sz w:val="22"/>
            </w:rPr>
            <m:t>=</m:t>
          </m:r>
          <m:f>
            <m:fPr>
              <m:ctrlPr>
                <w:rPr>
                  <w:rFonts w:ascii="Cambria Math" w:eastAsiaTheme="minorEastAsia" w:hAnsi="Cambria Math"/>
                  <w:i/>
                  <w:sz w:val="22"/>
                </w:rPr>
              </m:ctrlPr>
            </m:fPr>
            <m:num>
              <m:nary>
                <m:naryPr>
                  <m:chr m:val="∑"/>
                  <m:limLoc m:val="subSup"/>
                  <m:ctrlPr>
                    <w:rPr>
                      <w:rFonts w:ascii="Cambria Math" w:eastAsiaTheme="minorEastAsia" w:hAnsi="Cambria Math"/>
                      <w:i/>
                      <w:sz w:val="22"/>
                    </w:rPr>
                  </m:ctrlPr>
                </m:naryPr>
                <m:sub>
                  <m:r>
                    <w:rPr>
                      <w:rFonts w:ascii="Cambria Math" w:eastAsiaTheme="minorEastAsia" w:hAnsi="Cambria Math"/>
                      <w:sz w:val="22"/>
                    </w:rPr>
                    <m:t>i</m:t>
                  </m:r>
                </m:sub>
                <m:sup>
                  <m:sSub>
                    <m:sSubPr>
                      <m:ctrlPr>
                        <w:rPr>
                          <w:rFonts w:ascii="Cambria Math" w:eastAsiaTheme="minorEastAsia" w:hAnsi="Cambria Math"/>
                          <w:i/>
                          <w:sz w:val="22"/>
                        </w:rPr>
                      </m:ctrlPr>
                    </m:sSubPr>
                    <m:e>
                      <m:r>
                        <w:rPr>
                          <w:rFonts w:ascii="Cambria Math" w:eastAsiaTheme="minorEastAsia" w:hAnsi="Cambria Math"/>
                          <w:sz w:val="22"/>
                        </w:rPr>
                        <m:t>N</m:t>
                      </m:r>
                    </m:e>
                    <m:sub>
                      <m:acc>
                        <m:accPr>
                          <m:chr m:val="̅"/>
                          <m:ctrlPr>
                            <w:rPr>
                              <w:rFonts w:ascii="Cambria Math" w:eastAsiaTheme="minorEastAsia" w:hAnsi="Cambria Math"/>
                              <w:i/>
                              <w:sz w:val="22"/>
                            </w:rPr>
                          </m:ctrlPr>
                        </m:accPr>
                        <m:e>
                          <m:r>
                            <w:rPr>
                              <w:rFonts w:ascii="Cambria Math" w:eastAsiaTheme="minorEastAsia" w:hAnsi="Cambria Math"/>
                              <w:sz w:val="22"/>
                            </w:rPr>
                            <m:t>Placebo</m:t>
                          </m:r>
                        </m:e>
                      </m:acc>
                    </m:sub>
                  </m:sSub>
                </m:sup>
                <m:e>
                  <m:r>
                    <w:rPr>
                      <w:rFonts w:ascii="Cambria Math" w:eastAsiaTheme="minorEastAsia" w:hAnsi="Cambria Math"/>
                      <w:sz w:val="22"/>
                    </w:rPr>
                    <m:t>1∙</m:t>
                  </m:r>
                  <m:d>
                    <m:dPr>
                      <m:begChr m:val="["/>
                      <m:endChr m:val="]"/>
                      <m:ctrlPr>
                        <w:rPr>
                          <w:rFonts w:ascii="Cambria Math" w:eastAsiaTheme="minorEastAsia" w:hAnsi="Cambria Math"/>
                          <w:i/>
                          <w:sz w:val="22"/>
                        </w:rPr>
                      </m:ctrlPr>
                    </m:dPr>
                    <m:e>
                      <m:d>
                        <m:dPr>
                          <m:begChr m:val="|"/>
                          <m:endChr m:val="|"/>
                          <m:ctrlPr>
                            <w:rPr>
                              <w:rFonts w:ascii="Cambria Math" w:eastAsiaTheme="minorEastAsia" w:hAnsi="Cambria Math"/>
                              <w:i/>
                              <w:sz w:val="22"/>
                            </w:rPr>
                          </m:ctrlPr>
                        </m:dPr>
                        <m:e>
                          <m:sSup>
                            <m:sSupPr>
                              <m:ctrlPr>
                                <w:rPr>
                                  <w:rFonts w:ascii="Cambria Math" w:eastAsiaTheme="minorEastAsia" w:hAnsi="Cambria Math"/>
                                  <w:i/>
                                  <w:sz w:val="22"/>
                                </w:rPr>
                              </m:ctrlPr>
                            </m:sSupPr>
                            <m:e>
                              <m:r>
                                <w:rPr>
                                  <w:rFonts w:ascii="Cambria Math" w:eastAsiaTheme="minorEastAsia" w:hAnsi="Cambria Math"/>
                                  <w:sz w:val="22"/>
                                </w:rPr>
                                <m:t>λ</m:t>
                              </m:r>
                            </m:e>
                            <m:sup>
                              <m:r>
                                <w:rPr>
                                  <w:rFonts w:ascii="Cambria Math" w:eastAsiaTheme="minorEastAsia" w:hAnsi="Cambria Math"/>
                                  <w:sz w:val="22"/>
                                </w:rPr>
                                <m:t>Placebo</m:t>
                              </m:r>
                              <m:d>
                                <m:dPr>
                                  <m:ctrlPr>
                                    <w:rPr>
                                      <w:rFonts w:ascii="Cambria Math" w:eastAsiaTheme="minorEastAsia" w:hAnsi="Cambria Math"/>
                                      <w:i/>
                                      <w:sz w:val="22"/>
                                    </w:rPr>
                                  </m:ctrlPr>
                                </m:dPr>
                                <m:e>
                                  <m:r>
                                    <w:rPr>
                                      <w:rFonts w:ascii="Cambria Math" w:eastAsiaTheme="minorEastAsia" w:hAnsi="Cambria Math"/>
                                      <w:sz w:val="22"/>
                                    </w:rPr>
                                    <m:t>i</m:t>
                                  </m:r>
                                </m:e>
                              </m:d>
                            </m:sup>
                          </m:sSup>
                        </m:e>
                      </m:d>
                      <m:r>
                        <w:rPr>
                          <w:rFonts w:ascii="Cambria Math" w:eastAsiaTheme="minorEastAsia" w:hAnsi="Cambria Math"/>
                          <w:sz w:val="22"/>
                        </w:rPr>
                        <m:t>≥</m:t>
                      </m:r>
                      <m:d>
                        <m:dPr>
                          <m:begChr m:val="|"/>
                          <m:endChr m:val="|"/>
                          <m:ctrlPr>
                            <w:rPr>
                              <w:rFonts w:ascii="Cambria Math" w:eastAsiaTheme="minorEastAsia" w:hAnsi="Cambria Math"/>
                              <w:i/>
                              <w:sz w:val="22"/>
                            </w:rPr>
                          </m:ctrlPr>
                        </m:dPr>
                        <m:e>
                          <m:acc>
                            <m:accPr>
                              <m:chr m:val="̅"/>
                              <m:ctrlPr>
                                <w:rPr>
                                  <w:rFonts w:ascii="Cambria Math" w:eastAsiaTheme="minorEastAsia" w:hAnsi="Cambria Math"/>
                                  <w:i/>
                                  <w:sz w:val="22"/>
                                </w:rPr>
                              </m:ctrlPr>
                            </m:accPr>
                            <m:e>
                              <m:r>
                                <w:rPr>
                                  <w:rFonts w:ascii="Cambria Math" w:eastAsiaTheme="minorEastAsia" w:hAnsi="Cambria Math"/>
                                  <w:sz w:val="22"/>
                                </w:rPr>
                                <m:t>λ</m:t>
                              </m:r>
                            </m:e>
                          </m:acc>
                        </m:e>
                      </m:d>
                    </m:e>
                  </m:d>
                </m:e>
              </m:nary>
            </m:num>
            <m:den>
              <m:sSub>
                <m:sSubPr>
                  <m:ctrlPr>
                    <w:rPr>
                      <w:rFonts w:ascii="Cambria Math" w:eastAsiaTheme="minorEastAsia" w:hAnsi="Cambria Math"/>
                      <w:i/>
                      <w:sz w:val="22"/>
                    </w:rPr>
                  </m:ctrlPr>
                </m:sSubPr>
                <m:e>
                  <m:r>
                    <w:rPr>
                      <w:rFonts w:ascii="Cambria Math" w:eastAsiaTheme="minorEastAsia" w:hAnsi="Cambria Math"/>
                      <w:sz w:val="22"/>
                    </w:rPr>
                    <m:t>N</m:t>
                  </m:r>
                </m:e>
                <m:sub>
                  <m:acc>
                    <m:accPr>
                      <m:chr m:val="̅"/>
                      <m:ctrlPr>
                        <w:rPr>
                          <w:rFonts w:ascii="Cambria Math" w:eastAsiaTheme="minorEastAsia" w:hAnsi="Cambria Math"/>
                          <w:i/>
                          <w:sz w:val="22"/>
                        </w:rPr>
                      </m:ctrlPr>
                    </m:accPr>
                    <m:e>
                      <m:r>
                        <w:rPr>
                          <w:rFonts w:ascii="Cambria Math" w:eastAsiaTheme="minorEastAsia" w:hAnsi="Cambria Math"/>
                          <w:sz w:val="22"/>
                        </w:rPr>
                        <m:t>Placebo</m:t>
                      </m:r>
                    </m:e>
                  </m:acc>
                </m:sub>
              </m:sSub>
            </m:den>
          </m:f>
        </m:oMath>
      </m:oMathPara>
    </w:p>
    <w:p w14:paraId="3567CC60" w14:textId="77777777" w:rsidR="00F8217C" w:rsidRDefault="00F8217C" w:rsidP="0067749B">
      <w:pPr>
        <w:spacing w:after="0"/>
        <w:rPr>
          <w:sz w:val="22"/>
        </w:rPr>
      </w:pPr>
    </w:p>
    <w:p w14:paraId="6A184D19" w14:textId="77777777" w:rsidR="006D4165" w:rsidRDefault="006D4165" w:rsidP="00C47EFE">
      <w:pPr>
        <w:spacing w:after="0"/>
        <w:jc w:val="both"/>
        <w:rPr>
          <w:rFonts w:eastAsiaTheme="minorEastAsia"/>
          <w:sz w:val="22"/>
        </w:rPr>
      </w:pPr>
      <w:r>
        <w:rPr>
          <w:sz w:val="22"/>
        </w:rPr>
        <w:t xml:space="preserve">where we perform to basic checks on the internal validity of synthetic control estimator in approximating the counterfactual scenario. In the first step, we examine whether the treated regions attributes and characteristics fall within the convex hull of the control units. In the second step, the distribution of pre-treatment RMSPEs is modified by discarding the units that have the pre-treatment RMSE at least twice as high as that of the treated regions because such regions cannot be matched appropriately. Although this is not a lenient </w:t>
      </w:r>
      <w:r w:rsidR="00C47EFE">
        <w:rPr>
          <w:sz w:val="22"/>
        </w:rPr>
        <w:t>criterion</w:t>
      </w:r>
      <w:r>
        <w:rPr>
          <w:sz w:val="22"/>
        </w:rPr>
        <w:t>, discarding the control units that fail to match well with the treated regions in pre-</w:t>
      </w:r>
      <m:oMath>
        <m:sSub>
          <m:sSubPr>
            <m:ctrlPr>
              <w:rPr>
                <w:rFonts w:ascii="Cambria Math" w:hAnsi="Cambria Math"/>
                <w:i/>
                <w:sz w:val="22"/>
              </w:rPr>
            </m:ctrlPr>
          </m:sSubPr>
          <m:e>
            <m:r>
              <w:rPr>
                <w:rFonts w:ascii="Cambria Math" w:hAnsi="Cambria Math"/>
                <w:sz w:val="22"/>
              </w:rPr>
              <m:t>T</m:t>
            </m:r>
          </m:e>
          <m:sub>
            <m:r>
              <w:rPr>
                <w:rFonts w:ascii="Cambria Math" w:hAnsi="Cambria Math"/>
                <w:sz w:val="22"/>
              </w:rPr>
              <m:t>0</m:t>
            </m:r>
          </m:sub>
        </m:sSub>
      </m:oMath>
      <w:r>
        <w:rPr>
          <w:rFonts w:eastAsiaTheme="minorEastAsia"/>
          <w:sz w:val="22"/>
        </w:rPr>
        <w:t xml:space="preserve"> period </w:t>
      </w:r>
      <w:r w:rsidR="00C47EFE">
        <w:rPr>
          <w:rFonts w:eastAsiaTheme="minorEastAsia"/>
          <w:sz w:val="22"/>
        </w:rPr>
        <w:t>partially avoids over-estimation of the p-value based on placebos where the relative rarity of obtaining artificially large effect with poor quality of pre-treatment match is neither trivial nor low. For a total of 248 regions in the donor pool, 12 multiple-treated regions and five outcome variables, the estimated number of placebos is very large for each outcome (</w:t>
      </w:r>
      <w:proofErr w:type="gramStart"/>
      <w:r w:rsidR="00C47EFE">
        <w:rPr>
          <w:rFonts w:eastAsiaTheme="minorEastAsia"/>
          <w:sz w:val="22"/>
        </w:rPr>
        <w:t>i.e.</w:t>
      </w:r>
      <w:proofErr w:type="gramEnd"/>
      <w:r w:rsidR="00C47EFE">
        <w:rPr>
          <w:rFonts w:eastAsiaTheme="minorEastAsia"/>
          <w:sz w:val="22"/>
        </w:rPr>
        <w:t xml:space="preserve"> 1.297e+28). This implies that instead of standard treatment permutation traditionally used in smaller samples, our placebo analysis fully relies on the random sampling algorithm to obtain the sequence of p-values associated with the institutional quality effect of instability.</w:t>
      </w:r>
    </w:p>
    <w:p w14:paraId="4152B896" w14:textId="77777777" w:rsidR="00C47EFE" w:rsidRDefault="00C47EFE" w:rsidP="00C47EFE">
      <w:pPr>
        <w:spacing w:after="0"/>
        <w:jc w:val="both"/>
        <w:rPr>
          <w:rFonts w:eastAsiaTheme="minorEastAsia"/>
          <w:sz w:val="22"/>
        </w:rPr>
      </w:pPr>
    </w:p>
    <w:p w14:paraId="1D8019AD" w14:textId="77777777" w:rsidR="00C47EFE" w:rsidRDefault="00C47EFE" w:rsidP="00C47EFE">
      <w:pPr>
        <w:spacing w:after="0"/>
        <w:jc w:val="both"/>
        <w:rPr>
          <w:sz w:val="22"/>
        </w:rPr>
      </w:pPr>
      <w:r>
        <w:rPr>
          <w:rFonts w:eastAsiaTheme="minorEastAsia"/>
          <w:sz w:val="22"/>
        </w:rPr>
        <w:t>Table 4 presents the parametric analysis of the placebo effects through the application of difference-in-differences analysis of the estimated gaps compared to the full set of placebos. The underlying parameter of interest is the post-treatment indicators of the change in the estimated gap in comparison with the placebos. The evidence suggests that the estimated institutional quality gaps induced by political instability appear to be both large and statistically significant. For each of post-treatment gap coefficient, 95 percent confide</w:t>
      </w:r>
      <w:r w:rsidR="0004032D">
        <w:rPr>
          <w:rFonts w:eastAsiaTheme="minorEastAsia"/>
          <w:sz w:val="22"/>
        </w:rPr>
        <w:t>nce bounds are computed. Each specification also conveys the full set of region-fixed effects and time-fixed effects to control for the confounding influence of unobserved heterogeneity bias and common time-varying shocks. The estimated gap coefficients are statistically significant at either 5% or 1% threshold, respectively. The largest magnitudes of the gap coefficients are found for the regulatory quality and control of corruption dimensions whilst the smallest ones are found for government effectiveness and voice and accountability dimensions.</w:t>
      </w:r>
      <w:r>
        <w:rPr>
          <w:rFonts w:eastAsiaTheme="minorEastAsia"/>
          <w:sz w:val="22"/>
        </w:rPr>
        <w:t xml:space="preserve"> </w:t>
      </w:r>
    </w:p>
    <w:p w14:paraId="5665CAC0" w14:textId="77777777" w:rsidR="006D4165" w:rsidRPr="00F8217C" w:rsidRDefault="006D4165" w:rsidP="0067749B">
      <w:pPr>
        <w:spacing w:after="0"/>
        <w:rPr>
          <w:sz w:val="22"/>
        </w:rPr>
      </w:pPr>
    </w:p>
    <w:p w14:paraId="1A201DD7" w14:textId="77777777" w:rsidR="003269AE" w:rsidRPr="00F8217C" w:rsidRDefault="003269AE" w:rsidP="0067749B">
      <w:pPr>
        <w:spacing w:after="0"/>
        <w:rPr>
          <w:sz w:val="22"/>
        </w:rPr>
      </w:pPr>
      <w:r w:rsidRPr="0004032D">
        <w:rPr>
          <w:b/>
          <w:sz w:val="22"/>
        </w:rPr>
        <w:t>Table</w:t>
      </w:r>
      <w:r w:rsidR="0004032D" w:rsidRPr="0004032D">
        <w:rPr>
          <w:b/>
          <w:sz w:val="22"/>
        </w:rPr>
        <w:t xml:space="preserve"> 4</w:t>
      </w:r>
      <w:r w:rsidRPr="00F8217C">
        <w:rPr>
          <w:sz w:val="22"/>
        </w:rPr>
        <w:t xml:space="preserve">: </w:t>
      </w:r>
      <w:r w:rsidR="0004032D">
        <w:rPr>
          <w:sz w:val="22"/>
        </w:rPr>
        <w:t>Parametric analysis of estimated and in-space placebo institutional quality gaps</w:t>
      </w:r>
    </w:p>
    <w:tbl>
      <w:tblPr>
        <w:tblStyle w:val="Tabelamre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47"/>
        <w:gridCol w:w="1276"/>
        <w:gridCol w:w="1275"/>
        <w:gridCol w:w="1276"/>
        <w:gridCol w:w="1276"/>
        <w:gridCol w:w="1366"/>
      </w:tblGrid>
      <w:tr w:rsidR="003269AE" w14:paraId="22148C3D" w14:textId="77777777" w:rsidTr="0004032D">
        <w:tc>
          <w:tcPr>
            <w:tcW w:w="2547" w:type="dxa"/>
            <w:tcBorders>
              <w:top w:val="double" w:sz="4" w:space="0" w:color="auto"/>
            </w:tcBorders>
          </w:tcPr>
          <w:p w14:paraId="5D257EC5" w14:textId="77777777" w:rsidR="003269AE" w:rsidRPr="004A2AF3" w:rsidRDefault="003269AE" w:rsidP="003269AE">
            <w:pPr>
              <w:rPr>
                <w:sz w:val="16"/>
                <w:szCs w:val="18"/>
              </w:rPr>
            </w:pPr>
          </w:p>
        </w:tc>
        <w:tc>
          <w:tcPr>
            <w:tcW w:w="1276" w:type="dxa"/>
            <w:tcBorders>
              <w:top w:val="double" w:sz="4" w:space="0" w:color="auto"/>
              <w:bottom w:val="single" w:sz="4" w:space="0" w:color="auto"/>
            </w:tcBorders>
          </w:tcPr>
          <w:p w14:paraId="027D3837" w14:textId="77777777" w:rsidR="003269AE" w:rsidRPr="004A2AF3" w:rsidRDefault="003269AE" w:rsidP="004E6D89">
            <w:pPr>
              <w:jc w:val="center"/>
              <w:rPr>
                <w:sz w:val="16"/>
                <w:szCs w:val="18"/>
              </w:rPr>
            </w:pPr>
            <w:r w:rsidRPr="004A2AF3">
              <w:rPr>
                <w:sz w:val="16"/>
                <w:szCs w:val="18"/>
              </w:rPr>
              <w:t>Voice and accountability</w:t>
            </w:r>
          </w:p>
        </w:tc>
        <w:tc>
          <w:tcPr>
            <w:tcW w:w="1275" w:type="dxa"/>
            <w:tcBorders>
              <w:top w:val="double" w:sz="4" w:space="0" w:color="auto"/>
              <w:bottom w:val="single" w:sz="4" w:space="0" w:color="auto"/>
            </w:tcBorders>
          </w:tcPr>
          <w:p w14:paraId="18E257FF" w14:textId="77777777" w:rsidR="003269AE" w:rsidRPr="004A2AF3" w:rsidRDefault="003269AE" w:rsidP="004E6D89">
            <w:pPr>
              <w:jc w:val="center"/>
              <w:rPr>
                <w:sz w:val="16"/>
                <w:szCs w:val="18"/>
              </w:rPr>
            </w:pPr>
            <w:r w:rsidRPr="004A2AF3">
              <w:rPr>
                <w:sz w:val="16"/>
                <w:szCs w:val="18"/>
              </w:rPr>
              <w:t>Rule of law</w:t>
            </w:r>
          </w:p>
        </w:tc>
        <w:tc>
          <w:tcPr>
            <w:tcW w:w="1276" w:type="dxa"/>
            <w:tcBorders>
              <w:top w:val="double" w:sz="4" w:space="0" w:color="auto"/>
              <w:bottom w:val="single" w:sz="4" w:space="0" w:color="auto"/>
            </w:tcBorders>
          </w:tcPr>
          <w:p w14:paraId="3E568617" w14:textId="77777777" w:rsidR="003269AE" w:rsidRPr="004A2AF3" w:rsidRDefault="003269AE" w:rsidP="004E6D89">
            <w:pPr>
              <w:jc w:val="center"/>
              <w:rPr>
                <w:sz w:val="16"/>
                <w:szCs w:val="18"/>
              </w:rPr>
            </w:pPr>
            <w:r w:rsidRPr="004A2AF3">
              <w:rPr>
                <w:sz w:val="16"/>
                <w:szCs w:val="18"/>
              </w:rPr>
              <w:t>Government effectiveness</w:t>
            </w:r>
          </w:p>
        </w:tc>
        <w:tc>
          <w:tcPr>
            <w:tcW w:w="1276" w:type="dxa"/>
            <w:tcBorders>
              <w:top w:val="double" w:sz="4" w:space="0" w:color="auto"/>
              <w:bottom w:val="single" w:sz="4" w:space="0" w:color="auto"/>
            </w:tcBorders>
          </w:tcPr>
          <w:p w14:paraId="1862F088" w14:textId="77777777" w:rsidR="003269AE" w:rsidRPr="004A2AF3" w:rsidRDefault="003269AE" w:rsidP="004E6D89">
            <w:pPr>
              <w:jc w:val="center"/>
              <w:rPr>
                <w:sz w:val="16"/>
                <w:szCs w:val="18"/>
              </w:rPr>
            </w:pPr>
            <w:r w:rsidRPr="004A2AF3">
              <w:rPr>
                <w:sz w:val="16"/>
                <w:szCs w:val="18"/>
              </w:rPr>
              <w:t>Regulatory quality</w:t>
            </w:r>
          </w:p>
        </w:tc>
        <w:tc>
          <w:tcPr>
            <w:tcW w:w="1366" w:type="dxa"/>
            <w:tcBorders>
              <w:top w:val="double" w:sz="4" w:space="0" w:color="auto"/>
              <w:bottom w:val="single" w:sz="4" w:space="0" w:color="auto"/>
            </w:tcBorders>
          </w:tcPr>
          <w:p w14:paraId="26B25285" w14:textId="77777777" w:rsidR="003269AE" w:rsidRPr="004A2AF3" w:rsidRDefault="003269AE" w:rsidP="004E6D89">
            <w:pPr>
              <w:jc w:val="center"/>
              <w:rPr>
                <w:sz w:val="16"/>
                <w:szCs w:val="18"/>
              </w:rPr>
            </w:pPr>
            <w:r w:rsidRPr="004A2AF3">
              <w:rPr>
                <w:sz w:val="16"/>
                <w:szCs w:val="18"/>
              </w:rPr>
              <w:t>Control of corruption</w:t>
            </w:r>
          </w:p>
        </w:tc>
      </w:tr>
      <w:tr w:rsidR="003269AE" w14:paraId="50E425C3" w14:textId="77777777" w:rsidTr="0004032D">
        <w:tc>
          <w:tcPr>
            <w:tcW w:w="2547" w:type="dxa"/>
            <w:tcBorders>
              <w:bottom w:val="single" w:sz="4" w:space="0" w:color="auto"/>
            </w:tcBorders>
          </w:tcPr>
          <w:p w14:paraId="0954C46C" w14:textId="77777777" w:rsidR="003269AE" w:rsidRPr="004A2AF3" w:rsidRDefault="003269AE" w:rsidP="003269AE">
            <w:pPr>
              <w:rPr>
                <w:sz w:val="16"/>
                <w:szCs w:val="18"/>
              </w:rPr>
            </w:pPr>
          </w:p>
        </w:tc>
        <w:tc>
          <w:tcPr>
            <w:tcW w:w="1276" w:type="dxa"/>
            <w:tcBorders>
              <w:top w:val="single" w:sz="4" w:space="0" w:color="auto"/>
              <w:bottom w:val="single" w:sz="4" w:space="0" w:color="auto"/>
            </w:tcBorders>
          </w:tcPr>
          <w:p w14:paraId="140028EC" w14:textId="77777777" w:rsidR="003269AE" w:rsidRPr="004A2AF3" w:rsidRDefault="003269AE" w:rsidP="004E6D89">
            <w:pPr>
              <w:jc w:val="center"/>
              <w:rPr>
                <w:sz w:val="16"/>
                <w:szCs w:val="18"/>
              </w:rPr>
            </w:pPr>
            <w:r w:rsidRPr="004A2AF3">
              <w:rPr>
                <w:sz w:val="16"/>
                <w:szCs w:val="18"/>
              </w:rPr>
              <w:t>(1)</w:t>
            </w:r>
          </w:p>
        </w:tc>
        <w:tc>
          <w:tcPr>
            <w:tcW w:w="1275" w:type="dxa"/>
            <w:tcBorders>
              <w:top w:val="single" w:sz="4" w:space="0" w:color="auto"/>
              <w:bottom w:val="single" w:sz="4" w:space="0" w:color="auto"/>
            </w:tcBorders>
          </w:tcPr>
          <w:p w14:paraId="652E965C" w14:textId="77777777" w:rsidR="003269AE" w:rsidRPr="004A2AF3" w:rsidRDefault="003269AE" w:rsidP="004E6D89">
            <w:pPr>
              <w:jc w:val="center"/>
              <w:rPr>
                <w:sz w:val="16"/>
                <w:szCs w:val="18"/>
              </w:rPr>
            </w:pPr>
            <w:r w:rsidRPr="004A2AF3">
              <w:rPr>
                <w:sz w:val="16"/>
                <w:szCs w:val="18"/>
              </w:rPr>
              <w:t>(2)</w:t>
            </w:r>
          </w:p>
        </w:tc>
        <w:tc>
          <w:tcPr>
            <w:tcW w:w="1276" w:type="dxa"/>
            <w:tcBorders>
              <w:top w:val="single" w:sz="4" w:space="0" w:color="auto"/>
              <w:bottom w:val="single" w:sz="4" w:space="0" w:color="auto"/>
            </w:tcBorders>
          </w:tcPr>
          <w:p w14:paraId="474B4334" w14:textId="77777777" w:rsidR="003269AE" w:rsidRPr="004A2AF3" w:rsidRDefault="003269AE" w:rsidP="004E6D89">
            <w:pPr>
              <w:jc w:val="center"/>
              <w:rPr>
                <w:sz w:val="16"/>
                <w:szCs w:val="18"/>
              </w:rPr>
            </w:pPr>
            <w:r w:rsidRPr="004A2AF3">
              <w:rPr>
                <w:sz w:val="16"/>
                <w:szCs w:val="18"/>
              </w:rPr>
              <w:t>(3)</w:t>
            </w:r>
          </w:p>
        </w:tc>
        <w:tc>
          <w:tcPr>
            <w:tcW w:w="1276" w:type="dxa"/>
            <w:tcBorders>
              <w:top w:val="single" w:sz="4" w:space="0" w:color="auto"/>
              <w:bottom w:val="single" w:sz="4" w:space="0" w:color="auto"/>
            </w:tcBorders>
          </w:tcPr>
          <w:p w14:paraId="2D5DFE6E" w14:textId="77777777" w:rsidR="003269AE" w:rsidRPr="004A2AF3" w:rsidRDefault="003269AE" w:rsidP="004E6D89">
            <w:pPr>
              <w:jc w:val="center"/>
              <w:rPr>
                <w:sz w:val="16"/>
                <w:szCs w:val="18"/>
              </w:rPr>
            </w:pPr>
            <w:r w:rsidRPr="004A2AF3">
              <w:rPr>
                <w:sz w:val="16"/>
                <w:szCs w:val="18"/>
              </w:rPr>
              <w:t>(4)</w:t>
            </w:r>
          </w:p>
        </w:tc>
        <w:tc>
          <w:tcPr>
            <w:tcW w:w="1366" w:type="dxa"/>
            <w:tcBorders>
              <w:top w:val="single" w:sz="4" w:space="0" w:color="auto"/>
              <w:bottom w:val="single" w:sz="4" w:space="0" w:color="auto"/>
            </w:tcBorders>
          </w:tcPr>
          <w:p w14:paraId="09F681F4" w14:textId="77777777" w:rsidR="003269AE" w:rsidRPr="004A2AF3" w:rsidRDefault="003269AE" w:rsidP="004E6D89">
            <w:pPr>
              <w:jc w:val="center"/>
              <w:rPr>
                <w:sz w:val="16"/>
                <w:szCs w:val="18"/>
              </w:rPr>
            </w:pPr>
            <w:r w:rsidRPr="004A2AF3">
              <w:rPr>
                <w:sz w:val="16"/>
                <w:szCs w:val="18"/>
              </w:rPr>
              <w:t>(5)</w:t>
            </w:r>
          </w:p>
        </w:tc>
      </w:tr>
      <w:tr w:rsidR="003269AE" w14:paraId="1A83F9BF" w14:textId="77777777" w:rsidTr="0004032D">
        <w:tc>
          <w:tcPr>
            <w:tcW w:w="2547" w:type="dxa"/>
            <w:tcBorders>
              <w:top w:val="single" w:sz="4" w:space="0" w:color="auto"/>
              <w:bottom w:val="single" w:sz="4" w:space="0" w:color="auto"/>
            </w:tcBorders>
          </w:tcPr>
          <w:p w14:paraId="5B89858D" w14:textId="77777777" w:rsidR="003269AE" w:rsidRPr="004A2AF3" w:rsidRDefault="003269AE" w:rsidP="004E6D89">
            <w:pPr>
              <w:jc w:val="right"/>
              <w:rPr>
                <w:sz w:val="16"/>
                <w:szCs w:val="18"/>
              </w:rPr>
            </w:pPr>
            <w:r w:rsidRPr="004A2AF3">
              <w:rPr>
                <w:sz w:val="16"/>
                <w:szCs w:val="18"/>
              </w:rPr>
              <w:t>λ</w:t>
            </w:r>
            <w:proofErr w:type="gramStart"/>
            <w:r w:rsidRPr="004A2AF3">
              <w:rPr>
                <w:sz w:val="16"/>
                <w:szCs w:val="18"/>
                <w:vertAlign w:val="subscript"/>
              </w:rPr>
              <w:t>1</w:t>
            </w:r>
            <w:r w:rsidR="004E6D89" w:rsidRPr="004A2AF3">
              <w:rPr>
                <w:sz w:val="16"/>
                <w:szCs w:val="18"/>
                <w:vertAlign w:val="subscript"/>
              </w:rPr>
              <w:t>,k</w:t>
            </w:r>
            <w:proofErr w:type="gramEnd"/>
            <w:r w:rsidR="004E6D89" w:rsidRPr="004A2AF3">
              <w:rPr>
                <w:sz w:val="16"/>
                <w:szCs w:val="18"/>
                <w:vertAlign w:val="subscript"/>
              </w:rPr>
              <w:t>=full</w:t>
            </w:r>
          </w:p>
        </w:tc>
        <w:tc>
          <w:tcPr>
            <w:tcW w:w="1276" w:type="dxa"/>
            <w:tcBorders>
              <w:top w:val="single" w:sz="4" w:space="0" w:color="auto"/>
              <w:bottom w:val="single" w:sz="4" w:space="0" w:color="auto"/>
            </w:tcBorders>
          </w:tcPr>
          <w:p w14:paraId="45D558A6" w14:textId="77777777" w:rsidR="003269AE" w:rsidRPr="004A2AF3" w:rsidRDefault="007B6782" w:rsidP="004E6D89">
            <w:pPr>
              <w:jc w:val="center"/>
              <w:rPr>
                <w:sz w:val="16"/>
                <w:szCs w:val="18"/>
              </w:rPr>
            </w:pPr>
            <w:r w:rsidRPr="004A2AF3">
              <w:rPr>
                <w:sz w:val="16"/>
                <w:szCs w:val="18"/>
              </w:rPr>
              <w:t>-.074</w:t>
            </w:r>
            <w:r w:rsidR="008F2E79" w:rsidRPr="004A2AF3">
              <w:rPr>
                <w:sz w:val="16"/>
                <w:szCs w:val="18"/>
              </w:rPr>
              <w:t>***</w:t>
            </w:r>
          </w:p>
          <w:p w14:paraId="24B6BDC2" w14:textId="77777777" w:rsidR="007B6782" w:rsidRPr="004A2AF3" w:rsidRDefault="007B6782" w:rsidP="004E6D89">
            <w:pPr>
              <w:jc w:val="center"/>
              <w:rPr>
                <w:sz w:val="16"/>
                <w:szCs w:val="18"/>
              </w:rPr>
            </w:pPr>
            <w:r w:rsidRPr="004A2AF3">
              <w:rPr>
                <w:sz w:val="16"/>
                <w:szCs w:val="18"/>
              </w:rPr>
              <w:t>(.015)</w:t>
            </w:r>
          </w:p>
        </w:tc>
        <w:tc>
          <w:tcPr>
            <w:tcW w:w="1275" w:type="dxa"/>
            <w:tcBorders>
              <w:top w:val="single" w:sz="4" w:space="0" w:color="auto"/>
              <w:bottom w:val="single" w:sz="4" w:space="0" w:color="auto"/>
            </w:tcBorders>
          </w:tcPr>
          <w:p w14:paraId="119A9312" w14:textId="77777777" w:rsidR="007B6782" w:rsidRPr="004A2AF3" w:rsidRDefault="007B6782" w:rsidP="004E6D89">
            <w:pPr>
              <w:jc w:val="center"/>
              <w:rPr>
                <w:sz w:val="16"/>
                <w:szCs w:val="18"/>
              </w:rPr>
            </w:pPr>
            <w:r w:rsidRPr="004A2AF3">
              <w:rPr>
                <w:sz w:val="16"/>
                <w:szCs w:val="18"/>
              </w:rPr>
              <w:t>-.094***</w:t>
            </w:r>
          </w:p>
          <w:p w14:paraId="7208D9FA" w14:textId="77777777" w:rsidR="007B6782" w:rsidRPr="004A2AF3" w:rsidRDefault="007B6782" w:rsidP="004E6D89">
            <w:pPr>
              <w:jc w:val="center"/>
              <w:rPr>
                <w:sz w:val="16"/>
                <w:szCs w:val="18"/>
              </w:rPr>
            </w:pPr>
            <w:r w:rsidRPr="004A2AF3">
              <w:rPr>
                <w:sz w:val="16"/>
                <w:szCs w:val="18"/>
              </w:rPr>
              <w:t>(.019)</w:t>
            </w:r>
          </w:p>
        </w:tc>
        <w:tc>
          <w:tcPr>
            <w:tcW w:w="1276" w:type="dxa"/>
            <w:tcBorders>
              <w:top w:val="single" w:sz="4" w:space="0" w:color="auto"/>
              <w:bottom w:val="single" w:sz="4" w:space="0" w:color="auto"/>
            </w:tcBorders>
          </w:tcPr>
          <w:p w14:paraId="589F2DC0" w14:textId="77777777" w:rsidR="007B6782" w:rsidRPr="004A2AF3" w:rsidRDefault="007B6782" w:rsidP="007B6782">
            <w:pPr>
              <w:jc w:val="center"/>
              <w:rPr>
                <w:sz w:val="16"/>
                <w:szCs w:val="18"/>
              </w:rPr>
            </w:pPr>
            <w:r w:rsidRPr="004A2AF3">
              <w:rPr>
                <w:sz w:val="16"/>
                <w:szCs w:val="18"/>
              </w:rPr>
              <w:t>-.044**</w:t>
            </w:r>
          </w:p>
          <w:p w14:paraId="6DAB082C" w14:textId="77777777" w:rsidR="003269AE" w:rsidRPr="004A2AF3" w:rsidRDefault="007B6782" w:rsidP="007B6782">
            <w:pPr>
              <w:jc w:val="center"/>
              <w:rPr>
                <w:sz w:val="16"/>
                <w:szCs w:val="18"/>
              </w:rPr>
            </w:pPr>
            <w:r w:rsidRPr="004A2AF3">
              <w:rPr>
                <w:sz w:val="16"/>
                <w:szCs w:val="18"/>
              </w:rPr>
              <w:t>(.019)</w:t>
            </w:r>
          </w:p>
        </w:tc>
        <w:tc>
          <w:tcPr>
            <w:tcW w:w="1276" w:type="dxa"/>
            <w:tcBorders>
              <w:top w:val="single" w:sz="4" w:space="0" w:color="auto"/>
              <w:bottom w:val="single" w:sz="4" w:space="0" w:color="auto"/>
            </w:tcBorders>
          </w:tcPr>
          <w:p w14:paraId="55656FA0" w14:textId="77777777" w:rsidR="003269AE" w:rsidRPr="004A2AF3" w:rsidRDefault="007B6782" w:rsidP="004E6D89">
            <w:pPr>
              <w:jc w:val="center"/>
              <w:rPr>
                <w:sz w:val="16"/>
                <w:szCs w:val="18"/>
              </w:rPr>
            </w:pPr>
            <w:r w:rsidRPr="004A2AF3">
              <w:rPr>
                <w:sz w:val="16"/>
                <w:szCs w:val="18"/>
              </w:rPr>
              <w:t>-.218***</w:t>
            </w:r>
          </w:p>
          <w:p w14:paraId="2F783FD7" w14:textId="77777777" w:rsidR="007B6782" w:rsidRPr="004A2AF3" w:rsidRDefault="007B6782" w:rsidP="004E6D89">
            <w:pPr>
              <w:jc w:val="center"/>
              <w:rPr>
                <w:sz w:val="16"/>
                <w:szCs w:val="18"/>
              </w:rPr>
            </w:pPr>
            <w:r w:rsidRPr="004A2AF3">
              <w:rPr>
                <w:sz w:val="16"/>
                <w:szCs w:val="18"/>
              </w:rPr>
              <w:t>(.022)</w:t>
            </w:r>
          </w:p>
        </w:tc>
        <w:tc>
          <w:tcPr>
            <w:tcW w:w="1366" w:type="dxa"/>
            <w:tcBorders>
              <w:top w:val="single" w:sz="4" w:space="0" w:color="auto"/>
              <w:bottom w:val="single" w:sz="4" w:space="0" w:color="auto"/>
            </w:tcBorders>
          </w:tcPr>
          <w:p w14:paraId="3335F878" w14:textId="77777777" w:rsidR="003269AE" w:rsidRPr="004A2AF3" w:rsidRDefault="004E6D89" w:rsidP="004E6D89">
            <w:pPr>
              <w:jc w:val="center"/>
              <w:rPr>
                <w:sz w:val="16"/>
                <w:szCs w:val="18"/>
              </w:rPr>
            </w:pPr>
            <w:r w:rsidRPr="004A2AF3">
              <w:rPr>
                <w:sz w:val="16"/>
                <w:szCs w:val="18"/>
              </w:rPr>
              <w:t>-.174***</w:t>
            </w:r>
          </w:p>
          <w:p w14:paraId="3889D382" w14:textId="77777777" w:rsidR="004E6D89" w:rsidRPr="004A2AF3" w:rsidRDefault="004E6D89" w:rsidP="004E6D89">
            <w:pPr>
              <w:jc w:val="center"/>
              <w:rPr>
                <w:sz w:val="16"/>
                <w:szCs w:val="18"/>
              </w:rPr>
            </w:pPr>
            <w:r w:rsidRPr="004A2AF3">
              <w:rPr>
                <w:sz w:val="16"/>
                <w:szCs w:val="18"/>
              </w:rPr>
              <w:t>(.023)</w:t>
            </w:r>
          </w:p>
        </w:tc>
      </w:tr>
      <w:tr w:rsidR="007B6782" w14:paraId="6C27292F" w14:textId="77777777" w:rsidTr="0004032D">
        <w:tc>
          <w:tcPr>
            <w:tcW w:w="2547" w:type="dxa"/>
            <w:tcBorders>
              <w:top w:val="single" w:sz="4" w:space="0" w:color="auto"/>
            </w:tcBorders>
          </w:tcPr>
          <w:p w14:paraId="5410CDDB" w14:textId="77777777" w:rsidR="007B6782" w:rsidRPr="004A2AF3" w:rsidRDefault="007B6782" w:rsidP="007B6782">
            <w:pPr>
              <w:jc w:val="right"/>
              <w:rPr>
                <w:sz w:val="16"/>
                <w:szCs w:val="18"/>
              </w:rPr>
            </w:pPr>
            <w:r w:rsidRPr="004A2AF3">
              <w:rPr>
                <w:sz w:val="16"/>
                <w:szCs w:val="18"/>
              </w:rPr>
              <w:t>95% confidence bounds</w:t>
            </w:r>
          </w:p>
        </w:tc>
        <w:tc>
          <w:tcPr>
            <w:tcW w:w="1276" w:type="dxa"/>
            <w:tcBorders>
              <w:top w:val="single" w:sz="4" w:space="0" w:color="auto"/>
            </w:tcBorders>
          </w:tcPr>
          <w:p w14:paraId="23B6309D" w14:textId="77777777" w:rsidR="007B6782" w:rsidRPr="004A2AF3" w:rsidRDefault="007B6782" w:rsidP="007B6782">
            <w:pPr>
              <w:jc w:val="center"/>
              <w:rPr>
                <w:sz w:val="16"/>
                <w:szCs w:val="18"/>
              </w:rPr>
            </w:pPr>
            <w:r w:rsidRPr="004A2AF3">
              <w:rPr>
                <w:sz w:val="16"/>
                <w:szCs w:val="18"/>
              </w:rPr>
              <w:t>{-.104, -.044}</w:t>
            </w:r>
          </w:p>
        </w:tc>
        <w:tc>
          <w:tcPr>
            <w:tcW w:w="1275" w:type="dxa"/>
            <w:tcBorders>
              <w:top w:val="single" w:sz="4" w:space="0" w:color="auto"/>
            </w:tcBorders>
          </w:tcPr>
          <w:p w14:paraId="1F73B9A6" w14:textId="77777777" w:rsidR="007B6782" w:rsidRPr="004A2AF3" w:rsidRDefault="007B6782" w:rsidP="007B6782">
            <w:pPr>
              <w:jc w:val="center"/>
              <w:rPr>
                <w:sz w:val="16"/>
                <w:szCs w:val="18"/>
              </w:rPr>
            </w:pPr>
            <w:r w:rsidRPr="004A2AF3">
              <w:rPr>
                <w:sz w:val="16"/>
                <w:szCs w:val="18"/>
              </w:rPr>
              <w:t>{-.133, -.056}</w:t>
            </w:r>
          </w:p>
        </w:tc>
        <w:tc>
          <w:tcPr>
            <w:tcW w:w="1276" w:type="dxa"/>
            <w:tcBorders>
              <w:top w:val="single" w:sz="4" w:space="0" w:color="auto"/>
            </w:tcBorders>
          </w:tcPr>
          <w:p w14:paraId="35A5DB24" w14:textId="77777777" w:rsidR="007B6782" w:rsidRPr="004A2AF3" w:rsidRDefault="007B6782" w:rsidP="007B6782">
            <w:pPr>
              <w:jc w:val="center"/>
              <w:rPr>
                <w:sz w:val="16"/>
                <w:szCs w:val="18"/>
              </w:rPr>
            </w:pPr>
            <w:r w:rsidRPr="004A2AF3">
              <w:rPr>
                <w:sz w:val="16"/>
                <w:szCs w:val="18"/>
              </w:rPr>
              <w:t>{-.082, -.005}</w:t>
            </w:r>
          </w:p>
        </w:tc>
        <w:tc>
          <w:tcPr>
            <w:tcW w:w="1276" w:type="dxa"/>
            <w:tcBorders>
              <w:top w:val="single" w:sz="4" w:space="0" w:color="auto"/>
            </w:tcBorders>
          </w:tcPr>
          <w:p w14:paraId="36D4B2A5" w14:textId="77777777" w:rsidR="007B6782" w:rsidRPr="004A2AF3" w:rsidRDefault="007B6782" w:rsidP="007B6782">
            <w:pPr>
              <w:jc w:val="center"/>
              <w:rPr>
                <w:sz w:val="16"/>
                <w:szCs w:val="18"/>
              </w:rPr>
            </w:pPr>
            <w:r w:rsidRPr="004A2AF3">
              <w:rPr>
                <w:sz w:val="16"/>
                <w:szCs w:val="18"/>
              </w:rPr>
              <w:t>{-.104, -.044}</w:t>
            </w:r>
          </w:p>
        </w:tc>
        <w:tc>
          <w:tcPr>
            <w:tcW w:w="1366" w:type="dxa"/>
            <w:tcBorders>
              <w:top w:val="single" w:sz="4" w:space="0" w:color="auto"/>
            </w:tcBorders>
          </w:tcPr>
          <w:p w14:paraId="18D6311F" w14:textId="77777777" w:rsidR="007B6782" w:rsidRPr="004A2AF3" w:rsidRDefault="007B6782" w:rsidP="007B6782">
            <w:pPr>
              <w:jc w:val="center"/>
              <w:rPr>
                <w:sz w:val="16"/>
                <w:szCs w:val="18"/>
              </w:rPr>
            </w:pPr>
            <w:r w:rsidRPr="004A2AF3">
              <w:rPr>
                <w:sz w:val="16"/>
                <w:szCs w:val="18"/>
              </w:rPr>
              <w:t>{-.104, -.044}</w:t>
            </w:r>
          </w:p>
        </w:tc>
      </w:tr>
      <w:tr w:rsidR="009C30CF" w14:paraId="6E1CAB5F" w14:textId="77777777" w:rsidTr="0004032D">
        <w:tc>
          <w:tcPr>
            <w:tcW w:w="2547" w:type="dxa"/>
            <w:tcBorders>
              <w:top w:val="single" w:sz="4" w:space="0" w:color="auto"/>
            </w:tcBorders>
          </w:tcPr>
          <w:p w14:paraId="3563CF62" w14:textId="77777777" w:rsidR="009C30CF" w:rsidRPr="004A2AF3" w:rsidRDefault="009C30CF" w:rsidP="007B6782">
            <w:pPr>
              <w:jc w:val="right"/>
              <w:rPr>
                <w:sz w:val="16"/>
                <w:szCs w:val="18"/>
              </w:rPr>
            </w:pPr>
          </w:p>
        </w:tc>
        <w:tc>
          <w:tcPr>
            <w:tcW w:w="1276" w:type="dxa"/>
            <w:tcBorders>
              <w:top w:val="single" w:sz="4" w:space="0" w:color="auto"/>
            </w:tcBorders>
          </w:tcPr>
          <w:p w14:paraId="5117BE3D" w14:textId="77777777" w:rsidR="009C30CF" w:rsidRPr="004A2AF3" w:rsidRDefault="009C30CF" w:rsidP="007B6782">
            <w:pPr>
              <w:jc w:val="center"/>
              <w:rPr>
                <w:sz w:val="16"/>
                <w:szCs w:val="18"/>
              </w:rPr>
            </w:pPr>
          </w:p>
        </w:tc>
        <w:tc>
          <w:tcPr>
            <w:tcW w:w="1275" w:type="dxa"/>
            <w:tcBorders>
              <w:top w:val="single" w:sz="4" w:space="0" w:color="auto"/>
            </w:tcBorders>
          </w:tcPr>
          <w:p w14:paraId="16EA099F" w14:textId="77777777" w:rsidR="009C30CF" w:rsidRPr="004A2AF3" w:rsidRDefault="009C30CF" w:rsidP="007B6782">
            <w:pPr>
              <w:jc w:val="center"/>
              <w:rPr>
                <w:sz w:val="16"/>
                <w:szCs w:val="18"/>
              </w:rPr>
            </w:pPr>
          </w:p>
        </w:tc>
        <w:tc>
          <w:tcPr>
            <w:tcW w:w="1276" w:type="dxa"/>
            <w:tcBorders>
              <w:top w:val="single" w:sz="4" w:space="0" w:color="auto"/>
            </w:tcBorders>
          </w:tcPr>
          <w:p w14:paraId="2B7FDBF9" w14:textId="77777777" w:rsidR="009C30CF" w:rsidRPr="004A2AF3" w:rsidRDefault="009C30CF" w:rsidP="007B6782">
            <w:pPr>
              <w:jc w:val="center"/>
              <w:rPr>
                <w:sz w:val="16"/>
                <w:szCs w:val="18"/>
              </w:rPr>
            </w:pPr>
          </w:p>
        </w:tc>
        <w:tc>
          <w:tcPr>
            <w:tcW w:w="1276" w:type="dxa"/>
            <w:tcBorders>
              <w:top w:val="single" w:sz="4" w:space="0" w:color="auto"/>
            </w:tcBorders>
          </w:tcPr>
          <w:p w14:paraId="6326B6AC" w14:textId="77777777" w:rsidR="009C30CF" w:rsidRPr="004A2AF3" w:rsidRDefault="009C30CF" w:rsidP="007B6782">
            <w:pPr>
              <w:jc w:val="center"/>
              <w:rPr>
                <w:sz w:val="16"/>
                <w:szCs w:val="18"/>
              </w:rPr>
            </w:pPr>
          </w:p>
        </w:tc>
        <w:tc>
          <w:tcPr>
            <w:tcW w:w="1366" w:type="dxa"/>
            <w:tcBorders>
              <w:top w:val="single" w:sz="4" w:space="0" w:color="auto"/>
            </w:tcBorders>
          </w:tcPr>
          <w:p w14:paraId="5F3ACECE" w14:textId="77777777" w:rsidR="009C30CF" w:rsidRPr="004A2AF3" w:rsidRDefault="009C30CF" w:rsidP="007B6782">
            <w:pPr>
              <w:jc w:val="center"/>
              <w:rPr>
                <w:sz w:val="16"/>
                <w:szCs w:val="18"/>
              </w:rPr>
            </w:pPr>
          </w:p>
        </w:tc>
      </w:tr>
      <w:tr w:rsidR="003269AE" w14:paraId="40EFA6F2" w14:textId="77777777" w:rsidTr="0004032D">
        <w:tc>
          <w:tcPr>
            <w:tcW w:w="2547" w:type="dxa"/>
          </w:tcPr>
          <w:p w14:paraId="5CE742FC" w14:textId="77777777" w:rsidR="003269AE" w:rsidRPr="004A2AF3" w:rsidRDefault="003269AE" w:rsidP="004E6D89">
            <w:pPr>
              <w:jc w:val="right"/>
              <w:rPr>
                <w:sz w:val="16"/>
                <w:szCs w:val="18"/>
              </w:rPr>
            </w:pPr>
            <w:r w:rsidRPr="004A2AF3">
              <w:rPr>
                <w:sz w:val="16"/>
                <w:szCs w:val="18"/>
              </w:rPr>
              <w:t xml:space="preserve"># </w:t>
            </w:r>
            <w:proofErr w:type="gramStart"/>
            <w:r w:rsidRPr="004A2AF3">
              <w:rPr>
                <w:sz w:val="16"/>
                <w:szCs w:val="18"/>
              </w:rPr>
              <w:t>observations</w:t>
            </w:r>
            <w:proofErr w:type="gramEnd"/>
          </w:p>
        </w:tc>
        <w:tc>
          <w:tcPr>
            <w:tcW w:w="1276" w:type="dxa"/>
          </w:tcPr>
          <w:p w14:paraId="2F01B7E8" w14:textId="77777777" w:rsidR="003269AE" w:rsidRPr="004A2AF3" w:rsidRDefault="007B6782" w:rsidP="007B6782">
            <w:pPr>
              <w:jc w:val="center"/>
              <w:rPr>
                <w:sz w:val="16"/>
                <w:szCs w:val="18"/>
              </w:rPr>
            </w:pPr>
            <w:r w:rsidRPr="004A2AF3">
              <w:rPr>
                <w:sz w:val="16"/>
                <w:szCs w:val="18"/>
              </w:rPr>
              <w:t>6,500</w:t>
            </w:r>
          </w:p>
        </w:tc>
        <w:tc>
          <w:tcPr>
            <w:tcW w:w="1275" w:type="dxa"/>
          </w:tcPr>
          <w:p w14:paraId="6FF90A82" w14:textId="77777777" w:rsidR="003269AE" w:rsidRPr="004A2AF3" w:rsidRDefault="007B6782" w:rsidP="007B6782">
            <w:pPr>
              <w:jc w:val="center"/>
              <w:rPr>
                <w:sz w:val="16"/>
                <w:szCs w:val="18"/>
              </w:rPr>
            </w:pPr>
            <w:r w:rsidRPr="004A2AF3">
              <w:rPr>
                <w:sz w:val="16"/>
                <w:szCs w:val="18"/>
              </w:rPr>
              <w:t>6,500</w:t>
            </w:r>
          </w:p>
        </w:tc>
        <w:tc>
          <w:tcPr>
            <w:tcW w:w="1276" w:type="dxa"/>
          </w:tcPr>
          <w:p w14:paraId="40150527" w14:textId="77777777" w:rsidR="003269AE" w:rsidRPr="004A2AF3" w:rsidRDefault="007B6782" w:rsidP="007B6782">
            <w:pPr>
              <w:jc w:val="center"/>
              <w:rPr>
                <w:sz w:val="16"/>
                <w:szCs w:val="18"/>
              </w:rPr>
            </w:pPr>
            <w:r w:rsidRPr="004A2AF3">
              <w:rPr>
                <w:sz w:val="16"/>
                <w:szCs w:val="18"/>
              </w:rPr>
              <w:t>6,500</w:t>
            </w:r>
          </w:p>
        </w:tc>
        <w:tc>
          <w:tcPr>
            <w:tcW w:w="1276" w:type="dxa"/>
          </w:tcPr>
          <w:p w14:paraId="0173809D" w14:textId="77777777" w:rsidR="003269AE" w:rsidRPr="004A2AF3" w:rsidRDefault="007B6782" w:rsidP="007B6782">
            <w:pPr>
              <w:jc w:val="center"/>
              <w:rPr>
                <w:sz w:val="16"/>
                <w:szCs w:val="18"/>
              </w:rPr>
            </w:pPr>
            <w:r w:rsidRPr="004A2AF3">
              <w:rPr>
                <w:sz w:val="16"/>
                <w:szCs w:val="18"/>
              </w:rPr>
              <w:t>6,500</w:t>
            </w:r>
          </w:p>
        </w:tc>
        <w:tc>
          <w:tcPr>
            <w:tcW w:w="1366" w:type="dxa"/>
          </w:tcPr>
          <w:p w14:paraId="4719B989" w14:textId="77777777" w:rsidR="003269AE" w:rsidRPr="004A2AF3" w:rsidRDefault="004E6D89" w:rsidP="007B6782">
            <w:pPr>
              <w:jc w:val="center"/>
              <w:rPr>
                <w:sz w:val="16"/>
                <w:szCs w:val="18"/>
              </w:rPr>
            </w:pPr>
            <w:r w:rsidRPr="004A2AF3">
              <w:rPr>
                <w:sz w:val="16"/>
                <w:szCs w:val="18"/>
              </w:rPr>
              <w:t>6,500</w:t>
            </w:r>
          </w:p>
        </w:tc>
      </w:tr>
      <w:tr w:rsidR="003269AE" w14:paraId="3E5E98DA" w14:textId="77777777" w:rsidTr="0004032D">
        <w:tc>
          <w:tcPr>
            <w:tcW w:w="2547" w:type="dxa"/>
          </w:tcPr>
          <w:p w14:paraId="44E45F9D" w14:textId="77777777" w:rsidR="003269AE" w:rsidRPr="004A2AF3" w:rsidRDefault="003269AE" w:rsidP="004E6D89">
            <w:pPr>
              <w:jc w:val="right"/>
              <w:rPr>
                <w:sz w:val="16"/>
                <w:szCs w:val="18"/>
              </w:rPr>
            </w:pPr>
            <w:r w:rsidRPr="004A2AF3">
              <w:rPr>
                <w:sz w:val="16"/>
                <w:szCs w:val="18"/>
              </w:rPr>
              <w:t xml:space="preserve"># </w:t>
            </w:r>
            <w:proofErr w:type="gramStart"/>
            <w:r w:rsidRPr="004A2AF3">
              <w:rPr>
                <w:sz w:val="16"/>
                <w:szCs w:val="18"/>
              </w:rPr>
              <w:t>regions</w:t>
            </w:r>
            <w:proofErr w:type="gramEnd"/>
          </w:p>
        </w:tc>
        <w:tc>
          <w:tcPr>
            <w:tcW w:w="1276" w:type="dxa"/>
          </w:tcPr>
          <w:p w14:paraId="0834F1BD" w14:textId="77777777" w:rsidR="003269AE" w:rsidRPr="004A2AF3" w:rsidRDefault="007B6782" w:rsidP="007B6782">
            <w:pPr>
              <w:jc w:val="center"/>
              <w:rPr>
                <w:sz w:val="16"/>
                <w:szCs w:val="18"/>
              </w:rPr>
            </w:pPr>
            <w:r w:rsidRPr="004A2AF3">
              <w:rPr>
                <w:sz w:val="16"/>
                <w:szCs w:val="18"/>
              </w:rPr>
              <w:t>260</w:t>
            </w:r>
          </w:p>
        </w:tc>
        <w:tc>
          <w:tcPr>
            <w:tcW w:w="1275" w:type="dxa"/>
          </w:tcPr>
          <w:p w14:paraId="722AA21E" w14:textId="77777777" w:rsidR="003269AE" w:rsidRPr="004A2AF3" w:rsidRDefault="007B6782" w:rsidP="007B6782">
            <w:pPr>
              <w:jc w:val="center"/>
              <w:rPr>
                <w:sz w:val="16"/>
                <w:szCs w:val="18"/>
              </w:rPr>
            </w:pPr>
            <w:r w:rsidRPr="004A2AF3">
              <w:rPr>
                <w:sz w:val="16"/>
                <w:szCs w:val="18"/>
              </w:rPr>
              <w:t>260</w:t>
            </w:r>
          </w:p>
        </w:tc>
        <w:tc>
          <w:tcPr>
            <w:tcW w:w="1276" w:type="dxa"/>
          </w:tcPr>
          <w:p w14:paraId="689A5D85" w14:textId="77777777" w:rsidR="003269AE" w:rsidRPr="004A2AF3" w:rsidRDefault="007B6782" w:rsidP="007B6782">
            <w:pPr>
              <w:jc w:val="center"/>
              <w:rPr>
                <w:sz w:val="16"/>
                <w:szCs w:val="18"/>
              </w:rPr>
            </w:pPr>
            <w:r w:rsidRPr="004A2AF3">
              <w:rPr>
                <w:sz w:val="16"/>
                <w:szCs w:val="18"/>
              </w:rPr>
              <w:t>260</w:t>
            </w:r>
          </w:p>
        </w:tc>
        <w:tc>
          <w:tcPr>
            <w:tcW w:w="1276" w:type="dxa"/>
          </w:tcPr>
          <w:p w14:paraId="0502A4A4" w14:textId="77777777" w:rsidR="003269AE" w:rsidRPr="004A2AF3" w:rsidRDefault="007B6782" w:rsidP="007B6782">
            <w:pPr>
              <w:jc w:val="center"/>
              <w:rPr>
                <w:sz w:val="16"/>
                <w:szCs w:val="18"/>
              </w:rPr>
            </w:pPr>
            <w:r w:rsidRPr="004A2AF3">
              <w:rPr>
                <w:sz w:val="16"/>
                <w:szCs w:val="18"/>
              </w:rPr>
              <w:t>260</w:t>
            </w:r>
          </w:p>
        </w:tc>
        <w:tc>
          <w:tcPr>
            <w:tcW w:w="1366" w:type="dxa"/>
          </w:tcPr>
          <w:p w14:paraId="5172DB94" w14:textId="77777777" w:rsidR="003269AE" w:rsidRPr="004A2AF3" w:rsidRDefault="004E6D89" w:rsidP="007B6782">
            <w:pPr>
              <w:jc w:val="center"/>
              <w:rPr>
                <w:sz w:val="16"/>
                <w:szCs w:val="18"/>
              </w:rPr>
            </w:pPr>
            <w:r w:rsidRPr="004A2AF3">
              <w:rPr>
                <w:sz w:val="16"/>
                <w:szCs w:val="18"/>
              </w:rPr>
              <w:t>260</w:t>
            </w:r>
          </w:p>
        </w:tc>
      </w:tr>
      <w:tr w:rsidR="003269AE" w14:paraId="1B1B4139" w14:textId="77777777" w:rsidTr="0004032D">
        <w:tc>
          <w:tcPr>
            <w:tcW w:w="2547" w:type="dxa"/>
          </w:tcPr>
          <w:p w14:paraId="4E1AC61A" w14:textId="77777777" w:rsidR="003269AE" w:rsidRPr="004A2AF3" w:rsidRDefault="004E6D89" w:rsidP="004E6D89">
            <w:pPr>
              <w:jc w:val="right"/>
              <w:rPr>
                <w:sz w:val="16"/>
                <w:szCs w:val="18"/>
              </w:rPr>
            </w:pPr>
            <w:r w:rsidRPr="004A2AF3">
              <w:rPr>
                <w:sz w:val="16"/>
                <w:szCs w:val="18"/>
              </w:rPr>
              <w:t>R2</w:t>
            </w:r>
          </w:p>
        </w:tc>
        <w:tc>
          <w:tcPr>
            <w:tcW w:w="1276" w:type="dxa"/>
          </w:tcPr>
          <w:p w14:paraId="742EA44A" w14:textId="77777777" w:rsidR="003269AE" w:rsidRPr="004A2AF3" w:rsidRDefault="007B6782" w:rsidP="007B6782">
            <w:pPr>
              <w:jc w:val="center"/>
              <w:rPr>
                <w:sz w:val="16"/>
                <w:szCs w:val="18"/>
              </w:rPr>
            </w:pPr>
            <w:r w:rsidRPr="004A2AF3">
              <w:rPr>
                <w:sz w:val="16"/>
                <w:szCs w:val="18"/>
              </w:rPr>
              <w:t>0.015</w:t>
            </w:r>
          </w:p>
        </w:tc>
        <w:tc>
          <w:tcPr>
            <w:tcW w:w="1275" w:type="dxa"/>
          </w:tcPr>
          <w:p w14:paraId="3C61AAB6" w14:textId="77777777" w:rsidR="003269AE" w:rsidRPr="004A2AF3" w:rsidRDefault="007B6782" w:rsidP="007B6782">
            <w:pPr>
              <w:jc w:val="center"/>
              <w:rPr>
                <w:sz w:val="16"/>
                <w:szCs w:val="18"/>
              </w:rPr>
            </w:pPr>
            <w:r w:rsidRPr="004A2AF3">
              <w:rPr>
                <w:sz w:val="16"/>
                <w:szCs w:val="18"/>
              </w:rPr>
              <w:t>0.037</w:t>
            </w:r>
          </w:p>
        </w:tc>
        <w:tc>
          <w:tcPr>
            <w:tcW w:w="1276" w:type="dxa"/>
          </w:tcPr>
          <w:p w14:paraId="09DEDD77" w14:textId="77777777" w:rsidR="003269AE" w:rsidRPr="004A2AF3" w:rsidRDefault="007B6782" w:rsidP="007B6782">
            <w:pPr>
              <w:jc w:val="center"/>
              <w:rPr>
                <w:sz w:val="16"/>
                <w:szCs w:val="18"/>
              </w:rPr>
            </w:pPr>
            <w:r w:rsidRPr="004A2AF3">
              <w:rPr>
                <w:sz w:val="16"/>
                <w:szCs w:val="18"/>
              </w:rPr>
              <w:t>0.008</w:t>
            </w:r>
          </w:p>
        </w:tc>
        <w:tc>
          <w:tcPr>
            <w:tcW w:w="1276" w:type="dxa"/>
          </w:tcPr>
          <w:p w14:paraId="45E2CD6F" w14:textId="77777777" w:rsidR="003269AE" w:rsidRPr="004A2AF3" w:rsidRDefault="007B6782" w:rsidP="007B6782">
            <w:pPr>
              <w:jc w:val="center"/>
              <w:rPr>
                <w:sz w:val="16"/>
                <w:szCs w:val="18"/>
              </w:rPr>
            </w:pPr>
            <w:r w:rsidRPr="004A2AF3">
              <w:rPr>
                <w:sz w:val="16"/>
                <w:szCs w:val="18"/>
              </w:rPr>
              <w:t>0.058</w:t>
            </w:r>
          </w:p>
        </w:tc>
        <w:tc>
          <w:tcPr>
            <w:tcW w:w="1366" w:type="dxa"/>
          </w:tcPr>
          <w:p w14:paraId="28F005CD" w14:textId="77777777" w:rsidR="003269AE" w:rsidRPr="004A2AF3" w:rsidRDefault="004E6D89" w:rsidP="007B6782">
            <w:pPr>
              <w:jc w:val="center"/>
              <w:rPr>
                <w:sz w:val="16"/>
                <w:szCs w:val="18"/>
              </w:rPr>
            </w:pPr>
            <w:r w:rsidRPr="004A2AF3">
              <w:rPr>
                <w:sz w:val="16"/>
                <w:szCs w:val="18"/>
              </w:rPr>
              <w:t>0.05</w:t>
            </w:r>
          </w:p>
        </w:tc>
      </w:tr>
      <w:tr w:rsidR="004E6D89" w14:paraId="45159F01" w14:textId="77777777" w:rsidTr="0004032D">
        <w:tc>
          <w:tcPr>
            <w:tcW w:w="2547" w:type="dxa"/>
          </w:tcPr>
          <w:p w14:paraId="7FA1E093" w14:textId="77777777" w:rsidR="004E6D89" w:rsidRPr="004A2AF3" w:rsidRDefault="004E6D89" w:rsidP="004E6D89">
            <w:pPr>
              <w:jc w:val="right"/>
              <w:rPr>
                <w:sz w:val="16"/>
                <w:szCs w:val="18"/>
              </w:rPr>
            </w:pPr>
          </w:p>
        </w:tc>
        <w:tc>
          <w:tcPr>
            <w:tcW w:w="1276" w:type="dxa"/>
          </w:tcPr>
          <w:p w14:paraId="00316270" w14:textId="77777777" w:rsidR="004E6D89" w:rsidRPr="004A2AF3" w:rsidRDefault="004E6D89" w:rsidP="003269AE">
            <w:pPr>
              <w:rPr>
                <w:sz w:val="16"/>
                <w:szCs w:val="18"/>
              </w:rPr>
            </w:pPr>
          </w:p>
        </w:tc>
        <w:tc>
          <w:tcPr>
            <w:tcW w:w="1275" w:type="dxa"/>
          </w:tcPr>
          <w:p w14:paraId="019A200F" w14:textId="77777777" w:rsidR="004E6D89" w:rsidRPr="004A2AF3" w:rsidRDefault="004E6D89" w:rsidP="003269AE">
            <w:pPr>
              <w:rPr>
                <w:sz w:val="16"/>
                <w:szCs w:val="18"/>
              </w:rPr>
            </w:pPr>
          </w:p>
        </w:tc>
        <w:tc>
          <w:tcPr>
            <w:tcW w:w="1276" w:type="dxa"/>
          </w:tcPr>
          <w:p w14:paraId="10CC89DD" w14:textId="77777777" w:rsidR="004E6D89" w:rsidRPr="004A2AF3" w:rsidRDefault="004E6D89" w:rsidP="003269AE">
            <w:pPr>
              <w:rPr>
                <w:sz w:val="16"/>
                <w:szCs w:val="18"/>
              </w:rPr>
            </w:pPr>
          </w:p>
        </w:tc>
        <w:tc>
          <w:tcPr>
            <w:tcW w:w="1276" w:type="dxa"/>
          </w:tcPr>
          <w:p w14:paraId="11D19DCB" w14:textId="77777777" w:rsidR="004E6D89" w:rsidRPr="004A2AF3" w:rsidRDefault="004E6D89" w:rsidP="003269AE">
            <w:pPr>
              <w:rPr>
                <w:sz w:val="16"/>
                <w:szCs w:val="18"/>
              </w:rPr>
            </w:pPr>
          </w:p>
        </w:tc>
        <w:tc>
          <w:tcPr>
            <w:tcW w:w="1366" w:type="dxa"/>
          </w:tcPr>
          <w:p w14:paraId="319F3DE1" w14:textId="77777777" w:rsidR="004E6D89" w:rsidRPr="004A2AF3" w:rsidRDefault="004E6D89" w:rsidP="003269AE">
            <w:pPr>
              <w:rPr>
                <w:sz w:val="16"/>
                <w:szCs w:val="18"/>
              </w:rPr>
            </w:pPr>
          </w:p>
        </w:tc>
      </w:tr>
      <w:tr w:rsidR="004E6D89" w14:paraId="50C393D8" w14:textId="77777777" w:rsidTr="0004032D">
        <w:tc>
          <w:tcPr>
            <w:tcW w:w="2547" w:type="dxa"/>
          </w:tcPr>
          <w:p w14:paraId="6981C107" w14:textId="77777777" w:rsidR="004E6D89" w:rsidRPr="004A2AF3" w:rsidRDefault="004E6D89" w:rsidP="004E6D89">
            <w:pPr>
              <w:jc w:val="right"/>
              <w:rPr>
                <w:sz w:val="16"/>
                <w:szCs w:val="18"/>
              </w:rPr>
            </w:pPr>
            <w:r w:rsidRPr="004A2AF3">
              <w:rPr>
                <w:sz w:val="16"/>
                <w:szCs w:val="18"/>
              </w:rPr>
              <w:t xml:space="preserve"># </w:t>
            </w:r>
            <w:proofErr w:type="gramStart"/>
            <w:r w:rsidRPr="004A2AF3">
              <w:rPr>
                <w:sz w:val="16"/>
                <w:szCs w:val="18"/>
              </w:rPr>
              <w:t>placebo</w:t>
            </w:r>
            <w:proofErr w:type="gramEnd"/>
            <w:r w:rsidRPr="004A2AF3">
              <w:rPr>
                <w:sz w:val="16"/>
                <w:szCs w:val="18"/>
              </w:rPr>
              <w:t xml:space="preserve"> averages</w:t>
            </w:r>
          </w:p>
        </w:tc>
        <w:tc>
          <w:tcPr>
            <w:tcW w:w="1276" w:type="dxa"/>
          </w:tcPr>
          <w:p w14:paraId="31D71750" w14:textId="77777777" w:rsidR="004E6D89" w:rsidRPr="004A2AF3" w:rsidRDefault="004E6D89" w:rsidP="004E6D89">
            <w:pPr>
              <w:jc w:val="center"/>
              <w:rPr>
                <w:sz w:val="16"/>
                <w:szCs w:val="18"/>
              </w:rPr>
            </w:pPr>
            <w:r w:rsidRPr="004A2AF3">
              <w:rPr>
                <w:sz w:val="16"/>
                <w:szCs w:val="18"/>
              </w:rPr>
              <w:t>&gt;12 billion</w:t>
            </w:r>
          </w:p>
        </w:tc>
        <w:tc>
          <w:tcPr>
            <w:tcW w:w="1275" w:type="dxa"/>
          </w:tcPr>
          <w:p w14:paraId="23A635E0" w14:textId="77777777" w:rsidR="004E6D89" w:rsidRPr="004A2AF3" w:rsidRDefault="004E6D89" w:rsidP="004E6D89">
            <w:pPr>
              <w:jc w:val="center"/>
              <w:rPr>
                <w:sz w:val="16"/>
              </w:rPr>
            </w:pPr>
            <w:r w:rsidRPr="004A2AF3">
              <w:rPr>
                <w:sz w:val="16"/>
                <w:szCs w:val="18"/>
              </w:rPr>
              <w:t>&gt;12 billion</w:t>
            </w:r>
          </w:p>
        </w:tc>
        <w:tc>
          <w:tcPr>
            <w:tcW w:w="1276" w:type="dxa"/>
          </w:tcPr>
          <w:p w14:paraId="3A6D95BC" w14:textId="77777777" w:rsidR="004E6D89" w:rsidRPr="004A2AF3" w:rsidRDefault="004E6D89" w:rsidP="004E6D89">
            <w:pPr>
              <w:jc w:val="center"/>
              <w:rPr>
                <w:sz w:val="16"/>
              </w:rPr>
            </w:pPr>
            <w:r w:rsidRPr="004A2AF3">
              <w:rPr>
                <w:sz w:val="16"/>
                <w:szCs w:val="18"/>
              </w:rPr>
              <w:t>&gt;12 billion</w:t>
            </w:r>
          </w:p>
        </w:tc>
        <w:tc>
          <w:tcPr>
            <w:tcW w:w="1276" w:type="dxa"/>
          </w:tcPr>
          <w:p w14:paraId="19163274" w14:textId="77777777" w:rsidR="004E6D89" w:rsidRPr="004A2AF3" w:rsidRDefault="004E6D89" w:rsidP="004E6D89">
            <w:pPr>
              <w:jc w:val="center"/>
              <w:rPr>
                <w:sz w:val="16"/>
              </w:rPr>
            </w:pPr>
            <w:r w:rsidRPr="004A2AF3">
              <w:rPr>
                <w:sz w:val="16"/>
                <w:szCs w:val="18"/>
              </w:rPr>
              <w:t>&gt;12 billion</w:t>
            </w:r>
          </w:p>
        </w:tc>
        <w:tc>
          <w:tcPr>
            <w:tcW w:w="1366" w:type="dxa"/>
          </w:tcPr>
          <w:p w14:paraId="039A47DD" w14:textId="77777777" w:rsidR="004E6D89" w:rsidRPr="004A2AF3" w:rsidRDefault="004E6D89" w:rsidP="004E6D89">
            <w:pPr>
              <w:jc w:val="center"/>
              <w:rPr>
                <w:sz w:val="16"/>
              </w:rPr>
            </w:pPr>
            <w:r w:rsidRPr="004A2AF3">
              <w:rPr>
                <w:sz w:val="16"/>
                <w:szCs w:val="18"/>
              </w:rPr>
              <w:t>&gt;12 billion</w:t>
            </w:r>
          </w:p>
        </w:tc>
      </w:tr>
      <w:tr w:rsidR="009448D2" w14:paraId="1CD7632A" w14:textId="77777777" w:rsidTr="0004032D">
        <w:tc>
          <w:tcPr>
            <w:tcW w:w="2547" w:type="dxa"/>
          </w:tcPr>
          <w:p w14:paraId="7A0BA5E6" w14:textId="77777777" w:rsidR="009448D2" w:rsidRPr="004A2AF3" w:rsidRDefault="009448D2" w:rsidP="009448D2">
            <w:pPr>
              <w:jc w:val="right"/>
              <w:rPr>
                <w:sz w:val="16"/>
                <w:szCs w:val="18"/>
              </w:rPr>
            </w:pPr>
            <w:r w:rsidRPr="004A2AF3">
              <w:rPr>
                <w:sz w:val="16"/>
                <w:szCs w:val="18"/>
              </w:rPr>
              <w:t>Permutation method</w:t>
            </w:r>
          </w:p>
        </w:tc>
        <w:tc>
          <w:tcPr>
            <w:tcW w:w="1276" w:type="dxa"/>
          </w:tcPr>
          <w:p w14:paraId="2BE85FFE" w14:textId="77777777" w:rsidR="009448D2" w:rsidRPr="004A2AF3" w:rsidRDefault="009448D2" w:rsidP="009448D2">
            <w:pPr>
              <w:jc w:val="center"/>
              <w:rPr>
                <w:sz w:val="16"/>
                <w:szCs w:val="18"/>
              </w:rPr>
            </w:pPr>
            <w:r w:rsidRPr="004A2AF3">
              <w:rPr>
                <w:sz w:val="16"/>
                <w:szCs w:val="18"/>
              </w:rPr>
              <w:t>Random sampling</w:t>
            </w:r>
          </w:p>
        </w:tc>
        <w:tc>
          <w:tcPr>
            <w:tcW w:w="1275" w:type="dxa"/>
          </w:tcPr>
          <w:p w14:paraId="0CB75B6F" w14:textId="77777777" w:rsidR="009448D2" w:rsidRPr="004A2AF3" w:rsidRDefault="009448D2" w:rsidP="009448D2">
            <w:pPr>
              <w:jc w:val="center"/>
              <w:rPr>
                <w:sz w:val="16"/>
              </w:rPr>
            </w:pPr>
            <w:r w:rsidRPr="004A2AF3">
              <w:rPr>
                <w:sz w:val="16"/>
                <w:szCs w:val="18"/>
              </w:rPr>
              <w:t>Random sampling</w:t>
            </w:r>
          </w:p>
        </w:tc>
        <w:tc>
          <w:tcPr>
            <w:tcW w:w="1276" w:type="dxa"/>
          </w:tcPr>
          <w:p w14:paraId="713B61BA" w14:textId="77777777" w:rsidR="009448D2" w:rsidRPr="004A2AF3" w:rsidRDefault="009448D2" w:rsidP="009448D2">
            <w:pPr>
              <w:jc w:val="center"/>
              <w:rPr>
                <w:sz w:val="16"/>
              </w:rPr>
            </w:pPr>
            <w:r w:rsidRPr="004A2AF3">
              <w:rPr>
                <w:sz w:val="16"/>
                <w:szCs w:val="18"/>
              </w:rPr>
              <w:t>Random sampling</w:t>
            </w:r>
          </w:p>
        </w:tc>
        <w:tc>
          <w:tcPr>
            <w:tcW w:w="1276" w:type="dxa"/>
          </w:tcPr>
          <w:p w14:paraId="0E210373" w14:textId="77777777" w:rsidR="009448D2" w:rsidRPr="004A2AF3" w:rsidRDefault="009448D2" w:rsidP="009448D2">
            <w:pPr>
              <w:jc w:val="center"/>
              <w:rPr>
                <w:sz w:val="16"/>
              </w:rPr>
            </w:pPr>
            <w:r w:rsidRPr="004A2AF3">
              <w:rPr>
                <w:sz w:val="16"/>
                <w:szCs w:val="18"/>
              </w:rPr>
              <w:t>Random sampling</w:t>
            </w:r>
          </w:p>
        </w:tc>
        <w:tc>
          <w:tcPr>
            <w:tcW w:w="1366" w:type="dxa"/>
          </w:tcPr>
          <w:p w14:paraId="238E1564" w14:textId="77777777" w:rsidR="009448D2" w:rsidRPr="004A2AF3" w:rsidRDefault="009448D2" w:rsidP="009448D2">
            <w:pPr>
              <w:jc w:val="center"/>
              <w:rPr>
                <w:sz w:val="16"/>
              </w:rPr>
            </w:pPr>
            <w:r w:rsidRPr="004A2AF3">
              <w:rPr>
                <w:sz w:val="16"/>
                <w:szCs w:val="18"/>
              </w:rPr>
              <w:t>Random sampling</w:t>
            </w:r>
          </w:p>
        </w:tc>
      </w:tr>
      <w:tr w:rsidR="004E6D89" w14:paraId="648CBE55" w14:textId="77777777" w:rsidTr="0004032D">
        <w:tc>
          <w:tcPr>
            <w:tcW w:w="2547" w:type="dxa"/>
          </w:tcPr>
          <w:p w14:paraId="0E0400D4" w14:textId="77777777" w:rsidR="004E6D89" w:rsidRPr="004A2AF3" w:rsidRDefault="004E6D89" w:rsidP="004E6D89">
            <w:pPr>
              <w:jc w:val="right"/>
              <w:rPr>
                <w:sz w:val="16"/>
                <w:szCs w:val="18"/>
              </w:rPr>
            </w:pPr>
          </w:p>
        </w:tc>
        <w:tc>
          <w:tcPr>
            <w:tcW w:w="1276" w:type="dxa"/>
          </w:tcPr>
          <w:p w14:paraId="4AA06BD4" w14:textId="77777777" w:rsidR="004E6D89" w:rsidRPr="004A2AF3" w:rsidRDefault="004E6D89" w:rsidP="003269AE">
            <w:pPr>
              <w:rPr>
                <w:sz w:val="16"/>
                <w:szCs w:val="18"/>
              </w:rPr>
            </w:pPr>
          </w:p>
        </w:tc>
        <w:tc>
          <w:tcPr>
            <w:tcW w:w="1275" w:type="dxa"/>
          </w:tcPr>
          <w:p w14:paraId="0755814E" w14:textId="77777777" w:rsidR="004E6D89" w:rsidRPr="004A2AF3" w:rsidRDefault="004E6D89" w:rsidP="003269AE">
            <w:pPr>
              <w:rPr>
                <w:sz w:val="16"/>
                <w:szCs w:val="18"/>
              </w:rPr>
            </w:pPr>
          </w:p>
        </w:tc>
        <w:tc>
          <w:tcPr>
            <w:tcW w:w="1276" w:type="dxa"/>
          </w:tcPr>
          <w:p w14:paraId="764E4647" w14:textId="77777777" w:rsidR="004E6D89" w:rsidRPr="004A2AF3" w:rsidRDefault="004E6D89" w:rsidP="003269AE">
            <w:pPr>
              <w:rPr>
                <w:sz w:val="16"/>
                <w:szCs w:val="18"/>
              </w:rPr>
            </w:pPr>
          </w:p>
        </w:tc>
        <w:tc>
          <w:tcPr>
            <w:tcW w:w="1276" w:type="dxa"/>
          </w:tcPr>
          <w:p w14:paraId="33EB13CB" w14:textId="77777777" w:rsidR="004E6D89" w:rsidRPr="004A2AF3" w:rsidRDefault="004E6D89" w:rsidP="003269AE">
            <w:pPr>
              <w:rPr>
                <w:sz w:val="16"/>
                <w:szCs w:val="18"/>
              </w:rPr>
            </w:pPr>
          </w:p>
        </w:tc>
        <w:tc>
          <w:tcPr>
            <w:tcW w:w="1366" w:type="dxa"/>
          </w:tcPr>
          <w:p w14:paraId="5C633247" w14:textId="77777777" w:rsidR="004E6D89" w:rsidRPr="004A2AF3" w:rsidRDefault="004E6D89" w:rsidP="003269AE">
            <w:pPr>
              <w:rPr>
                <w:sz w:val="16"/>
                <w:szCs w:val="18"/>
              </w:rPr>
            </w:pPr>
          </w:p>
        </w:tc>
      </w:tr>
      <w:tr w:rsidR="004E6D89" w14:paraId="613C570C" w14:textId="77777777" w:rsidTr="0004032D">
        <w:tc>
          <w:tcPr>
            <w:tcW w:w="2547" w:type="dxa"/>
          </w:tcPr>
          <w:p w14:paraId="066EBC57" w14:textId="77777777" w:rsidR="004E6D89" w:rsidRPr="004A2AF3" w:rsidRDefault="004E6D89" w:rsidP="004E6D89">
            <w:pPr>
              <w:jc w:val="right"/>
              <w:rPr>
                <w:sz w:val="16"/>
                <w:szCs w:val="18"/>
              </w:rPr>
            </w:pPr>
            <w:r w:rsidRPr="004A2AF3">
              <w:rPr>
                <w:sz w:val="16"/>
                <w:szCs w:val="18"/>
              </w:rPr>
              <w:t>Region-fixed effects</w:t>
            </w:r>
          </w:p>
          <w:p w14:paraId="613C19F0" w14:textId="77777777" w:rsidR="004E6D89" w:rsidRPr="004A2AF3" w:rsidRDefault="004E6D89" w:rsidP="004E6D89">
            <w:pPr>
              <w:jc w:val="right"/>
              <w:rPr>
                <w:sz w:val="16"/>
                <w:szCs w:val="18"/>
              </w:rPr>
            </w:pPr>
            <w:r w:rsidRPr="004A2AF3">
              <w:rPr>
                <w:sz w:val="16"/>
                <w:szCs w:val="18"/>
              </w:rPr>
              <w:t>(p-value)</w:t>
            </w:r>
          </w:p>
        </w:tc>
        <w:tc>
          <w:tcPr>
            <w:tcW w:w="1276" w:type="dxa"/>
          </w:tcPr>
          <w:p w14:paraId="59BBFF34" w14:textId="77777777" w:rsidR="004E6D89" w:rsidRPr="004A2AF3" w:rsidRDefault="004E6D89" w:rsidP="004E6D89">
            <w:pPr>
              <w:jc w:val="center"/>
              <w:rPr>
                <w:sz w:val="16"/>
                <w:szCs w:val="18"/>
              </w:rPr>
            </w:pPr>
            <w:r w:rsidRPr="004A2AF3">
              <w:rPr>
                <w:sz w:val="16"/>
                <w:szCs w:val="18"/>
              </w:rPr>
              <w:t>YES</w:t>
            </w:r>
          </w:p>
          <w:p w14:paraId="1C3A40C4" w14:textId="77777777" w:rsidR="004E6D89" w:rsidRPr="004A2AF3" w:rsidRDefault="004E6D89" w:rsidP="004E6D89">
            <w:pPr>
              <w:jc w:val="center"/>
              <w:rPr>
                <w:sz w:val="16"/>
                <w:szCs w:val="18"/>
              </w:rPr>
            </w:pPr>
            <w:r w:rsidRPr="004A2AF3">
              <w:rPr>
                <w:sz w:val="16"/>
                <w:szCs w:val="18"/>
              </w:rPr>
              <w:t>(0.000)</w:t>
            </w:r>
          </w:p>
        </w:tc>
        <w:tc>
          <w:tcPr>
            <w:tcW w:w="1275" w:type="dxa"/>
          </w:tcPr>
          <w:p w14:paraId="01D34EA3" w14:textId="77777777" w:rsidR="004E6D89" w:rsidRPr="004A2AF3" w:rsidRDefault="004E6D89" w:rsidP="004E6D89">
            <w:pPr>
              <w:jc w:val="center"/>
              <w:rPr>
                <w:sz w:val="16"/>
                <w:szCs w:val="18"/>
              </w:rPr>
            </w:pPr>
            <w:r w:rsidRPr="004A2AF3">
              <w:rPr>
                <w:sz w:val="16"/>
                <w:szCs w:val="18"/>
              </w:rPr>
              <w:t>YES</w:t>
            </w:r>
          </w:p>
          <w:p w14:paraId="227C75DE" w14:textId="77777777" w:rsidR="004E6D89" w:rsidRPr="004A2AF3" w:rsidRDefault="004E6D89" w:rsidP="004E6D89">
            <w:pPr>
              <w:jc w:val="center"/>
              <w:rPr>
                <w:sz w:val="16"/>
                <w:szCs w:val="18"/>
              </w:rPr>
            </w:pPr>
            <w:r w:rsidRPr="004A2AF3">
              <w:rPr>
                <w:sz w:val="16"/>
                <w:szCs w:val="18"/>
              </w:rPr>
              <w:t>(0.000)</w:t>
            </w:r>
          </w:p>
        </w:tc>
        <w:tc>
          <w:tcPr>
            <w:tcW w:w="1276" w:type="dxa"/>
          </w:tcPr>
          <w:p w14:paraId="1BC29766" w14:textId="77777777" w:rsidR="004E6D89" w:rsidRPr="004A2AF3" w:rsidRDefault="004E6D89" w:rsidP="004E6D89">
            <w:pPr>
              <w:jc w:val="center"/>
              <w:rPr>
                <w:sz w:val="16"/>
                <w:szCs w:val="18"/>
              </w:rPr>
            </w:pPr>
            <w:r w:rsidRPr="004A2AF3">
              <w:rPr>
                <w:sz w:val="16"/>
                <w:szCs w:val="18"/>
              </w:rPr>
              <w:t>YES</w:t>
            </w:r>
          </w:p>
          <w:p w14:paraId="1336F50E" w14:textId="77777777" w:rsidR="004E6D89" w:rsidRPr="004A2AF3" w:rsidRDefault="004E6D89" w:rsidP="004E6D89">
            <w:pPr>
              <w:jc w:val="center"/>
              <w:rPr>
                <w:sz w:val="16"/>
                <w:szCs w:val="18"/>
              </w:rPr>
            </w:pPr>
            <w:r w:rsidRPr="004A2AF3">
              <w:rPr>
                <w:sz w:val="16"/>
                <w:szCs w:val="18"/>
              </w:rPr>
              <w:t>(0.000)</w:t>
            </w:r>
          </w:p>
        </w:tc>
        <w:tc>
          <w:tcPr>
            <w:tcW w:w="1276" w:type="dxa"/>
          </w:tcPr>
          <w:p w14:paraId="3E63DB20" w14:textId="77777777" w:rsidR="004E6D89" w:rsidRPr="004A2AF3" w:rsidRDefault="004E6D89" w:rsidP="004E6D89">
            <w:pPr>
              <w:jc w:val="center"/>
              <w:rPr>
                <w:sz w:val="16"/>
                <w:szCs w:val="18"/>
              </w:rPr>
            </w:pPr>
            <w:r w:rsidRPr="004A2AF3">
              <w:rPr>
                <w:sz w:val="16"/>
                <w:szCs w:val="18"/>
              </w:rPr>
              <w:t>YES</w:t>
            </w:r>
          </w:p>
          <w:p w14:paraId="17DA2794" w14:textId="77777777" w:rsidR="004E6D89" w:rsidRPr="004A2AF3" w:rsidRDefault="004E6D89" w:rsidP="004E6D89">
            <w:pPr>
              <w:jc w:val="center"/>
              <w:rPr>
                <w:sz w:val="16"/>
                <w:szCs w:val="18"/>
              </w:rPr>
            </w:pPr>
            <w:r w:rsidRPr="004A2AF3">
              <w:rPr>
                <w:sz w:val="16"/>
                <w:szCs w:val="18"/>
              </w:rPr>
              <w:t>(0.000)</w:t>
            </w:r>
          </w:p>
        </w:tc>
        <w:tc>
          <w:tcPr>
            <w:tcW w:w="1366" w:type="dxa"/>
          </w:tcPr>
          <w:p w14:paraId="272D2126" w14:textId="77777777" w:rsidR="004E6D89" w:rsidRPr="004A2AF3" w:rsidRDefault="004E6D89" w:rsidP="004E6D89">
            <w:pPr>
              <w:jc w:val="center"/>
              <w:rPr>
                <w:sz w:val="16"/>
                <w:szCs w:val="18"/>
              </w:rPr>
            </w:pPr>
            <w:r w:rsidRPr="004A2AF3">
              <w:rPr>
                <w:sz w:val="16"/>
                <w:szCs w:val="18"/>
              </w:rPr>
              <w:t>YES</w:t>
            </w:r>
          </w:p>
          <w:p w14:paraId="095D741E" w14:textId="77777777" w:rsidR="004E6D89" w:rsidRPr="004A2AF3" w:rsidRDefault="004E6D89" w:rsidP="004E6D89">
            <w:pPr>
              <w:jc w:val="center"/>
              <w:rPr>
                <w:sz w:val="16"/>
                <w:szCs w:val="18"/>
              </w:rPr>
            </w:pPr>
            <w:r w:rsidRPr="004A2AF3">
              <w:rPr>
                <w:sz w:val="16"/>
                <w:szCs w:val="18"/>
              </w:rPr>
              <w:t>(0.000)</w:t>
            </w:r>
          </w:p>
        </w:tc>
      </w:tr>
      <w:tr w:rsidR="004E6D89" w14:paraId="6875A747" w14:textId="77777777" w:rsidTr="0004032D">
        <w:tc>
          <w:tcPr>
            <w:tcW w:w="2547" w:type="dxa"/>
            <w:tcBorders>
              <w:bottom w:val="single" w:sz="4" w:space="0" w:color="auto"/>
            </w:tcBorders>
          </w:tcPr>
          <w:p w14:paraId="62E45162" w14:textId="77777777" w:rsidR="004E6D89" w:rsidRPr="004A2AF3" w:rsidRDefault="004E6D89" w:rsidP="004E6D89">
            <w:pPr>
              <w:jc w:val="right"/>
              <w:rPr>
                <w:sz w:val="16"/>
                <w:szCs w:val="18"/>
              </w:rPr>
            </w:pPr>
            <w:r w:rsidRPr="004A2AF3">
              <w:rPr>
                <w:sz w:val="16"/>
                <w:szCs w:val="18"/>
              </w:rPr>
              <w:t>Time-fixed effects</w:t>
            </w:r>
          </w:p>
          <w:p w14:paraId="6C12F743" w14:textId="77777777" w:rsidR="004E6D89" w:rsidRPr="004A2AF3" w:rsidRDefault="004E6D89" w:rsidP="004E6D89">
            <w:pPr>
              <w:jc w:val="right"/>
              <w:rPr>
                <w:sz w:val="16"/>
                <w:szCs w:val="18"/>
              </w:rPr>
            </w:pPr>
            <w:r w:rsidRPr="004A2AF3">
              <w:rPr>
                <w:sz w:val="16"/>
                <w:szCs w:val="18"/>
              </w:rPr>
              <w:t>(p-value)</w:t>
            </w:r>
          </w:p>
        </w:tc>
        <w:tc>
          <w:tcPr>
            <w:tcW w:w="1276" w:type="dxa"/>
            <w:tcBorders>
              <w:bottom w:val="single" w:sz="4" w:space="0" w:color="auto"/>
            </w:tcBorders>
          </w:tcPr>
          <w:p w14:paraId="2EA4BD4D" w14:textId="77777777" w:rsidR="004E6D89" w:rsidRPr="004A2AF3" w:rsidRDefault="004E6D89" w:rsidP="004E6D89">
            <w:pPr>
              <w:jc w:val="center"/>
              <w:rPr>
                <w:sz w:val="16"/>
                <w:szCs w:val="18"/>
              </w:rPr>
            </w:pPr>
            <w:r w:rsidRPr="004A2AF3">
              <w:rPr>
                <w:sz w:val="16"/>
                <w:szCs w:val="18"/>
              </w:rPr>
              <w:t>YES</w:t>
            </w:r>
          </w:p>
          <w:p w14:paraId="00FF0579" w14:textId="77777777" w:rsidR="004E6D89" w:rsidRPr="004A2AF3" w:rsidRDefault="004E6D89" w:rsidP="004E6D89">
            <w:pPr>
              <w:jc w:val="center"/>
              <w:rPr>
                <w:sz w:val="16"/>
                <w:szCs w:val="18"/>
              </w:rPr>
            </w:pPr>
            <w:r w:rsidRPr="004A2AF3">
              <w:rPr>
                <w:sz w:val="16"/>
                <w:szCs w:val="18"/>
              </w:rPr>
              <w:t>(0.000)</w:t>
            </w:r>
          </w:p>
        </w:tc>
        <w:tc>
          <w:tcPr>
            <w:tcW w:w="1275" w:type="dxa"/>
            <w:tcBorders>
              <w:bottom w:val="single" w:sz="4" w:space="0" w:color="auto"/>
            </w:tcBorders>
          </w:tcPr>
          <w:p w14:paraId="5281A5E8" w14:textId="77777777" w:rsidR="004E6D89" w:rsidRPr="004A2AF3" w:rsidRDefault="004E6D89" w:rsidP="004E6D89">
            <w:pPr>
              <w:jc w:val="center"/>
              <w:rPr>
                <w:sz w:val="16"/>
                <w:szCs w:val="18"/>
              </w:rPr>
            </w:pPr>
            <w:r w:rsidRPr="004A2AF3">
              <w:rPr>
                <w:sz w:val="16"/>
                <w:szCs w:val="18"/>
              </w:rPr>
              <w:t>YES</w:t>
            </w:r>
          </w:p>
          <w:p w14:paraId="52C6A2E7" w14:textId="77777777" w:rsidR="004E6D89" w:rsidRPr="004A2AF3" w:rsidRDefault="004E6D89" w:rsidP="004E6D89">
            <w:pPr>
              <w:jc w:val="center"/>
              <w:rPr>
                <w:sz w:val="16"/>
                <w:szCs w:val="18"/>
              </w:rPr>
            </w:pPr>
            <w:r w:rsidRPr="004A2AF3">
              <w:rPr>
                <w:sz w:val="16"/>
                <w:szCs w:val="18"/>
              </w:rPr>
              <w:t>(0.000)</w:t>
            </w:r>
          </w:p>
        </w:tc>
        <w:tc>
          <w:tcPr>
            <w:tcW w:w="1276" w:type="dxa"/>
            <w:tcBorders>
              <w:bottom w:val="single" w:sz="4" w:space="0" w:color="auto"/>
            </w:tcBorders>
          </w:tcPr>
          <w:p w14:paraId="29645342" w14:textId="77777777" w:rsidR="004E6D89" w:rsidRPr="004A2AF3" w:rsidRDefault="004E6D89" w:rsidP="004E6D89">
            <w:pPr>
              <w:jc w:val="center"/>
              <w:rPr>
                <w:sz w:val="16"/>
                <w:szCs w:val="18"/>
              </w:rPr>
            </w:pPr>
            <w:r w:rsidRPr="004A2AF3">
              <w:rPr>
                <w:sz w:val="16"/>
                <w:szCs w:val="18"/>
              </w:rPr>
              <w:t>YES</w:t>
            </w:r>
          </w:p>
          <w:p w14:paraId="08DACE91" w14:textId="77777777" w:rsidR="004E6D89" w:rsidRPr="004A2AF3" w:rsidRDefault="004E6D89" w:rsidP="004E6D89">
            <w:pPr>
              <w:jc w:val="center"/>
              <w:rPr>
                <w:sz w:val="16"/>
                <w:szCs w:val="18"/>
              </w:rPr>
            </w:pPr>
            <w:r w:rsidRPr="004A2AF3">
              <w:rPr>
                <w:sz w:val="16"/>
                <w:szCs w:val="18"/>
              </w:rPr>
              <w:t>(0.000)</w:t>
            </w:r>
          </w:p>
        </w:tc>
        <w:tc>
          <w:tcPr>
            <w:tcW w:w="1276" w:type="dxa"/>
            <w:tcBorders>
              <w:bottom w:val="single" w:sz="4" w:space="0" w:color="auto"/>
            </w:tcBorders>
          </w:tcPr>
          <w:p w14:paraId="4D333E02" w14:textId="77777777" w:rsidR="004E6D89" w:rsidRPr="004A2AF3" w:rsidRDefault="004E6D89" w:rsidP="004E6D89">
            <w:pPr>
              <w:jc w:val="center"/>
              <w:rPr>
                <w:sz w:val="16"/>
                <w:szCs w:val="18"/>
              </w:rPr>
            </w:pPr>
            <w:r w:rsidRPr="004A2AF3">
              <w:rPr>
                <w:sz w:val="16"/>
                <w:szCs w:val="18"/>
              </w:rPr>
              <w:t>YES</w:t>
            </w:r>
          </w:p>
          <w:p w14:paraId="41DEA872" w14:textId="77777777" w:rsidR="004E6D89" w:rsidRPr="004A2AF3" w:rsidRDefault="004E6D89" w:rsidP="004E6D89">
            <w:pPr>
              <w:jc w:val="center"/>
              <w:rPr>
                <w:sz w:val="16"/>
                <w:szCs w:val="18"/>
              </w:rPr>
            </w:pPr>
            <w:r w:rsidRPr="004A2AF3">
              <w:rPr>
                <w:sz w:val="16"/>
                <w:szCs w:val="18"/>
              </w:rPr>
              <w:t>(0.000)</w:t>
            </w:r>
          </w:p>
        </w:tc>
        <w:tc>
          <w:tcPr>
            <w:tcW w:w="1366" w:type="dxa"/>
            <w:tcBorders>
              <w:bottom w:val="single" w:sz="4" w:space="0" w:color="auto"/>
            </w:tcBorders>
          </w:tcPr>
          <w:p w14:paraId="15F0EF77" w14:textId="77777777" w:rsidR="004E6D89" w:rsidRPr="004A2AF3" w:rsidRDefault="004E6D89" w:rsidP="004E6D89">
            <w:pPr>
              <w:jc w:val="center"/>
              <w:rPr>
                <w:sz w:val="16"/>
                <w:szCs w:val="18"/>
              </w:rPr>
            </w:pPr>
            <w:r w:rsidRPr="004A2AF3">
              <w:rPr>
                <w:sz w:val="16"/>
                <w:szCs w:val="18"/>
              </w:rPr>
              <w:t>YES</w:t>
            </w:r>
          </w:p>
          <w:p w14:paraId="571F57BC" w14:textId="77777777" w:rsidR="004E6D89" w:rsidRPr="004A2AF3" w:rsidRDefault="004E6D89" w:rsidP="004E6D89">
            <w:pPr>
              <w:jc w:val="center"/>
              <w:rPr>
                <w:sz w:val="16"/>
                <w:szCs w:val="18"/>
              </w:rPr>
            </w:pPr>
            <w:r w:rsidRPr="004A2AF3">
              <w:rPr>
                <w:sz w:val="16"/>
                <w:szCs w:val="18"/>
              </w:rPr>
              <w:t>(0.000)</w:t>
            </w:r>
          </w:p>
        </w:tc>
      </w:tr>
      <w:tr w:rsidR="0004032D" w14:paraId="6CD1D363" w14:textId="77777777" w:rsidTr="0071026C">
        <w:tc>
          <w:tcPr>
            <w:tcW w:w="9016" w:type="dxa"/>
            <w:gridSpan w:val="6"/>
            <w:tcBorders>
              <w:top w:val="single" w:sz="4" w:space="0" w:color="auto"/>
              <w:bottom w:val="double" w:sz="4" w:space="0" w:color="auto"/>
            </w:tcBorders>
          </w:tcPr>
          <w:p w14:paraId="049F42C9" w14:textId="77777777" w:rsidR="0004032D" w:rsidRPr="004A2AF3" w:rsidRDefault="0004032D" w:rsidP="0004032D">
            <w:pPr>
              <w:jc w:val="both"/>
              <w:rPr>
                <w:sz w:val="16"/>
                <w:szCs w:val="18"/>
              </w:rPr>
            </w:pPr>
            <w:r w:rsidRPr="0004032D">
              <w:rPr>
                <w:i/>
                <w:sz w:val="16"/>
                <w:szCs w:val="18"/>
              </w:rPr>
              <w:t>Notes</w:t>
            </w:r>
            <w:r>
              <w:rPr>
                <w:sz w:val="16"/>
                <w:szCs w:val="18"/>
              </w:rPr>
              <w:t>: the table reports the post-instability coefficients associated with institutional quality gaps after the government crackdown in 2008. In each specification, the full set of region-fixed effects and time-fixed effects is included. Standard errors of the actual and placebo gap coefficients are adjusted for arbitrary heteroscedasticity and serially correlated stochastic disturbances using finite-sample adjustment of the empirical distribution function with the error component model. Cluster-specific standard errors are denoted in the parentheses. Asterisks denote statistically significant coefficients at 10% (*), 5% (**), and 1% (***), respectively.</w:t>
            </w:r>
          </w:p>
        </w:tc>
      </w:tr>
    </w:tbl>
    <w:p w14:paraId="48A769E9" w14:textId="77777777" w:rsidR="003269AE" w:rsidRDefault="003269AE" w:rsidP="0067749B">
      <w:pPr>
        <w:spacing w:after="0"/>
        <w:rPr>
          <w:sz w:val="22"/>
        </w:rPr>
      </w:pPr>
    </w:p>
    <w:p w14:paraId="5996EDAE" w14:textId="77777777" w:rsidR="009C30CF" w:rsidRDefault="009C30CF" w:rsidP="009C30CF">
      <w:pPr>
        <w:spacing w:after="0"/>
        <w:jc w:val="both"/>
        <w:rPr>
          <w:sz w:val="22"/>
        </w:rPr>
      </w:pPr>
      <w:r>
        <w:rPr>
          <w:sz w:val="22"/>
        </w:rPr>
        <w:t xml:space="preserve">Figure 5 reports the intertemporal distribution of p-values associated with the institutional quality effect of political instability. The evidence indicates the embedded presence of the institutional quality breakdown triggered by the rising instability. The associated p-values are both low and relatively stable over time with two distinctive observable characteristics. First, the p-values linked with the effect of instability on voice and accountability, regulatory quality and control of corruption are within 10 percent significance threshold immediately from the initial post-treatment year onward. Without the loss of generality, this implies that political instability has triggered a bold and substantial institutional quality breakdown through the decline of liberal democracy, deteriorating quality of regulation and significantly weakened control of corruption. The negative effect of political instability on these </w:t>
      </w:r>
      <w:proofErr w:type="gramStart"/>
      <w:r>
        <w:rPr>
          <w:sz w:val="22"/>
        </w:rPr>
        <w:t>particular quality</w:t>
      </w:r>
      <w:proofErr w:type="gramEnd"/>
      <w:r>
        <w:rPr>
          <w:sz w:val="22"/>
        </w:rPr>
        <w:t xml:space="preserve"> dimensions is both immediate and apparent. And second, the p-values on the rule of law and government effectiveness dimensions appear to be initially high and gradually become low, falling well within the 10 percent threshold. This implies that the negative effect of instability does not materialize immediately but tends to loom large over time in a more gradual fashion. Hence, it can be implied that the deterioration of the rule of law and government effectiveness in response to political instability appears to be time-contingent and substantially more gradual compared to the immediate negative effects on corruption, regulatory quality and voice and accountability. Taken altogether, the evidence offers ample support for the notion of political instability leading to the institutional quality breakdown with a heterogeneous pattern across the rule of law and government effectiveness on one hand, and corruption-regulation-accountability dimensions on the other hand. </w:t>
      </w:r>
    </w:p>
    <w:p w14:paraId="0E29047B" w14:textId="77777777" w:rsidR="009C30CF" w:rsidRPr="004A2AF3" w:rsidRDefault="009C30CF" w:rsidP="0067749B">
      <w:pPr>
        <w:spacing w:after="0"/>
        <w:rPr>
          <w:sz w:val="22"/>
        </w:rPr>
      </w:pPr>
    </w:p>
    <w:p w14:paraId="569D951C" w14:textId="77777777" w:rsidR="00A27A9B" w:rsidRPr="004A2AF3" w:rsidRDefault="00A27A9B" w:rsidP="0067749B">
      <w:pPr>
        <w:spacing w:after="0"/>
        <w:rPr>
          <w:sz w:val="22"/>
        </w:rPr>
      </w:pPr>
      <w:r w:rsidRPr="00AB51C9">
        <w:rPr>
          <w:b/>
          <w:sz w:val="22"/>
        </w:rPr>
        <w:t>Figure</w:t>
      </w:r>
      <w:r w:rsidR="009C30CF" w:rsidRPr="00AB51C9">
        <w:rPr>
          <w:b/>
          <w:sz w:val="22"/>
        </w:rPr>
        <w:t xml:space="preserve"> 5</w:t>
      </w:r>
      <w:r w:rsidRPr="004A2AF3">
        <w:rPr>
          <w:sz w:val="22"/>
        </w:rPr>
        <w:t xml:space="preserve">: </w:t>
      </w:r>
      <w:r w:rsidR="00AB51C9">
        <w:rPr>
          <w:sz w:val="22"/>
        </w:rPr>
        <w:t>Lead-specific p-values of the institutional quality effects of political instability</w:t>
      </w:r>
    </w:p>
    <w:p w14:paraId="766E3660" w14:textId="77777777" w:rsidR="005611DD" w:rsidRPr="004A2AF3" w:rsidRDefault="005611DD" w:rsidP="0067749B">
      <w:pPr>
        <w:spacing w:after="0"/>
        <w:rPr>
          <w:sz w:val="22"/>
        </w:rPr>
      </w:pPr>
      <w:r w:rsidRPr="004A2AF3">
        <w:rPr>
          <w:noProof/>
          <w:sz w:val="22"/>
          <w:lang w:eastAsia="en-GB"/>
        </w:rPr>
        <w:lastRenderedPageBreak/>
        <w:drawing>
          <wp:inline distT="0" distB="0" distL="0" distR="0" wp14:anchorId="6DF3C246" wp14:editId="3B70FB14">
            <wp:extent cx="4648200" cy="3380509"/>
            <wp:effectExtent l="0" t="0" r="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4665201" cy="3392873"/>
                    </a:xfrm>
                    <a:prstGeom prst="rect">
                      <a:avLst/>
                    </a:prstGeom>
                    <a:noFill/>
                    <a:ln>
                      <a:noFill/>
                    </a:ln>
                  </pic:spPr>
                </pic:pic>
              </a:graphicData>
            </a:graphic>
          </wp:inline>
        </w:drawing>
      </w:r>
    </w:p>
    <w:p w14:paraId="7D28ED98" w14:textId="77777777" w:rsidR="006805BF" w:rsidRPr="004A2AF3" w:rsidRDefault="006805BF" w:rsidP="0067749B">
      <w:pPr>
        <w:spacing w:after="0"/>
        <w:rPr>
          <w:sz w:val="22"/>
        </w:rPr>
      </w:pPr>
    </w:p>
    <w:p w14:paraId="262FCFA4" w14:textId="77777777" w:rsidR="006805BF" w:rsidRPr="00455DCE" w:rsidRDefault="00455DCE" w:rsidP="0067749B">
      <w:pPr>
        <w:spacing w:after="0"/>
        <w:rPr>
          <w:b/>
        </w:rPr>
      </w:pPr>
      <w:r w:rsidRPr="00455DCE">
        <w:rPr>
          <w:b/>
        </w:rPr>
        <w:t>6</w:t>
      </w:r>
      <w:r w:rsidRPr="00455DCE">
        <w:rPr>
          <w:b/>
        </w:rPr>
        <w:tab/>
      </w:r>
      <w:r w:rsidR="00AB51C9" w:rsidRPr="00455DCE">
        <w:rPr>
          <w:b/>
        </w:rPr>
        <w:t>Conclusion</w:t>
      </w:r>
    </w:p>
    <w:p w14:paraId="133D7DF4" w14:textId="77777777" w:rsidR="00AB51C9" w:rsidRDefault="00AB51C9" w:rsidP="0067749B">
      <w:pPr>
        <w:spacing w:after="0"/>
        <w:rPr>
          <w:sz w:val="22"/>
        </w:rPr>
      </w:pPr>
    </w:p>
    <w:p w14:paraId="3915B609" w14:textId="77777777" w:rsidR="004D52AB" w:rsidRDefault="004D52AB" w:rsidP="004D52AB">
      <w:pPr>
        <w:spacing w:after="0"/>
        <w:jc w:val="both"/>
        <w:rPr>
          <w:sz w:val="22"/>
        </w:rPr>
      </w:pPr>
      <w:r>
        <w:rPr>
          <w:sz w:val="22"/>
        </w:rPr>
        <w:t xml:space="preserve">In this paper, we examine the effect of political instability on institutional quality. To this end, we exploit the crackdown of government cabinet in 2008 that led to almost two decades of pervasive political instability using the unique case of </w:t>
      </w:r>
      <w:proofErr w:type="gramStart"/>
      <w:r>
        <w:rPr>
          <w:sz w:val="22"/>
        </w:rPr>
        <w:t>Slovenia, and</w:t>
      </w:r>
      <w:proofErr w:type="gramEnd"/>
      <w:r>
        <w:rPr>
          <w:sz w:val="22"/>
        </w:rPr>
        <w:t xml:space="preserve"> estimate the average treatment effect of political instability and the missing counterfactual scenario for the period 1996-2020. We construct novel estimates of institutional quality at the subnational level for a sample of regions and a full-cross section of Slovenian regions and municipalities. By adopting the residual component approach to measure institutional quality (</w:t>
      </w:r>
      <w:r w:rsidRPr="00460CB1">
        <w:rPr>
          <w:color w:val="4472C4" w:themeColor="accent5"/>
          <w:sz w:val="22"/>
        </w:rPr>
        <w:t>Magnusson and Tarverdi 2020</w:t>
      </w:r>
      <w:r>
        <w:rPr>
          <w:sz w:val="22"/>
        </w:rPr>
        <w:t>), we estimate the residual score of institutional quality from the variation in plausibly exogenous geographic characteristics in repeated cross-sections using Bayesian approach through Monte Carlo Markov Chain (MCMC) sampling method with Metropolis-</w:t>
      </w:r>
      <w:proofErr w:type="gramStart"/>
      <w:r>
        <w:rPr>
          <w:sz w:val="22"/>
        </w:rPr>
        <w:t>Hastings</w:t>
      </w:r>
      <w:proofErr w:type="gramEnd"/>
      <w:r>
        <w:rPr>
          <w:sz w:val="22"/>
        </w:rPr>
        <w:t xml:space="preserve"> algorithm. More specifically, we perform around </w:t>
      </w:r>
      <w:r w:rsidRPr="004D52AB">
        <w:rPr>
          <w:sz w:val="22"/>
        </w:rPr>
        <w:t>1,500,000 million random sequences of samples</w:t>
      </w:r>
      <w:r>
        <w:rPr>
          <w:sz w:val="22"/>
        </w:rPr>
        <w:t xml:space="preserve"> and decompose the latent residual institutional quality score for each year into deterministic and stochastic </w:t>
      </w:r>
      <w:proofErr w:type="gramStart"/>
      <w:r>
        <w:rPr>
          <w:sz w:val="22"/>
        </w:rPr>
        <w:t>components, and</w:t>
      </w:r>
      <w:proofErr w:type="gramEnd"/>
      <w:r>
        <w:rPr>
          <w:sz w:val="22"/>
        </w:rPr>
        <w:t xml:space="preserve"> smooth the latent series using Hodrick-Prescott filtering technique (</w:t>
      </w:r>
      <w:r w:rsidRPr="00460CB1">
        <w:rPr>
          <w:color w:val="4472C4" w:themeColor="accent5"/>
          <w:sz w:val="22"/>
        </w:rPr>
        <w:t>Ravn and Uhlig</w:t>
      </w:r>
      <w:r w:rsidR="00DA4A88" w:rsidRPr="00460CB1">
        <w:rPr>
          <w:color w:val="4472C4" w:themeColor="accent5"/>
          <w:sz w:val="22"/>
        </w:rPr>
        <w:t xml:space="preserve"> 2002</w:t>
      </w:r>
      <w:r>
        <w:rPr>
          <w:sz w:val="22"/>
        </w:rPr>
        <w:t>). By comparing the trajectory of institutional quality within and across the treated regions and municipalities, we examine the relationship between political instability and institutional quality in greater detail.</w:t>
      </w:r>
    </w:p>
    <w:p w14:paraId="10F53A2F" w14:textId="77777777" w:rsidR="004D52AB" w:rsidRDefault="004D52AB" w:rsidP="004D52AB">
      <w:pPr>
        <w:spacing w:after="0"/>
        <w:jc w:val="both"/>
        <w:rPr>
          <w:sz w:val="22"/>
        </w:rPr>
      </w:pPr>
    </w:p>
    <w:p w14:paraId="2AC5D86B" w14:textId="77777777" w:rsidR="00AB51C9" w:rsidRDefault="004D52AB" w:rsidP="004D52AB">
      <w:pPr>
        <w:spacing w:after="0"/>
        <w:jc w:val="both"/>
        <w:rPr>
          <w:sz w:val="22"/>
        </w:rPr>
      </w:pPr>
      <w:r>
        <w:rPr>
          <w:sz w:val="22"/>
        </w:rPr>
        <w:t xml:space="preserve">Whilst the notion of negative economic growth effects of political instability has received widely acclaimed support in the literature, the relationship between quality and instability has received relatively little attention in the literature. Some scholars argue that political instability debilitates institutional quality through greater insecurity of property rights and higher transaction costs. Yet, others argue that some political instability might be a necessary condition to break the status quo and implement institutional and policy reforms that allow for flexible adjustment to a series of external and internal shocks. </w:t>
      </w:r>
      <w:r w:rsidR="00DA4A88">
        <w:rPr>
          <w:sz w:val="22"/>
        </w:rPr>
        <w:t>Our difference-in-differences and synthetic control estimates provide no evidence of institutional quality-enhancing effect of political instability. A wide range of estimates suggests that political instability debilitates political accountability, restricts the freedom of the press, decreases government effectiveness, weakens the rule of law, renders regulatory quality downward and deteriorates the control of corruption substantially. Our evidence based on difference-in-differences with two-way fixed estimator of the treatment effect (</w:t>
      </w:r>
      <w:r w:rsidR="00DA4A88" w:rsidRPr="00460CB1">
        <w:rPr>
          <w:color w:val="4472C4" w:themeColor="accent5"/>
          <w:sz w:val="22"/>
        </w:rPr>
        <w:t>De Chaismartin and D’Haultfoeuille 2020</w:t>
      </w:r>
      <w:r w:rsidR="00DA4A88" w:rsidRPr="00DA4A88">
        <w:rPr>
          <w:sz w:val="22"/>
        </w:rPr>
        <w:t>)</w:t>
      </w:r>
      <w:r w:rsidR="00DA4A88">
        <w:rPr>
          <w:sz w:val="22"/>
        </w:rPr>
        <w:t xml:space="preserve"> </w:t>
      </w:r>
      <w:r w:rsidR="00DA4A88">
        <w:rPr>
          <w:sz w:val="22"/>
        </w:rPr>
        <w:lastRenderedPageBreak/>
        <w:t xml:space="preserve">suggests that at the local level, political instability has a somewhat beneficial effect on the regulatory </w:t>
      </w:r>
      <w:proofErr w:type="gramStart"/>
      <w:r w:rsidR="00DA4A88">
        <w:rPr>
          <w:sz w:val="22"/>
        </w:rPr>
        <w:t>quality, and</w:t>
      </w:r>
      <w:proofErr w:type="gramEnd"/>
      <w:r w:rsidR="00DA4A88">
        <w:rPr>
          <w:sz w:val="22"/>
        </w:rPr>
        <w:t xml:space="preserve"> improves the ability of local governments to </w:t>
      </w:r>
      <w:r w:rsidR="00DA4A88" w:rsidRPr="00DA4A88">
        <w:rPr>
          <w:sz w:val="22"/>
        </w:rPr>
        <w:t>formulate and implement sound economic and structural policies and regulation that promote</w:t>
      </w:r>
      <w:r w:rsidR="00DA4A88">
        <w:rPr>
          <w:sz w:val="22"/>
        </w:rPr>
        <w:t>s</w:t>
      </w:r>
      <w:r w:rsidR="00DA4A88" w:rsidRPr="00DA4A88">
        <w:rPr>
          <w:sz w:val="22"/>
        </w:rPr>
        <w:t xml:space="preserve"> private sector development.</w:t>
      </w:r>
      <w:r w:rsidR="00DA4A88">
        <w:rPr>
          <w:sz w:val="22"/>
        </w:rPr>
        <w:t xml:space="preserve"> At the same time, political instability deteriorates the rule of law, widens the opportunities for corrupt behaviour, renders local government administration less effective and holds local political elites less accountable, suggesting that institutional quality costs substantially outweigh the minor benefits thereof.</w:t>
      </w:r>
    </w:p>
    <w:p w14:paraId="030C5552" w14:textId="77777777" w:rsidR="00DA4A88" w:rsidRDefault="00DA4A88" w:rsidP="004D52AB">
      <w:pPr>
        <w:spacing w:after="0"/>
        <w:jc w:val="both"/>
        <w:rPr>
          <w:sz w:val="22"/>
        </w:rPr>
      </w:pPr>
    </w:p>
    <w:p w14:paraId="0B31D31B" w14:textId="77777777" w:rsidR="00DA4A88" w:rsidRDefault="00DA4A88" w:rsidP="004D52AB">
      <w:pPr>
        <w:spacing w:after="0"/>
        <w:jc w:val="both"/>
        <w:rPr>
          <w:sz w:val="22"/>
        </w:rPr>
      </w:pPr>
      <w:r>
        <w:rPr>
          <w:sz w:val="22"/>
        </w:rPr>
        <w:t>Our synthetic control estimates of the instability effect at the regional level indicate even more pervasive drop of in</w:t>
      </w:r>
      <w:r w:rsidR="009B0924">
        <w:rPr>
          <w:sz w:val="22"/>
        </w:rPr>
        <w:t>stitutional quality. Compared to a sample of 468 regions with a high degree of political stability, our evidence suggests that political instability tends to have a debilitating effect on institutional quality, resulting in widespread corruption, weaker rule of law, lower quality of regulation and substantially less effective functioning of government. Thus, the evidence lends no support to the thesis of institutional quality-enhancing effect of political instability. Compared to the synthetic control groups, the regional trajectories of institutional qualities tend to undergo an institutional breakdown with clear signs of permanent deterioration, which suggests that political instability may be a door opener to the rise of illiberal democracy. The estimated negative effects of political instability are robust to a variety of placebo checks where more than 12 billion placebo averages are computed for each outcome variable using random sampling method of treatment permutation.</w:t>
      </w:r>
    </w:p>
    <w:p w14:paraId="117C5BA6" w14:textId="77777777" w:rsidR="009B0924" w:rsidRDefault="009B0924" w:rsidP="004D52AB">
      <w:pPr>
        <w:spacing w:after="0"/>
        <w:jc w:val="both"/>
        <w:rPr>
          <w:sz w:val="22"/>
        </w:rPr>
      </w:pPr>
    </w:p>
    <w:p w14:paraId="6AD4B98C" w14:textId="77777777" w:rsidR="009B0924" w:rsidRDefault="009B0924" w:rsidP="004D52AB">
      <w:pPr>
        <w:spacing w:after="0"/>
        <w:jc w:val="both"/>
        <w:rPr>
          <w:sz w:val="22"/>
        </w:rPr>
      </w:pPr>
      <w:r>
        <w:rPr>
          <w:sz w:val="22"/>
        </w:rPr>
        <w:t xml:space="preserve">From a general perspective, our research contributes to the scholarly debate on the implications, causes and consequences of political instability by estimating the effects of instability at the subnational level using Bayesian analytical approach to measure institutional quality with random sampling sequences and posterior distributions. </w:t>
      </w:r>
      <w:r w:rsidR="009323CB">
        <w:rPr>
          <w:sz w:val="22"/>
        </w:rPr>
        <w:t xml:space="preserve">The advantage of our approach is that compared to cross-country analyses, many factors that affect institutional quality such as culture and historical differences can be held reasonably fixed in identifying the effect of instability. </w:t>
      </w:r>
      <w:r>
        <w:rPr>
          <w:sz w:val="22"/>
        </w:rPr>
        <w:t>More specifically, we show tha</w:t>
      </w:r>
      <w:r w:rsidR="009323CB">
        <w:rPr>
          <w:sz w:val="22"/>
        </w:rPr>
        <w:t>t political instability incurs a costly deterioration of institutional quality that does not seem to recover. Extending the proposed approach to other subnational contexts appears to be the first necessary step to tackle the external validity of our approach. Nevertheless, exploring the nexus between political instability and economic outcomes, labor market outcomes and human capital differences at the local levels comprises a fruitful area for future research.</w:t>
      </w:r>
    </w:p>
    <w:p w14:paraId="7DDF2109" w14:textId="77777777" w:rsidR="00DA4A88" w:rsidRDefault="00DA4A88" w:rsidP="004D52AB">
      <w:pPr>
        <w:spacing w:after="0"/>
        <w:jc w:val="both"/>
        <w:rPr>
          <w:sz w:val="22"/>
        </w:rPr>
      </w:pPr>
    </w:p>
    <w:p w14:paraId="74035186" w14:textId="77777777" w:rsidR="00DA4A88" w:rsidRPr="0071026C" w:rsidRDefault="0071026C" w:rsidP="004D52AB">
      <w:pPr>
        <w:spacing w:after="0"/>
        <w:jc w:val="both"/>
        <w:rPr>
          <w:b/>
          <w:sz w:val="22"/>
        </w:rPr>
      </w:pPr>
      <w:r w:rsidRPr="0071026C">
        <w:rPr>
          <w:b/>
          <w:sz w:val="22"/>
        </w:rPr>
        <w:t>References</w:t>
      </w:r>
    </w:p>
    <w:p w14:paraId="3E5B7A3D" w14:textId="77777777" w:rsidR="0071026C" w:rsidRDefault="0071026C" w:rsidP="004D52AB">
      <w:pPr>
        <w:spacing w:after="0"/>
        <w:jc w:val="both"/>
        <w:rPr>
          <w:sz w:val="22"/>
        </w:rPr>
      </w:pPr>
    </w:p>
    <w:p w14:paraId="566D5A0A" w14:textId="77777777" w:rsidR="00580F19" w:rsidRDefault="00580F19" w:rsidP="004D52AB">
      <w:pPr>
        <w:spacing w:after="0"/>
        <w:jc w:val="both"/>
        <w:rPr>
          <w:sz w:val="22"/>
        </w:rPr>
      </w:pPr>
      <w:r w:rsidRPr="00580F19">
        <w:rPr>
          <w:sz w:val="22"/>
        </w:rPr>
        <w:t xml:space="preserve">Abadie, A. (2021). Using synthetic controls: Feasibility, data requirements, and methodological aspects. </w:t>
      </w:r>
      <w:r w:rsidRPr="00580F19">
        <w:rPr>
          <w:i/>
          <w:sz w:val="22"/>
        </w:rPr>
        <w:t>Journal of Economic Literature</w:t>
      </w:r>
      <w:r w:rsidRPr="00580F19">
        <w:rPr>
          <w:sz w:val="22"/>
        </w:rPr>
        <w:t>, 59(2), 391-425.</w:t>
      </w:r>
    </w:p>
    <w:p w14:paraId="3C241058" w14:textId="77777777" w:rsidR="00580F19" w:rsidRDefault="00580F19" w:rsidP="004D52AB">
      <w:pPr>
        <w:spacing w:after="0"/>
        <w:jc w:val="both"/>
        <w:rPr>
          <w:sz w:val="22"/>
        </w:rPr>
      </w:pPr>
    </w:p>
    <w:p w14:paraId="4E93CA39" w14:textId="77777777" w:rsidR="005C0E1B" w:rsidRDefault="005C0E1B" w:rsidP="004D52AB">
      <w:pPr>
        <w:spacing w:after="0"/>
        <w:jc w:val="both"/>
        <w:rPr>
          <w:sz w:val="22"/>
        </w:rPr>
      </w:pPr>
      <w:r w:rsidRPr="005C0E1B">
        <w:rPr>
          <w:sz w:val="22"/>
        </w:rPr>
        <w:t>Abadie, A., &amp; Gardeazabal, J. (2003). The economic costs of conflict: A case study o</w:t>
      </w:r>
      <w:r>
        <w:rPr>
          <w:sz w:val="22"/>
        </w:rPr>
        <w:t xml:space="preserve">f the Basque Country. </w:t>
      </w:r>
      <w:r w:rsidRPr="005C0E1B">
        <w:rPr>
          <w:i/>
          <w:sz w:val="22"/>
        </w:rPr>
        <w:t>American Economic Review</w:t>
      </w:r>
      <w:r w:rsidRPr="005C0E1B">
        <w:rPr>
          <w:sz w:val="22"/>
        </w:rPr>
        <w:t>, 93(1), 113-132.</w:t>
      </w:r>
    </w:p>
    <w:p w14:paraId="16C1C6C6" w14:textId="77777777" w:rsidR="00C81585" w:rsidRDefault="00C81585" w:rsidP="004D52AB">
      <w:pPr>
        <w:spacing w:after="0"/>
        <w:jc w:val="both"/>
        <w:rPr>
          <w:sz w:val="22"/>
        </w:rPr>
      </w:pPr>
    </w:p>
    <w:p w14:paraId="22F35A25" w14:textId="77777777" w:rsidR="00580F19" w:rsidRDefault="00580F19" w:rsidP="004D52AB">
      <w:pPr>
        <w:spacing w:after="0"/>
        <w:jc w:val="both"/>
        <w:rPr>
          <w:sz w:val="22"/>
        </w:rPr>
      </w:pPr>
      <w:r w:rsidRPr="00580F19">
        <w:rPr>
          <w:sz w:val="22"/>
        </w:rPr>
        <w:t xml:space="preserve">Abadie, A., &amp; Imbens, G. W. (2006). Large sample properties of matching estimators </w:t>
      </w:r>
      <w:r>
        <w:rPr>
          <w:sz w:val="22"/>
        </w:rPr>
        <w:t xml:space="preserve">for average treatment effects. </w:t>
      </w:r>
      <w:r w:rsidRPr="00580F19">
        <w:rPr>
          <w:i/>
          <w:sz w:val="22"/>
        </w:rPr>
        <w:t>Econometrica</w:t>
      </w:r>
      <w:r w:rsidRPr="00580F19">
        <w:rPr>
          <w:sz w:val="22"/>
        </w:rPr>
        <w:t>, 74(1), 235-267.</w:t>
      </w:r>
    </w:p>
    <w:p w14:paraId="6CD60A77" w14:textId="77777777" w:rsidR="00460CB1" w:rsidRDefault="00460CB1" w:rsidP="004D52AB">
      <w:pPr>
        <w:spacing w:after="0"/>
        <w:jc w:val="both"/>
        <w:rPr>
          <w:sz w:val="22"/>
        </w:rPr>
      </w:pPr>
    </w:p>
    <w:p w14:paraId="6A5C6CF1" w14:textId="77777777" w:rsidR="00460CB1" w:rsidRDefault="00460CB1" w:rsidP="004D52AB">
      <w:pPr>
        <w:spacing w:after="0"/>
        <w:jc w:val="both"/>
        <w:rPr>
          <w:sz w:val="22"/>
        </w:rPr>
      </w:pPr>
      <w:r w:rsidRPr="00460CB1">
        <w:rPr>
          <w:sz w:val="22"/>
        </w:rPr>
        <w:t xml:space="preserve">Abadie, A., Diamond, A., &amp; Hainmueller, J. (2010). Synthetic control methods for comparative case studies: Estimating the effect of California’s tobacco control program. </w:t>
      </w:r>
      <w:r>
        <w:rPr>
          <w:i/>
          <w:sz w:val="22"/>
        </w:rPr>
        <w:t>Journal of the American S</w:t>
      </w:r>
      <w:r w:rsidRPr="00460CB1">
        <w:rPr>
          <w:i/>
          <w:sz w:val="22"/>
        </w:rPr>
        <w:t>tatistical Association</w:t>
      </w:r>
      <w:r w:rsidRPr="00460CB1">
        <w:rPr>
          <w:sz w:val="22"/>
        </w:rPr>
        <w:t>, 105(490), 493-505.</w:t>
      </w:r>
    </w:p>
    <w:p w14:paraId="76CC412C" w14:textId="77777777" w:rsidR="00580F19" w:rsidRDefault="00580F19" w:rsidP="004D52AB">
      <w:pPr>
        <w:spacing w:after="0"/>
        <w:jc w:val="both"/>
        <w:rPr>
          <w:sz w:val="22"/>
        </w:rPr>
      </w:pPr>
    </w:p>
    <w:p w14:paraId="14ED3D35" w14:textId="77777777" w:rsidR="005C0E1B" w:rsidRDefault="005C0E1B" w:rsidP="004D52AB">
      <w:pPr>
        <w:spacing w:after="0"/>
        <w:jc w:val="both"/>
        <w:rPr>
          <w:sz w:val="22"/>
        </w:rPr>
      </w:pPr>
      <w:r w:rsidRPr="005C0E1B">
        <w:rPr>
          <w:sz w:val="22"/>
        </w:rPr>
        <w:t xml:space="preserve">Abadie, A., Diamond, A., &amp; Hainmueller, J. (2015). Comparative politics and the synthetic control method. </w:t>
      </w:r>
      <w:r w:rsidRPr="005C0E1B">
        <w:rPr>
          <w:i/>
          <w:sz w:val="22"/>
        </w:rPr>
        <w:t>American Journal of Political Science</w:t>
      </w:r>
      <w:r w:rsidRPr="005C0E1B">
        <w:rPr>
          <w:sz w:val="22"/>
        </w:rPr>
        <w:t>, 59(2), 495-510.</w:t>
      </w:r>
    </w:p>
    <w:p w14:paraId="6C51D66B" w14:textId="77777777" w:rsidR="005C0E1B" w:rsidRDefault="005C0E1B" w:rsidP="004D52AB">
      <w:pPr>
        <w:spacing w:after="0"/>
        <w:jc w:val="both"/>
        <w:rPr>
          <w:sz w:val="22"/>
        </w:rPr>
      </w:pPr>
    </w:p>
    <w:p w14:paraId="1A9BC19B" w14:textId="77777777" w:rsidR="00C67003" w:rsidRDefault="00C67003" w:rsidP="004D52AB">
      <w:pPr>
        <w:spacing w:after="0"/>
        <w:jc w:val="both"/>
        <w:rPr>
          <w:sz w:val="22"/>
        </w:rPr>
      </w:pPr>
      <w:r w:rsidRPr="00C67003">
        <w:rPr>
          <w:sz w:val="22"/>
        </w:rPr>
        <w:t>Acemoglu, D., Johnson, S., &amp; Robinson, J. A. (2001). The colonial origins of comparative development: An emp</w:t>
      </w:r>
      <w:r>
        <w:rPr>
          <w:sz w:val="22"/>
        </w:rPr>
        <w:t xml:space="preserve">irical investigation. </w:t>
      </w:r>
      <w:r w:rsidRPr="00C67003">
        <w:rPr>
          <w:i/>
          <w:sz w:val="22"/>
        </w:rPr>
        <w:t>American Economic Review</w:t>
      </w:r>
      <w:r w:rsidRPr="00C67003">
        <w:rPr>
          <w:sz w:val="22"/>
        </w:rPr>
        <w:t>, 91(5), 1369-1401.</w:t>
      </w:r>
    </w:p>
    <w:p w14:paraId="645F1F2A" w14:textId="77777777" w:rsidR="00580F19" w:rsidRDefault="00580F19" w:rsidP="004D52AB">
      <w:pPr>
        <w:spacing w:after="0"/>
        <w:jc w:val="both"/>
        <w:rPr>
          <w:sz w:val="22"/>
        </w:rPr>
      </w:pPr>
    </w:p>
    <w:p w14:paraId="303B6F84" w14:textId="77777777" w:rsidR="00C67003" w:rsidRDefault="00C67003" w:rsidP="004D52AB">
      <w:pPr>
        <w:spacing w:after="0"/>
        <w:jc w:val="both"/>
        <w:rPr>
          <w:sz w:val="22"/>
        </w:rPr>
      </w:pPr>
      <w:r w:rsidRPr="00C67003">
        <w:rPr>
          <w:sz w:val="22"/>
        </w:rPr>
        <w:t>Acemoglu, D., Johnson, S., &amp; Robinson, J. A. (2002). Reversal of fortune: Geography and institutions in the making of the modern world inco</w:t>
      </w:r>
      <w:r>
        <w:rPr>
          <w:sz w:val="22"/>
        </w:rPr>
        <w:t xml:space="preserve">me distribution. </w:t>
      </w:r>
      <w:r w:rsidRPr="00C67003">
        <w:rPr>
          <w:i/>
          <w:sz w:val="22"/>
        </w:rPr>
        <w:t>The Quarterly Journal of Economics</w:t>
      </w:r>
      <w:r w:rsidRPr="00C67003">
        <w:rPr>
          <w:sz w:val="22"/>
        </w:rPr>
        <w:t>, 117(4), 1231-1294.</w:t>
      </w:r>
    </w:p>
    <w:p w14:paraId="7331EBF3" w14:textId="77777777" w:rsidR="00C81585" w:rsidRDefault="00C81585" w:rsidP="004D52AB">
      <w:pPr>
        <w:spacing w:after="0"/>
        <w:jc w:val="both"/>
        <w:rPr>
          <w:sz w:val="22"/>
        </w:rPr>
      </w:pPr>
    </w:p>
    <w:p w14:paraId="5D35B0AD" w14:textId="77777777" w:rsidR="00C81585" w:rsidRDefault="00C81585" w:rsidP="004D52AB">
      <w:pPr>
        <w:spacing w:after="0"/>
        <w:jc w:val="both"/>
        <w:rPr>
          <w:sz w:val="22"/>
        </w:rPr>
      </w:pPr>
      <w:r w:rsidRPr="00C81585">
        <w:rPr>
          <w:sz w:val="22"/>
        </w:rPr>
        <w:t xml:space="preserve">Acemoglu, D., Johnson, S., Kermani, A., Kwak, J., &amp; Mitton, T. (2016). The value of connections in turbulent times: Evidence from the United States. </w:t>
      </w:r>
      <w:r w:rsidRPr="00C81585">
        <w:rPr>
          <w:i/>
          <w:sz w:val="22"/>
        </w:rPr>
        <w:t>Journal of Financial Economics</w:t>
      </w:r>
      <w:r w:rsidRPr="00C81585">
        <w:rPr>
          <w:sz w:val="22"/>
        </w:rPr>
        <w:t>, 121(2), 368-391.</w:t>
      </w:r>
    </w:p>
    <w:p w14:paraId="6FC7D029" w14:textId="77777777" w:rsidR="00C67003" w:rsidRDefault="00C67003" w:rsidP="004D52AB">
      <w:pPr>
        <w:spacing w:after="0"/>
        <w:jc w:val="both"/>
        <w:rPr>
          <w:sz w:val="22"/>
        </w:rPr>
      </w:pPr>
    </w:p>
    <w:p w14:paraId="5F89A3A3" w14:textId="77777777" w:rsidR="00F76FF3" w:rsidRDefault="00F76FF3" w:rsidP="004D52AB">
      <w:pPr>
        <w:spacing w:after="0"/>
        <w:jc w:val="both"/>
        <w:rPr>
          <w:sz w:val="22"/>
        </w:rPr>
      </w:pPr>
      <w:r w:rsidRPr="00F76FF3">
        <w:rPr>
          <w:sz w:val="22"/>
        </w:rPr>
        <w:t xml:space="preserve">Ades, A., &amp; Chua, H. B. (1997). Thy neighbor's curse: regional instability and economic growth. </w:t>
      </w:r>
      <w:r w:rsidRPr="00D02F2D">
        <w:rPr>
          <w:i/>
          <w:sz w:val="22"/>
        </w:rPr>
        <w:t>Journal of Economic Growth</w:t>
      </w:r>
      <w:r w:rsidRPr="00F76FF3">
        <w:rPr>
          <w:sz w:val="22"/>
        </w:rPr>
        <w:t>, 2(3), 279-304.</w:t>
      </w:r>
    </w:p>
    <w:p w14:paraId="3E579009" w14:textId="77777777" w:rsidR="00A273F9" w:rsidRDefault="00A273F9" w:rsidP="004D52AB">
      <w:pPr>
        <w:spacing w:after="0"/>
        <w:jc w:val="both"/>
        <w:rPr>
          <w:sz w:val="22"/>
        </w:rPr>
      </w:pPr>
    </w:p>
    <w:p w14:paraId="403D91B8" w14:textId="77777777" w:rsidR="00A273F9" w:rsidRDefault="00A273F9" w:rsidP="004D52AB">
      <w:pPr>
        <w:spacing w:after="0"/>
        <w:jc w:val="both"/>
        <w:rPr>
          <w:sz w:val="22"/>
        </w:rPr>
      </w:pPr>
      <w:r w:rsidRPr="00A273F9">
        <w:rPr>
          <w:sz w:val="22"/>
        </w:rPr>
        <w:t xml:space="preserve">Aisen, A., &amp; Veiga, F. J. (2006). Does political instability lead to higher inflation? A panel data analysis. </w:t>
      </w:r>
      <w:r w:rsidRPr="00A273F9">
        <w:rPr>
          <w:i/>
          <w:sz w:val="22"/>
        </w:rPr>
        <w:t>Journal of Money, Credit and Banking</w:t>
      </w:r>
      <w:r w:rsidRPr="00A273F9">
        <w:rPr>
          <w:sz w:val="22"/>
        </w:rPr>
        <w:t>, 1379-1389.</w:t>
      </w:r>
    </w:p>
    <w:p w14:paraId="150C21A1" w14:textId="77777777" w:rsidR="00A273F9" w:rsidRDefault="00A273F9" w:rsidP="004D52AB">
      <w:pPr>
        <w:spacing w:after="0"/>
        <w:jc w:val="both"/>
        <w:rPr>
          <w:sz w:val="22"/>
        </w:rPr>
      </w:pPr>
    </w:p>
    <w:p w14:paraId="0D72D28A" w14:textId="77777777" w:rsidR="00A273F9" w:rsidRDefault="00A273F9" w:rsidP="004D52AB">
      <w:pPr>
        <w:spacing w:after="0"/>
        <w:jc w:val="both"/>
        <w:rPr>
          <w:sz w:val="22"/>
        </w:rPr>
      </w:pPr>
      <w:r w:rsidRPr="00A273F9">
        <w:rPr>
          <w:sz w:val="22"/>
        </w:rPr>
        <w:t>Aisen, A., &amp; Veiga, F. J. (2008). Political instability an</w:t>
      </w:r>
      <w:r>
        <w:rPr>
          <w:sz w:val="22"/>
        </w:rPr>
        <w:t xml:space="preserve">d inflation volatility. </w:t>
      </w:r>
      <w:r w:rsidRPr="00A273F9">
        <w:rPr>
          <w:i/>
          <w:sz w:val="22"/>
        </w:rPr>
        <w:t>Public Choice</w:t>
      </w:r>
      <w:r w:rsidRPr="00A273F9">
        <w:rPr>
          <w:sz w:val="22"/>
        </w:rPr>
        <w:t>, 135(3), 207-223.</w:t>
      </w:r>
    </w:p>
    <w:p w14:paraId="0903C2B1" w14:textId="77777777" w:rsidR="00C67003" w:rsidRDefault="00C67003" w:rsidP="004D52AB">
      <w:pPr>
        <w:spacing w:after="0"/>
        <w:jc w:val="both"/>
        <w:rPr>
          <w:sz w:val="22"/>
        </w:rPr>
      </w:pPr>
    </w:p>
    <w:p w14:paraId="7050A982" w14:textId="77777777" w:rsidR="00D02F2D" w:rsidRDefault="00D02F2D" w:rsidP="004D52AB">
      <w:pPr>
        <w:spacing w:after="0"/>
        <w:jc w:val="both"/>
        <w:rPr>
          <w:sz w:val="22"/>
        </w:rPr>
      </w:pPr>
      <w:r w:rsidRPr="00D02F2D">
        <w:rPr>
          <w:sz w:val="22"/>
        </w:rPr>
        <w:t>Aisen, A., &amp; Veiga, F. J. (2013). How does political insta</w:t>
      </w:r>
      <w:r>
        <w:rPr>
          <w:sz w:val="22"/>
        </w:rPr>
        <w:t xml:space="preserve">bility affect economic growth? </w:t>
      </w:r>
      <w:r w:rsidRPr="00D02F2D">
        <w:rPr>
          <w:i/>
          <w:sz w:val="22"/>
        </w:rPr>
        <w:t>European Journal of Political Economy</w:t>
      </w:r>
      <w:r w:rsidRPr="00D02F2D">
        <w:rPr>
          <w:sz w:val="22"/>
        </w:rPr>
        <w:t>, 29, 151-167.</w:t>
      </w:r>
    </w:p>
    <w:p w14:paraId="6183DCAE" w14:textId="77777777" w:rsidR="00A273F9" w:rsidRDefault="00A273F9" w:rsidP="004D52AB">
      <w:pPr>
        <w:spacing w:after="0"/>
        <w:jc w:val="both"/>
        <w:rPr>
          <w:sz w:val="22"/>
        </w:rPr>
      </w:pPr>
    </w:p>
    <w:p w14:paraId="1AB5F42D" w14:textId="77777777" w:rsidR="00A273F9" w:rsidRDefault="00A273F9" w:rsidP="004D52AB">
      <w:pPr>
        <w:spacing w:after="0"/>
        <w:jc w:val="both"/>
        <w:rPr>
          <w:sz w:val="22"/>
        </w:rPr>
      </w:pPr>
      <w:r w:rsidRPr="00A273F9">
        <w:rPr>
          <w:sz w:val="22"/>
        </w:rPr>
        <w:t>Alberola, E., &amp; Urrutia, C. (2020). Does informality f</w:t>
      </w:r>
      <w:r>
        <w:rPr>
          <w:sz w:val="22"/>
        </w:rPr>
        <w:t xml:space="preserve">acilitate inflation stability? </w:t>
      </w:r>
      <w:r w:rsidRPr="00A273F9">
        <w:rPr>
          <w:i/>
          <w:sz w:val="22"/>
        </w:rPr>
        <w:t>Journal of Development Economics</w:t>
      </w:r>
      <w:r w:rsidRPr="00A273F9">
        <w:rPr>
          <w:sz w:val="22"/>
        </w:rPr>
        <w:t>, 146, 102505.</w:t>
      </w:r>
    </w:p>
    <w:p w14:paraId="51652A94" w14:textId="77777777" w:rsidR="00D02F2D" w:rsidRDefault="00D02F2D" w:rsidP="004D52AB">
      <w:pPr>
        <w:spacing w:after="0"/>
        <w:jc w:val="both"/>
        <w:rPr>
          <w:sz w:val="22"/>
        </w:rPr>
      </w:pPr>
    </w:p>
    <w:p w14:paraId="311F4D81" w14:textId="77777777" w:rsidR="00F76FF3" w:rsidRDefault="00F76FF3" w:rsidP="004D52AB">
      <w:pPr>
        <w:spacing w:after="0"/>
        <w:jc w:val="both"/>
        <w:rPr>
          <w:sz w:val="22"/>
        </w:rPr>
      </w:pPr>
      <w:r w:rsidRPr="00F76FF3">
        <w:rPr>
          <w:sz w:val="22"/>
        </w:rPr>
        <w:t>Alesina, A., Özler, S., Roubini, N., &amp; Swagel, P. (1996). Political instability and econom</w:t>
      </w:r>
      <w:r>
        <w:rPr>
          <w:sz w:val="22"/>
        </w:rPr>
        <w:t xml:space="preserve">ic growth. </w:t>
      </w:r>
      <w:r w:rsidRPr="00F76FF3">
        <w:rPr>
          <w:i/>
          <w:sz w:val="22"/>
        </w:rPr>
        <w:t>Journal of Economic Growth</w:t>
      </w:r>
      <w:r w:rsidRPr="00F76FF3">
        <w:rPr>
          <w:sz w:val="22"/>
        </w:rPr>
        <w:t>, 1(2), 189-211.</w:t>
      </w:r>
    </w:p>
    <w:p w14:paraId="18ED0A42" w14:textId="77777777" w:rsidR="00A478E6" w:rsidRDefault="00A478E6" w:rsidP="004D52AB">
      <w:pPr>
        <w:spacing w:after="0"/>
        <w:jc w:val="both"/>
        <w:rPr>
          <w:sz w:val="22"/>
        </w:rPr>
      </w:pPr>
    </w:p>
    <w:p w14:paraId="58AF48E3" w14:textId="77777777" w:rsidR="00A478E6" w:rsidRDefault="00A478E6" w:rsidP="004D52AB">
      <w:pPr>
        <w:spacing w:after="0"/>
        <w:jc w:val="both"/>
        <w:rPr>
          <w:sz w:val="22"/>
        </w:rPr>
      </w:pPr>
      <w:r w:rsidRPr="00A478E6">
        <w:rPr>
          <w:sz w:val="22"/>
        </w:rPr>
        <w:t xml:space="preserve">Alesina, A., &amp; Tabellini, G. (1989). External debt, capital flight </w:t>
      </w:r>
      <w:r>
        <w:rPr>
          <w:sz w:val="22"/>
        </w:rPr>
        <w:t xml:space="preserve">and political risk. </w:t>
      </w:r>
      <w:r w:rsidRPr="00A478E6">
        <w:rPr>
          <w:i/>
          <w:sz w:val="22"/>
        </w:rPr>
        <w:t>Journal of International Economics</w:t>
      </w:r>
      <w:r w:rsidRPr="00A478E6">
        <w:rPr>
          <w:sz w:val="22"/>
        </w:rPr>
        <w:t>, 27(3-4), 199-220.</w:t>
      </w:r>
    </w:p>
    <w:p w14:paraId="578C0E2C" w14:textId="77777777" w:rsidR="00A478E6" w:rsidRDefault="00A478E6" w:rsidP="004D52AB">
      <w:pPr>
        <w:spacing w:after="0"/>
        <w:jc w:val="both"/>
        <w:rPr>
          <w:sz w:val="22"/>
        </w:rPr>
      </w:pPr>
    </w:p>
    <w:p w14:paraId="3308826E" w14:textId="77777777" w:rsidR="00A478E6" w:rsidRDefault="00A478E6" w:rsidP="004D52AB">
      <w:pPr>
        <w:spacing w:after="0"/>
        <w:jc w:val="both"/>
        <w:rPr>
          <w:sz w:val="22"/>
        </w:rPr>
      </w:pPr>
      <w:r w:rsidRPr="00A478E6">
        <w:rPr>
          <w:sz w:val="22"/>
        </w:rPr>
        <w:t>Alesina, A., &amp; Perotti, R. (1996). Income distribution, political instabi</w:t>
      </w:r>
      <w:r>
        <w:rPr>
          <w:sz w:val="22"/>
        </w:rPr>
        <w:t xml:space="preserve">lity, and investment. </w:t>
      </w:r>
      <w:r w:rsidRPr="00A478E6">
        <w:rPr>
          <w:i/>
          <w:sz w:val="22"/>
        </w:rPr>
        <w:t>European Economic Review</w:t>
      </w:r>
      <w:r w:rsidRPr="00A478E6">
        <w:rPr>
          <w:sz w:val="22"/>
        </w:rPr>
        <w:t>, 40(6), 1203-1228.</w:t>
      </w:r>
    </w:p>
    <w:p w14:paraId="688084A2" w14:textId="77777777" w:rsidR="00D02F2D" w:rsidRDefault="00D02F2D" w:rsidP="004D52AB">
      <w:pPr>
        <w:spacing w:after="0"/>
        <w:jc w:val="both"/>
        <w:rPr>
          <w:sz w:val="22"/>
        </w:rPr>
      </w:pPr>
    </w:p>
    <w:p w14:paraId="256D306A" w14:textId="77777777" w:rsidR="00D02F2D" w:rsidRDefault="00D02F2D" w:rsidP="004D52AB">
      <w:pPr>
        <w:spacing w:after="0"/>
        <w:jc w:val="both"/>
        <w:rPr>
          <w:sz w:val="22"/>
        </w:rPr>
      </w:pPr>
      <w:r w:rsidRPr="00D02F2D">
        <w:rPr>
          <w:sz w:val="22"/>
        </w:rPr>
        <w:t xml:space="preserve">Asteriou, D., &amp; Price, S. (2001). Political instability and economic growth: UK time series evidence. </w:t>
      </w:r>
      <w:r w:rsidRPr="00D02F2D">
        <w:rPr>
          <w:i/>
          <w:sz w:val="22"/>
        </w:rPr>
        <w:t>Scottish Journal of Political Economy</w:t>
      </w:r>
      <w:r w:rsidRPr="00D02F2D">
        <w:rPr>
          <w:sz w:val="22"/>
        </w:rPr>
        <w:t>, 48(4), 383-399.</w:t>
      </w:r>
    </w:p>
    <w:p w14:paraId="68E72C1F" w14:textId="77777777" w:rsidR="00A273F9" w:rsidRDefault="00A273F9" w:rsidP="004D52AB">
      <w:pPr>
        <w:spacing w:after="0"/>
        <w:jc w:val="both"/>
        <w:rPr>
          <w:sz w:val="22"/>
        </w:rPr>
      </w:pPr>
    </w:p>
    <w:p w14:paraId="07948465" w14:textId="77777777" w:rsidR="00A273F9" w:rsidRDefault="00A273F9" w:rsidP="004D52AB">
      <w:pPr>
        <w:spacing w:after="0"/>
        <w:jc w:val="both"/>
        <w:rPr>
          <w:sz w:val="22"/>
        </w:rPr>
      </w:pPr>
      <w:r w:rsidRPr="00A273F9">
        <w:rPr>
          <w:sz w:val="22"/>
        </w:rPr>
        <w:t xml:space="preserve">Azzimonti, M. (2011). Barriers to investment in polarized societies. </w:t>
      </w:r>
      <w:r w:rsidRPr="00A273F9">
        <w:rPr>
          <w:i/>
          <w:sz w:val="22"/>
        </w:rPr>
        <w:t>American Economic Review</w:t>
      </w:r>
      <w:r w:rsidRPr="00A273F9">
        <w:rPr>
          <w:sz w:val="22"/>
        </w:rPr>
        <w:t>, 101(5), 2182-2204.</w:t>
      </w:r>
    </w:p>
    <w:p w14:paraId="67A7D614" w14:textId="77777777" w:rsidR="00F76FF3" w:rsidRDefault="00F76FF3" w:rsidP="004D52AB">
      <w:pPr>
        <w:spacing w:after="0"/>
        <w:jc w:val="both"/>
        <w:rPr>
          <w:sz w:val="22"/>
        </w:rPr>
      </w:pPr>
    </w:p>
    <w:p w14:paraId="2CCCB0BB" w14:textId="77777777" w:rsidR="0071026C" w:rsidRDefault="00F76FF3" w:rsidP="004D52AB">
      <w:pPr>
        <w:spacing w:after="0"/>
        <w:jc w:val="both"/>
        <w:rPr>
          <w:sz w:val="22"/>
        </w:rPr>
      </w:pPr>
      <w:r w:rsidRPr="00F76FF3">
        <w:rPr>
          <w:sz w:val="22"/>
        </w:rPr>
        <w:t xml:space="preserve">Barro, R. J. (1991). Economic growth in a cross section of countries. </w:t>
      </w:r>
      <w:r w:rsidRPr="00F76FF3">
        <w:rPr>
          <w:i/>
          <w:sz w:val="22"/>
        </w:rPr>
        <w:t>The Quarterly Journal of Economics</w:t>
      </w:r>
      <w:r w:rsidRPr="00F76FF3">
        <w:rPr>
          <w:sz w:val="22"/>
        </w:rPr>
        <w:t>, 106(2), 407-443.</w:t>
      </w:r>
    </w:p>
    <w:p w14:paraId="43A4CC40" w14:textId="77777777" w:rsidR="005C0E1B" w:rsidRDefault="005C0E1B" w:rsidP="004D52AB">
      <w:pPr>
        <w:spacing w:after="0"/>
        <w:jc w:val="both"/>
        <w:rPr>
          <w:sz w:val="22"/>
        </w:rPr>
      </w:pPr>
    </w:p>
    <w:p w14:paraId="243C96AF" w14:textId="77777777" w:rsidR="005C0E1B" w:rsidRDefault="005C0E1B" w:rsidP="004D52AB">
      <w:pPr>
        <w:spacing w:after="0"/>
        <w:jc w:val="both"/>
        <w:rPr>
          <w:sz w:val="22"/>
        </w:rPr>
      </w:pPr>
      <w:r w:rsidRPr="005C0E1B">
        <w:rPr>
          <w:sz w:val="22"/>
        </w:rPr>
        <w:t xml:space="preserve">Beck, H. E., Zimmermann, N. E., McVicar, T. R., Vergopolan, N., Berg, A., &amp; Wood, E. F. (2018). Present and future Köppen-Geiger climate classification maps at 1-km resolution. </w:t>
      </w:r>
      <w:r>
        <w:rPr>
          <w:i/>
          <w:sz w:val="22"/>
        </w:rPr>
        <w:t>Scientific D</w:t>
      </w:r>
      <w:r w:rsidRPr="005C0E1B">
        <w:rPr>
          <w:i/>
          <w:sz w:val="22"/>
        </w:rPr>
        <w:t>ata</w:t>
      </w:r>
      <w:r w:rsidRPr="005C0E1B">
        <w:rPr>
          <w:sz w:val="22"/>
        </w:rPr>
        <w:t>, 5(1), 1-12.</w:t>
      </w:r>
    </w:p>
    <w:p w14:paraId="436D6C79" w14:textId="77777777" w:rsidR="00075387" w:rsidRDefault="00075387" w:rsidP="004D52AB">
      <w:pPr>
        <w:spacing w:after="0"/>
        <w:jc w:val="both"/>
        <w:rPr>
          <w:sz w:val="22"/>
        </w:rPr>
      </w:pPr>
    </w:p>
    <w:p w14:paraId="57E740F0" w14:textId="77777777" w:rsidR="00075387" w:rsidRDefault="00075387" w:rsidP="004D52AB">
      <w:pPr>
        <w:spacing w:after="0"/>
        <w:jc w:val="both"/>
        <w:rPr>
          <w:sz w:val="22"/>
        </w:rPr>
      </w:pPr>
      <w:r w:rsidRPr="00075387">
        <w:rPr>
          <w:sz w:val="22"/>
        </w:rPr>
        <w:t xml:space="preserve">Benhabib, J., &amp; Spiegel, M. M. (1994). The role of human capital in economic development evidence from aggregate cross-country data. </w:t>
      </w:r>
      <w:r>
        <w:rPr>
          <w:i/>
          <w:sz w:val="22"/>
        </w:rPr>
        <w:t>Journal of Monetary E</w:t>
      </w:r>
      <w:r w:rsidRPr="00075387">
        <w:rPr>
          <w:i/>
          <w:sz w:val="22"/>
        </w:rPr>
        <w:t>conomics</w:t>
      </w:r>
      <w:r w:rsidRPr="00075387">
        <w:rPr>
          <w:sz w:val="22"/>
        </w:rPr>
        <w:t>, 34(2), 143-173.</w:t>
      </w:r>
    </w:p>
    <w:p w14:paraId="5DB30F01" w14:textId="77777777" w:rsidR="00A478E6" w:rsidRDefault="00A478E6" w:rsidP="004D52AB">
      <w:pPr>
        <w:spacing w:after="0"/>
        <w:jc w:val="both"/>
        <w:rPr>
          <w:sz w:val="22"/>
        </w:rPr>
      </w:pPr>
    </w:p>
    <w:p w14:paraId="39536EB5" w14:textId="77777777" w:rsidR="00580F19" w:rsidRDefault="00580F19" w:rsidP="004D52AB">
      <w:pPr>
        <w:spacing w:after="0"/>
        <w:jc w:val="both"/>
        <w:rPr>
          <w:sz w:val="22"/>
        </w:rPr>
      </w:pPr>
      <w:r w:rsidRPr="00580F19">
        <w:rPr>
          <w:sz w:val="22"/>
        </w:rPr>
        <w:t xml:space="preserve">Ben-Michael, E., Feller, A., &amp; Rothstein, J. (2021). The augmented synthetic control method. </w:t>
      </w:r>
      <w:r w:rsidRPr="00580F19">
        <w:rPr>
          <w:i/>
          <w:sz w:val="22"/>
        </w:rPr>
        <w:t>Journal of the American Statistical Association</w:t>
      </w:r>
      <w:r w:rsidRPr="00580F19">
        <w:rPr>
          <w:sz w:val="22"/>
        </w:rPr>
        <w:t>, 116(536), 1789-1803.</w:t>
      </w:r>
    </w:p>
    <w:p w14:paraId="50CAEB52" w14:textId="77777777" w:rsidR="00580F19" w:rsidRDefault="00580F19" w:rsidP="004D52AB">
      <w:pPr>
        <w:spacing w:after="0"/>
        <w:jc w:val="both"/>
        <w:rPr>
          <w:sz w:val="22"/>
        </w:rPr>
      </w:pPr>
    </w:p>
    <w:p w14:paraId="13B29344" w14:textId="77777777" w:rsidR="00A478E6" w:rsidRDefault="00A478E6" w:rsidP="004D52AB">
      <w:pPr>
        <w:spacing w:after="0"/>
        <w:jc w:val="both"/>
        <w:rPr>
          <w:sz w:val="22"/>
        </w:rPr>
      </w:pPr>
      <w:r w:rsidRPr="00A478E6">
        <w:rPr>
          <w:sz w:val="22"/>
        </w:rPr>
        <w:lastRenderedPageBreak/>
        <w:t xml:space="preserve">Berggren, N., Bergh, A., &amp; Bjørnskov, C. (2012). The growth effects of institutional instability. </w:t>
      </w:r>
      <w:r w:rsidRPr="00A478E6">
        <w:rPr>
          <w:i/>
          <w:sz w:val="22"/>
        </w:rPr>
        <w:t>Journal of Institutional Economics</w:t>
      </w:r>
      <w:r w:rsidRPr="00A478E6">
        <w:rPr>
          <w:sz w:val="22"/>
        </w:rPr>
        <w:t>, 8(2), 187-224.</w:t>
      </w:r>
    </w:p>
    <w:p w14:paraId="44C84F73" w14:textId="77777777" w:rsidR="00580F19" w:rsidRDefault="00580F19" w:rsidP="004D52AB">
      <w:pPr>
        <w:spacing w:after="0"/>
        <w:jc w:val="both"/>
        <w:rPr>
          <w:sz w:val="22"/>
        </w:rPr>
      </w:pPr>
    </w:p>
    <w:p w14:paraId="539CCE03" w14:textId="77777777" w:rsidR="00580F19" w:rsidRDefault="00580F19" w:rsidP="004D52AB">
      <w:pPr>
        <w:spacing w:after="0"/>
        <w:jc w:val="both"/>
        <w:rPr>
          <w:sz w:val="22"/>
        </w:rPr>
      </w:pPr>
      <w:r w:rsidRPr="00580F19">
        <w:rPr>
          <w:sz w:val="22"/>
        </w:rPr>
        <w:t xml:space="preserve">Billmeier, A., &amp; Nannicini, T. (2013). Assessing economic liberalization episodes: A synthetic control approach. </w:t>
      </w:r>
      <w:r w:rsidRPr="00580F19">
        <w:rPr>
          <w:i/>
          <w:sz w:val="22"/>
        </w:rPr>
        <w:t>Review of Economics and Statistics</w:t>
      </w:r>
      <w:r w:rsidRPr="00580F19">
        <w:rPr>
          <w:sz w:val="22"/>
        </w:rPr>
        <w:t>, 95(3), 983-1001.</w:t>
      </w:r>
    </w:p>
    <w:p w14:paraId="41981DC2" w14:textId="77777777" w:rsidR="00D02F2D" w:rsidRDefault="00D02F2D" w:rsidP="004D52AB">
      <w:pPr>
        <w:spacing w:after="0"/>
        <w:jc w:val="both"/>
        <w:rPr>
          <w:sz w:val="22"/>
        </w:rPr>
      </w:pPr>
    </w:p>
    <w:p w14:paraId="03BA7F0F" w14:textId="77777777" w:rsidR="00D02F2D" w:rsidRDefault="00D02F2D" w:rsidP="004D52AB">
      <w:pPr>
        <w:spacing w:after="0"/>
        <w:jc w:val="both"/>
        <w:rPr>
          <w:sz w:val="22"/>
        </w:rPr>
      </w:pPr>
      <w:r w:rsidRPr="003B1494">
        <w:rPr>
          <w:sz w:val="22"/>
          <w:lang w:val="fr-FR"/>
        </w:rPr>
        <w:t xml:space="preserve">Campos, N. F., Karanasos, M. G., &amp; Tan, B. (2012). </w:t>
      </w:r>
      <w:r w:rsidRPr="00D02F2D">
        <w:rPr>
          <w:sz w:val="22"/>
        </w:rPr>
        <w:t xml:space="preserve">Two to tangle: Financial development, political </w:t>
      </w:r>
      <w:proofErr w:type="gramStart"/>
      <w:r w:rsidRPr="00D02F2D">
        <w:rPr>
          <w:sz w:val="22"/>
        </w:rPr>
        <w:t>instability</w:t>
      </w:r>
      <w:proofErr w:type="gramEnd"/>
      <w:r w:rsidRPr="00D02F2D">
        <w:rPr>
          <w:sz w:val="22"/>
        </w:rPr>
        <w:t xml:space="preserve"> and economic growth in Argentina. </w:t>
      </w:r>
      <w:r w:rsidRPr="00D02F2D">
        <w:rPr>
          <w:i/>
          <w:sz w:val="22"/>
        </w:rPr>
        <w:t>Journal of Banking &amp; Finance</w:t>
      </w:r>
      <w:r w:rsidRPr="00D02F2D">
        <w:rPr>
          <w:sz w:val="22"/>
        </w:rPr>
        <w:t>, 36(1), 290-304.</w:t>
      </w:r>
    </w:p>
    <w:p w14:paraId="24A9254A" w14:textId="77777777" w:rsidR="00075387" w:rsidRDefault="00075387" w:rsidP="004D52AB">
      <w:pPr>
        <w:spacing w:after="0"/>
        <w:jc w:val="both"/>
        <w:rPr>
          <w:sz w:val="22"/>
        </w:rPr>
      </w:pPr>
    </w:p>
    <w:p w14:paraId="08083C43" w14:textId="77777777" w:rsidR="00075387" w:rsidRDefault="00075387" w:rsidP="004D52AB">
      <w:pPr>
        <w:spacing w:after="0"/>
        <w:jc w:val="both"/>
        <w:rPr>
          <w:sz w:val="22"/>
        </w:rPr>
      </w:pPr>
      <w:r w:rsidRPr="00075387">
        <w:rPr>
          <w:sz w:val="22"/>
        </w:rPr>
        <w:t xml:space="preserve">Caporale, T., &amp; Leirer, J. (2010). Take the money and run: Political turnover, rent-seeking and economic growth. </w:t>
      </w:r>
      <w:r w:rsidRPr="00075387">
        <w:rPr>
          <w:i/>
          <w:sz w:val="22"/>
        </w:rPr>
        <w:t>Journal of Economic Behavior &amp; Organization</w:t>
      </w:r>
      <w:r w:rsidRPr="00075387">
        <w:rPr>
          <w:sz w:val="22"/>
        </w:rPr>
        <w:t>, 76(2), 406-412.</w:t>
      </w:r>
    </w:p>
    <w:p w14:paraId="3EFC888B" w14:textId="77777777" w:rsidR="00D02F2D" w:rsidRDefault="00D02F2D" w:rsidP="004D52AB">
      <w:pPr>
        <w:spacing w:after="0"/>
        <w:jc w:val="both"/>
        <w:rPr>
          <w:sz w:val="22"/>
        </w:rPr>
      </w:pPr>
    </w:p>
    <w:p w14:paraId="790F0ACB" w14:textId="77777777" w:rsidR="00D02F2D" w:rsidRDefault="00D02F2D" w:rsidP="004D52AB">
      <w:pPr>
        <w:spacing w:after="0"/>
        <w:jc w:val="both"/>
        <w:rPr>
          <w:sz w:val="22"/>
        </w:rPr>
      </w:pPr>
      <w:r w:rsidRPr="00D02F2D">
        <w:rPr>
          <w:sz w:val="22"/>
        </w:rPr>
        <w:t xml:space="preserve">Carmignani, F. (2003). Political instability, </w:t>
      </w:r>
      <w:proofErr w:type="gramStart"/>
      <w:r w:rsidRPr="00D02F2D">
        <w:rPr>
          <w:sz w:val="22"/>
        </w:rPr>
        <w:t>uncertainty</w:t>
      </w:r>
      <w:proofErr w:type="gramEnd"/>
      <w:r w:rsidRPr="00D02F2D">
        <w:rPr>
          <w:sz w:val="22"/>
        </w:rPr>
        <w:t xml:space="preserve"> and economics. </w:t>
      </w:r>
      <w:r w:rsidRPr="00D02F2D">
        <w:rPr>
          <w:i/>
          <w:sz w:val="22"/>
        </w:rPr>
        <w:t>Journal of Economic Surveys</w:t>
      </w:r>
      <w:r w:rsidRPr="00D02F2D">
        <w:rPr>
          <w:sz w:val="22"/>
        </w:rPr>
        <w:t>, 17(1), 1-54.</w:t>
      </w:r>
    </w:p>
    <w:p w14:paraId="511E06D4" w14:textId="77777777" w:rsidR="00580F19" w:rsidRDefault="00580F19" w:rsidP="004D52AB">
      <w:pPr>
        <w:spacing w:after="0"/>
        <w:jc w:val="both"/>
        <w:rPr>
          <w:sz w:val="22"/>
        </w:rPr>
      </w:pPr>
    </w:p>
    <w:p w14:paraId="07F8E13D" w14:textId="77777777" w:rsidR="00580F19" w:rsidRDefault="00580F19" w:rsidP="004D52AB">
      <w:pPr>
        <w:spacing w:after="0"/>
        <w:jc w:val="both"/>
        <w:rPr>
          <w:sz w:val="22"/>
        </w:rPr>
      </w:pPr>
      <w:r w:rsidRPr="00580F19">
        <w:rPr>
          <w:sz w:val="22"/>
        </w:rPr>
        <w:t xml:space="preserve">Cattaneo, M. D., Feng, Y., &amp; Titiunik, R. (2021). Prediction intervals for synthetic control methods. </w:t>
      </w:r>
      <w:r w:rsidRPr="00C81585">
        <w:rPr>
          <w:i/>
          <w:sz w:val="22"/>
        </w:rPr>
        <w:t>Journal of the American Statistical Association</w:t>
      </w:r>
      <w:r w:rsidRPr="00580F19">
        <w:rPr>
          <w:sz w:val="22"/>
        </w:rPr>
        <w:t>, 116(536), 1865-1880.</w:t>
      </w:r>
    </w:p>
    <w:p w14:paraId="71E59C0D" w14:textId="77777777" w:rsidR="00C81585" w:rsidRDefault="00C81585" w:rsidP="004D52AB">
      <w:pPr>
        <w:spacing w:after="0"/>
        <w:jc w:val="both"/>
        <w:rPr>
          <w:sz w:val="22"/>
        </w:rPr>
      </w:pPr>
    </w:p>
    <w:p w14:paraId="10A09616" w14:textId="77777777" w:rsidR="00C81585" w:rsidRDefault="00C81585" w:rsidP="004D52AB">
      <w:pPr>
        <w:spacing w:after="0"/>
        <w:jc w:val="both"/>
        <w:rPr>
          <w:sz w:val="22"/>
        </w:rPr>
      </w:pPr>
      <w:r w:rsidRPr="00C81585">
        <w:rPr>
          <w:sz w:val="22"/>
        </w:rPr>
        <w:t xml:space="preserve">Cavallo, E., Galiani, S., Noy, I., &amp; Pantano, J. (2013). Catastrophic natural disasters and economic growth. </w:t>
      </w:r>
      <w:r w:rsidRPr="00C81585">
        <w:rPr>
          <w:i/>
          <w:sz w:val="22"/>
        </w:rPr>
        <w:t>Review of Economics and Statistics</w:t>
      </w:r>
      <w:r w:rsidRPr="00C81585">
        <w:rPr>
          <w:sz w:val="22"/>
        </w:rPr>
        <w:t>, 95(5), 1549-1561.</w:t>
      </w:r>
    </w:p>
    <w:p w14:paraId="7BAA8B1A" w14:textId="77777777" w:rsidR="00C81585" w:rsidRDefault="00C81585" w:rsidP="004D52AB">
      <w:pPr>
        <w:spacing w:after="0"/>
        <w:jc w:val="both"/>
        <w:rPr>
          <w:sz w:val="22"/>
        </w:rPr>
      </w:pPr>
    </w:p>
    <w:p w14:paraId="58A75EBA" w14:textId="77777777" w:rsidR="00C81585" w:rsidRDefault="00C81585" w:rsidP="004D52AB">
      <w:pPr>
        <w:spacing w:after="0"/>
        <w:jc w:val="both"/>
        <w:rPr>
          <w:sz w:val="22"/>
        </w:rPr>
      </w:pPr>
      <w:r w:rsidRPr="00C81585">
        <w:rPr>
          <w:sz w:val="22"/>
        </w:rPr>
        <w:t>Chow, G. C. (1960). Tests of equality between sets of coefficients in two l</w:t>
      </w:r>
      <w:r>
        <w:rPr>
          <w:sz w:val="22"/>
        </w:rPr>
        <w:t xml:space="preserve">inear regressions. </w:t>
      </w:r>
      <w:r w:rsidRPr="00460CB1">
        <w:rPr>
          <w:i/>
          <w:sz w:val="22"/>
        </w:rPr>
        <w:t>Econometrica</w:t>
      </w:r>
      <w:r w:rsidRPr="00C81585">
        <w:rPr>
          <w:sz w:val="22"/>
        </w:rPr>
        <w:t>,</w:t>
      </w:r>
      <w:r w:rsidR="00460CB1">
        <w:rPr>
          <w:sz w:val="22"/>
        </w:rPr>
        <w:t xml:space="preserve"> 28(3),</w:t>
      </w:r>
      <w:r w:rsidRPr="00C81585">
        <w:rPr>
          <w:sz w:val="22"/>
        </w:rPr>
        <w:t xml:space="preserve"> 591-605.</w:t>
      </w:r>
    </w:p>
    <w:p w14:paraId="27E9F032" w14:textId="77777777" w:rsidR="00A478E6" w:rsidRDefault="00A478E6" w:rsidP="004D52AB">
      <w:pPr>
        <w:spacing w:after="0"/>
        <w:jc w:val="both"/>
        <w:rPr>
          <w:sz w:val="22"/>
        </w:rPr>
      </w:pPr>
    </w:p>
    <w:p w14:paraId="54B073D9" w14:textId="77777777" w:rsidR="00A478E6" w:rsidRDefault="00A478E6" w:rsidP="004D52AB">
      <w:pPr>
        <w:spacing w:after="0"/>
        <w:jc w:val="both"/>
        <w:rPr>
          <w:sz w:val="22"/>
        </w:rPr>
      </w:pPr>
      <w:r w:rsidRPr="00A478E6">
        <w:rPr>
          <w:sz w:val="22"/>
        </w:rPr>
        <w:t xml:space="preserve">Collins, S. M. (1996). On becoming more flexible: Exchange rate regimes in Latin America and the Caribbean. </w:t>
      </w:r>
      <w:r w:rsidRPr="00A478E6">
        <w:rPr>
          <w:i/>
          <w:sz w:val="22"/>
        </w:rPr>
        <w:t>Journal of Development Economics</w:t>
      </w:r>
      <w:r w:rsidRPr="00A478E6">
        <w:rPr>
          <w:sz w:val="22"/>
        </w:rPr>
        <w:t>, 51(1), 117-138.</w:t>
      </w:r>
    </w:p>
    <w:p w14:paraId="105922D4" w14:textId="77777777" w:rsidR="00075387" w:rsidRDefault="00075387" w:rsidP="004D52AB">
      <w:pPr>
        <w:spacing w:after="0"/>
        <w:jc w:val="both"/>
        <w:rPr>
          <w:sz w:val="22"/>
        </w:rPr>
      </w:pPr>
    </w:p>
    <w:p w14:paraId="4699CE12" w14:textId="77777777" w:rsidR="00075387" w:rsidRPr="008300F3" w:rsidRDefault="00075387" w:rsidP="004D52AB">
      <w:pPr>
        <w:spacing w:after="0"/>
        <w:jc w:val="both"/>
        <w:rPr>
          <w:sz w:val="22"/>
          <w:lang w:val="fr-FR"/>
        </w:rPr>
      </w:pPr>
      <w:r w:rsidRPr="00075387">
        <w:rPr>
          <w:sz w:val="22"/>
        </w:rPr>
        <w:t>Cukierman, A. (1992</w:t>
      </w:r>
      <w:r>
        <w:rPr>
          <w:sz w:val="22"/>
        </w:rPr>
        <w:t>a</w:t>
      </w:r>
      <w:r w:rsidRPr="00075387">
        <w:rPr>
          <w:sz w:val="22"/>
        </w:rPr>
        <w:t xml:space="preserve">). Central Bank Strategy, Credibility, and </w:t>
      </w:r>
      <w:r w:rsidR="00A478E6" w:rsidRPr="00075387">
        <w:rPr>
          <w:sz w:val="22"/>
        </w:rPr>
        <w:t>Independence</w:t>
      </w:r>
      <w:r w:rsidRPr="00075387">
        <w:rPr>
          <w:sz w:val="22"/>
        </w:rPr>
        <w:t xml:space="preserve">: Theory and Evidence. </w:t>
      </w:r>
      <w:r w:rsidRPr="008300F3">
        <w:rPr>
          <w:i/>
          <w:sz w:val="22"/>
          <w:lang w:val="fr-FR"/>
        </w:rPr>
        <w:t>Journal des Économistes et des Études Humaines</w:t>
      </w:r>
      <w:r w:rsidRPr="008300F3">
        <w:rPr>
          <w:sz w:val="22"/>
          <w:lang w:val="fr-FR"/>
        </w:rPr>
        <w:t>, 3(4), 581-590.</w:t>
      </w:r>
    </w:p>
    <w:p w14:paraId="15836514" w14:textId="77777777" w:rsidR="00075387" w:rsidRPr="008300F3" w:rsidRDefault="00075387" w:rsidP="004D52AB">
      <w:pPr>
        <w:spacing w:after="0"/>
        <w:jc w:val="both"/>
        <w:rPr>
          <w:sz w:val="22"/>
          <w:lang w:val="fr-FR"/>
        </w:rPr>
      </w:pPr>
    </w:p>
    <w:p w14:paraId="6CC97041" w14:textId="77777777" w:rsidR="00075387" w:rsidRDefault="00075387" w:rsidP="004D52AB">
      <w:pPr>
        <w:spacing w:after="0"/>
        <w:jc w:val="both"/>
        <w:rPr>
          <w:sz w:val="22"/>
        </w:rPr>
      </w:pPr>
      <w:r w:rsidRPr="008300F3">
        <w:rPr>
          <w:sz w:val="22"/>
          <w:lang w:val="fr-FR"/>
        </w:rPr>
        <w:t>Cukierman, A., Web, S. B., &amp; Neyapti, B. (1992</w:t>
      </w:r>
      <w:r w:rsidR="00A478E6" w:rsidRPr="008300F3">
        <w:rPr>
          <w:sz w:val="22"/>
          <w:lang w:val="fr-FR"/>
        </w:rPr>
        <w:t>b</w:t>
      </w:r>
      <w:r w:rsidRPr="008300F3">
        <w:rPr>
          <w:sz w:val="22"/>
          <w:lang w:val="fr-FR"/>
        </w:rPr>
        <w:t xml:space="preserve">). </w:t>
      </w:r>
      <w:r w:rsidRPr="00075387">
        <w:rPr>
          <w:sz w:val="22"/>
        </w:rPr>
        <w:t>Measuring the independence of central banks and its effect on polic</w:t>
      </w:r>
      <w:r>
        <w:rPr>
          <w:sz w:val="22"/>
        </w:rPr>
        <w:t xml:space="preserve">y outcomes. </w:t>
      </w:r>
      <w:r w:rsidRPr="00075387">
        <w:rPr>
          <w:i/>
          <w:sz w:val="22"/>
        </w:rPr>
        <w:t>The World Bank Economic Review</w:t>
      </w:r>
      <w:r w:rsidRPr="00075387">
        <w:rPr>
          <w:sz w:val="22"/>
        </w:rPr>
        <w:t>, 6(3), 353-398.</w:t>
      </w:r>
    </w:p>
    <w:p w14:paraId="06E44C1A" w14:textId="77777777" w:rsidR="00075387" w:rsidRDefault="00075387" w:rsidP="004D52AB">
      <w:pPr>
        <w:spacing w:after="0"/>
        <w:jc w:val="both"/>
        <w:rPr>
          <w:sz w:val="22"/>
        </w:rPr>
      </w:pPr>
    </w:p>
    <w:p w14:paraId="7F4836DE" w14:textId="77777777" w:rsidR="00075387" w:rsidRDefault="00075387" w:rsidP="004D52AB">
      <w:pPr>
        <w:spacing w:after="0"/>
        <w:jc w:val="both"/>
        <w:rPr>
          <w:sz w:val="22"/>
        </w:rPr>
      </w:pPr>
      <w:r w:rsidRPr="00075387">
        <w:rPr>
          <w:sz w:val="22"/>
        </w:rPr>
        <w:t xml:space="preserve">Cukierman, A., &amp; Webb, S. B. (1995). Political influence on the central bank: international evidence. </w:t>
      </w:r>
      <w:r w:rsidRPr="00075387">
        <w:rPr>
          <w:i/>
          <w:sz w:val="22"/>
        </w:rPr>
        <w:t>The World Bank Economic Review</w:t>
      </w:r>
      <w:r w:rsidRPr="00075387">
        <w:rPr>
          <w:sz w:val="22"/>
        </w:rPr>
        <w:t>, 9(3), 397-423.</w:t>
      </w:r>
    </w:p>
    <w:p w14:paraId="106DD00C" w14:textId="77777777" w:rsidR="00580F19" w:rsidRDefault="00580F19" w:rsidP="004D52AB">
      <w:pPr>
        <w:spacing w:after="0"/>
        <w:jc w:val="both"/>
        <w:rPr>
          <w:sz w:val="22"/>
        </w:rPr>
      </w:pPr>
    </w:p>
    <w:p w14:paraId="5FD31754" w14:textId="77777777" w:rsidR="00580F19" w:rsidRDefault="00580F19" w:rsidP="004D52AB">
      <w:pPr>
        <w:spacing w:after="0"/>
        <w:jc w:val="both"/>
        <w:rPr>
          <w:sz w:val="22"/>
        </w:rPr>
      </w:pPr>
      <w:r w:rsidRPr="00580F19">
        <w:rPr>
          <w:sz w:val="22"/>
        </w:rPr>
        <w:t xml:space="preserve">De Chaisemartin, C., &amp; d'Haultfoeuille, X. (2020). Two-way fixed effects estimators with heterogeneous treatment effects. </w:t>
      </w:r>
      <w:r w:rsidRPr="00580F19">
        <w:rPr>
          <w:i/>
          <w:sz w:val="22"/>
        </w:rPr>
        <w:t>American Economic Review</w:t>
      </w:r>
      <w:r w:rsidRPr="00580F19">
        <w:rPr>
          <w:sz w:val="22"/>
        </w:rPr>
        <w:t>, 110(9), 2964-96.</w:t>
      </w:r>
    </w:p>
    <w:p w14:paraId="4032C97B" w14:textId="77777777" w:rsidR="00075387" w:rsidRDefault="00075387" w:rsidP="004D52AB">
      <w:pPr>
        <w:spacing w:after="0"/>
        <w:jc w:val="both"/>
        <w:rPr>
          <w:sz w:val="22"/>
        </w:rPr>
      </w:pPr>
    </w:p>
    <w:p w14:paraId="776856F6" w14:textId="77777777" w:rsidR="00075387" w:rsidRDefault="00075387" w:rsidP="004D52AB">
      <w:pPr>
        <w:spacing w:after="0"/>
        <w:jc w:val="both"/>
        <w:rPr>
          <w:sz w:val="22"/>
        </w:rPr>
      </w:pPr>
      <w:r w:rsidRPr="00075387">
        <w:rPr>
          <w:sz w:val="22"/>
        </w:rPr>
        <w:t xml:space="preserve">Docquier, F., Lohest, O., &amp; Marfouk, A. (2007). Brain </w:t>
      </w:r>
      <w:proofErr w:type="gramStart"/>
      <w:r w:rsidRPr="00075387">
        <w:rPr>
          <w:sz w:val="22"/>
        </w:rPr>
        <w:t>drain</w:t>
      </w:r>
      <w:proofErr w:type="gramEnd"/>
      <w:r w:rsidRPr="00075387">
        <w:rPr>
          <w:sz w:val="22"/>
        </w:rPr>
        <w:t xml:space="preserve"> in developing countries. </w:t>
      </w:r>
      <w:r w:rsidRPr="00075387">
        <w:rPr>
          <w:i/>
          <w:sz w:val="22"/>
        </w:rPr>
        <w:t>The World Bank Economic Review</w:t>
      </w:r>
      <w:r w:rsidRPr="00075387">
        <w:rPr>
          <w:sz w:val="22"/>
        </w:rPr>
        <w:t>, 21(2), 193-218.</w:t>
      </w:r>
    </w:p>
    <w:p w14:paraId="78DD0F0E" w14:textId="77777777" w:rsidR="005C0E1B" w:rsidRDefault="005C0E1B" w:rsidP="004D52AB">
      <w:pPr>
        <w:spacing w:after="0"/>
        <w:jc w:val="both"/>
        <w:rPr>
          <w:sz w:val="22"/>
        </w:rPr>
      </w:pPr>
    </w:p>
    <w:p w14:paraId="5397774F" w14:textId="77777777" w:rsidR="005C0E1B" w:rsidRDefault="005C0E1B" w:rsidP="004D52AB">
      <w:pPr>
        <w:spacing w:after="0"/>
        <w:jc w:val="both"/>
        <w:rPr>
          <w:sz w:val="22"/>
        </w:rPr>
      </w:pPr>
      <w:r w:rsidRPr="005C0E1B">
        <w:rPr>
          <w:sz w:val="22"/>
        </w:rPr>
        <w:t>Feenstra, R. C., Inklaar, R., &amp; Timmer, M. P. (2015). The next generation of the Penn Wor</w:t>
      </w:r>
      <w:r>
        <w:rPr>
          <w:sz w:val="22"/>
        </w:rPr>
        <w:t xml:space="preserve">ld Table. </w:t>
      </w:r>
      <w:r w:rsidRPr="005C0E1B">
        <w:rPr>
          <w:i/>
          <w:sz w:val="22"/>
        </w:rPr>
        <w:t>American Economic Review</w:t>
      </w:r>
      <w:r w:rsidRPr="005C0E1B">
        <w:rPr>
          <w:sz w:val="22"/>
        </w:rPr>
        <w:t>, 105(10), 3150-</w:t>
      </w:r>
      <w:r>
        <w:rPr>
          <w:sz w:val="22"/>
        </w:rPr>
        <w:t>31</w:t>
      </w:r>
      <w:r w:rsidRPr="005C0E1B">
        <w:rPr>
          <w:sz w:val="22"/>
        </w:rPr>
        <w:t>82.</w:t>
      </w:r>
    </w:p>
    <w:p w14:paraId="74C8E8D7" w14:textId="77777777" w:rsidR="00C81585" w:rsidRDefault="00C81585" w:rsidP="004D52AB">
      <w:pPr>
        <w:spacing w:after="0"/>
        <w:jc w:val="both"/>
        <w:rPr>
          <w:sz w:val="22"/>
        </w:rPr>
      </w:pPr>
    </w:p>
    <w:p w14:paraId="5A996376" w14:textId="77777777" w:rsidR="00C81585" w:rsidRDefault="00C81585" w:rsidP="004D52AB">
      <w:pPr>
        <w:spacing w:after="0"/>
        <w:jc w:val="both"/>
        <w:rPr>
          <w:sz w:val="22"/>
        </w:rPr>
      </w:pPr>
      <w:r w:rsidRPr="00C81585">
        <w:rPr>
          <w:sz w:val="22"/>
        </w:rPr>
        <w:t xml:space="preserve">Firpo, S., &amp; Possebom, V. (2018). Synthetic control method: Inference, sensitivity analysis and confidence sets. </w:t>
      </w:r>
      <w:r w:rsidRPr="00C81585">
        <w:rPr>
          <w:i/>
          <w:sz w:val="22"/>
        </w:rPr>
        <w:t>Journal of Causal Inference</w:t>
      </w:r>
      <w:r>
        <w:rPr>
          <w:sz w:val="22"/>
        </w:rPr>
        <w:t>, 6(2), 1-26.</w:t>
      </w:r>
    </w:p>
    <w:p w14:paraId="49897A50" w14:textId="77777777" w:rsidR="00460CB1" w:rsidRDefault="00460CB1" w:rsidP="004D52AB">
      <w:pPr>
        <w:spacing w:after="0"/>
        <w:jc w:val="both"/>
        <w:rPr>
          <w:sz w:val="22"/>
        </w:rPr>
      </w:pPr>
    </w:p>
    <w:p w14:paraId="3A261DBD" w14:textId="77777777" w:rsidR="00460CB1" w:rsidRDefault="00460CB1" w:rsidP="004D52AB">
      <w:pPr>
        <w:spacing w:after="0"/>
        <w:jc w:val="both"/>
        <w:rPr>
          <w:sz w:val="22"/>
        </w:rPr>
      </w:pPr>
      <w:r w:rsidRPr="00460CB1">
        <w:rPr>
          <w:sz w:val="22"/>
        </w:rPr>
        <w:t xml:space="preserve">Galiani, S., &amp; Quistorff, B. (2017). The synth_runner package: Utilities to automate synthetic control estimation using synth. </w:t>
      </w:r>
      <w:r w:rsidRPr="00460CB1">
        <w:rPr>
          <w:i/>
          <w:sz w:val="22"/>
        </w:rPr>
        <w:t>The Stata Journal</w:t>
      </w:r>
      <w:r w:rsidRPr="00460CB1">
        <w:rPr>
          <w:sz w:val="22"/>
        </w:rPr>
        <w:t>, 17(4), 834-849.</w:t>
      </w:r>
    </w:p>
    <w:p w14:paraId="634FAADC" w14:textId="77777777" w:rsidR="00A273F9" w:rsidRDefault="00A273F9" w:rsidP="004D52AB">
      <w:pPr>
        <w:spacing w:after="0"/>
        <w:jc w:val="both"/>
        <w:rPr>
          <w:sz w:val="22"/>
        </w:rPr>
      </w:pPr>
    </w:p>
    <w:p w14:paraId="025A938A" w14:textId="77777777" w:rsidR="00A273F9" w:rsidRDefault="00A273F9" w:rsidP="004D52AB">
      <w:pPr>
        <w:spacing w:after="0"/>
        <w:jc w:val="both"/>
        <w:rPr>
          <w:sz w:val="22"/>
        </w:rPr>
      </w:pPr>
      <w:r w:rsidRPr="00A273F9">
        <w:rPr>
          <w:sz w:val="22"/>
        </w:rPr>
        <w:lastRenderedPageBreak/>
        <w:t xml:space="preserve">Gates, S., Hegre, H., Jones, M. P., &amp; Strand, H. (2006). Institutional inconsistency and political instability: Polity duration, 1800–2000. </w:t>
      </w:r>
      <w:r w:rsidRPr="00A273F9">
        <w:rPr>
          <w:i/>
          <w:sz w:val="22"/>
        </w:rPr>
        <w:t>American Journal of Political Science</w:t>
      </w:r>
      <w:r w:rsidRPr="00A273F9">
        <w:rPr>
          <w:sz w:val="22"/>
        </w:rPr>
        <w:t>, 50(4), 893-908.</w:t>
      </w:r>
    </w:p>
    <w:p w14:paraId="67DAD1E6" w14:textId="77777777" w:rsidR="00C81585" w:rsidRDefault="00C81585" w:rsidP="004D52AB">
      <w:pPr>
        <w:spacing w:after="0"/>
        <w:jc w:val="both"/>
        <w:rPr>
          <w:sz w:val="22"/>
        </w:rPr>
      </w:pPr>
    </w:p>
    <w:p w14:paraId="50B34A4F" w14:textId="77777777" w:rsidR="00C81585" w:rsidRDefault="00C81585" w:rsidP="004D52AB">
      <w:pPr>
        <w:spacing w:after="0"/>
        <w:jc w:val="both"/>
        <w:rPr>
          <w:sz w:val="22"/>
        </w:rPr>
      </w:pPr>
      <w:r w:rsidRPr="00C81585">
        <w:rPr>
          <w:sz w:val="22"/>
        </w:rPr>
        <w:t xml:space="preserve">Gobillon, L., &amp; Magnac, T. (2016). Regional policy evaluation: Interactive fixed effects and synthetic controls. </w:t>
      </w:r>
      <w:r w:rsidRPr="00C81585">
        <w:rPr>
          <w:i/>
          <w:sz w:val="22"/>
        </w:rPr>
        <w:t>Review of Economics and Statistics</w:t>
      </w:r>
      <w:r w:rsidRPr="00C81585">
        <w:rPr>
          <w:sz w:val="22"/>
        </w:rPr>
        <w:t>, 98(3), 535-551.</w:t>
      </w:r>
    </w:p>
    <w:p w14:paraId="09369CCF" w14:textId="77777777" w:rsidR="00A478E6" w:rsidRDefault="00A478E6" w:rsidP="004D52AB">
      <w:pPr>
        <w:spacing w:after="0"/>
        <w:jc w:val="both"/>
        <w:rPr>
          <w:sz w:val="22"/>
        </w:rPr>
      </w:pPr>
    </w:p>
    <w:p w14:paraId="0F2A5817" w14:textId="77777777" w:rsidR="00A478E6" w:rsidRDefault="00A478E6" w:rsidP="004D52AB">
      <w:pPr>
        <w:spacing w:after="0"/>
        <w:jc w:val="both"/>
        <w:rPr>
          <w:sz w:val="22"/>
        </w:rPr>
      </w:pPr>
      <w:r w:rsidRPr="00A478E6">
        <w:rPr>
          <w:sz w:val="22"/>
        </w:rPr>
        <w:t xml:space="preserve">Hartmann, S., &amp; Spruk, R. (2021). Long-term effects of institutional instability. </w:t>
      </w:r>
      <w:r w:rsidRPr="00A478E6">
        <w:rPr>
          <w:i/>
          <w:sz w:val="22"/>
        </w:rPr>
        <w:t>Empirical Economics</w:t>
      </w:r>
      <w:r w:rsidRPr="00A478E6">
        <w:rPr>
          <w:sz w:val="22"/>
        </w:rPr>
        <w:t>, 61(4), 2073-2112.</w:t>
      </w:r>
    </w:p>
    <w:p w14:paraId="6682283F" w14:textId="77777777" w:rsidR="00481178" w:rsidRDefault="00481178" w:rsidP="004D52AB">
      <w:pPr>
        <w:spacing w:after="0"/>
        <w:jc w:val="both"/>
        <w:rPr>
          <w:sz w:val="22"/>
        </w:rPr>
      </w:pPr>
    </w:p>
    <w:p w14:paraId="2A4ED413" w14:textId="77777777" w:rsidR="00481178" w:rsidRDefault="00481178" w:rsidP="004D52AB">
      <w:pPr>
        <w:spacing w:after="0"/>
        <w:jc w:val="both"/>
        <w:rPr>
          <w:sz w:val="22"/>
        </w:rPr>
      </w:pPr>
      <w:r w:rsidRPr="00481178">
        <w:rPr>
          <w:sz w:val="22"/>
        </w:rPr>
        <w:t>Hastings, W. K. (1970). Monte Carlo sampling methods using Markov chains and their applications.</w:t>
      </w:r>
      <w:r>
        <w:rPr>
          <w:sz w:val="22"/>
        </w:rPr>
        <w:t xml:space="preserve"> </w:t>
      </w:r>
      <w:r w:rsidRPr="00481178">
        <w:rPr>
          <w:i/>
          <w:sz w:val="22"/>
        </w:rPr>
        <w:t>Biometrika</w:t>
      </w:r>
      <w:r>
        <w:rPr>
          <w:sz w:val="22"/>
        </w:rPr>
        <w:t xml:space="preserve"> 57(1): 97-109.</w:t>
      </w:r>
    </w:p>
    <w:p w14:paraId="2D2AB8EA" w14:textId="77777777" w:rsidR="00481178" w:rsidRDefault="00481178" w:rsidP="004D52AB">
      <w:pPr>
        <w:spacing w:after="0"/>
        <w:jc w:val="both"/>
        <w:rPr>
          <w:sz w:val="22"/>
        </w:rPr>
      </w:pPr>
    </w:p>
    <w:p w14:paraId="5B04C4F2" w14:textId="77777777" w:rsidR="00481178" w:rsidRDefault="00481178" w:rsidP="004D52AB">
      <w:pPr>
        <w:spacing w:after="0"/>
        <w:jc w:val="both"/>
        <w:rPr>
          <w:sz w:val="22"/>
        </w:rPr>
      </w:pPr>
      <w:r w:rsidRPr="00481178">
        <w:rPr>
          <w:sz w:val="22"/>
        </w:rPr>
        <w:t>Hodrick, R. J., &amp; Prescott, E. C. (1997). Postwar US business cycles: an empirical in</w:t>
      </w:r>
      <w:r>
        <w:rPr>
          <w:sz w:val="22"/>
        </w:rPr>
        <w:t xml:space="preserve">vestigation. </w:t>
      </w:r>
      <w:r w:rsidRPr="00481178">
        <w:rPr>
          <w:i/>
          <w:sz w:val="22"/>
        </w:rPr>
        <w:t>Journal of Money, Credit, and Banking</w:t>
      </w:r>
      <w:r w:rsidRPr="00481178">
        <w:rPr>
          <w:sz w:val="22"/>
        </w:rPr>
        <w:t>,</w:t>
      </w:r>
      <w:r>
        <w:rPr>
          <w:sz w:val="22"/>
        </w:rPr>
        <w:t xml:space="preserve"> 29(1),</w:t>
      </w:r>
      <w:r w:rsidRPr="00481178">
        <w:rPr>
          <w:sz w:val="22"/>
        </w:rPr>
        <w:t xml:space="preserve"> 1-16.</w:t>
      </w:r>
    </w:p>
    <w:p w14:paraId="61044CE2" w14:textId="77777777" w:rsidR="00481178" w:rsidRDefault="00481178" w:rsidP="004D52AB">
      <w:pPr>
        <w:spacing w:after="0"/>
        <w:jc w:val="both"/>
        <w:rPr>
          <w:sz w:val="22"/>
        </w:rPr>
      </w:pPr>
    </w:p>
    <w:p w14:paraId="7D065330" w14:textId="77777777" w:rsidR="00481178" w:rsidRDefault="00481178" w:rsidP="004D52AB">
      <w:pPr>
        <w:spacing w:after="0"/>
        <w:jc w:val="both"/>
        <w:rPr>
          <w:sz w:val="22"/>
        </w:rPr>
      </w:pPr>
      <w:r w:rsidRPr="00481178">
        <w:rPr>
          <w:sz w:val="22"/>
        </w:rPr>
        <w:t xml:space="preserve">Jarner, S. F., &amp; Roberts, G. O. (2007). Convergence of Heavy‐tailed Monte Carlo Markov Chain Algorithms. </w:t>
      </w:r>
      <w:r w:rsidRPr="00481178">
        <w:rPr>
          <w:i/>
          <w:sz w:val="22"/>
        </w:rPr>
        <w:t>Scandinavian Journal of Statistics</w:t>
      </w:r>
      <w:r w:rsidRPr="00481178">
        <w:rPr>
          <w:sz w:val="22"/>
        </w:rPr>
        <w:t>, 34(4), 781-815.</w:t>
      </w:r>
    </w:p>
    <w:p w14:paraId="76B25783" w14:textId="77777777" w:rsidR="00481178" w:rsidRDefault="00481178" w:rsidP="004D52AB">
      <w:pPr>
        <w:spacing w:after="0"/>
        <w:jc w:val="both"/>
        <w:rPr>
          <w:sz w:val="22"/>
        </w:rPr>
      </w:pPr>
    </w:p>
    <w:p w14:paraId="32D43F31" w14:textId="77777777" w:rsidR="00481178" w:rsidRDefault="00481178" w:rsidP="004D52AB">
      <w:pPr>
        <w:spacing w:after="0"/>
        <w:jc w:val="both"/>
        <w:rPr>
          <w:sz w:val="22"/>
        </w:rPr>
      </w:pPr>
      <w:r w:rsidRPr="00481178">
        <w:rPr>
          <w:sz w:val="22"/>
        </w:rPr>
        <w:t xml:space="preserve">Jeffreys, H. (1946). An invariant form for the prior probability in estimation problems. </w:t>
      </w:r>
      <w:r w:rsidRPr="00481178">
        <w:rPr>
          <w:i/>
          <w:sz w:val="22"/>
        </w:rPr>
        <w:t>Proceedings of the Royal Society of London. Series A. Mathematical and Physical Sciences</w:t>
      </w:r>
      <w:r w:rsidRPr="00481178">
        <w:rPr>
          <w:sz w:val="22"/>
        </w:rPr>
        <w:t>, 186(1007), 453-461.</w:t>
      </w:r>
    </w:p>
    <w:p w14:paraId="1389055C" w14:textId="77777777" w:rsidR="00D02F2D" w:rsidRDefault="00D02F2D" w:rsidP="004D52AB">
      <w:pPr>
        <w:spacing w:after="0"/>
        <w:jc w:val="both"/>
        <w:rPr>
          <w:sz w:val="22"/>
        </w:rPr>
      </w:pPr>
    </w:p>
    <w:p w14:paraId="0A9F43A3" w14:textId="77777777" w:rsidR="00D02F2D" w:rsidRDefault="00D02F2D" w:rsidP="004D52AB">
      <w:pPr>
        <w:spacing w:after="0"/>
        <w:jc w:val="both"/>
        <w:rPr>
          <w:sz w:val="22"/>
        </w:rPr>
      </w:pPr>
      <w:r w:rsidRPr="00D02F2D">
        <w:rPr>
          <w:sz w:val="22"/>
        </w:rPr>
        <w:t xml:space="preserve">Jong-A-Pin, R. (2009). On the measurement of political instability and its impact on economic growth. </w:t>
      </w:r>
      <w:r w:rsidRPr="00D02F2D">
        <w:rPr>
          <w:i/>
          <w:sz w:val="22"/>
        </w:rPr>
        <w:t>European Journal of Political Economy</w:t>
      </w:r>
      <w:r w:rsidRPr="00D02F2D">
        <w:rPr>
          <w:sz w:val="22"/>
        </w:rPr>
        <w:t>, 25(1), 15-29.</w:t>
      </w:r>
    </w:p>
    <w:p w14:paraId="1AF273F2" w14:textId="77777777" w:rsidR="005C0E1B" w:rsidRDefault="005C0E1B" w:rsidP="004D52AB">
      <w:pPr>
        <w:spacing w:after="0"/>
        <w:jc w:val="both"/>
        <w:rPr>
          <w:sz w:val="22"/>
        </w:rPr>
      </w:pPr>
    </w:p>
    <w:p w14:paraId="6256D970" w14:textId="77777777" w:rsidR="005C0E1B" w:rsidRDefault="005C0E1B" w:rsidP="004D52AB">
      <w:pPr>
        <w:spacing w:after="0"/>
        <w:jc w:val="both"/>
        <w:rPr>
          <w:sz w:val="22"/>
        </w:rPr>
      </w:pPr>
      <w:r w:rsidRPr="005C0E1B">
        <w:rPr>
          <w:sz w:val="22"/>
        </w:rPr>
        <w:t>Kaufmann, D., Kraay, A., &amp; Mastruzzi, M. (2011). The worldwide governance indicators: Methodology</w:t>
      </w:r>
      <w:r>
        <w:rPr>
          <w:sz w:val="22"/>
        </w:rPr>
        <w:t xml:space="preserve"> and analytical issues. </w:t>
      </w:r>
      <w:r w:rsidRPr="005C0E1B">
        <w:rPr>
          <w:i/>
          <w:sz w:val="22"/>
        </w:rPr>
        <w:t>Hague Journal on the Rule of Law</w:t>
      </w:r>
      <w:r w:rsidRPr="005C0E1B">
        <w:rPr>
          <w:sz w:val="22"/>
        </w:rPr>
        <w:t>, 3(2), 220-246.</w:t>
      </w:r>
    </w:p>
    <w:p w14:paraId="38E08550" w14:textId="77777777" w:rsidR="00A273F9" w:rsidRDefault="00A273F9" w:rsidP="004D52AB">
      <w:pPr>
        <w:spacing w:after="0"/>
        <w:jc w:val="both"/>
        <w:rPr>
          <w:sz w:val="22"/>
        </w:rPr>
      </w:pPr>
    </w:p>
    <w:p w14:paraId="18672FEC" w14:textId="77777777" w:rsidR="00A273F9" w:rsidRDefault="00A273F9" w:rsidP="004D52AB">
      <w:pPr>
        <w:spacing w:after="0"/>
        <w:jc w:val="both"/>
        <w:rPr>
          <w:sz w:val="22"/>
        </w:rPr>
      </w:pPr>
      <w:r w:rsidRPr="00A273F9">
        <w:rPr>
          <w:sz w:val="22"/>
        </w:rPr>
        <w:t xml:space="preserve">Keefer, P., &amp; Knack, S. (2002). Polarization, </w:t>
      </w:r>
      <w:proofErr w:type="gramStart"/>
      <w:r w:rsidRPr="00A273F9">
        <w:rPr>
          <w:sz w:val="22"/>
        </w:rPr>
        <w:t>politics</w:t>
      </w:r>
      <w:proofErr w:type="gramEnd"/>
      <w:r w:rsidRPr="00A273F9">
        <w:rPr>
          <w:sz w:val="22"/>
        </w:rPr>
        <w:t xml:space="preserve"> and property rights: Links between</w:t>
      </w:r>
      <w:r>
        <w:rPr>
          <w:sz w:val="22"/>
        </w:rPr>
        <w:t xml:space="preserve"> inequality and growth. </w:t>
      </w:r>
      <w:r w:rsidRPr="00A273F9">
        <w:rPr>
          <w:i/>
          <w:sz w:val="22"/>
        </w:rPr>
        <w:t>Public Choice</w:t>
      </w:r>
      <w:r w:rsidRPr="00A273F9">
        <w:rPr>
          <w:sz w:val="22"/>
        </w:rPr>
        <w:t>, 111(1), 127-154.</w:t>
      </w:r>
    </w:p>
    <w:p w14:paraId="49A62CC0" w14:textId="77777777" w:rsidR="00A273F9" w:rsidRDefault="00A273F9" w:rsidP="004D52AB">
      <w:pPr>
        <w:spacing w:after="0"/>
        <w:jc w:val="both"/>
        <w:rPr>
          <w:sz w:val="22"/>
        </w:rPr>
      </w:pPr>
    </w:p>
    <w:p w14:paraId="070FAE8D" w14:textId="77777777" w:rsidR="00A273F9" w:rsidRDefault="00A273F9" w:rsidP="004D52AB">
      <w:pPr>
        <w:spacing w:after="0"/>
        <w:jc w:val="both"/>
        <w:rPr>
          <w:sz w:val="22"/>
        </w:rPr>
      </w:pPr>
      <w:r w:rsidRPr="00A273F9">
        <w:rPr>
          <w:sz w:val="22"/>
        </w:rPr>
        <w:t xml:space="preserve">Lucifora, C., &amp; Moriconi, S. (2015). Political instability and labour market institutions. </w:t>
      </w:r>
      <w:r w:rsidRPr="00A273F9">
        <w:rPr>
          <w:i/>
          <w:sz w:val="22"/>
        </w:rPr>
        <w:t>European Journal of Political Economy</w:t>
      </w:r>
      <w:r w:rsidRPr="00A273F9">
        <w:rPr>
          <w:sz w:val="22"/>
        </w:rPr>
        <w:t>, 39, 201-221.</w:t>
      </w:r>
    </w:p>
    <w:p w14:paraId="7FA800CE" w14:textId="77777777" w:rsidR="005C0E1B" w:rsidRDefault="005C0E1B" w:rsidP="004D52AB">
      <w:pPr>
        <w:spacing w:after="0"/>
        <w:jc w:val="both"/>
        <w:rPr>
          <w:sz w:val="22"/>
        </w:rPr>
      </w:pPr>
    </w:p>
    <w:p w14:paraId="6B33D7C5" w14:textId="77777777" w:rsidR="005C0E1B" w:rsidRDefault="005C0E1B" w:rsidP="004D52AB">
      <w:pPr>
        <w:spacing w:after="0"/>
        <w:jc w:val="both"/>
        <w:rPr>
          <w:sz w:val="22"/>
        </w:rPr>
      </w:pPr>
      <w:r w:rsidRPr="005C0E1B">
        <w:rPr>
          <w:sz w:val="22"/>
        </w:rPr>
        <w:t>Magnusson, L. M., &amp; Tarverdi, Y. (2020). Measuring go</w:t>
      </w:r>
      <w:r>
        <w:rPr>
          <w:sz w:val="22"/>
        </w:rPr>
        <w:t xml:space="preserve">vernance: Why do errors matter? </w:t>
      </w:r>
      <w:r w:rsidRPr="005C0E1B">
        <w:rPr>
          <w:i/>
          <w:sz w:val="22"/>
        </w:rPr>
        <w:t>World Development</w:t>
      </w:r>
      <w:r w:rsidRPr="005C0E1B">
        <w:rPr>
          <w:sz w:val="22"/>
        </w:rPr>
        <w:t>, 136, 105061.</w:t>
      </w:r>
    </w:p>
    <w:p w14:paraId="3EE98100" w14:textId="77777777" w:rsidR="00481178" w:rsidRDefault="00481178" w:rsidP="004D52AB">
      <w:pPr>
        <w:spacing w:after="0"/>
        <w:jc w:val="both"/>
        <w:rPr>
          <w:sz w:val="22"/>
        </w:rPr>
      </w:pPr>
    </w:p>
    <w:p w14:paraId="1F06AE26" w14:textId="77777777" w:rsidR="00481178" w:rsidRDefault="00481178" w:rsidP="004D52AB">
      <w:pPr>
        <w:spacing w:after="0"/>
        <w:jc w:val="both"/>
        <w:rPr>
          <w:sz w:val="22"/>
        </w:rPr>
      </w:pPr>
      <w:r w:rsidRPr="00481178">
        <w:rPr>
          <w:sz w:val="22"/>
        </w:rPr>
        <w:t>Metropolis, N., Rosenbluth, A. W., Rosenbluth, M. N., Teller, A. H., &amp; Teller, E. (1953). Equation of state calculations b</w:t>
      </w:r>
      <w:r>
        <w:rPr>
          <w:sz w:val="22"/>
        </w:rPr>
        <w:t xml:space="preserve">y fast computing machines. </w:t>
      </w:r>
      <w:r w:rsidRPr="00481178">
        <w:rPr>
          <w:i/>
          <w:sz w:val="22"/>
        </w:rPr>
        <w:t>The Journal of Chemical Physics</w:t>
      </w:r>
      <w:r w:rsidRPr="00481178">
        <w:rPr>
          <w:sz w:val="22"/>
        </w:rPr>
        <w:t>, 21(6), 1087-1092.</w:t>
      </w:r>
    </w:p>
    <w:p w14:paraId="5E53B6C7" w14:textId="77777777" w:rsidR="00C81585" w:rsidRDefault="00C81585" w:rsidP="004D52AB">
      <w:pPr>
        <w:spacing w:after="0"/>
        <w:jc w:val="both"/>
        <w:rPr>
          <w:sz w:val="22"/>
        </w:rPr>
      </w:pPr>
    </w:p>
    <w:p w14:paraId="4C97DB5D" w14:textId="77777777" w:rsidR="00C81585" w:rsidRDefault="00C81585" w:rsidP="004D52AB">
      <w:pPr>
        <w:spacing w:after="0"/>
        <w:jc w:val="both"/>
        <w:rPr>
          <w:sz w:val="22"/>
        </w:rPr>
      </w:pPr>
      <w:r w:rsidRPr="00C81585">
        <w:rPr>
          <w:sz w:val="22"/>
        </w:rPr>
        <w:t xml:space="preserve">Muralidharan, K., &amp; Prakash, N. (2017). Cycling to school: Increasing secondary school enrollment for girls in India. </w:t>
      </w:r>
      <w:r w:rsidRPr="00C81585">
        <w:rPr>
          <w:i/>
          <w:sz w:val="22"/>
        </w:rPr>
        <w:t>American Economic Journal: Applied Economics</w:t>
      </w:r>
      <w:r w:rsidRPr="00C81585">
        <w:rPr>
          <w:sz w:val="22"/>
        </w:rPr>
        <w:t>, 9(3), 321-50.</w:t>
      </w:r>
    </w:p>
    <w:p w14:paraId="78C76E46" w14:textId="77777777" w:rsidR="00C67003" w:rsidRDefault="00C67003" w:rsidP="004D52AB">
      <w:pPr>
        <w:spacing w:after="0"/>
        <w:jc w:val="both"/>
        <w:rPr>
          <w:sz w:val="22"/>
        </w:rPr>
      </w:pPr>
    </w:p>
    <w:p w14:paraId="15DE7E6D" w14:textId="77777777" w:rsidR="00C67003" w:rsidRDefault="00C67003" w:rsidP="004D52AB">
      <w:pPr>
        <w:spacing w:after="0"/>
        <w:jc w:val="both"/>
        <w:rPr>
          <w:sz w:val="22"/>
        </w:rPr>
      </w:pPr>
      <w:r>
        <w:rPr>
          <w:sz w:val="22"/>
        </w:rPr>
        <w:t>North, D. (</w:t>
      </w:r>
      <w:r w:rsidRPr="00C67003">
        <w:rPr>
          <w:sz w:val="22"/>
        </w:rPr>
        <w:t>1981</w:t>
      </w:r>
      <w:r>
        <w:rPr>
          <w:sz w:val="22"/>
        </w:rPr>
        <w:t>)</w:t>
      </w:r>
      <w:r w:rsidRPr="00C67003">
        <w:rPr>
          <w:sz w:val="22"/>
        </w:rPr>
        <w:t xml:space="preserve">. </w:t>
      </w:r>
      <w:r w:rsidRPr="00C67003">
        <w:rPr>
          <w:i/>
          <w:sz w:val="22"/>
        </w:rPr>
        <w:t>Structure and Change in Economic History</w:t>
      </w:r>
      <w:r w:rsidRPr="00C67003">
        <w:rPr>
          <w:sz w:val="22"/>
        </w:rPr>
        <w:t xml:space="preserve">. </w:t>
      </w:r>
      <w:r>
        <w:rPr>
          <w:sz w:val="22"/>
        </w:rPr>
        <w:t>New York, NY: W.W. Norton.</w:t>
      </w:r>
    </w:p>
    <w:p w14:paraId="13A4CCFA" w14:textId="77777777" w:rsidR="00C67003" w:rsidRDefault="00C67003" w:rsidP="004D52AB">
      <w:pPr>
        <w:spacing w:after="0"/>
        <w:jc w:val="both"/>
        <w:rPr>
          <w:sz w:val="22"/>
        </w:rPr>
      </w:pPr>
    </w:p>
    <w:p w14:paraId="34586132" w14:textId="77777777" w:rsidR="00C67003" w:rsidRDefault="00C67003" w:rsidP="004D52AB">
      <w:pPr>
        <w:spacing w:after="0"/>
        <w:jc w:val="both"/>
        <w:rPr>
          <w:sz w:val="22"/>
        </w:rPr>
      </w:pPr>
      <w:r>
        <w:rPr>
          <w:sz w:val="22"/>
        </w:rPr>
        <w:t xml:space="preserve">North, D. (2005). </w:t>
      </w:r>
      <w:r w:rsidRPr="00C67003">
        <w:rPr>
          <w:i/>
          <w:sz w:val="22"/>
        </w:rPr>
        <w:t>Understanding the Process of Economic Change</w:t>
      </w:r>
      <w:r>
        <w:rPr>
          <w:sz w:val="22"/>
        </w:rPr>
        <w:t>. Princeton University Press.</w:t>
      </w:r>
    </w:p>
    <w:p w14:paraId="3D9594DB" w14:textId="77777777" w:rsidR="00A478E6" w:rsidRDefault="00A478E6" w:rsidP="004D52AB">
      <w:pPr>
        <w:spacing w:after="0"/>
        <w:jc w:val="both"/>
        <w:rPr>
          <w:sz w:val="22"/>
        </w:rPr>
      </w:pPr>
    </w:p>
    <w:p w14:paraId="2E7C594C" w14:textId="77777777" w:rsidR="00A478E6" w:rsidRDefault="00A478E6" w:rsidP="004D52AB">
      <w:pPr>
        <w:spacing w:after="0"/>
        <w:jc w:val="both"/>
        <w:rPr>
          <w:sz w:val="22"/>
        </w:rPr>
      </w:pPr>
      <w:r w:rsidRPr="00A478E6">
        <w:rPr>
          <w:sz w:val="22"/>
        </w:rPr>
        <w:t xml:space="preserve">Olson, M. (1963). Rapid growth as a destabilizing force. </w:t>
      </w:r>
      <w:r w:rsidRPr="00A478E6">
        <w:rPr>
          <w:i/>
          <w:sz w:val="22"/>
        </w:rPr>
        <w:t>The Journal of Economic History</w:t>
      </w:r>
      <w:r w:rsidRPr="00A478E6">
        <w:rPr>
          <w:sz w:val="22"/>
        </w:rPr>
        <w:t>, 23(4), 529-552.</w:t>
      </w:r>
    </w:p>
    <w:p w14:paraId="737A73E0" w14:textId="77777777" w:rsidR="00C67003" w:rsidRDefault="00C67003" w:rsidP="004D52AB">
      <w:pPr>
        <w:spacing w:after="0"/>
        <w:jc w:val="both"/>
        <w:rPr>
          <w:sz w:val="22"/>
        </w:rPr>
      </w:pPr>
    </w:p>
    <w:p w14:paraId="3BBC4C37" w14:textId="77777777" w:rsidR="00C67003" w:rsidRDefault="00C67003" w:rsidP="004D52AB">
      <w:pPr>
        <w:spacing w:after="0"/>
        <w:jc w:val="both"/>
        <w:rPr>
          <w:sz w:val="22"/>
        </w:rPr>
      </w:pPr>
      <w:r>
        <w:rPr>
          <w:sz w:val="22"/>
        </w:rPr>
        <w:t xml:space="preserve">Olson, M. (1982). </w:t>
      </w:r>
      <w:r w:rsidRPr="00C67003">
        <w:rPr>
          <w:i/>
          <w:sz w:val="22"/>
        </w:rPr>
        <w:t>The Rise and Decline of Nations: Economic Growth, Stagflation, and Social Rigidities</w:t>
      </w:r>
      <w:r>
        <w:rPr>
          <w:sz w:val="22"/>
        </w:rPr>
        <w:t>. New Haven, CT: Yale University Press.</w:t>
      </w:r>
    </w:p>
    <w:p w14:paraId="41C4ACED" w14:textId="77777777" w:rsidR="00A478E6" w:rsidRDefault="00A478E6" w:rsidP="004D52AB">
      <w:pPr>
        <w:spacing w:after="0"/>
        <w:jc w:val="both"/>
        <w:rPr>
          <w:sz w:val="22"/>
        </w:rPr>
      </w:pPr>
    </w:p>
    <w:p w14:paraId="312ADCDC" w14:textId="77777777" w:rsidR="00A478E6" w:rsidRDefault="00A478E6" w:rsidP="004D52AB">
      <w:pPr>
        <w:spacing w:after="0"/>
        <w:jc w:val="both"/>
        <w:rPr>
          <w:sz w:val="22"/>
        </w:rPr>
      </w:pPr>
      <w:r w:rsidRPr="00A478E6">
        <w:rPr>
          <w:sz w:val="22"/>
        </w:rPr>
        <w:t xml:space="preserve">Özler, Ş., &amp; Rodrik, D. (1992). External shocks, </w:t>
      </w:r>
      <w:proofErr w:type="gramStart"/>
      <w:r w:rsidRPr="00A478E6">
        <w:rPr>
          <w:sz w:val="22"/>
        </w:rPr>
        <w:t>politics</w:t>
      </w:r>
      <w:proofErr w:type="gramEnd"/>
      <w:r w:rsidRPr="00A478E6">
        <w:rPr>
          <w:sz w:val="22"/>
        </w:rPr>
        <w:t xml:space="preserve"> and private investment: Some theory and empirical evidence. </w:t>
      </w:r>
      <w:r w:rsidRPr="00A478E6">
        <w:rPr>
          <w:i/>
          <w:sz w:val="22"/>
        </w:rPr>
        <w:t>Journal of Development Economics</w:t>
      </w:r>
      <w:r w:rsidRPr="00A478E6">
        <w:rPr>
          <w:sz w:val="22"/>
        </w:rPr>
        <w:t>, 39(1), 141-162.</w:t>
      </w:r>
    </w:p>
    <w:p w14:paraId="5467B8D1" w14:textId="77777777" w:rsidR="00580F19" w:rsidRDefault="00580F19" w:rsidP="004D52AB">
      <w:pPr>
        <w:spacing w:after="0"/>
        <w:jc w:val="both"/>
        <w:rPr>
          <w:sz w:val="22"/>
        </w:rPr>
      </w:pPr>
    </w:p>
    <w:p w14:paraId="2A29FC0D" w14:textId="77777777" w:rsidR="00580F19" w:rsidRDefault="00580F19" w:rsidP="004D52AB">
      <w:pPr>
        <w:spacing w:after="0"/>
        <w:jc w:val="both"/>
        <w:rPr>
          <w:sz w:val="22"/>
        </w:rPr>
      </w:pPr>
      <w:r w:rsidRPr="00580F19">
        <w:rPr>
          <w:sz w:val="22"/>
        </w:rPr>
        <w:t>Powell, D. (2021). Synthetic Control Estimation Beyond Comparative Case Studies: Does the M</w:t>
      </w:r>
      <w:r>
        <w:rPr>
          <w:sz w:val="22"/>
        </w:rPr>
        <w:t xml:space="preserve">inimum Wage Reduce Employment? </w:t>
      </w:r>
      <w:r w:rsidRPr="00580F19">
        <w:rPr>
          <w:i/>
          <w:sz w:val="22"/>
        </w:rPr>
        <w:t>Journal of Business &amp; Economic Statistics</w:t>
      </w:r>
      <w:r w:rsidRPr="00580F19">
        <w:rPr>
          <w:sz w:val="22"/>
        </w:rPr>
        <w:t>, 1-13.</w:t>
      </w:r>
    </w:p>
    <w:p w14:paraId="27B73533" w14:textId="77777777" w:rsidR="00481178" w:rsidRDefault="00481178" w:rsidP="004D52AB">
      <w:pPr>
        <w:spacing w:after="0"/>
        <w:jc w:val="both"/>
        <w:rPr>
          <w:sz w:val="22"/>
        </w:rPr>
      </w:pPr>
    </w:p>
    <w:p w14:paraId="3A809B07" w14:textId="77777777" w:rsidR="00481178" w:rsidRDefault="00481178" w:rsidP="004D52AB">
      <w:pPr>
        <w:spacing w:after="0"/>
        <w:jc w:val="both"/>
        <w:rPr>
          <w:sz w:val="22"/>
        </w:rPr>
      </w:pPr>
      <w:r w:rsidRPr="00481178">
        <w:rPr>
          <w:sz w:val="22"/>
        </w:rPr>
        <w:t>Ravn, M. O., &amp; Uhlig, H. (2002). On adjusting the Hodrick-Prescott filter for the freque</w:t>
      </w:r>
      <w:r>
        <w:rPr>
          <w:sz w:val="22"/>
        </w:rPr>
        <w:t xml:space="preserve">ncy of observations. </w:t>
      </w:r>
      <w:r w:rsidRPr="00481178">
        <w:rPr>
          <w:i/>
          <w:sz w:val="22"/>
        </w:rPr>
        <w:t>Review of Economics and Statistics</w:t>
      </w:r>
      <w:r w:rsidRPr="00481178">
        <w:rPr>
          <w:sz w:val="22"/>
        </w:rPr>
        <w:t>, 84(2), 371-376.</w:t>
      </w:r>
    </w:p>
    <w:p w14:paraId="72C8298A" w14:textId="77777777" w:rsidR="00A273F9" w:rsidRDefault="00A273F9" w:rsidP="004D52AB">
      <w:pPr>
        <w:spacing w:after="0"/>
        <w:jc w:val="both"/>
        <w:rPr>
          <w:sz w:val="22"/>
        </w:rPr>
      </w:pPr>
    </w:p>
    <w:p w14:paraId="03EE96B6" w14:textId="77777777" w:rsidR="00A273F9" w:rsidRDefault="00A273F9" w:rsidP="004D52AB">
      <w:pPr>
        <w:spacing w:after="0"/>
        <w:jc w:val="both"/>
        <w:rPr>
          <w:sz w:val="22"/>
        </w:rPr>
      </w:pPr>
      <w:r w:rsidRPr="00A273F9">
        <w:rPr>
          <w:sz w:val="22"/>
        </w:rPr>
        <w:t xml:space="preserve">Roe, M. J., &amp; Siegel, J. I. (2011). Political instability: Effects on financial development, roots in the severity of economic inequality. </w:t>
      </w:r>
      <w:r w:rsidRPr="00A273F9">
        <w:rPr>
          <w:i/>
          <w:sz w:val="22"/>
        </w:rPr>
        <w:t>Journal of Comparative Economics</w:t>
      </w:r>
      <w:r w:rsidRPr="00A273F9">
        <w:rPr>
          <w:sz w:val="22"/>
        </w:rPr>
        <w:t>, 39(3), 279-309.</w:t>
      </w:r>
    </w:p>
    <w:p w14:paraId="73187617" w14:textId="77777777" w:rsidR="00A478E6" w:rsidRDefault="00A478E6" w:rsidP="004D52AB">
      <w:pPr>
        <w:spacing w:after="0"/>
        <w:jc w:val="both"/>
        <w:rPr>
          <w:sz w:val="22"/>
        </w:rPr>
      </w:pPr>
    </w:p>
    <w:p w14:paraId="0C77567B" w14:textId="77777777" w:rsidR="00A478E6" w:rsidRDefault="00A478E6" w:rsidP="004D52AB">
      <w:pPr>
        <w:spacing w:after="0"/>
        <w:jc w:val="both"/>
        <w:rPr>
          <w:sz w:val="22"/>
        </w:rPr>
      </w:pPr>
      <w:r w:rsidRPr="00A478E6">
        <w:rPr>
          <w:sz w:val="22"/>
        </w:rPr>
        <w:t>Roubini, N. (1991). Economic and political determinants of budget deficits in developing coun</w:t>
      </w:r>
      <w:r>
        <w:rPr>
          <w:sz w:val="22"/>
        </w:rPr>
        <w:t xml:space="preserve">tries. </w:t>
      </w:r>
      <w:r w:rsidRPr="00A478E6">
        <w:rPr>
          <w:i/>
          <w:sz w:val="22"/>
        </w:rPr>
        <w:t>Journal of International Money and Finance</w:t>
      </w:r>
      <w:r>
        <w:rPr>
          <w:sz w:val="22"/>
        </w:rPr>
        <w:t>, 10(S1), 49-</w:t>
      </w:r>
      <w:r w:rsidRPr="00A478E6">
        <w:rPr>
          <w:sz w:val="22"/>
        </w:rPr>
        <w:t>72.</w:t>
      </w:r>
    </w:p>
    <w:p w14:paraId="593D658E" w14:textId="77777777" w:rsidR="00C81585" w:rsidRDefault="00C81585" w:rsidP="004D52AB">
      <w:pPr>
        <w:spacing w:after="0"/>
        <w:jc w:val="both"/>
        <w:rPr>
          <w:sz w:val="22"/>
        </w:rPr>
      </w:pPr>
    </w:p>
    <w:p w14:paraId="236DCD42" w14:textId="77777777" w:rsidR="00C81585" w:rsidRDefault="00C81585" w:rsidP="004D52AB">
      <w:pPr>
        <w:spacing w:after="0"/>
        <w:jc w:val="both"/>
        <w:rPr>
          <w:sz w:val="22"/>
        </w:rPr>
      </w:pPr>
      <w:r w:rsidRPr="00C81585">
        <w:rPr>
          <w:sz w:val="22"/>
        </w:rPr>
        <w:t xml:space="preserve">Spruk, R., &amp; Kovac, M. (2020). Does a ban on trans fats improve public health: synthetic control evidence from Denmark. </w:t>
      </w:r>
      <w:r w:rsidRPr="00C81585">
        <w:rPr>
          <w:i/>
          <w:sz w:val="22"/>
        </w:rPr>
        <w:t>Swiss Journal of Economics and Statistics</w:t>
      </w:r>
      <w:r w:rsidRPr="00C81585">
        <w:rPr>
          <w:sz w:val="22"/>
        </w:rPr>
        <w:t>, 156(1), 1-32.</w:t>
      </w:r>
    </w:p>
    <w:p w14:paraId="46681A31" w14:textId="77777777" w:rsidR="00A273F9" w:rsidRDefault="00A273F9" w:rsidP="004D52AB">
      <w:pPr>
        <w:spacing w:after="0"/>
        <w:jc w:val="both"/>
        <w:rPr>
          <w:sz w:val="22"/>
        </w:rPr>
      </w:pPr>
    </w:p>
    <w:p w14:paraId="22C1B301" w14:textId="77777777" w:rsidR="00A273F9" w:rsidRDefault="00A273F9" w:rsidP="004D52AB">
      <w:pPr>
        <w:spacing w:after="0"/>
        <w:jc w:val="both"/>
        <w:rPr>
          <w:sz w:val="22"/>
        </w:rPr>
      </w:pPr>
      <w:r w:rsidRPr="00A273F9">
        <w:rPr>
          <w:sz w:val="22"/>
        </w:rPr>
        <w:t>Svensson, J. (1998). Investment, property rights and political instability:</w:t>
      </w:r>
      <w:r>
        <w:rPr>
          <w:sz w:val="22"/>
        </w:rPr>
        <w:t xml:space="preserve"> Theory and evidence. </w:t>
      </w:r>
      <w:r w:rsidRPr="00A273F9">
        <w:rPr>
          <w:i/>
          <w:sz w:val="22"/>
        </w:rPr>
        <w:t>European Economic Review</w:t>
      </w:r>
      <w:r w:rsidRPr="00A273F9">
        <w:rPr>
          <w:sz w:val="22"/>
        </w:rPr>
        <w:t>, 42(7), 1317-1341.</w:t>
      </w:r>
    </w:p>
    <w:p w14:paraId="7BFCE1BC" w14:textId="77777777" w:rsidR="00A273F9" w:rsidRDefault="00A273F9" w:rsidP="004D52AB">
      <w:pPr>
        <w:spacing w:after="0"/>
        <w:jc w:val="both"/>
        <w:rPr>
          <w:sz w:val="22"/>
        </w:rPr>
      </w:pPr>
    </w:p>
    <w:p w14:paraId="2F6CE83A" w14:textId="77777777" w:rsidR="00A273F9" w:rsidRPr="004A2AF3" w:rsidRDefault="00580F19" w:rsidP="004D52AB">
      <w:pPr>
        <w:spacing w:after="0"/>
        <w:jc w:val="both"/>
        <w:rPr>
          <w:sz w:val="22"/>
        </w:rPr>
      </w:pPr>
      <w:r w:rsidRPr="00580F19">
        <w:rPr>
          <w:sz w:val="22"/>
        </w:rPr>
        <w:t xml:space="preserve">Xu, Y. (2017). Generalized synthetic control method: Causal inference with interactive fixed effects models. </w:t>
      </w:r>
      <w:r w:rsidRPr="00580F19">
        <w:rPr>
          <w:i/>
          <w:sz w:val="22"/>
        </w:rPr>
        <w:t>Political Analysis</w:t>
      </w:r>
      <w:r w:rsidRPr="00580F19">
        <w:rPr>
          <w:sz w:val="22"/>
        </w:rPr>
        <w:t>, 25(1), 57-76.</w:t>
      </w:r>
    </w:p>
    <w:sectPr w:rsidR="00A273F9" w:rsidRPr="004A2AF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6CD6F2" w14:textId="77777777" w:rsidR="00822BFA" w:rsidRDefault="00822BFA" w:rsidP="001C50F0">
      <w:pPr>
        <w:spacing w:after="0" w:line="240" w:lineRule="auto"/>
      </w:pPr>
      <w:r>
        <w:separator/>
      </w:r>
    </w:p>
  </w:endnote>
  <w:endnote w:type="continuationSeparator" w:id="0">
    <w:p w14:paraId="18E95F78" w14:textId="77777777" w:rsidR="00822BFA" w:rsidRDefault="00822BFA" w:rsidP="001C50F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MU Sans Serif">
    <w:altName w:val="Mongolian Baiti"/>
    <w:charset w:val="00"/>
    <w:family w:val="auto"/>
    <w:pitch w:val="variable"/>
    <w:sig w:usb0="E10002FF" w:usb1="5201E9EB" w:usb2="00020004" w:usb3="00000000" w:csb0="0000011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Bahnschrift Light">
    <w:panose1 w:val="020B0502040204020203"/>
    <w:charset w:val="00"/>
    <w:family w:val="swiss"/>
    <w:pitch w:val="variable"/>
    <w:sig w:usb0="A00002C7" w:usb1="00000002"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81CE0BA" w14:textId="77777777" w:rsidR="00822BFA" w:rsidRDefault="00822BFA" w:rsidP="001C50F0">
      <w:pPr>
        <w:spacing w:after="0" w:line="240" w:lineRule="auto"/>
      </w:pPr>
      <w:r>
        <w:separator/>
      </w:r>
    </w:p>
  </w:footnote>
  <w:footnote w:type="continuationSeparator" w:id="0">
    <w:p w14:paraId="166C2BAB" w14:textId="77777777" w:rsidR="00822BFA" w:rsidRDefault="00822BFA" w:rsidP="001C50F0">
      <w:pPr>
        <w:spacing w:after="0" w:line="240" w:lineRule="auto"/>
      </w:pPr>
      <w:r>
        <w:continuationSeparator/>
      </w:r>
    </w:p>
  </w:footnote>
  <w:footnote w:id="1">
    <w:p w14:paraId="0F19F2DB" w14:textId="77777777" w:rsidR="00DD7EE6" w:rsidRDefault="00DD7EE6" w:rsidP="00C67003">
      <w:pPr>
        <w:pStyle w:val="Sprotnaopomba-besedilo"/>
        <w:jc w:val="both"/>
      </w:pPr>
      <w:r w:rsidRPr="00C67003">
        <w:rPr>
          <w:rStyle w:val="Sprotnaopomba-sklic"/>
          <w:sz w:val="18"/>
        </w:rPr>
        <w:footnoteRef/>
      </w:r>
      <w:r w:rsidRPr="00C67003">
        <w:rPr>
          <w:sz w:val="18"/>
        </w:rPr>
        <w:t xml:space="preserve"> Emery: Research Fellow, UWA Business School, University of Western Australia, 8716 Hackett Dr, Crawley WA 6009, Australia, E: </w:t>
      </w:r>
      <w:hyperlink r:id="rId1" w:history="1">
        <w:r w:rsidRPr="00C67003">
          <w:rPr>
            <w:rStyle w:val="Hiperpovezava"/>
            <w:sz w:val="18"/>
          </w:rPr>
          <w:t>thomas.emery@uwa.edu.au</w:t>
        </w:r>
      </w:hyperlink>
      <w:r w:rsidRPr="00C67003">
        <w:rPr>
          <w:sz w:val="18"/>
        </w:rPr>
        <w:t xml:space="preserve"> . Kovac: Professor of Law and Economics, School of Economics and Business, University of Ljubljana, Kardeljeva Ploscad 17, SI-1000 Ljubljana. E: </w:t>
      </w:r>
      <w:hyperlink r:id="rId2" w:history="1">
        <w:r w:rsidRPr="00C67003">
          <w:rPr>
            <w:rStyle w:val="Hiperpovezava"/>
            <w:sz w:val="18"/>
          </w:rPr>
          <w:t>mitja.kovac@ef.uni-lj.si</w:t>
        </w:r>
      </w:hyperlink>
      <w:r w:rsidRPr="00C67003">
        <w:rPr>
          <w:sz w:val="18"/>
        </w:rPr>
        <w:t xml:space="preserve"> . Spruk: Assistant Professor of Economics, School of Economics and Business, University of Ljubljana, Kardeljeva ploscad 17, SI-1000 Ljubljana. E: </w:t>
      </w:r>
      <w:hyperlink r:id="rId3" w:history="1">
        <w:r w:rsidRPr="00C67003">
          <w:rPr>
            <w:rStyle w:val="Hiperpovezava"/>
            <w:sz w:val="18"/>
          </w:rPr>
          <w:t>rok.spruk@ef.uni-lj.si</w:t>
        </w:r>
      </w:hyperlink>
      <w:r w:rsidRPr="00C67003">
        <w:rPr>
          <w:sz w:val="18"/>
        </w:rPr>
        <w:t>. Standard disclaimer applies.</w:t>
      </w:r>
    </w:p>
  </w:footnote>
  <w:footnote w:id="2">
    <w:p w14:paraId="718679AC" w14:textId="77777777" w:rsidR="00B01068" w:rsidRDefault="00B01068">
      <w:pPr>
        <w:pStyle w:val="Sprotnaopomba-besedilo"/>
      </w:pPr>
      <w:r>
        <w:rPr>
          <w:rStyle w:val="Sprotnaopomba-sklic"/>
        </w:rPr>
        <w:footnoteRef/>
      </w:r>
      <w:r>
        <w:t xml:space="preserve"> Australia, Austria, Belgium, Canada, Chile, Costa Rica, Denmark, Estonia, Finland, France, Germany, Greece, Hungary, Iceland, Ireland, Israel, Italy, Japan, Korea, Luxembourg, Norway, Poland, Portugal, Slovakia, Slovenia, Spain, Sweden, Switzerland, Turkey, United Kingdom, United States</w:t>
      </w:r>
    </w:p>
  </w:footnote>
  <w:footnote w:id="3">
    <w:p w14:paraId="4EF6AB94" w14:textId="77777777" w:rsidR="0071026C" w:rsidRPr="002F4E54" w:rsidRDefault="0071026C" w:rsidP="00201ADE">
      <w:pPr>
        <w:pStyle w:val="Sprotnaopomba-besedilo"/>
        <w:jc w:val="both"/>
        <w:rPr>
          <w:sz w:val="18"/>
          <w:szCs w:val="16"/>
        </w:rPr>
      </w:pPr>
      <w:r w:rsidRPr="002F4E54">
        <w:rPr>
          <w:rStyle w:val="Sprotnaopomba-sklic"/>
          <w:sz w:val="18"/>
          <w:szCs w:val="16"/>
        </w:rPr>
        <w:footnoteRef/>
      </w:r>
      <w:r w:rsidRPr="002F4E54">
        <w:rPr>
          <w:sz w:val="18"/>
          <w:szCs w:val="16"/>
        </w:rPr>
        <w:t xml:space="preserve"> </w:t>
      </w:r>
      <w:r w:rsidRPr="002F4E54">
        <w:rPr>
          <w:i/>
          <w:sz w:val="18"/>
          <w:szCs w:val="16"/>
        </w:rPr>
        <w:t>Voice and accountability</w:t>
      </w:r>
      <w:r w:rsidRPr="002F4E54">
        <w:rPr>
          <w:sz w:val="18"/>
          <w:szCs w:val="16"/>
        </w:rPr>
        <w:t xml:space="preserve"> dimension denotes the perception of the extent to which the citizens </w:t>
      </w:r>
      <w:proofErr w:type="gramStart"/>
      <w:r w:rsidRPr="002F4E54">
        <w:rPr>
          <w:sz w:val="18"/>
          <w:szCs w:val="16"/>
        </w:rPr>
        <w:t>are able to</w:t>
      </w:r>
      <w:proofErr w:type="gramEnd"/>
      <w:r w:rsidRPr="002F4E54">
        <w:rPr>
          <w:sz w:val="18"/>
          <w:szCs w:val="16"/>
        </w:rPr>
        <w:t xml:space="preserve"> participate in selecting their government as well as freedom of expression and association along the freedom of the press.</w:t>
      </w:r>
    </w:p>
  </w:footnote>
  <w:footnote w:id="4">
    <w:p w14:paraId="68211C6A" w14:textId="77777777" w:rsidR="0071026C" w:rsidRPr="002F4E54" w:rsidRDefault="0071026C" w:rsidP="00201ADE">
      <w:pPr>
        <w:pStyle w:val="Sprotnaopomba-besedilo"/>
        <w:jc w:val="both"/>
        <w:rPr>
          <w:sz w:val="18"/>
          <w:szCs w:val="16"/>
        </w:rPr>
      </w:pPr>
      <w:r w:rsidRPr="002F4E54">
        <w:rPr>
          <w:rStyle w:val="Sprotnaopomba-sklic"/>
          <w:sz w:val="18"/>
          <w:szCs w:val="16"/>
        </w:rPr>
        <w:footnoteRef/>
      </w:r>
      <w:r w:rsidRPr="002F4E54">
        <w:rPr>
          <w:sz w:val="18"/>
          <w:szCs w:val="16"/>
        </w:rPr>
        <w:t xml:space="preserve"> </w:t>
      </w:r>
      <w:r w:rsidRPr="002F4E54">
        <w:rPr>
          <w:i/>
          <w:sz w:val="18"/>
          <w:szCs w:val="16"/>
        </w:rPr>
        <w:t>Rule of law</w:t>
      </w:r>
      <w:r w:rsidRPr="002F4E54">
        <w:rPr>
          <w:sz w:val="18"/>
          <w:szCs w:val="16"/>
        </w:rPr>
        <w:t xml:space="preserve"> dimension captures the perception of the extent to which citizens have confidence and abide by the rules of society together with the quality of contract enforcement, property rights, police, judicial quality as well as the likelihood of crime and violence.</w:t>
      </w:r>
    </w:p>
  </w:footnote>
  <w:footnote w:id="5">
    <w:p w14:paraId="594BEB91" w14:textId="77777777" w:rsidR="0071026C" w:rsidRPr="002F4E54" w:rsidRDefault="0071026C" w:rsidP="00201ADE">
      <w:pPr>
        <w:pStyle w:val="Sprotnaopomba-besedilo"/>
        <w:jc w:val="both"/>
        <w:rPr>
          <w:sz w:val="18"/>
          <w:szCs w:val="16"/>
        </w:rPr>
      </w:pPr>
      <w:r w:rsidRPr="002F4E54">
        <w:rPr>
          <w:rStyle w:val="Sprotnaopomba-sklic"/>
          <w:sz w:val="18"/>
          <w:szCs w:val="16"/>
        </w:rPr>
        <w:footnoteRef/>
      </w:r>
      <w:r w:rsidRPr="002F4E54">
        <w:rPr>
          <w:sz w:val="18"/>
          <w:szCs w:val="16"/>
        </w:rPr>
        <w:t xml:space="preserve"> </w:t>
      </w:r>
      <w:r w:rsidRPr="002F4E54">
        <w:rPr>
          <w:i/>
          <w:sz w:val="18"/>
          <w:szCs w:val="16"/>
        </w:rPr>
        <w:t>Regulatory quality</w:t>
      </w:r>
      <w:r w:rsidRPr="002F4E54">
        <w:rPr>
          <w:sz w:val="18"/>
          <w:szCs w:val="16"/>
        </w:rPr>
        <w:t xml:space="preserve"> reflects the perceptions of the ability of the government to formulate and implement sound economic and structural policies and regulation that promote and facilitate private sector development.</w:t>
      </w:r>
    </w:p>
  </w:footnote>
  <w:footnote w:id="6">
    <w:p w14:paraId="50990A71" w14:textId="77777777" w:rsidR="0071026C" w:rsidRPr="002F4E54" w:rsidRDefault="0071026C" w:rsidP="00201ADE">
      <w:pPr>
        <w:pStyle w:val="Sprotnaopomba-besedilo"/>
        <w:jc w:val="both"/>
        <w:rPr>
          <w:sz w:val="18"/>
          <w:szCs w:val="16"/>
        </w:rPr>
      </w:pPr>
      <w:r w:rsidRPr="002F4E54">
        <w:rPr>
          <w:rStyle w:val="Sprotnaopomba-sklic"/>
          <w:sz w:val="18"/>
          <w:szCs w:val="16"/>
        </w:rPr>
        <w:footnoteRef/>
      </w:r>
      <w:r w:rsidRPr="002F4E54">
        <w:rPr>
          <w:sz w:val="18"/>
          <w:szCs w:val="16"/>
        </w:rPr>
        <w:t xml:space="preserve"> </w:t>
      </w:r>
      <w:r w:rsidRPr="002F4E54">
        <w:rPr>
          <w:i/>
          <w:sz w:val="18"/>
          <w:szCs w:val="16"/>
        </w:rPr>
        <w:t>Government effectiveness</w:t>
      </w:r>
      <w:r w:rsidRPr="002F4E54">
        <w:rPr>
          <w:sz w:val="18"/>
          <w:szCs w:val="16"/>
        </w:rPr>
        <w:t xml:space="preserve"> dimensions captures the overall perception of the quality of public services, quality of civil service and the degree of its independence from political pressures, quality of policy formulation and implementation, and the credibility of government’s commitment to such policies.</w:t>
      </w:r>
    </w:p>
  </w:footnote>
  <w:footnote w:id="7">
    <w:p w14:paraId="1A32790E" w14:textId="77777777" w:rsidR="0071026C" w:rsidRDefault="0071026C" w:rsidP="00201ADE">
      <w:pPr>
        <w:pStyle w:val="Sprotnaopomba-besedilo"/>
        <w:jc w:val="both"/>
      </w:pPr>
      <w:r w:rsidRPr="002F4E54">
        <w:rPr>
          <w:rStyle w:val="Sprotnaopomba-sklic"/>
          <w:sz w:val="18"/>
          <w:szCs w:val="16"/>
        </w:rPr>
        <w:footnoteRef/>
      </w:r>
      <w:r w:rsidRPr="002F4E54">
        <w:rPr>
          <w:sz w:val="18"/>
          <w:szCs w:val="16"/>
        </w:rPr>
        <w:t xml:space="preserve"> </w:t>
      </w:r>
      <w:r w:rsidRPr="002F4E54">
        <w:rPr>
          <w:i/>
          <w:sz w:val="18"/>
          <w:szCs w:val="16"/>
        </w:rPr>
        <w:t>Control of corruption</w:t>
      </w:r>
      <w:r w:rsidRPr="002F4E54">
        <w:rPr>
          <w:sz w:val="18"/>
          <w:szCs w:val="16"/>
        </w:rPr>
        <w:t xml:space="preserve"> dimension reflect the perception of the extent to which public power is exercised for private gain including both petty and grand forms of corruption, extent of conflict of interest in holding office, and capture of state by elites and private interests. Corrupt behaviour ensures that only a privileged class of leaders and their cliques are served and included in policy creation.</w:t>
      </w:r>
    </w:p>
  </w:footnote>
  <w:footnote w:id="8">
    <w:p w14:paraId="1D5AC60F" w14:textId="77777777" w:rsidR="0071026C" w:rsidRPr="003414DD" w:rsidRDefault="0071026C" w:rsidP="003414DD">
      <w:pPr>
        <w:pStyle w:val="Sprotnaopomba-besedilo"/>
        <w:jc w:val="both"/>
        <w:rPr>
          <w:sz w:val="18"/>
        </w:rPr>
      </w:pPr>
      <w:r w:rsidRPr="003414DD">
        <w:rPr>
          <w:rStyle w:val="Sprotnaopomba-sklic"/>
          <w:sz w:val="18"/>
        </w:rPr>
        <w:footnoteRef/>
      </w:r>
      <w:r w:rsidRPr="003414DD">
        <w:rPr>
          <w:sz w:val="18"/>
        </w:rPr>
        <w:t xml:space="preserve"> Australia, Austria, Barbados, Botswana, Canada, Denmark, Finland, Ireland, Japan, Luxembourg, Netherlands, New Zealand, Norway, Portugal, </w:t>
      </w:r>
      <w:proofErr w:type="gramStart"/>
      <w:r w:rsidRPr="003414DD">
        <w:rPr>
          <w:sz w:val="18"/>
        </w:rPr>
        <w:t>Sweden</w:t>
      </w:r>
      <w:proofErr w:type="gramEnd"/>
      <w:r w:rsidRPr="003414DD">
        <w:rPr>
          <w:sz w:val="18"/>
        </w:rPr>
        <w:t xml:space="preserve"> and Switzerland.</w:t>
      </w:r>
    </w:p>
  </w:footnote>
  <w:footnote w:id="9">
    <w:p w14:paraId="3E6CFB3A" w14:textId="77777777" w:rsidR="0071026C" w:rsidRPr="003414DD" w:rsidRDefault="0071026C" w:rsidP="003414DD">
      <w:pPr>
        <w:pStyle w:val="Sprotnaopomba-besedilo"/>
        <w:jc w:val="both"/>
        <w:rPr>
          <w:sz w:val="18"/>
        </w:rPr>
      </w:pPr>
      <w:r w:rsidRPr="003414DD">
        <w:rPr>
          <w:rStyle w:val="Sprotnaopomba-sklic"/>
          <w:sz w:val="18"/>
        </w:rPr>
        <w:footnoteRef/>
      </w:r>
      <w:r w:rsidRPr="003414DD">
        <w:rPr>
          <w:sz w:val="18"/>
        </w:rPr>
        <w:t xml:space="preserve"> Carinthia, Central Sava, Central Slovenia, Drava, Gorizia, Littoral-Carso, Littoral-Inner Carniola, Lower Sava, Mura, Savinja, Southeast Slovenia, Upper Carniola</w:t>
      </w:r>
    </w:p>
  </w:footnote>
  <w:footnote w:id="10">
    <w:p w14:paraId="75EEA860" w14:textId="77777777" w:rsidR="0071026C" w:rsidRPr="003414DD" w:rsidRDefault="0071026C" w:rsidP="003414DD">
      <w:pPr>
        <w:pStyle w:val="Sprotnaopomba-besedilo"/>
        <w:jc w:val="both"/>
        <w:rPr>
          <w:sz w:val="18"/>
        </w:rPr>
      </w:pPr>
      <w:r w:rsidRPr="003414DD">
        <w:rPr>
          <w:rStyle w:val="Sprotnaopomba-sklic"/>
          <w:sz w:val="18"/>
        </w:rPr>
        <w:footnoteRef/>
      </w:r>
      <w:r w:rsidRPr="003414DD">
        <w:rPr>
          <w:sz w:val="18"/>
        </w:rPr>
        <w:t xml:space="preserve">  Ajdovscina, Ankaran, Apace, Beltinci, Benedikt, Bistrica ob Sotli, Bled, Bloke, Bohinj, Borovnica, Bovec, Braslovce, Brda, Brezice, Brezovica, Cankova, Cerklje na Gorenjskem, Cerknica, Cerkno, Cerkvenjak, Cirkulane, Crensovci, Crna na Koroskem, Crnomelj, Destrnik, Divaca, Dobje, Dobrepolje, Dobrna, Dobrova-Polhov Gradec, Dobrovnik/Dobronak, Dolenjske Toplice, Dol pri Ljubljani, Domzale, Dornava, Dravograd, Duplek, Gorenja Vas-Poljane, Gorisnica, Gorje, Gornja Radgona, Gornji Grad, Gornji Petrovci, Grad, Grosuplje, Hajdina, Hoce-Slivnica, Hodos, Horjul, Hrastnik, Hrpelje-Kozina, Idrija, Ig, Ilirska Bistrica, Ivancna Gorica, Izola/Isola, Jesenice, Jezersko, Jursinci, Kamnik, Kanal ob Soci, Kidricevo, Kobarid, Kobilje, Kocevje, Komen, Komenda, Kosanjevica na Krki, Kostel, Kozje, Kranjska Gora, Krizevci, Krsko, Kungota, Kuzma, Lasko, Lenart, Lendava/Lendva, Litija, Ljubno, Ljutomer, Log-Dragomer, Logatec, Loska Dolina, Loski Potok, Lovrenc na Pohorju, Luce, Lukovica, Majsperk, Makole, Markovci, Medvode, Menges, Metlika, Mezica, Miklavz na Dravskem Polju, Miren-Kostanjevica, Mirna, Mirna Pec, Mislinja, Mokronog-Trebelno, Moravce, Moravske Toplice, Mozirje, Muta, Naklo, Nazarje, Odranci, Oplotnica, Ormoz, Osilnica, Pesnica, Piran/Pirano, Pivka, Podcetrtek, Podlehnik, Podvelka, Poljcane, Polzela, Postojna, Prebold, Preddvor, Prevalje, Puconci, Race-Fram, Radece, Radenci, Radlje ob Dravi, Radovljica, Ravne na Koroskem, Razkrizje, Recica ob Savinji, Rence-Vogrsko, Ribnica, Ribnica na Pohorju, Rogaska Slatina, Rogasovci, Rogatec, Ruse, Salovci, Selnica ob Dravi, Semic, Sempeter-Vrtojba, Sencur, Sentilj, Sentjernej, Sentjur, Sentrupert, Sevnica, Sezana, Skocjan, Skofja Loka, Skofljica, Slovenska Bistrica, Slovenske Konjice, Smarje pri Jelsah, Smarjeske Toplice, Smartno ob Paki, Smartno pri Litiji, Sodrazica, Solcava, Sostanj, Sredisce ob Dravi, Starse, Store, Straza, Sveta Ana, Sveta Trojica v Slovenskih Goricah, Sveti Andraz v Slovenskih Goricah, Sveti Jurij ob Scavnici, Sveti Jurij v Slovenskih Goricah, Sveti Tomaz, Tabor, Tisina, Tolmin, Trbovlje, Trebnje, Trnovska Vas, Trzic, Trzin, Turnisce, Velika Polana, Velike Lasce, Verzej, Videm, Vipava, Vitanje, Vodice, Vojnik, Vransko, Vrhnika, Vuzenica, Zagorje ob Savi, Zalec, Zavrc, Zelezniki, Zetale, Ziri, Zirovnica, Zrece, Zuzemberk</w:t>
      </w:r>
    </w:p>
  </w:footnote>
  <w:footnote w:id="11">
    <w:p w14:paraId="5FBE4F94" w14:textId="77777777" w:rsidR="0071026C" w:rsidRDefault="0071026C" w:rsidP="003414DD">
      <w:pPr>
        <w:pStyle w:val="Sprotnaopomba-besedilo"/>
        <w:jc w:val="both"/>
      </w:pPr>
      <w:r w:rsidRPr="003414DD">
        <w:rPr>
          <w:rStyle w:val="Sprotnaopomba-sklic"/>
          <w:sz w:val="18"/>
        </w:rPr>
        <w:footnoteRef/>
      </w:r>
      <w:r w:rsidRPr="003414DD">
        <w:rPr>
          <w:sz w:val="18"/>
        </w:rPr>
        <w:t xml:space="preserve"> Celje, Koper</w:t>
      </w:r>
      <w:r>
        <w:rPr>
          <w:sz w:val="18"/>
        </w:rPr>
        <w:t>/Capodistria</w:t>
      </w:r>
      <w:r w:rsidRPr="003414DD">
        <w:rPr>
          <w:sz w:val="18"/>
        </w:rPr>
        <w:t>, Kranj, Ljubljana, Maribor, Murska Sobota, Nova Gorica, Novo Mesto, Ptuj, Slovenj Gradec, Velenje</w:t>
      </w:r>
    </w:p>
  </w:footnote>
  <w:footnote w:id="12">
    <w:p w14:paraId="22FFBF67" w14:textId="77777777" w:rsidR="0071026C" w:rsidRDefault="0071026C">
      <w:pPr>
        <w:pStyle w:val="Sprotnaopomba-besedilo"/>
      </w:pPr>
      <w:r>
        <w:rPr>
          <w:rStyle w:val="Sprotnaopomba-sklic"/>
        </w:rPr>
        <w:footnoteRef/>
      </w:r>
      <w:r>
        <w:t xml:space="preserve"> For the sake of space limitations, the synthetic control </w:t>
      </w:r>
      <w:proofErr w:type="gramStart"/>
      <w:r>
        <w:t>are</w:t>
      </w:r>
      <w:proofErr w:type="gramEnd"/>
      <w:r>
        <w:t xml:space="preserve"> reported only for the selected regions to keep the analysis both transparent and straightforward. A full exhibit of synthetic control groups is available upon request.</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defaultTabStop w:val="720"/>
  <w:characterSpacingControl w:val="doNotCompress"/>
  <w:footnotePr>
    <w:numFmt w:val="chicago"/>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7749B"/>
    <w:rsid w:val="000176BF"/>
    <w:rsid w:val="00033023"/>
    <w:rsid w:val="0004032D"/>
    <w:rsid w:val="00056311"/>
    <w:rsid w:val="00060563"/>
    <w:rsid w:val="0006248E"/>
    <w:rsid w:val="00075387"/>
    <w:rsid w:val="00083E53"/>
    <w:rsid w:val="000A4D57"/>
    <w:rsid w:val="000A713E"/>
    <w:rsid w:val="000B13AC"/>
    <w:rsid w:val="000B1800"/>
    <w:rsid w:val="000C7690"/>
    <w:rsid w:val="00143210"/>
    <w:rsid w:val="00147567"/>
    <w:rsid w:val="00163C0D"/>
    <w:rsid w:val="00177694"/>
    <w:rsid w:val="00181A0F"/>
    <w:rsid w:val="00197642"/>
    <w:rsid w:val="001A1EFD"/>
    <w:rsid w:val="001A54C6"/>
    <w:rsid w:val="001C50F0"/>
    <w:rsid w:val="001C6B48"/>
    <w:rsid w:val="001D7815"/>
    <w:rsid w:val="00201ADE"/>
    <w:rsid w:val="00233A8C"/>
    <w:rsid w:val="0025290F"/>
    <w:rsid w:val="002A7853"/>
    <w:rsid w:val="002D2EA8"/>
    <w:rsid w:val="002D5577"/>
    <w:rsid w:val="002D5C52"/>
    <w:rsid w:val="002E3ED6"/>
    <w:rsid w:val="002E680D"/>
    <w:rsid w:val="002F4E54"/>
    <w:rsid w:val="00315842"/>
    <w:rsid w:val="003212C7"/>
    <w:rsid w:val="003269AE"/>
    <w:rsid w:val="003414DD"/>
    <w:rsid w:val="00347997"/>
    <w:rsid w:val="00360503"/>
    <w:rsid w:val="003B1494"/>
    <w:rsid w:val="003D22CF"/>
    <w:rsid w:val="003D4591"/>
    <w:rsid w:val="003F5C09"/>
    <w:rsid w:val="00402A10"/>
    <w:rsid w:val="00407E63"/>
    <w:rsid w:val="004413EE"/>
    <w:rsid w:val="00441E40"/>
    <w:rsid w:val="00455DCE"/>
    <w:rsid w:val="00460CB1"/>
    <w:rsid w:val="004733CF"/>
    <w:rsid w:val="00481178"/>
    <w:rsid w:val="004A2AF3"/>
    <w:rsid w:val="004C0E33"/>
    <w:rsid w:val="004D52AB"/>
    <w:rsid w:val="004E6D89"/>
    <w:rsid w:val="004F187F"/>
    <w:rsid w:val="004F3419"/>
    <w:rsid w:val="00522A8F"/>
    <w:rsid w:val="00530EF1"/>
    <w:rsid w:val="005611DD"/>
    <w:rsid w:val="00561CB2"/>
    <w:rsid w:val="005707C3"/>
    <w:rsid w:val="00570F0F"/>
    <w:rsid w:val="00580F19"/>
    <w:rsid w:val="00586085"/>
    <w:rsid w:val="005A286B"/>
    <w:rsid w:val="005A45D2"/>
    <w:rsid w:val="005A559B"/>
    <w:rsid w:val="005C0E1B"/>
    <w:rsid w:val="005D74AC"/>
    <w:rsid w:val="005F5983"/>
    <w:rsid w:val="0060745C"/>
    <w:rsid w:val="00610689"/>
    <w:rsid w:val="0061634F"/>
    <w:rsid w:val="00625EB6"/>
    <w:rsid w:val="0066738E"/>
    <w:rsid w:val="00667E0E"/>
    <w:rsid w:val="006731FA"/>
    <w:rsid w:val="0067749B"/>
    <w:rsid w:val="006805BF"/>
    <w:rsid w:val="00680E1A"/>
    <w:rsid w:val="006B2FAD"/>
    <w:rsid w:val="006D0EA4"/>
    <w:rsid w:val="006D4165"/>
    <w:rsid w:val="006D7BC3"/>
    <w:rsid w:val="006F1F63"/>
    <w:rsid w:val="006F3135"/>
    <w:rsid w:val="0071026C"/>
    <w:rsid w:val="007171CA"/>
    <w:rsid w:val="007316D4"/>
    <w:rsid w:val="007437A4"/>
    <w:rsid w:val="007B6782"/>
    <w:rsid w:val="007E5E4F"/>
    <w:rsid w:val="007F7504"/>
    <w:rsid w:val="007F7B15"/>
    <w:rsid w:val="00804B57"/>
    <w:rsid w:val="0081084A"/>
    <w:rsid w:val="00813416"/>
    <w:rsid w:val="00822BFA"/>
    <w:rsid w:val="008300F3"/>
    <w:rsid w:val="008320E7"/>
    <w:rsid w:val="008A1C48"/>
    <w:rsid w:val="008A4F94"/>
    <w:rsid w:val="008B6D48"/>
    <w:rsid w:val="008C24D1"/>
    <w:rsid w:val="008D64A5"/>
    <w:rsid w:val="008F2869"/>
    <w:rsid w:val="008F2E79"/>
    <w:rsid w:val="009115A7"/>
    <w:rsid w:val="00917D1D"/>
    <w:rsid w:val="0093157F"/>
    <w:rsid w:val="009323CB"/>
    <w:rsid w:val="00935128"/>
    <w:rsid w:val="0094386A"/>
    <w:rsid w:val="009448D2"/>
    <w:rsid w:val="00947E77"/>
    <w:rsid w:val="009877F7"/>
    <w:rsid w:val="009B0924"/>
    <w:rsid w:val="009C30CF"/>
    <w:rsid w:val="009C7369"/>
    <w:rsid w:val="009D28E9"/>
    <w:rsid w:val="009E3214"/>
    <w:rsid w:val="009F2D0F"/>
    <w:rsid w:val="00A07687"/>
    <w:rsid w:val="00A11983"/>
    <w:rsid w:val="00A273F9"/>
    <w:rsid w:val="00A27A9B"/>
    <w:rsid w:val="00A45205"/>
    <w:rsid w:val="00A46A4F"/>
    <w:rsid w:val="00A478E6"/>
    <w:rsid w:val="00A65B48"/>
    <w:rsid w:val="00A67017"/>
    <w:rsid w:val="00A83402"/>
    <w:rsid w:val="00AA3683"/>
    <w:rsid w:val="00AB51C9"/>
    <w:rsid w:val="00AD455A"/>
    <w:rsid w:val="00AD7AD7"/>
    <w:rsid w:val="00B01068"/>
    <w:rsid w:val="00B01DE9"/>
    <w:rsid w:val="00B06C1C"/>
    <w:rsid w:val="00B32E67"/>
    <w:rsid w:val="00B40EA4"/>
    <w:rsid w:val="00B72C4A"/>
    <w:rsid w:val="00B765ED"/>
    <w:rsid w:val="00BC0E90"/>
    <w:rsid w:val="00C0026F"/>
    <w:rsid w:val="00C03904"/>
    <w:rsid w:val="00C46CD2"/>
    <w:rsid w:val="00C47EFE"/>
    <w:rsid w:val="00C65E8A"/>
    <w:rsid w:val="00C67003"/>
    <w:rsid w:val="00C81585"/>
    <w:rsid w:val="00CD2BF6"/>
    <w:rsid w:val="00CE2E5F"/>
    <w:rsid w:val="00CE6101"/>
    <w:rsid w:val="00CF2187"/>
    <w:rsid w:val="00D01A6D"/>
    <w:rsid w:val="00D02F2D"/>
    <w:rsid w:val="00D1007E"/>
    <w:rsid w:val="00D13A43"/>
    <w:rsid w:val="00D1534B"/>
    <w:rsid w:val="00D1654A"/>
    <w:rsid w:val="00D437DB"/>
    <w:rsid w:val="00D4789D"/>
    <w:rsid w:val="00D640C0"/>
    <w:rsid w:val="00DA4A88"/>
    <w:rsid w:val="00DB0C43"/>
    <w:rsid w:val="00DD7EE6"/>
    <w:rsid w:val="00DF0206"/>
    <w:rsid w:val="00E40E0D"/>
    <w:rsid w:val="00E437FF"/>
    <w:rsid w:val="00E65B40"/>
    <w:rsid w:val="00E90810"/>
    <w:rsid w:val="00E9400D"/>
    <w:rsid w:val="00F25C5D"/>
    <w:rsid w:val="00F44F87"/>
    <w:rsid w:val="00F5686E"/>
    <w:rsid w:val="00F60A0F"/>
    <w:rsid w:val="00F752A7"/>
    <w:rsid w:val="00F76FF3"/>
    <w:rsid w:val="00F80CCE"/>
    <w:rsid w:val="00F8217C"/>
    <w:rsid w:val="00F94576"/>
    <w:rsid w:val="00FE10BD"/>
    <w:rsid w:val="00FE1301"/>
    <w:rsid w:val="00FE6280"/>
    <w:rsid w:val="00FF365C"/>
    <w:rsid w:val="00FF69A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CA059B"/>
  <w15:chartTrackingRefBased/>
  <w15:docId w15:val="{7A964BCF-3E2A-4909-99B6-6DD01F2A1B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MU Sans Serif" w:eastAsiaTheme="minorHAnsi" w:hAnsi="CMU Sans Serif" w:cs="CMU Sans Serif"/>
        <w:sz w:val="28"/>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table" w:styleId="Tabelamrea">
    <w:name w:val="Table Grid"/>
    <w:basedOn w:val="Navadnatabela"/>
    <w:uiPriority w:val="39"/>
    <w:rsid w:val="0067749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Besedilooznabemesta">
    <w:name w:val="Placeholder Text"/>
    <w:basedOn w:val="Privzetapisavaodstavka"/>
    <w:uiPriority w:val="99"/>
    <w:semiHidden/>
    <w:rsid w:val="00D1007E"/>
    <w:rPr>
      <w:color w:val="808080"/>
    </w:rPr>
  </w:style>
  <w:style w:type="paragraph" w:styleId="Sprotnaopomba-besedilo">
    <w:name w:val="footnote text"/>
    <w:basedOn w:val="Navaden"/>
    <w:link w:val="Sprotnaopomba-besediloZnak"/>
    <w:uiPriority w:val="99"/>
    <w:semiHidden/>
    <w:unhideWhenUsed/>
    <w:rsid w:val="001C50F0"/>
    <w:pPr>
      <w:spacing w:after="0" w:line="240" w:lineRule="auto"/>
    </w:pPr>
    <w:rPr>
      <w:sz w:val="20"/>
      <w:szCs w:val="20"/>
    </w:rPr>
  </w:style>
  <w:style w:type="character" w:customStyle="1" w:styleId="Sprotnaopomba-besediloZnak">
    <w:name w:val="Sprotna opomba - besedilo Znak"/>
    <w:basedOn w:val="Privzetapisavaodstavka"/>
    <w:link w:val="Sprotnaopomba-besedilo"/>
    <w:uiPriority w:val="99"/>
    <w:semiHidden/>
    <w:rsid w:val="001C50F0"/>
    <w:rPr>
      <w:sz w:val="20"/>
      <w:szCs w:val="20"/>
    </w:rPr>
  </w:style>
  <w:style w:type="character" w:styleId="Sprotnaopomba-sklic">
    <w:name w:val="footnote reference"/>
    <w:basedOn w:val="Privzetapisavaodstavka"/>
    <w:uiPriority w:val="99"/>
    <w:semiHidden/>
    <w:unhideWhenUsed/>
    <w:rsid w:val="001C50F0"/>
    <w:rPr>
      <w:vertAlign w:val="superscript"/>
    </w:rPr>
  </w:style>
  <w:style w:type="paragraph" w:styleId="Besedilooblaka">
    <w:name w:val="Balloon Text"/>
    <w:basedOn w:val="Navaden"/>
    <w:link w:val="BesedilooblakaZnak"/>
    <w:uiPriority w:val="99"/>
    <w:semiHidden/>
    <w:unhideWhenUsed/>
    <w:rsid w:val="00917D1D"/>
    <w:pPr>
      <w:spacing w:after="0" w:line="240" w:lineRule="auto"/>
    </w:pPr>
    <w:rPr>
      <w:rFonts w:ascii="Segoe UI" w:hAnsi="Segoe UI" w:cs="Segoe UI"/>
      <w:sz w:val="18"/>
      <w:szCs w:val="18"/>
    </w:rPr>
  </w:style>
  <w:style w:type="character" w:customStyle="1" w:styleId="BesedilooblakaZnak">
    <w:name w:val="Besedilo oblačka Znak"/>
    <w:basedOn w:val="Privzetapisavaodstavka"/>
    <w:link w:val="Besedilooblaka"/>
    <w:uiPriority w:val="99"/>
    <w:semiHidden/>
    <w:rsid w:val="00917D1D"/>
    <w:rPr>
      <w:rFonts w:ascii="Segoe UI" w:hAnsi="Segoe UI" w:cs="Segoe UI"/>
      <w:sz w:val="18"/>
      <w:szCs w:val="18"/>
    </w:rPr>
  </w:style>
  <w:style w:type="character" w:styleId="Hiperpovezava">
    <w:name w:val="Hyperlink"/>
    <w:basedOn w:val="Privzetapisavaodstavka"/>
    <w:uiPriority w:val="99"/>
    <w:unhideWhenUsed/>
    <w:rsid w:val="00DD7EE6"/>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emf"/><Relationship Id="rId13" Type="http://schemas.openxmlformats.org/officeDocument/2006/relationships/image" Target="media/image7.emf"/><Relationship Id="rId3" Type="http://schemas.openxmlformats.org/officeDocument/2006/relationships/settings" Target="settings.xml"/><Relationship Id="rId7" Type="http://schemas.openxmlformats.org/officeDocument/2006/relationships/image" Target="media/image1.emf"/><Relationship Id="rId12" Type="http://schemas.openxmlformats.org/officeDocument/2006/relationships/image" Target="media/image6.emf"/><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image" Target="media/image5.emf"/><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image" Target="media/image4.emf"/><Relationship Id="rId4" Type="http://schemas.openxmlformats.org/officeDocument/2006/relationships/webSettings" Target="webSettings.xml"/><Relationship Id="rId9" Type="http://schemas.openxmlformats.org/officeDocument/2006/relationships/image" Target="media/image3.emf"/><Relationship Id="rId14" Type="http://schemas.openxmlformats.org/officeDocument/2006/relationships/image" Target="media/image8.emf"/></Relationships>
</file>

<file path=word/_rels/footnotes.xml.rels><?xml version="1.0" encoding="UTF-8" standalone="yes"?>
<Relationships xmlns="http://schemas.openxmlformats.org/package/2006/relationships"><Relationship Id="rId3" Type="http://schemas.openxmlformats.org/officeDocument/2006/relationships/hyperlink" Target="mailto:rok.spruk@ef.uni-lj.si" TargetMode="External"/><Relationship Id="rId2" Type="http://schemas.openxmlformats.org/officeDocument/2006/relationships/hyperlink" Target="mailto:mitja.kovac@ef.uni-lj.si" TargetMode="External"/><Relationship Id="rId1" Type="http://schemas.openxmlformats.org/officeDocument/2006/relationships/hyperlink" Target="mailto:thomas.emery@uwa.edu.a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4F8CA81-FF25-4D4B-AB7B-256E98534F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30</Pages>
  <Words>14417</Words>
  <Characters>82179</Characters>
  <Application>Microsoft Office Word</Application>
  <DocSecurity>0</DocSecurity>
  <Lines>684</Lines>
  <Paragraphs>192</Paragraphs>
  <ScaleCrop>false</ScaleCrop>
  <HeadingPairs>
    <vt:vector size="2" baseType="variant">
      <vt:variant>
        <vt:lpstr>Title</vt:lpstr>
      </vt:variant>
      <vt:variant>
        <vt:i4>1</vt:i4>
      </vt:variant>
    </vt:vector>
  </HeadingPairs>
  <TitlesOfParts>
    <vt:vector size="1" baseType="lpstr">
      <vt:lpstr/>
    </vt:vector>
  </TitlesOfParts>
  <Company>Ekonomska fakulteta, Univerza Ljubljana</Company>
  <LinksUpToDate>false</LinksUpToDate>
  <CharactersWithSpaces>96404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Spruk, Rok</dc:creator>
  <cp:keywords/>
  <dc:description/>
  <cp:lastModifiedBy>Kovač, Mitja</cp:lastModifiedBy>
  <cp:revision>3</cp:revision>
  <cp:lastPrinted>2022-03-11T13:58:00Z</cp:lastPrinted>
  <dcterms:created xsi:type="dcterms:W3CDTF">2023-02-11T10:28:00Z</dcterms:created>
  <dcterms:modified xsi:type="dcterms:W3CDTF">2023-02-11T10:31:00Z</dcterms:modified>
</cp:coreProperties>
</file>