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58622" w14:textId="16248961" w:rsidR="00E93FF0" w:rsidRPr="00737CF7" w:rsidRDefault="004B6350" w:rsidP="00CA6BC7">
      <w:pPr>
        <w:pStyle w:val="Title"/>
        <w:rPr>
          <w:smallCaps/>
          <w:sz w:val="24"/>
          <w:szCs w:val="24"/>
        </w:rPr>
      </w:pPr>
      <w:bookmarkStart w:id="0" w:name="_Hlk121133954"/>
      <w:bookmarkStart w:id="1" w:name="_Toc244884899"/>
      <w:bookmarkEnd w:id="0"/>
      <w:r w:rsidRPr="00737CF7">
        <w:rPr>
          <w:smallCaps/>
          <w:sz w:val="24"/>
          <w:szCs w:val="24"/>
        </w:rPr>
        <w:t>A</w:t>
      </w:r>
      <w:r w:rsidR="00DF6DA9" w:rsidRPr="00737CF7">
        <w:rPr>
          <w:smallCaps/>
          <w:sz w:val="24"/>
          <w:szCs w:val="24"/>
        </w:rPr>
        <w:t>ntisocial Innovation</w:t>
      </w:r>
    </w:p>
    <w:p w14:paraId="0AFEC7CF" w14:textId="39C71A50" w:rsidR="00CA6BC7" w:rsidRPr="00E8791F" w:rsidRDefault="00DF6DA9" w:rsidP="00CA6BC7">
      <w:pPr>
        <w:pStyle w:val="Author"/>
        <w:rPr>
          <w:i/>
        </w:rPr>
      </w:pPr>
      <w:r w:rsidRPr="00E8791F">
        <w:rPr>
          <w:i/>
        </w:rPr>
        <w:t>Christopher Buccafusco</w:t>
      </w:r>
      <w:r w:rsidR="00E31F11" w:rsidRPr="00E31F11">
        <w:rPr>
          <w:rStyle w:val="FootnoteReference"/>
          <w:i/>
        </w:rPr>
        <w:footnoteReference w:customMarkFollows="1" w:id="2"/>
        <w:sym w:font="Symbol" w:char="F0A7"/>
      </w:r>
      <w:r w:rsidRPr="00E8791F">
        <w:rPr>
          <w:i/>
        </w:rPr>
        <w:t xml:space="preserve"> &amp; Samuel N. Weinstein</w:t>
      </w:r>
      <w:r w:rsidR="00B5618D" w:rsidRPr="00E8791F">
        <w:rPr>
          <w:rStyle w:val="FootnoteReference"/>
          <w:i/>
        </w:rPr>
        <w:footnoteReference w:customMarkFollows="1" w:id="3"/>
        <w:t>*</w:t>
      </w:r>
    </w:p>
    <w:p w14:paraId="606923FC" w14:textId="09BEF907" w:rsidR="00810D2C" w:rsidRDefault="00DF6DA9" w:rsidP="00DF6DA9">
      <w:pPr>
        <w:rPr>
          <w:i/>
          <w:iCs/>
        </w:rPr>
      </w:pPr>
      <w:r w:rsidRPr="00737CF7">
        <w:rPr>
          <w:i/>
          <w:iCs/>
        </w:rPr>
        <w:t xml:space="preserve">Innovation is a form of civic religion in the United States. In the popular imagination, innovators are heroic figures. </w:t>
      </w:r>
      <w:r w:rsidR="007D7885">
        <w:rPr>
          <w:i/>
          <w:iCs/>
        </w:rPr>
        <w:t xml:space="preserve">Thomas Edison, </w:t>
      </w:r>
      <w:r w:rsidRPr="00737CF7">
        <w:rPr>
          <w:i/>
          <w:iCs/>
        </w:rPr>
        <w:t xml:space="preserve">Steve Jobs, and (for a while) Elizabeth Holmes were lauded for their vision and drive and seen to embody the American spirit of invention and improvement. For their part, politicians rarely miss a chance to trumpet their vision for boosting innovative activity. Popular and political culture alike treat innovation as an unalloyed good. </w:t>
      </w:r>
      <w:r w:rsidR="00F55CEA">
        <w:rPr>
          <w:i/>
          <w:iCs/>
        </w:rPr>
        <w:t xml:space="preserve">And </w:t>
      </w:r>
      <w:r w:rsidR="002B70E8">
        <w:rPr>
          <w:i/>
          <w:iCs/>
        </w:rPr>
        <w:t>the law is deeply committed to fostering innovation, spending billions of dollars a year to make sure society has enough of it.</w:t>
      </w:r>
      <w:r w:rsidR="00F55CEA">
        <w:rPr>
          <w:i/>
          <w:iCs/>
        </w:rPr>
        <w:t xml:space="preserve"> </w:t>
      </w:r>
      <w:r w:rsidRPr="00737CF7">
        <w:rPr>
          <w:i/>
          <w:iCs/>
        </w:rPr>
        <w:t xml:space="preserve">But this sunny vision of innovation as purely beneficial is mistaken. Some innovations, like the </w:t>
      </w:r>
      <w:r w:rsidR="00D24C68">
        <w:rPr>
          <w:i/>
          <w:iCs/>
        </w:rPr>
        <w:t>p</w:t>
      </w:r>
      <w:r w:rsidRPr="00737CF7">
        <w:rPr>
          <w:i/>
          <w:iCs/>
        </w:rPr>
        <w:t xml:space="preserve">olio </w:t>
      </w:r>
      <w:r w:rsidR="00BE6D56">
        <w:rPr>
          <w:i/>
          <w:iCs/>
        </w:rPr>
        <w:t>and</w:t>
      </w:r>
      <w:r w:rsidRPr="00737CF7">
        <w:rPr>
          <w:i/>
          <w:iCs/>
        </w:rPr>
        <w:t xml:space="preserve"> </w:t>
      </w:r>
      <w:r w:rsidR="00675BD7">
        <w:rPr>
          <w:i/>
          <w:iCs/>
        </w:rPr>
        <w:t>Covid</w:t>
      </w:r>
      <w:r w:rsidR="00AD6066">
        <w:rPr>
          <w:i/>
          <w:iCs/>
        </w:rPr>
        <w:t xml:space="preserve">-19 </w:t>
      </w:r>
      <w:r w:rsidRPr="00737CF7">
        <w:rPr>
          <w:i/>
          <w:iCs/>
        </w:rPr>
        <w:t>vaccine</w:t>
      </w:r>
      <w:r w:rsidR="00AD6066">
        <w:rPr>
          <w:i/>
          <w:iCs/>
        </w:rPr>
        <w:t>s</w:t>
      </w:r>
      <w:r w:rsidRPr="00737CF7">
        <w:rPr>
          <w:i/>
          <w:iCs/>
        </w:rPr>
        <w:t>, are unquestionably good for society. But many innovations are</w:t>
      </w:r>
      <w:r w:rsidR="00763366">
        <w:rPr>
          <w:i/>
          <w:iCs/>
        </w:rPr>
        <w:t>,</w:t>
      </w:r>
      <w:r w:rsidRPr="00737CF7">
        <w:rPr>
          <w:i/>
          <w:iCs/>
        </w:rPr>
        <w:t xml:space="preserve"> on balance</w:t>
      </w:r>
      <w:r w:rsidR="00763366">
        <w:rPr>
          <w:i/>
          <w:iCs/>
        </w:rPr>
        <w:t>,</w:t>
      </w:r>
      <w:r w:rsidRPr="00737CF7">
        <w:rPr>
          <w:i/>
          <w:iCs/>
        </w:rPr>
        <w:t xml:space="preserve"> neutral</w:t>
      </w:r>
      <w:r w:rsidR="00763366">
        <w:rPr>
          <w:i/>
          <w:iCs/>
        </w:rPr>
        <w:t xml:space="preserve">, and many more are </w:t>
      </w:r>
      <w:r w:rsidRPr="00737CF7">
        <w:rPr>
          <w:i/>
          <w:iCs/>
        </w:rPr>
        <w:t>simply bad for society (cigarette</w:t>
      </w:r>
      <w:r w:rsidR="00A870FC">
        <w:rPr>
          <w:i/>
          <w:iCs/>
        </w:rPr>
        <w:t xml:space="preserve"> additives</w:t>
      </w:r>
      <w:r w:rsidRPr="00737CF7">
        <w:rPr>
          <w:i/>
          <w:iCs/>
        </w:rPr>
        <w:t xml:space="preserve">, </w:t>
      </w:r>
      <w:r w:rsidR="00334DCF">
        <w:rPr>
          <w:i/>
          <w:iCs/>
        </w:rPr>
        <w:t>worker surveillance</w:t>
      </w:r>
      <w:r w:rsidR="0092760A">
        <w:rPr>
          <w:i/>
          <w:iCs/>
        </w:rPr>
        <w:t xml:space="preserve">, </w:t>
      </w:r>
      <w:r w:rsidR="00BB6F41">
        <w:rPr>
          <w:i/>
          <w:iCs/>
        </w:rPr>
        <w:t>firearm bump stocks</w:t>
      </w:r>
      <w:r w:rsidRPr="00737CF7">
        <w:rPr>
          <w:i/>
          <w:iCs/>
        </w:rPr>
        <w:t xml:space="preserve">). </w:t>
      </w:r>
      <w:r w:rsidR="006D404A">
        <w:rPr>
          <w:i/>
          <w:iCs/>
        </w:rPr>
        <w:t>Moreover,</w:t>
      </w:r>
      <w:r w:rsidRPr="00737CF7">
        <w:rPr>
          <w:i/>
          <w:iCs/>
        </w:rPr>
        <w:t xml:space="preserve"> some neutral innovations transfer wealth from one group to another </w:t>
      </w:r>
      <w:r w:rsidR="008C4442" w:rsidRPr="00737CF7">
        <w:rPr>
          <w:i/>
          <w:iCs/>
        </w:rPr>
        <w:t xml:space="preserve">in ways that might be morally objectionable </w:t>
      </w:r>
      <w:r w:rsidRPr="00737CF7">
        <w:rPr>
          <w:i/>
          <w:iCs/>
        </w:rPr>
        <w:t xml:space="preserve">(pricing algorithms). </w:t>
      </w:r>
    </w:p>
    <w:p w14:paraId="7257D2C9" w14:textId="77777777" w:rsidR="00810D2C" w:rsidRDefault="00810D2C" w:rsidP="00DF6DA9">
      <w:pPr>
        <w:rPr>
          <w:i/>
          <w:iCs/>
        </w:rPr>
      </w:pPr>
    </w:p>
    <w:p w14:paraId="76491D46" w14:textId="5E48D150" w:rsidR="007D3315" w:rsidRDefault="00621BC1" w:rsidP="00DF6DA9">
      <w:pPr>
        <w:rPr>
          <w:i/>
          <w:iCs/>
        </w:rPr>
      </w:pPr>
      <w:r>
        <w:rPr>
          <w:i/>
          <w:iCs/>
        </w:rPr>
        <w:t xml:space="preserve">This Article </w:t>
      </w:r>
      <w:r w:rsidR="006C3464">
        <w:rPr>
          <w:i/>
          <w:iCs/>
        </w:rPr>
        <w:t xml:space="preserve">argues that a </w:t>
      </w:r>
      <w:r w:rsidR="0028183A">
        <w:rPr>
          <w:i/>
          <w:iCs/>
        </w:rPr>
        <w:t>fuller conception of innovation</w:t>
      </w:r>
      <w:r w:rsidR="00D24C68">
        <w:rPr>
          <w:i/>
          <w:iCs/>
        </w:rPr>
        <w:t>’</w:t>
      </w:r>
      <w:r w:rsidR="0028183A">
        <w:rPr>
          <w:i/>
          <w:iCs/>
        </w:rPr>
        <w:t xml:space="preserve">s costs and benefits </w:t>
      </w:r>
      <w:r w:rsidR="00F8713F">
        <w:rPr>
          <w:i/>
          <w:iCs/>
        </w:rPr>
        <w:t xml:space="preserve">counsels a radical reorientation of </w:t>
      </w:r>
      <w:r w:rsidR="0099351C">
        <w:rPr>
          <w:i/>
          <w:iCs/>
        </w:rPr>
        <w:t xml:space="preserve">law and policy. </w:t>
      </w:r>
      <w:r w:rsidR="002855FF">
        <w:rPr>
          <w:i/>
          <w:iCs/>
        </w:rPr>
        <w:t xml:space="preserve">It begins with a </w:t>
      </w:r>
      <w:r w:rsidR="00F3633C">
        <w:rPr>
          <w:i/>
          <w:iCs/>
        </w:rPr>
        <w:t xml:space="preserve">taxonomy of various kinds of antisocial innovation, cataloging and describing individual, </w:t>
      </w:r>
      <w:r w:rsidR="001A5ECA">
        <w:rPr>
          <w:i/>
          <w:iCs/>
        </w:rPr>
        <w:t>environmental,</w:t>
      </w:r>
      <w:r w:rsidR="0015796B">
        <w:rPr>
          <w:i/>
          <w:iCs/>
        </w:rPr>
        <w:t xml:space="preserve"> </w:t>
      </w:r>
      <w:r w:rsidR="00337A0B">
        <w:rPr>
          <w:i/>
          <w:iCs/>
        </w:rPr>
        <w:t xml:space="preserve">competition, </w:t>
      </w:r>
      <w:r w:rsidR="0015796B">
        <w:rPr>
          <w:i/>
          <w:iCs/>
        </w:rPr>
        <w:t xml:space="preserve">labor, </w:t>
      </w:r>
      <w:r w:rsidR="00267BCA">
        <w:rPr>
          <w:i/>
          <w:iCs/>
        </w:rPr>
        <w:t xml:space="preserve">privacy, and </w:t>
      </w:r>
      <w:r w:rsidR="001B4644">
        <w:rPr>
          <w:i/>
          <w:iCs/>
        </w:rPr>
        <w:t xml:space="preserve">social harms. </w:t>
      </w:r>
      <w:r w:rsidR="00CC45AA">
        <w:rPr>
          <w:i/>
          <w:iCs/>
        </w:rPr>
        <w:t xml:space="preserve">Then, the Article presents a series of policy recommendations to begin addressing antisocial innovation’s risks. </w:t>
      </w:r>
      <w:r w:rsidR="006D200C">
        <w:rPr>
          <w:i/>
          <w:iCs/>
        </w:rPr>
        <w:t xml:space="preserve">We propose </w:t>
      </w:r>
      <w:r w:rsidR="007B5D4E">
        <w:rPr>
          <w:i/>
          <w:iCs/>
        </w:rPr>
        <w:t>that intellectual property and antitrust laws</w:t>
      </w:r>
      <w:r w:rsidR="006D200C">
        <w:rPr>
          <w:i/>
          <w:iCs/>
        </w:rPr>
        <w:t xml:space="preserve"> </w:t>
      </w:r>
      <w:r w:rsidR="004B6BBB">
        <w:rPr>
          <w:i/>
          <w:iCs/>
        </w:rPr>
        <w:t xml:space="preserve">abandon their </w:t>
      </w:r>
      <w:r w:rsidR="006E031B">
        <w:rPr>
          <w:i/>
          <w:iCs/>
        </w:rPr>
        <w:t xml:space="preserve">presumptions that all innovation is socially valuable in favor </w:t>
      </w:r>
      <w:r w:rsidR="009F550E">
        <w:rPr>
          <w:i/>
          <w:iCs/>
        </w:rPr>
        <w:t>of</w:t>
      </w:r>
      <w:r w:rsidR="006E031B">
        <w:rPr>
          <w:i/>
          <w:iCs/>
        </w:rPr>
        <w:t xml:space="preserve"> a </w:t>
      </w:r>
      <w:r w:rsidR="00F553BD">
        <w:rPr>
          <w:i/>
          <w:iCs/>
        </w:rPr>
        <w:t xml:space="preserve">more balanced </w:t>
      </w:r>
      <w:r w:rsidR="009F550E">
        <w:rPr>
          <w:i/>
          <w:iCs/>
        </w:rPr>
        <w:t xml:space="preserve">view of the need for incentives and protection. </w:t>
      </w:r>
      <w:r w:rsidR="00CB6B72">
        <w:rPr>
          <w:i/>
          <w:iCs/>
        </w:rPr>
        <w:t xml:space="preserve">We also consider further opportunities for </w:t>
      </w:r>
      <w:r w:rsidR="00D73178">
        <w:rPr>
          <w:i/>
          <w:iCs/>
        </w:rPr>
        <w:t>law to engage in</w:t>
      </w:r>
      <w:r w:rsidR="00CB6B72">
        <w:rPr>
          <w:i/>
          <w:iCs/>
        </w:rPr>
        <w:t xml:space="preserve"> </w:t>
      </w:r>
      <w:r w:rsidR="002617EB">
        <w:rPr>
          <w:i/>
          <w:iCs/>
        </w:rPr>
        <w:t xml:space="preserve">ex ante </w:t>
      </w:r>
      <w:r w:rsidR="00CF1523">
        <w:rPr>
          <w:i/>
          <w:iCs/>
        </w:rPr>
        <w:t xml:space="preserve">regulation of some kinds of innovation, in order to </w:t>
      </w:r>
      <w:r w:rsidR="005D458C">
        <w:rPr>
          <w:i/>
          <w:iCs/>
        </w:rPr>
        <w:t>prevent harms before they arise.</w:t>
      </w:r>
      <w:r w:rsidR="00CF1523">
        <w:rPr>
          <w:i/>
          <w:iCs/>
        </w:rPr>
        <w:t xml:space="preserve"> </w:t>
      </w:r>
    </w:p>
    <w:p w14:paraId="6C3A4487" w14:textId="77777777" w:rsidR="007D3315" w:rsidRDefault="007D3315" w:rsidP="00DF6DA9">
      <w:pPr>
        <w:rPr>
          <w:i/>
          <w:iCs/>
        </w:rPr>
      </w:pPr>
    </w:p>
    <w:p w14:paraId="7F45BD26" w14:textId="308DC66E" w:rsidR="00B5618D" w:rsidRPr="00E8791F" w:rsidRDefault="00B5618D" w:rsidP="00B5618D">
      <w:pPr>
        <w:pStyle w:val="Abstract"/>
        <w:rPr>
          <w:sz w:val="24"/>
        </w:rPr>
      </w:pPr>
    </w:p>
    <w:p w14:paraId="6524321F" w14:textId="77777777" w:rsidR="00216435" w:rsidRPr="00737CF7" w:rsidRDefault="00216435" w:rsidP="00B5618D">
      <w:pPr>
        <w:pStyle w:val="Abstract"/>
        <w:rPr>
          <w:sz w:val="24"/>
        </w:rPr>
      </w:pPr>
    </w:p>
    <w:p w14:paraId="38A3ACB3" w14:textId="77777777" w:rsidR="00216435" w:rsidRPr="00737CF7" w:rsidRDefault="00216435" w:rsidP="00B5618D">
      <w:pPr>
        <w:pStyle w:val="Abstract"/>
        <w:rPr>
          <w:sz w:val="24"/>
        </w:rPr>
      </w:pPr>
    </w:p>
    <w:p w14:paraId="7BC65F09" w14:textId="77777777" w:rsidR="00216435" w:rsidRPr="00737CF7" w:rsidRDefault="00216435" w:rsidP="00DF6DA9">
      <w:pPr>
        <w:pStyle w:val="Abstract"/>
        <w:ind w:left="0"/>
        <w:rPr>
          <w:sz w:val="24"/>
        </w:rPr>
        <w:sectPr w:rsidR="00216435" w:rsidRPr="00737CF7" w:rsidSect="00CA5E70">
          <w:headerReference w:type="default" r:id="rId8"/>
          <w:footerReference w:type="default" r:id="rId9"/>
          <w:type w:val="continuous"/>
          <w:pgSz w:w="12240" w:h="15840" w:code="1"/>
          <w:pgMar w:top="1710" w:right="2520" w:bottom="1800" w:left="2520" w:header="720" w:footer="1080" w:gutter="0"/>
          <w:pgNumType w:start="1"/>
          <w:cols w:space="720"/>
          <w:titlePg/>
          <w:docGrid w:linePitch="354"/>
        </w:sectPr>
      </w:pPr>
    </w:p>
    <w:p w14:paraId="65DFCE9D" w14:textId="77777777" w:rsidR="00DF6DA9" w:rsidRPr="00737CF7" w:rsidRDefault="00DF6DA9" w:rsidP="00DF6DA9">
      <w:pPr>
        <w:pStyle w:val="Title"/>
        <w:rPr>
          <w:smallCaps/>
          <w:sz w:val="24"/>
          <w:szCs w:val="24"/>
        </w:rPr>
      </w:pPr>
      <w:r w:rsidRPr="00737CF7">
        <w:rPr>
          <w:smallCaps/>
          <w:sz w:val="24"/>
          <w:szCs w:val="24"/>
        </w:rPr>
        <w:lastRenderedPageBreak/>
        <w:t>Antisocial Innovation</w:t>
      </w:r>
    </w:p>
    <w:p w14:paraId="71EE446C" w14:textId="5CC3C790" w:rsidR="004B6350" w:rsidRPr="00E8791F" w:rsidRDefault="004B6350" w:rsidP="00B5618D">
      <w:pPr>
        <w:pStyle w:val="Author"/>
      </w:pPr>
      <w:r w:rsidRPr="00E8791F">
        <w:t>CONTENTS</w:t>
      </w:r>
    </w:p>
    <w:p w14:paraId="23A54FEB" w14:textId="41A1FB3D" w:rsidR="0030232F" w:rsidRDefault="00E93FF0">
      <w:pPr>
        <w:pStyle w:val="TOC1"/>
        <w:rPr>
          <w:rFonts w:asciiTheme="minorHAnsi" w:eastAsiaTheme="minorEastAsia" w:hAnsiTheme="minorHAnsi" w:cstheme="minorBidi"/>
          <w:smallCaps w:val="0"/>
          <w:noProof/>
        </w:rPr>
      </w:pPr>
      <w:r w:rsidRPr="00E8791F">
        <w:fldChar w:fldCharType="begin"/>
      </w:r>
      <w:r w:rsidRPr="00E8791F">
        <w:instrText xml:space="preserve"> TOC \o "1-3" </w:instrText>
      </w:r>
      <w:r w:rsidRPr="00E8791F">
        <w:fldChar w:fldCharType="separate"/>
      </w:r>
      <w:r w:rsidR="0030232F" w:rsidRPr="00221A1B">
        <w:rPr>
          <w:noProof/>
          <w:lang w:val="fr-FR"/>
        </w:rPr>
        <w:t>Introduction</w:t>
      </w:r>
      <w:r w:rsidR="0030232F">
        <w:rPr>
          <w:noProof/>
        </w:rPr>
        <w:tab/>
      </w:r>
      <w:r w:rsidR="0030232F">
        <w:rPr>
          <w:noProof/>
        </w:rPr>
        <w:fldChar w:fldCharType="begin"/>
      </w:r>
      <w:r w:rsidR="0030232F">
        <w:rPr>
          <w:noProof/>
        </w:rPr>
        <w:instrText xml:space="preserve"> PAGEREF _Toc126854767 \h </w:instrText>
      </w:r>
      <w:r w:rsidR="0030232F">
        <w:rPr>
          <w:noProof/>
        </w:rPr>
      </w:r>
      <w:r w:rsidR="0030232F">
        <w:rPr>
          <w:noProof/>
        </w:rPr>
        <w:fldChar w:fldCharType="separate"/>
      </w:r>
      <w:r w:rsidR="00995C7E">
        <w:rPr>
          <w:noProof/>
        </w:rPr>
        <w:t>1</w:t>
      </w:r>
      <w:r w:rsidR="0030232F">
        <w:rPr>
          <w:noProof/>
        </w:rPr>
        <w:fldChar w:fldCharType="end"/>
      </w:r>
    </w:p>
    <w:p w14:paraId="17F79F6C" w14:textId="18A89145" w:rsidR="0030232F" w:rsidRDefault="0030232F">
      <w:pPr>
        <w:pStyle w:val="TOC1"/>
        <w:rPr>
          <w:rFonts w:asciiTheme="minorHAnsi" w:eastAsiaTheme="minorEastAsia" w:hAnsiTheme="minorHAnsi" w:cstheme="minorBidi"/>
          <w:smallCaps w:val="0"/>
          <w:noProof/>
        </w:rPr>
      </w:pPr>
      <w:r>
        <w:rPr>
          <w:noProof/>
        </w:rPr>
        <w:t>I.</w:t>
      </w:r>
      <w:r>
        <w:rPr>
          <w:rFonts w:asciiTheme="minorHAnsi" w:eastAsiaTheme="minorEastAsia" w:hAnsiTheme="minorHAnsi" w:cstheme="minorBidi"/>
          <w:smallCaps w:val="0"/>
          <w:noProof/>
        </w:rPr>
        <w:tab/>
      </w:r>
      <w:r>
        <w:rPr>
          <w:noProof/>
        </w:rPr>
        <w:t>Incentivizing Innovation</w:t>
      </w:r>
      <w:r>
        <w:rPr>
          <w:noProof/>
        </w:rPr>
        <w:tab/>
      </w:r>
      <w:r>
        <w:rPr>
          <w:noProof/>
        </w:rPr>
        <w:fldChar w:fldCharType="begin"/>
      </w:r>
      <w:r>
        <w:rPr>
          <w:noProof/>
        </w:rPr>
        <w:instrText xml:space="preserve"> PAGEREF _Toc126854768 \h </w:instrText>
      </w:r>
      <w:r>
        <w:rPr>
          <w:noProof/>
        </w:rPr>
      </w:r>
      <w:r>
        <w:rPr>
          <w:noProof/>
        </w:rPr>
        <w:fldChar w:fldCharType="separate"/>
      </w:r>
      <w:r w:rsidR="00995C7E">
        <w:rPr>
          <w:noProof/>
        </w:rPr>
        <w:t>9</w:t>
      </w:r>
      <w:r>
        <w:rPr>
          <w:noProof/>
        </w:rPr>
        <w:fldChar w:fldCharType="end"/>
      </w:r>
    </w:p>
    <w:p w14:paraId="11ABBCCB" w14:textId="5F150221" w:rsidR="0030232F" w:rsidRDefault="0030232F">
      <w:pPr>
        <w:pStyle w:val="TOC2"/>
        <w:rPr>
          <w:rFonts w:asciiTheme="minorHAnsi" w:eastAsiaTheme="minorEastAsia" w:hAnsiTheme="minorHAnsi" w:cstheme="minorBidi"/>
          <w:noProof/>
          <w:szCs w:val="24"/>
        </w:rPr>
      </w:pPr>
      <w:r w:rsidRPr="00221A1B">
        <w:rPr>
          <w:i/>
          <w:noProof/>
        </w:rPr>
        <w:t>A.</w:t>
      </w:r>
      <w:r>
        <w:rPr>
          <w:rFonts w:asciiTheme="minorHAnsi" w:eastAsiaTheme="minorEastAsia" w:hAnsiTheme="minorHAnsi" w:cstheme="minorBidi"/>
          <w:noProof/>
          <w:szCs w:val="24"/>
        </w:rPr>
        <w:tab/>
      </w:r>
      <w:r>
        <w:rPr>
          <w:noProof/>
        </w:rPr>
        <w:t>Grants, Prizes, and Tax Incentives</w:t>
      </w:r>
      <w:r>
        <w:rPr>
          <w:noProof/>
        </w:rPr>
        <w:tab/>
      </w:r>
      <w:r>
        <w:rPr>
          <w:noProof/>
        </w:rPr>
        <w:fldChar w:fldCharType="begin"/>
      </w:r>
      <w:r>
        <w:rPr>
          <w:noProof/>
        </w:rPr>
        <w:instrText xml:space="preserve"> PAGEREF _Toc126854769 \h </w:instrText>
      </w:r>
      <w:r>
        <w:rPr>
          <w:noProof/>
        </w:rPr>
      </w:r>
      <w:r>
        <w:rPr>
          <w:noProof/>
        </w:rPr>
        <w:fldChar w:fldCharType="separate"/>
      </w:r>
      <w:r w:rsidR="00995C7E">
        <w:rPr>
          <w:noProof/>
        </w:rPr>
        <w:t>9</w:t>
      </w:r>
      <w:r>
        <w:rPr>
          <w:noProof/>
        </w:rPr>
        <w:fldChar w:fldCharType="end"/>
      </w:r>
    </w:p>
    <w:p w14:paraId="047660F6" w14:textId="3DEE99FB" w:rsidR="0030232F" w:rsidRDefault="0030232F">
      <w:pPr>
        <w:pStyle w:val="TOC2"/>
        <w:rPr>
          <w:rFonts w:asciiTheme="minorHAnsi" w:eastAsiaTheme="minorEastAsia" w:hAnsiTheme="minorHAnsi" w:cstheme="minorBidi"/>
          <w:noProof/>
          <w:szCs w:val="24"/>
        </w:rPr>
      </w:pPr>
      <w:r w:rsidRPr="00221A1B">
        <w:rPr>
          <w:i/>
          <w:noProof/>
        </w:rPr>
        <w:t>B.</w:t>
      </w:r>
      <w:r>
        <w:rPr>
          <w:rFonts w:asciiTheme="minorHAnsi" w:eastAsiaTheme="minorEastAsia" w:hAnsiTheme="minorHAnsi" w:cstheme="minorBidi"/>
          <w:noProof/>
          <w:szCs w:val="24"/>
        </w:rPr>
        <w:tab/>
      </w:r>
      <w:r>
        <w:rPr>
          <w:noProof/>
        </w:rPr>
        <w:t>Patents</w:t>
      </w:r>
      <w:r>
        <w:rPr>
          <w:noProof/>
        </w:rPr>
        <w:tab/>
      </w:r>
      <w:r>
        <w:rPr>
          <w:noProof/>
        </w:rPr>
        <w:fldChar w:fldCharType="begin"/>
      </w:r>
      <w:r>
        <w:rPr>
          <w:noProof/>
        </w:rPr>
        <w:instrText xml:space="preserve"> PAGEREF _Toc126854770 \h </w:instrText>
      </w:r>
      <w:r>
        <w:rPr>
          <w:noProof/>
        </w:rPr>
      </w:r>
      <w:r>
        <w:rPr>
          <w:noProof/>
        </w:rPr>
        <w:fldChar w:fldCharType="separate"/>
      </w:r>
      <w:r w:rsidR="00995C7E">
        <w:rPr>
          <w:noProof/>
        </w:rPr>
        <w:t>11</w:t>
      </w:r>
      <w:r>
        <w:rPr>
          <w:noProof/>
        </w:rPr>
        <w:fldChar w:fldCharType="end"/>
      </w:r>
    </w:p>
    <w:p w14:paraId="4C726D19" w14:textId="660DAE3B" w:rsidR="0030232F" w:rsidRDefault="0030232F">
      <w:pPr>
        <w:pStyle w:val="TOC2"/>
        <w:rPr>
          <w:rFonts w:asciiTheme="minorHAnsi" w:eastAsiaTheme="minorEastAsia" w:hAnsiTheme="minorHAnsi" w:cstheme="minorBidi"/>
          <w:noProof/>
          <w:szCs w:val="24"/>
        </w:rPr>
      </w:pPr>
      <w:r w:rsidRPr="00221A1B">
        <w:rPr>
          <w:i/>
          <w:noProof/>
        </w:rPr>
        <w:t>C.</w:t>
      </w:r>
      <w:r>
        <w:rPr>
          <w:rFonts w:asciiTheme="minorHAnsi" w:eastAsiaTheme="minorEastAsia" w:hAnsiTheme="minorHAnsi" w:cstheme="minorBidi"/>
          <w:noProof/>
          <w:szCs w:val="24"/>
        </w:rPr>
        <w:tab/>
      </w:r>
      <w:r>
        <w:rPr>
          <w:noProof/>
        </w:rPr>
        <w:t>Antitrust</w:t>
      </w:r>
      <w:r>
        <w:rPr>
          <w:noProof/>
        </w:rPr>
        <w:tab/>
      </w:r>
      <w:r>
        <w:rPr>
          <w:noProof/>
        </w:rPr>
        <w:fldChar w:fldCharType="begin"/>
      </w:r>
      <w:r>
        <w:rPr>
          <w:noProof/>
        </w:rPr>
        <w:instrText xml:space="preserve"> PAGEREF _Toc126854771 \h </w:instrText>
      </w:r>
      <w:r>
        <w:rPr>
          <w:noProof/>
        </w:rPr>
      </w:r>
      <w:r>
        <w:rPr>
          <w:noProof/>
        </w:rPr>
        <w:fldChar w:fldCharType="separate"/>
      </w:r>
      <w:r w:rsidR="00995C7E">
        <w:rPr>
          <w:noProof/>
        </w:rPr>
        <w:t>12</w:t>
      </w:r>
      <w:r>
        <w:rPr>
          <w:noProof/>
        </w:rPr>
        <w:fldChar w:fldCharType="end"/>
      </w:r>
    </w:p>
    <w:p w14:paraId="5CD0269B" w14:textId="3BA23E5B" w:rsidR="0030232F" w:rsidRDefault="0030232F">
      <w:pPr>
        <w:pStyle w:val="TOC2"/>
        <w:rPr>
          <w:rFonts w:asciiTheme="minorHAnsi" w:eastAsiaTheme="minorEastAsia" w:hAnsiTheme="minorHAnsi" w:cstheme="minorBidi"/>
          <w:noProof/>
          <w:szCs w:val="24"/>
        </w:rPr>
      </w:pPr>
      <w:r w:rsidRPr="00221A1B">
        <w:rPr>
          <w:i/>
          <w:noProof/>
        </w:rPr>
        <w:t>D.</w:t>
      </w:r>
      <w:r>
        <w:rPr>
          <w:rFonts w:asciiTheme="minorHAnsi" w:eastAsiaTheme="minorEastAsia" w:hAnsiTheme="minorHAnsi" w:cstheme="minorBidi"/>
          <w:noProof/>
          <w:szCs w:val="24"/>
        </w:rPr>
        <w:tab/>
      </w:r>
      <w:r>
        <w:rPr>
          <w:noProof/>
        </w:rPr>
        <w:t>Evaluating Innovation Incentives</w:t>
      </w:r>
      <w:r>
        <w:rPr>
          <w:noProof/>
        </w:rPr>
        <w:tab/>
      </w:r>
      <w:r>
        <w:rPr>
          <w:noProof/>
        </w:rPr>
        <w:fldChar w:fldCharType="begin"/>
      </w:r>
      <w:r>
        <w:rPr>
          <w:noProof/>
        </w:rPr>
        <w:instrText xml:space="preserve"> PAGEREF _Toc126854772 \h </w:instrText>
      </w:r>
      <w:r>
        <w:rPr>
          <w:noProof/>
        </w:rPr>
      </w:r>
      <w:r>
        <w:rPr>
          <w:noProof/>
        </w:rPr>
        <w:fldChar w:fldCharType="separate"/>
      </w:r>
      <w:r w:rsidR="00995C7E">
        <w:rPr>
          <w:noProof/>
        </w:rPr>
        <w:t>14</w:t>
      </w:r>
      <w:r>
        <w:rPr>
          <w:noProof/>
        </w:rPr>
        <w:fldChar w:fldCharType="end"/>
      </w:r>
    </w:p>
    <w:p w14:paraId="3865EFEF" w14:textId="3AB02DA5" w:rsidR="0030232F" w:rsidRDefault="0030232F">
      <w:pPr>
        <w:pStyle w:val="TOC1"/>
        <w:rPr>
          <w:rFonts w:asciiTheme="minorHAnsi" w:eastAsiaTheme="minorEastAsia" w:hAnsiTheme="minorHAnsi" w:cstheme="minorBidi"/>
          <w:smallCaps w:val="0"/>
          <w:noProof/>
        </w:rPr>
      </w:pPr>
      <w:r>
        <w:rPr>
          <w:noProof/>
        </w:rPr>
        <w:t>II.</w:t>
      </w:r>
      <w:r>
        <w:rPr>
          <w:rFonts w:asciiTheme="minorHAnsi" w:eastAsiaTheme="minorEastAsia" w:hAnsiTheme="minorHAnsi" w:cstheme="minorBidi"/>
          <w:smallCaps w:val="0"/>
          <w:noProof/>
        </w:rPr>
        <w:tab/>
      </w:r>
      <w:r>
        <w:rPr>
          <w:noProof/>
        </w:rPr>
        <w:t>Innovation’s Dark Side</w:t>
      </w:r>
      <w:r>
        <w:rPr>
          <w:noProof/>
        </w:rPr>
        <w:tab/>
      </w:r>
      <w:r>
        <w:rPr>
          <w:noProof/>
        </w:rPr>
        <w:fldChar w:fldCharType="begin"/>
      </w:r>
      <w:r>
        <w:rPr>
          <w:noProof/>
        </w:rPr>
        <w:instrText xml:space="preserve"> PAGEREF _Toc126854773 \h </w:instrText>
      </w:r>
      <w:r>
        <w:rPr>
          <w:noProof/>
        </w:rPr>
      </w:r>
      <w:r>
        <w:rPr>
          <w:noProof/>
        </w:rPr>
        <w:fldChar w:fldCharType="separate"/>
      </w:r>
      <w:r w:rsidR="00995C7E">
        <w:rPr>
          <w:noProof/>
        </w:rPr>
        <w:t>15</w:t>
      </w:r>
      <w:r>
        <w:rPr>
          <w:noProof/>
        </w:rPr>
        <w:fldChar w:fldCharType="end"/>
      </w:r>
    </w:p>
    <w:p w14:paraId="39B285AE" w14:textId="45773796" w:rsidR="0030232F" w:rsidRDefault="0030232F">
      <w:pPr>
        <w:pStyle w:val="TOC2"/>
        <w:rPr>
          <w:rFonts w:asciiTheme="minorHAnsi" w:eastAsiaTheme="minorEastAsia" w:hAnsiTheme="minorHAnsi" w:cstheme="minorBidi"/>
          <w:noProof/>
          <w:szCs w:val="24"/>
        </w:rPr>
      </w:pPr>
      <w:r w:rsidRPr="00221A1B">
        <w:rPr>
          <w:i/>
          <w:noProof/>
        </w:rPr>
        <w:t>A.</w:t>
      </w:r>
      <w:r>
        <w:rPr>
          <w:rFonts w:asciiTheme="minorHAnsi" w:eastAsiaTheme="minorEastAsia" w:hAnsiTheme="minorHAnsi" w:cstheme="minorBidi"/>
          <w:noProof/>
          <w:szCs w:val="24"/>
        </w:rPr>
        <w:tab/>
      </w:r>
      <w:r>
        <w:rPr>
          <w:noProof/>
        </w:rPr>
        <w:t>Antisocial Innovation</w:t>
      </w:r>
      <w:r>
        <w:rPr>
          <w:noProof/>
        </w:rPr>
        <w:tab/>
      </w:r>
      <w:r>
        <w:rPr>
          <w:noProof/>
        </w:rPr>
        <w:fldChar w:fldCharType="begin"/>
      </w:r>
      <w:r>
        <w:rPr>
          <w:noProof/>
        </w:rPr>
        <w:instrText xml:space="preserve"> PAGEREF _Toc126854774 \h </w:instrText>
      </w:r>
      <w:r>
        <w:rPr>
          <w:noProof/>
        </w:rPr>
      </w:r>
      <w:r>
        <w:rPr>
          <w:noProof/>
        </w:rPr>
        <w:fldChar w:fldCharType="separate"/>
      </w:r>
      <w:r w:rsidR="00995C7E">
        <w:rPr>
          <w:noProof/>
        </w:rPr>
        <w:t>16</w:t>
      </w:r>
      <w:r>
        <w:rPr>
          <w:noProof/>
        </w:rPr>
        <w:fldChar w:fldCharType="end"/>
      </w:r>
    </w:p>
    <w:p w14:paraId="10BF4698" w14:textId="4B20D29F" w:rsidR="0030232F" w:rsidRDefault="0030232F">
      <w:pPr>
        <w:pStyle w:val="TOC3"/>
        <w:rPr>
          <w:rFonts w:asciiTheme="minorHAnsi" w:eastAsiaTheme="minorEastAsia" w:hAnsiTheme="minorHAnsi" w:cstheme="minorBidi"/>
          <w:noProof/>
          <w:szCs w:val="24"/>
        </w:rPr>
      </w:pPr>
      <w:r>
        <w:rPr>
          <w:noProof/>
        </w:rPr>
        <w:t>1.</w:t>
      </w:r>
      <w:r>
        <w:rPr>
          <w:rFonts w:asciiTheme="minorHAnsi" w:eastAsiaTheme="minorEastAsia" w:hAnsiTheme="minorHAnsi" w:cstheme="minorBidi"/>
          <w:noProof/>
          <w:szCs w:val="24"/>
        </w:rPr>
        <w:tab/>
      </w:r>
      <w:r>
        <w:rPr>
          <w:noProof/>
        </w:rPr>
        <w:t>Ex Ante Regulation of New Products</w:t>
      </w:r>
      <w:r>
        <w:rPr>
          <w:noProof/>
        </w:rPr>
        <w:tab/>
      </w:r>
      <w:r>
        <w:rPr>
          <w:noProof/>
        </w:rPr>
        <w:fldChar w:fldCharType="begin"/>
      </w:r>
      <w:r>
        <w:rPr>
          <w:noProof/>
        </w:rPr>
        <w:instrText xml:space="preserve"> PAGEREF _Toc126854775 \h </w:instrText>
      </w:r>
      <w:r>
        <w:rPr>
          <w:noProof/>
        </w:rPr>
      </w:r>
      <w:r>
        <w:rPr>
          <w:noProof/>
        </w:rPr>
        <w:fldChar w:fldCharType="separate"/>
      </w:r>
      <w:r w:rsidR="00995C7E">
        <w:rPr>
          <w:noProof/>
        </w:rPr>
        <w:t>19</w:t>
      </w:r>
      <w:r>
        <w:rPr>
          <w:noProof/>
        </w:rPr>
        <w:fldChar w:fldCharType="end"/>
      </w:r>
    </w:p>
    <w:p w14:paraId="1503FBA7" w14:textId="4FEAD57F" w:rsidR="0030232F" w:rsidRDefault="0030232F">
      <w:pPr>
        <w:pStyle w:val="TOC3"/>
        <w:rPr>
          <w:rFonts w:asciiTheme="minorHAnsi" w:eastAsiaTheme="minorEastAsia" w:hAnsiTheme="minorHAnsi" w:cstheme="minorBidi"/>
          <w:noProof/>
          <w:szCs w:val="24"/>
        </w:rPr>
      </w:pPr>
      <w:r>
        <w:rPr>
          <w:noProof/>
        </w:rPr>
        <w:t>2.</w:t>
      </w:r>
      <w:r>
        <w:rPr>
          <w:rFonts w:asciiTheme="minorHAnsi" w:eastAsiaTheme="minorEastAsia" w:hAnsiTheme="minorHAnsi" w:cstheme="minorBidi"/>
          <w:noProof/>
          <w:szCs w:val="24"/>
        </w:rPr>
        <w:tab/>
      </w:r>
      <w:r>
        <w:rPr>
          <w:noProof/>
        </w:rPr>
        <w:t>Ex Post Regulation of Harmful Products</w:t>
      </w:r>
      <w:r>
        <w:rPr>
          <w:noProof/>
        </w:rPr>
        <w:tab/>
      </w:r>
      <w:r>
        <w:rPr>
          <w:noProof/>
        </w:rPr>
        <w:fldChar w:fldCharType="begin"/>
      </w:r>
      <w:r>
        <w:rPr>
          <w:noProof/>
        </w:rPr>
        <w:instrText xml:space="preserve"> PAGEREF _Toc126854776 \h </w:instrText>
      </w:r>
      <w:r>
        <w:rPr>
          <w:noProof/>
        </w:rPr>
      </w:r>
      <w:r>
        <w:rPr>
          <w:noProof/>
        </w:rPr>
        <w:fldChar w:fldCharType="separate"/>
      </w:r>
      <w:r w:rsidR="00995C7E">
        <w:rPr>
          <w:noProof/>
        </w:rPr>
        <w:t>21</w:t>
      </w:r>
      <w:r>
        <w:rPr>
          <w:noProof/>
        </w:rPr>
        <w:fldChar w:fldCharType="end"/>
      </w:r>
    </w:p>
    <w:p w14:paraId="54DA059E" w14:textId="395F530C" w:rsidR="0030232F" w:rsidRDefault="0030232F">
      <w:pPr>
        <w:pStyle w:val="TOC3"/>
        <w:rPr>
          <w:rFonts w:asciiTheme="minorHAnsi" w:eastAsiaTheme="minorEastAsia" w:hAnsiTheme="minorHAnsi" w:cstheme="minorBidi"/>
          <w:noProof/>
          <w:szCs w:val="24"/>
        </w:rPr>
      </w:pPr>
      <w:r>
        <w:rPr>
          <w:noProof/>
        </w:rPr>
        <w:t>3.</w:t>
      </w:r>
      <w:r>
        <w:rPr>
          <w:rFonts w:asciiTheme="minorHAnsi" w:eastAsiaTheme="minorEastAsia" w:hAnsiTheme="minorHAnsi" w:cstheme="minorBidi"/>
          <w:noProof/>
          <w:szCs w:val="24"/>
        </w:rPr>
        <w:tab/>
      </w:r>
      <w:r>
        <w:rPr>
          <w:noProof/>
        </w:rPr>
        <w:t>Comparing Ex Ante and Ex Post Regulation</w:t>
      </w:r>
      <w:r>
        <w:rPr>
          <w:noProof/>
        </w:rPr>
        <w:tab/>
      </w:r>
      <w:r>
        <w:rPr>
          <w:noProof/>
        </w:rPr>
        <w:fldChar w:fldCharType="begin"/>
      </w:r>
      <w:r>
        <w:rPr>
          <w:noProof/>
        </w:rPr>
        <w:instrText xml:space="preserve"> PAGEREF _Toc126854777 \h </w:instrText>
      </w:r>
      <w:r>
        <w:rPr>
          <w:noProof/>
        </w:rPr>
      </w:r>
      <w:r>
        <w:rPr>
          <w:noProof/>
        </w:rPr>
        <w:fldChar w:fldCharType="separate"/>
      </w:r>
      <w:r w:rsidR="00995C7E">
        <w:rPr>
          <w:noProof/>
        </w:rPr>
        <w:t>23</w:t>
      </w:r>
      <w:r>
        <w:rPr>
          <w:noProof/>
        </w:rPr>
        <w:fldChar w:fldCharType="end"/>
      </w:r>
    </w:p>
    <w:p w14:paraId="4B1650F8" w14:textId="73AE8044" w:rsidR="0030232F" w:rsidRDefault="0030232F">
      <w:pPr>
        <w:pStyle w:val="TOC1"/>
        <w:rPr>
          <w:rFonts w:asciiTheme="minorHAnsi" w:eastAsiaTheme="minorEastAsia" w:hAnsiTheme="minorHAnsi" w:cstheme="minorBidi"/>
          <w:smallCaps w:val="0"/>
          <w:noProof/>
        </w:rPr>
      </w:pPr>
      <w:r>
        <w:rPr>
          <w:noProof/>
        </w:rPr>
        <w:t>III.</w:t>
      </w:r>
      <w:r>
        <w:rPr>
          <w:rFonts w:asciiTheme="minorHAnsi" w:eastAsiaTheme="minorEastAsia" w:hAnsiTheme="minorHAnsi" w:cstheme="minorBidi"/>
          <w:smallCaps w:val="0"/>
          <w:noProof/>
        </w:rPr>
        <w:tab/>
      </w:r>
      <w:r>
        <w:rPr>
          <w:noProof/>
        </w:rPr>
        <w:t>A Taxonomy of Antisocial Innovation</w:t>
      </w:r>
      <w:r>
        <w:rPr>
          <w:noProof/>
        </w:rPr>
        <w:tab/>
      </w:r>
      <w:r>
        <w:rPr>
          <w:noProof/>
        </w:rPr>
        <w:fldChar w:fldCharType="begin"/>
      </w:r>
      <w:r>
        <w:rPr>
          <w:noProof/>
        </w:rPr>
        <w:instrText xml:space="preserve"> PAGEREF _Toc126854778 \h </w:instrText>
      </w:r>
      <w:r>
        <w:rPr>
          <w:noProof/>
        </w:rPr>
      </w:r>
      <w:r>
        <w:rPr>
          <w:noProof/>
        </w:rPr>
        <w:fldChar w:fldCharType="separate"/>
      </w:r>
      <w:r w:rsidR="00995C7E">
        <w:rPr>
          <w:noProof/>
        </w:rPr>
        <w:t>24</w:t>
      </w:r>
      <w:r>
        <w:rPr>
          <w:noProof/>
        </w:rPr>
        <w:fldChar w:fldCharType="end"/>
      </w:r>
    </w:p>
    <w:p w14:paraId="322D1A61" w14:textId="0D35BAE9" w:rsidR="0030232F" w:rsidRDefault="0030232F">
      <w:pPr>
        <w:pStyle w:val="TOC2"/>
        <w:rPr>
          <w:rFonts w:asciiTheme="minorHAnsi" w:eastAsiaTheme="minorEastAsia" w:hAnsiTheme="minorHAnsi" w:cstheme="minorBidi"/>
          <w:noProof/>
          <w:szCs w:val="24"/>
        </w:rPr>
      </w:pPr>
      <w:r w:rsidRPr="00221A1B">
        <w:rPr>
          <w:i/>
          <w:noProof/>
        </w:rPr>
        <w:t>A.</w:t>
      </w:r>
      <w:r>
        <w:rPr>
          <w:rFonts w:asciiTheme="minorHAnsi" w:eastAsiaTheme="minorEastAsia" w:hAnsiTheme="minorHAnsi" w:cstheme="minorBidi"/>
          <w:noProof/>
          <w:szCs w:val="24"/>
        </w:rPr>
        <w:tab/>
      </w:r>
      <w:r>
        <w:rPr>
          <w:noProof/>
        </w:rPr>
        <w:t>Who Benefits? Who is Harmed?</w:t>
      </w:r>
      <w:r>
        <w:rPr>
          <w:noProof/>
        </w:rPr>
        <w:tab/>
      </w:r>
      <w:r>
        <w:rPr>
          <w:noProof/>
        </w:rPr>
        <w:fldChar w:fldCharType="begin"/>
      </w:r>
      <w:r>
        <w:rPr>
          <w:noProof/>
        </w:rPr>
        <w:instrText xml:space="preserve"> PAGEREF _Toc126854779 \h </w:instrText>
      </w:r>
      <w:r>
        <w:rPr>
          <w:noProof/>
        </w:rPr>
      </w:r>
      <w:r>
        <w:rPr>
          <w:noProof/>
        </w:rPr>
        <w:fldChar w:fldCharType="separate"/>
      </w:r>
      <w:r w:rsidR="00995C7E">
        <w:rPr>
          <w:noProof/>
        </w:rPr>
        <w:t>24</w:t>
      </w:r>
      <w:r>
        <w:rPr>
          <w:noProof/>
        </w:rPr>
        <w:fldChar w:fldCharType="end"/>
      </w:r>
    </w:p>
    <w:p w14:paraId="0759BE61" w14:textId="5BEE4B75" w:rsidR="0030232F" w:rsidRDefault="0030232F">
      <w:pPr>
        <w:pStyle w:val="TOC3"/>
        <w:rPr>
          <w:rFonts w:asciiTheme="minorHAnsi" w:eastAsiaTheme="minorEastAsia" w:hAnsiTheme="minorHAnsi" w:cstheme="minorBidi"/>
          <w:noProof/>
          <w:szCs w:val="24"/>
        </w:rPr>
      </w:pPr>
      <w:r>
        <w:rPr>
          <w:noProof/>
        </w:rPr>
        <w:t>1.</w:t>
      </w:r>
      <w:r>
        <w:rPr>
          <w:rFonts w:asciiTheme="minorHAnsi" w:eastAsiaTheme="minorEastAsia" w:hAnsiTheme="minorHAnsi" w:cstheme="minorBidi"/>
          <w:noProof/>
          <w:szCs w:val="24"/>
        </w:rPr>
        <w:tab/>
      </w:r>
      <w:r>
        <w:rPr>
          <w:noProof/>
        </w:rPr>
        <w:t>Individual Harms</w:t>
      </w:r>
      <w:r>
        <w:rPr>
          <w:noProof/>
        </w:rPr>
        <w:tab/>
      </w:r>
      <w:r>
        <w:rPr>
          <w:noProof/>
        </w:rPr>
        <w:fldChar w:fldCharType="begin"/>
      </w:r>
      <w:r>
        <w:rPr>
          <w:noProof/>
        </w:rPr>
        <w:instrText xml:space="preserve"> PAGEREF _Toc126854780 \h </w:instrText>
      </w:r>
      <w:r>
        <w:rPr>
          <w:noProof/>
        </w:rPr>
      </w:r>
      <w:r>
        <w:rPr>
          <w:noProof/>
        </w:rPr>
        <w:fldChar w:fldCharType="separate"/>
      </w:r>
      <w:r w:rsidR="00995C7E">
        <w:rPr>
          <w:noProof/>
        </w:rPr>
        <w:t>28</w:t>
      </w:r>
      <w:r>
        <w:rPr>
          <w:noProof/>
        </w:rPr>
        <w:fldChar w:fldCharType="end"/>
      </w:r>
    </w:p>
    <w:p w14:paraId="18E93920" w14:textId="0C746D1D" w:rsidR="0030232F" w:rsidRDefault="0030232F">
      <w:pPr>
        <w:pStyle w:val="TOC3"/>
        <w:rPr>
          <w:rFonts w:asciiTheme="minorHAnsi" w:eastAsiaTheme="minorEastAsia" w:hAnsiTheme="minorHAnsi" w:cstheme="minorBidi"/>
          <w:noProof/>
          <w:szCs w:val="24"/>
        </w:rPr>
      </w:pPr>
      <w:r w:rsidRPr="00221A1B">
        <w:rPr>
          <w:noProof/>
        </w:rPr>
        <w:t>2.</w:t>
      </w:r>
      <w:r>
        <w:rPr>
          <w:rFonts w:asciiTheme="minorHAnsi" w:eastAsiaTheme="minorEastAsia" w:hAnsiTheme="minorHAnsi" w:cstheme="minorBidi"/>
          <w:noProof/>
          <w:szCs w:val="24"/>
        </w:rPr>
        <w:tab/>
      </w:r>
      <w:r w:rsidRPr="00221A1B">
        <w:rPr>
          <w:noProof/>
        </w:rPr>
        <w:t>Environmental Harms</w:t>
      </w:r>
      <w:r>
        <w:rPr>
          <w:noProof/>
        </w:rPr>
        <w:tab/>
      </w:r>
      <w:r>
        <w:rPr>
          <w:noProof/>
        </w:rPr>
        <w:fldChar w:fldCharType="begin"/>
      </w:r>
      <w:r>
        <w:rPr>
          <w:noProof/>
        </w:rPr>
        <w:instrText xml:space="preserve"> PAGEREF _Toc126854781 \h </w:instrText>
      </w:r>
      <w:r>
        <w:rPr>
          <w:noProof/>
        </w:rPr>
      </w:r>
      <w:r>
        <w:rPr>
          <w:noProof/>
        </w:rPr>
        <w:fldChar w:fldCharType="separate"/>
      </w:r>
      <w:r w:rsidR="00995C7E">
        <w:rPr>
          <w:noProof/>
        </w:rPr>
        <w:t>31</w:t>
      </w:r>
      <w:r>
        <w:rPr>
          <w:noProof/>
        </w:rPr>
        <w:fldChar w:fldCharType="end"/>
      </w:r>
    </w:p>
    <w:p w14:paraId="464148B5" w14:textId="06061FFB" w:rsidR="0030232F" w:rsidRDefault="0030232F">
      <w:pPr>
        <w:pStyle w:val="TOC3"/>
        <w:rPr>
          <w:rFonts w:asciiTheme="minorHAnsi" w:eastAsiaTheme="minorEastAsia" w:hAnsiTheme="minorHAnsi" w:cstheme="minorBidi"/>
          <w:noProof/>
          <w:szCs w:val="24"/>
        </w:rPr>
      </w:pPr>
      <w:r w:rsidRPr="00221A1B">
        <w:rPr>
          <w:noProof/>
        </w:rPr>
        <w:t>3.</w:t>
      </w:r>
      <w:r>
        <w:rPr>
          <w:rFonts w:asciiTheme="minorHAnsi" w:eastAsiaTheme="minorEastAsia" w:hAnsiTheme="minorHAnsi" w:cstheme="minorBidi"/>
          <w:noProof/>
          <w:szCs w:val="24"/>
        </w:rPr>
        <w:tab/>
      </w:r>
      <w:r w:rsidRPr="00221A1B">
        <w:rPr>
          <w:noProof/>
        </w:rPr>
        <w:t>Competition Harms</w:t>
      </w:r>
      <w:r>
        <w:rPr>
          <w:noProof/>
        </w:rPr>
        <w:tab/>
      </w:r>
      <w:r>
        <w:rPr>
          <w:noProof/>
        </w:rPr>
        <w:fldChar w:fldCharType="begin"/>
      </w:r>
      <w:r>
        <w:rPr>
          <w:noProof/>
        </w:rPr>
        <w:instrText xml:space="preserve"> PAGEREF _Toc126854782 \h </w:instrText>
      </w:r>
      <w:r>
        <w:rPr>
          <w:noProof/>
        </w:rPr>
      </w:r>
      <w:r>
        <w:rPr>
          <w:noProof/>
        </w:rPr>
        <w:fldChar w:fldCharType="separate"/>
      </w:r>
      <w:r w:rsidR="00995C7E">
        <w:rPr>
          <w:noProof/>
        </w:rPr>
        <w:t>32</w:t>
      </w:r>
      <w:r>
        <w:rPr>
          <w:noProof/>
        </w:rPr>
        <w:fldChar w:fldCharType="end"/>
      </w:r>
    </w:p>
    <w:p w14:paraId="518F178D" w14:textId="57B90CA4" w:rsidR="0030232F" w:rsidRDefault="0030232F">
      <w:pPr>
        <w:pStyle w:val="TOC3"/>
        <w:rPr>
          <w:rFonts w:asciiTheme="minorHAnsi" w:eastAsiaTheme="minorEastAsia" w:hAnsiTheme="minorHAnsi" w:cstheme="minorBidi"/>
          <w:noProof/>
          <w:szCs w:val="24"/>
        </w:rPr>
      </w:pPr>
      <w:r>
        <w:rPr>
          <w:noProof/>
        </w:rPr>
        <w:t>4.</w:t>
      </w:r>
      <w:r>
        <w:rPr>
          <w:rFonts w:asciiTheme="minorHAnsi" w:eastAsiaTheme="minorEastAsia" w:hAnsiTheme="minorHAnsi" w:cstheme="minorBidi"/>
          <w:noProof/>
          <w:szCs w:val="24"/>
        </w:rPr>
        <w:tab/>
      </w:r>
      <w:r w:rsidRPr="00221A1B">
        <w:rPr>
          <w:noProof/>
        </w:rPr>
        <w:t>Labor Harms</w:t>
      </w:r>
      <w:r>
        <w:rPr>
          <w:noProof/>
        </w:rPr>
        <w:tab/>
      </w:r>
      <w:r>
        <w:rPr>
          <w:noProof/>
        </w:rPr>
        <w:fldChar w:fldCharType="begin"/>
      </w:r>
      <w:r>
        <w:rPr>
          <w:noProof/>
        </w:rPr>
        <w:instrText xml:space="preserve"> PAGEREF _Toc126854783 \h </w:instrText>
      </w:r>
      <w:r>
        <w:rPr>
          <w:noProof/>
        </w:rPr>
      </w:r>
      <w:r>
        <w:rPr>
          <w:noProof/>
        </w:rPr>
        <w:fldChar w:fldCharType="separate"/>
      </w:r>
      <w:r w:rsidR="00995C7E">
        <w:rPr>
          <w:noProof/>
        </w:rPr>
        <w:t>35</w:t>
      </w:r>
      <w:r>
        <w:rPr>
          <w:noProof/>
        </w:rPr>
        <w:fldChar w:fldCharType="end"/>
      </w:r>
    </w:p>
    <w:p w14:paraId="79876738" w14:textId="7760472C" w:rsidR="0030232F" w:rsidRDefault="0030232F">
      <w:pPr>
        <w:pStyle w:val="TOC3"/>
        <w:rPr>
          <w:rFonts w:asciiTheme="minorHAnsi" w:eastAsiaTheme="minorEastAsia" w:hAnsiTheme="minorHAnsi" w:cstheme="minorBidi"/>
          <w:noProof/>
          <w:szCs w:val="24"/>
        </w:rPr>
      </w:pPr>
      <w:r>
        <w:rPr>
          <w:noProof/>
        </w:rPr>
        <w:t>5.</w:t>
      </w:r>
      <w:r>
        <w:rPr>
          <w:rFonts w:asciiTheme="minorHAnsi" w:eastAsiaTheme="minorEastAsia" w:hAnsiTheme="minorHAnsi" w:cstheme="minorBidi"/>
          <w:noProof/>
          <w:szCs w:val="24"/>
        </w:rPr>
        <w:tab/>
      </w:r>
      <w:r>
        <w:rPr>
          <w:noProof/>
        </w:rPr>
        <w:t>Privacy Harms</w:t>
      </w:r>
      <w:r>
        <w:rPr>
          <w:noProof/>
        </w:rPr>
        <w:tab/>
      </w:r>
      <w:r>
        <w:rPr>
          <w:noProof/>
        </w:rPr>
        <w:fldChar w:fldCharType="begin"/>
      </w:r>
      <w:r>
        <w:rPr>
          <w:noProof/>
        </w:rPr>
        <w:instrText xml:space="preserve"> PAGEREF _Toc126854784 \h </w:instrText>
      </w:r>
      <w:r>
        <w:rPr>
          <w:noProof/>
        </w:rPr>
      </w:r>
      <w:r>
        <w:rPr>
          <w:noProof/>
        </w:rPr>
        <w:fldChar w:fldCharType="separate"/>
      </w:r>
      <w:r w:rsidR="00995C7E">
        <w:rPr>
          <w:noProof/>
        </w:rPr>
        <w:t>39</w:t>
      </w:r>
      <w:r>
        <w:rPr>
          <w:noProof/>
        </w:rPr>
        <w:fldChar w:fldCharType="end"/>
      </w:r>
    </w:p>
    <w:p w14:paraId="5A8FB7DE" w14:textId="1DE826AD" w:rsidR="0030232F" w:rsidRDefault="0030232F">
      <w:pPr>
        <w:pStyle w:val="TOC3"/>
        <w:rPr>
          <w:rFonts w:asciiTheme="minorHAnsi" w:eastAsiaTheme="minorEastAsia" w:hAnsiTheme="minorHAnsi" w:cstheme="minorBidi"/>
          <w:noProof/>
          <w:szCs w:val="24"/>
        </w:rPr>
      </w:pPr>
      <w:r w:rsidRPr="00221A1B">
        <w:rPr>
          <w:noProof/>
        </w:rPr>
        <w:t>6.</w:t>
      </w:r>
      <w:r>
        <w:rPr>
          <w:rFonts w:asciiTheme="minorHAnsi" w:eastAsiaTheme="minorEastAsia" w:hAnsiTheme="minorHAnsi" w:cstheme="minorBidi"/>
          <w:noProof/>
          <w:szCs w:val="24"/>
        </w:rPr>
        <w:tab/>
      </w:r>
      <w:r w:rsidRPr="00221A1B">
        <w:rPr>
          <w:noProof/>
        </w:rPr>
        <w:t>Social Harms</w:t>
      </w:r>
      <w:r>
        <w:rPr>
          <w:noProof/>
        </w:rPr>
        <w:tab/>
      </w:r>
      <w:r>
        <w:rPr>
          <w:noProof/>
        </w:rPr>
        <w:fldChar w:fldCharType="begin"/>
      </w:r>
      <w:r>
        <w:rPr>
          <w:noProof/>
        </w:rPr>
        <w:instrText xml:space="preserve"> PAGEREF _Toc126854785 \h </w:instrText>
      </w:r>
      <w:r>
        <w:rPr>
          <w:noProof/>
        </w:rPr>
      </w:r>
      <w:r>
        <w:rPr>
          <w:noProof/>
        </w:rPr>
        <w:fldChar w:fldCharType="separate"/>
      </w:r>
      <w:r w:rsidR="00995C7E">
        <w:rPr>
          <w:noProof/>
        </w:rPr>
        <w:t>42</w:t>
      </w:r>
      <w:r>
        <w:rPr>
          <w:noProof/>
        </w:rPr>
        <w:fldChar w:fldCharType="end"/>
      </w:r>
    </w:p>
    <w:p w14:paraId="568DA879" w14:textId="6DEA4FAD" w:rsidR="0030232F" w:rsidRDefault="0030232F">
      <w:pPr>
        <w:pStyle w:val="TOC1"/>
        <w:rPr>
          <w:rFonts w:asciiTheme="minorHAnsi" w:eastAsiaTheme="minorEastAsia" w:hAnsiTheme="minorHAnsi" w:cstheme="minorBidi"/>
          <w:smallCaps w:val="0"/>
          <w:noProof/>
        </w:rPr>
      </w:pPr>
      <w:r>
        <w:rPr>
          <w:noProof/>
        </w:rPr>
        <w:t>IV.</w:t>
      </w:r>
      <w:r>
        <w:rPr>
          <w:rFonts w:asciiTheme="minorHAnsi" w:eastAsiaTheme="minorEastAsia" w:hAnsiTheme="minorHAnsi" w:cstheme="minorBidi"/>
          <w:smallCaps w:val="0"/>
          <w:noProof/>
        </w:rPr>
        <w:tab/>
      </w:r>
      <w:r>
        <w:rPr>
          <w:noProof/>
        </w:rPr>
        <w:t>Policy Implications</w:t>
      </w:r>
      <w:r>
        <w:rPr>
          <w:noProof/>
        </w:rPr>
        <w:tab/>
      </w:r>
      <w:r>
        <w:rPr>
          <w:noProof/>
        </w:rPr>
        <w:fldChar w:fldCharType="begin"/>
      </w:r>
      <w:r>
        <w:rPr>
          <w:noProof/>
        </w:rPr>
        <w:instrText xml:space="preserve"> PAGEREF _Toc126854786 \h </w:instrText>
      </w:r>
      <w:r>
        <w:rPr>
          <w:noProof/>
        </w:rPr>
      </w:r>
      <w:r>
        <w:rPr>
          <w:noProof/>
        </w:rPr>
        <w:fldChar w:fldCharType="separate"/>
      </w:r>
      <w:r w:rsidR="00995C7E">
        <w:rPr>
          <w:noProof/>
        </w:rPr>
        <w:t>45</w:t>
      </w:r>
      <w:r>
        <w:rPr>
          <w:noProof/>
        </w:rPr>
        <w:fldChar w:fldCharType="end"/>
      </w:r>
    </w:p>
    <w:p w14:paraId="13850838" w14:textId="7533D7F0" w:rsidR="0030232F" w:rsidRDefault="0030232F">
      <w:pPr>
        <w:pStyle w:val="TOC2"/>
        <w:rPr>
          <w:rFonts w:asciiTheme="minorHAnsi" w:eastAsiaTheme="minorEastAsia" w:hAnsiTheme="minorHAnsi" w:cstheme="minorBidi"/>
          <w:noProof/>
          <w:szCs w:val="24"/>
        </w:rPr>
      </w:pPr>
      <w:r w:rsidRPr="00221A1B">
        <w:rPr>
          <w:i/>
          <w:noProof/>
        </w:rPr>
        <w:t>A.</w:t>
      </w:r>
      <w:r>
        <w:rPr>
          <w:rFonts w:asciiTheme="minorHAnsi" w:eastAsiaTheme="minorEastAsia" w:hAnsiTheme="minorHAnsi" w:cstheme="minorBidi"/>
          <w:noProof/>
          <w:szCs w:val="24"/>
        </w:rPr>
        <w:tab/>
      </w:r>
      <w:r>
        <w:rPr>
          <w:noProof/>
        </w:rPr>
        <w:t>The Inverse Precautionary Principle</w:t>
      </w:r>
      <w:r>
        <w:rPr>
          <w:noProof/>
        </w:rPr>
        <w:tab/>
      </w:r>
      <w:r>
        <w:rPr>
          <w:noProof/>
        </w:rPr>
        <w:fldChar w:fldCharType="begin"/>
      </w:r>
      <w:r>
        <w:rPr>
          <w:noProof/>
        </w:rPr>
        <w:instrText xml:space="preserve"> PAGEREF _Toc126854787 \h </w:instrText>
      </w:r>
      <w:r>
        <w:rPr>
          <w:noProof/>
        </w:rPr>
      </w:r>
      <w:r>
        <w:rPr>
          <w:noProof/>
        </w:rPr>
        <w:fldChar w:fldCharType="separate"/>
      </w:r>
      <w:r w:rsidR="00995C7E">
        <w:rPr>
          <w:noProof/>
        </w:rPr>
        <w:t>45</w:t>
      </w:r>
      <w:r>
        <w:rPr>
          <w:noProof/>
        </w:rPr>
        <w:fldChar w:fldCharType="end"/>
      </w:r>
    </w:p>
    <w:p w14:paraId="71991326" w14:textId="748E3D0A" w:rsidR="0030232F" w:rsidRDefault="0030232F">
      <w:pPr>
        <w:pStyle w:val="TOC2"/>
        <w:rPr>
          <w:rFonts w:asciiTheme="minorHAnsi" w:eastAsiaTheme="minorEastAsia" w:hAnsiTheme="minorHAnsi" w:cstheme="minorBidi"/>
          <w:noProof/>
          <w:szCs w:val="24"/>
        </w:rPr>
      </w:pPr>
      <w:r w:rsidRPr="00221A1B">
        <w:rPr>
          <w:i/>
          <w:noProof/>
        </w:rPr>
        <w:t>B.</w:t>
      </w:r>
      <w:r>
        <w:rPr>
          <w:rFonts w:asciiTheme="minorHAnsi" w:eastAsiaTheme="minorEastAsia" w:hAnsiTheme="minorHAnsi" w:cstheme="minorBidi"/>
          <w:noProof/>
          <w:szCs w:val="24"/>
        </w:rPr>
        <w:tab/>
      </w:r>
      <w:r>
        <w:rPr>
          <w:noProof/>
        </w:rPr>
        <w:t>Uncertainty and the Timing of Policy Interventions</w:t>
      </w:r>
      <w:r>
        <w:rPr>
          <w:noProof/>
        </w:rPr>
        <w:tab/>
      </w:r>
      <w:r>
        <w:rPr>
          <w:noProof/>
        </w:rPr>
        <w:fldChar w:fldCharType="begin"/>
      </w:r>
      <w:r>
        <w:rPr>
          <w:noProof/>
        </w:rPr>
        <w:instrText xml:space="preserve"> PAGEREF _Toc126854788 \h </w:instrText>
      </w:r>
      <w:r>
        <w:rPr>
          <w:noProof/>
        </w:rPr>
      </w:r>
      <w:r>
        <w:rPr>
          <w:noProof/>
        </w:rPr>
        <w:fldChar w:fldCharType="separate"/>
      </w:r>
      <w:r w:rsidR="00995C7E">
        <w:rPr>
          <w:noProof/>
        </w:rPr>
        <w:t>50</w:t>
      </w:r>
      <w:r>
        <w:rPr>
          <w:noProof/>
        </w:rPr>
        <w:fldChar w:fldCharType="end"/>
      </w:r>
    </w:p>
    <w:p w14:paraId="18808B99" w14:textId="21077FCC" w:rsidR="0030232F" w:rsidRDefault="0030232F">
      <w:pPr>
        <w:pStyle w:val="TOC2"/>
        <w:rPr>
          <w:rFonts w:asciiTheme="minorHAnsi" w:eastAsiaTheme="minorEastAsia" w:hAnsiTheme="minorHAnsi" w:cstheme="minorBidi"/>
          <w:noProof/>
          <w:szCs w:val="24"/>
        </w:rPr>
      </w:pPr>
      <w:r w:rsidRPr="00221A1B">
        <w:rPr>
          <w:i/>
          <w:noProof/>
        </w:rPr>
        <w:t>C.</w:t>
      </w:r>
      <w:r>
        <w:rPr>
          <w:rFonts w:asciiTheme="minorHAnsi" w:eastAsiaTheme="minorEastAsia" w:hAnsiTheme="minorHAnsi" w:cstheme="minorBidi"/>
          <w:noProof/>
          <w:szCs w:val="24"/>
        </w:rPr>
        <w:tab/>
      </w:r>
      <w:r>
        <w:rPr>
          <w:noProof/>
        </w:rPr>
        <w:t>Adapting Innovation Policy</w:t>
      </w:r>
      <w:r>
        <w:rPr>
          <w:noProof/>
        </w:rPr>
        <w:tab/>
      </w:r>
      <w:r>
        <w:rPr>
          <w:noProof/>
        </w:rPr>
        <w:fldChar w:fldCharType="begin"/>
      </w:r>
      <w:r>
        <w:rPr>
          <w:noProof/>
        </w:rPr>
        <w:instrText xml:space="preserve"> PAGEREF _Toc126854789 \h </w:instrText>
      </w:r>
      <w:r>
        <w:rPr>
          <w:noProof/>
        </w:rPr>
      </w:r>
      <w:r>
        <w:rPr>
          <w:noProof/>
        </w:rPr>
        <w:fldChar w:fldCharType="separate"/>
      </w:r>
      <w:r w:rsidR="00995C7E">
        <w:rPr>
          <w:noProof/>
        </w:rPr>
        <w:t>52</w:t>
      </w:r>
      <w:r>
        <w:rPr>
          <w:noProof/>
        </w:rPr>
        <w:fldChar w:fldCharType="end"/>
      </w:r>
    </w:p>
    <w:p w14:paraId="16782A8D" w14:textId="220F0E04" w:rsidR="0030232F" w:rsidRDefault="0030232F">
      <w:pPr>
        <w:pStyle w:val="TOC3"/>
        <w:rPr>
          <w:rFonts w:asciiTheme="minorHAnsi" w:eastAsiaTheme="minorEastAsia" w:hAnsiTheme="minorHAnsi" w:cstheme="minorBidi"/>
          <w:noProof/>
          <w:szCs w:val="24"/>
        </w:rPr>
      </w:pPr>
      <w:r>
        <w:rPr>
          <w:noProof/>
        </w:rPr>
        <w:t>1.</w:t>
      </w:r>
      <w:r>
        <w:rPr>
          <w:rFonts w:asciiTheme="minorHAnsi" w:eastAsiaTheme="minorEastAsia" w:hAnsiTheme="minorHAnsi" w:cstheme="minorBidi"/>
          <w:noProof/>
          <w:szCs w:val="24"/>
        </w:rPr>
        <w:tab/>
      </w:r>
      <w:r>
        <w:rPr>
          <w:noProof/>
        </w:rPr>
        <w:t>Modifying Innovation Incentives</w:t>
      </w:r>
      <w:r>
        <w:rPr>
          <w:noProof/>
        </w:rPr>
        <w:tab/>
      </w:r>
      <w:r>
        <w:rPr>
          <w:noProof/>
        </w:rPr>
        <w:fldChar w:fldCharType="begin"/>
      </w:r>
      <w:r>
        <w:rPr>
          <w:noProof/>
        </w:rPr>
        <w:instrText xml:space="preserve"> PAGEREF _Toc126854790 \h </w:instrText>
      </w:r>
      <w:r>
        <w:rPr>
          <w:noProof/>
        </w:rPr>
      </w:r>
      <w:r>
        <w:rPr>
          <w:noProof/>
        </w:rPr>
        <w:fldChar w:fldCharType="separate"/>
      </w:r>
      <w:r w:rsidR="00995C7E">
        <w:rPr>
          <w:noProof/>
        </w:rPr>
        <w:t>52</w:t>
      </w:r>
      <w:r>
        <w:rPr>
          <w:noProof/>
        </w:rPr>
        <w:fldChar w:fldCharType="end"/>
      </w:r>
    </w:p>
    <w:p w14:paraId="1B051F05" w14:textId="372CE259" w:rsidR="0030232F" w:rsidRDefault="0030232F">
      <w:pPr>
        <w:pStyle w:val="TOC3"/>
        <w:rPr>
          <w:rFonts w:asciiTheme="minorHAnsi" w:eastAsiaTheme="minorEastAsia" w:hAnsiTheme="minorHAnsi" w:cstheme="minorBidi"/>
          <w:noProof/>
          <w:szCs w:val="24"/>
        </w:rPr>
      </w:pPr>
      <w:r>
        <w:rPr>
          <w:noProof/>
        </w:rPr>
        <w:t>2.</w:t>
      </w:r>
      <w:r>
        <w:rPr>
          <w:rFonts w:asciiTheme="minorHAnsi" w:eastAsiaTheme="minorEastAsia" w:hAnsiTheme="minorHAnsi" w:cstheme="minorBidi"/>
          <w:noProof/>
          <w:szCs w:val="24"/>
        </w:rPr>
        <w:tab/>
      </w:r>
      <w:r>
        <w:rPr>
          <w:noProof/>
        </w:rPr>
        <w:t>Intensifying Ex Ante Scrutiny</w:t>
      </w:r>
      <w:r>
        <w:rPr>
          <w:noProof/>
        </w:rPr>
        <w:tab/>
      </w:r>
      <w:r>
        <w:rPr>
          <w:noProof/>
        </w:rPr>
        <w:fldChar w:fldCharType="begin"/>
      </w:r>
      <w:r>
        <w:rPr>
          <w:noProof/>
        </w:rPr>
        <w:instrText xml:space="preserve"> PAGEREF _Toc126854791 \h </w:instrText>
      </w:r>
      <w:r>
        <w:rPr>
          <w:noProof/>
        </w:rPr>
      </w:r>
      <w:r>
        <w:rPr>
          <w:noProof/>
        </w:rPr>
        <w:fldChar w:fldCharType="separate"/>
      </w:r>
      <w:r w:rsidR="00995C7E">
        <w:rPr>
          <w:noProof/>
        </w:rPr>
        <w:t>54</w:t>
      </w:r>
      <w:r>
        <w:rPr>
          <w:noProof/>
        </w:rPr>
        <w:fldChar w:fldCharType="end"/>
      </w:r>
    </w:p>
    <w:p w14:paraId="2E83B458" w14:textId="673C0945" w:rsidR="0030232F" w:rsidRDefault="0030232F">
      <w:pPr>
        <w:pStyle w:val="TOC3"/>
        <w:rPr>
          <w:rFonts w:asciiTheme="minorHAnsi" w:eastAsiaTheme="minorEastAsia" w:hAnsiTheme="minorHAnsi" w:cstheme="minorBidi"/>
          <w:noProof/>
          <w:szCs w:val="24"/>
        </w:rPr>
      </w:pPr>
      <w:r>
        <w:rPr>
          <w:noProof/>
        </w:rPr>
        <w:t>3.</w:t>
      </w:r>
      <w:r>
        <w:rPr>
          <w:rFonts w:asciiTheme="minorHAnsi" w:eastAsiaTheme="minorEastAsia" w:hAnsiTheme="minorHAnsi" w:cstheme="minorBidi"/>
          <w:noProof/>
          <w:szCs w:val="24"/>
        </w:rPr>
        <w:tab/>
      </w:r>
      <w:r>
        <w:rPr>
          <w:noProof/>
        </w:rPr>
        <w:t>Adapting Antitrust Law</w:t>
      </w:r>
      <w:r>
        <w:rPr>
          <w:noProof/>
        </w:rPr>
        <w:tab/>
      </w:r>
      <w:r>
        <w:rPr>
          <w:noProof/>
        </w:rPr>
        <w:fldChar w:fldCharType="begin"/>
      </w:r>
      <w:r>
        <w:rPr>
          <w:noProof/>
        </w:rPr>
        <w:instrText xml:space="preserve"> PAGEREF _Toc126854792 \h </w:instrText>
      </w:r>
      <w:r>
        <w:rPr>
          <w:noProof/>
        </w:rPr>
      </w:r>
      <w:r>
        <w:rPr>
          <w:noProof/>
        </w:rPr>
        <w:fldChar w:fldCharType="separate"/>
      </w:r>
      <w:r w:rsidR="00995C7E">
        <w:rPr>
          <w:noProof/>
        </w:rPr>
        <w:t>55</w:t>
      </w:r>
      <w:r>
        <w:rPr>
          <w:noProof/>
        </w:rPr>
        <w:fldChar w:fldCharType="end"/>
      </w:r>
    </w:p>
    <w:p w14:paraId="0DAA7049" w14:textId="7EE55006" w:rsidR="0030232F" w:rsidRDefault="0030232F">
      <w:pPr>
        <w:pStyle w:val="TOC1"/>
        <w:rPr>
          <w:rFonts w:asciiTheme="minorHAnsi" w:eastAsiaTheme="minorEastAsia" w:hAnsiTheme="minorHAnsi" w:cstheme="minorBidi"/>
          <w:smallCaps w:val="0"/>
          <w:noProof/>
        </w:rPr>
      </w:pPr>
      <w:r>
        <w:rPr>
          <w:noProof/>
        </w:rPr>
        <w:t>Conclusion</w:t>
      </w:r>
      <w:r>
        <w:rPr>
          <w:noProof/>
        </w:rPr>
        <w:tab/>
      </w:r>
      <w:r>
        <w:rPr>
          <w:noProof/>
        </w:rPr>
        <w:fldChar w:fldCharType="begin"/>
      </w:r>
      <w:r>
        <w:rPr>
          <w:noProof/>
        </w:rPr>
        <w:instrText xml:space="preserve"> PAGEREF _Toc126854793 \h </w:instrText>
      </w:r>
      <w:r>
        <w:rPr>
          <w:noProof/>
        </w:rPr>
      </w:r>
      <w:r>
        <w:rPr>
          <w:noProof/>
        </w:rPr>
        <w:fldChar w:fldCharType="separate"/>
      </w:r>
      <w:r w:rsidR="00995C7E">
        <w:rPr>
          <w:noProof/>
        </w:rPr>
        <w:t>58</w:t>
      </w:r>
      <w:r>
        <w:rPr>
          <w:noProof/>
        </w:rPr>
        <w:fldChar w:fldCharType="end"/>
      </w:r>
    </w:p>
    <w:p w14:paraId="1954D8DC" w14:textId="186212B7" w:rsidR="00CA6BC7" w:rsidRPr="00737CF7" w:rsidRDefault="00E93FF0" w:rsidP="00943F62">
      <w:pPr>
        <w:pStyle w:val="BodyText"/>
        <w:spacing w:line="240" w:lineRule="exact"/>
        <w:rPr>
          <w:lang w:val="fr-FR"/>
        </w:rPr>
        <w:sectPr w:rsidR="00CA6BC7" w:rsidRPr="00737CF7" w:rsidSect="00216435">
          <w:pgSz w:w="12240" w:h="15840" w:code="1"/>
          <w:pgMar w:top="1710" w:right="2520" w:bottom="1800" w:left="2520" w:header="720" w:footer="1080" w:gutter="0"/>
          <w:pgNumType w:start="1"/>
          <w:cols w:space="720"/>
          <w:titlePg/>
          <w:docGrid w:linePitch="354"/>
        </w:sectPr>
      </w:pPr>
      <w:r w:rsidRPr="00E8791F">
        <w:fldChar w:fldCharType="end"/>
      </w:r>
    </w:p>
    <w:p w14:paraId="50C0D6EB" w14:textId="34C85595" w:rsidR="001A2ADF" w:rsidRPr="00737CF7" w:rsidRDefault="00E93FF0" w:rsidP="0021352B">
      <w:pPr>
        <w:pStyle w:val="Heading1NoNumbering"/>
        <w:keepNext w:val="0"/>
        <w:rPr>
          <w:lang w:val="fr-FR"/>
        </w:rPr>
      </w:pPr>
      <w:bookmarkStart w:id="2" w:name="_Toc126854767"/>
      <w:r w:rsidRPr="00737CF7">
        <w:rPr>
          <w:lang w:val="fr-FR"/>
        </w:rPr>
        <w:lastRenderedPageBreak/>
        <w:t>I</w:t>
      </w:r>
      <w:r w:rsidR="001A2ADF" w:rsidRPr="00737CF7">
        <w:rPr>
          <w:lang w:val="fr-FR"/>
        </w:rPr>
        <w:t>ntroduction</w:t>
      </w:r>
      <w:bookmarkEnd w:id="1"/>
      <w:bookmarkEnd w:id="2"/>
    </w:p>
    <w:p w14:paraId="485D7FA4" w14:textId="5FCF6939" w:rsidR="00861BD2" w:rsidRPr="00737CF7" w:rsidRDefault="0091062C" w:rsidP="00861BD2">
      <w:pPr>
        <w:ind w:firstLine="720"/>
      </w:pPr>
      <w:r>
        <w:t xml:space="preserve">Americans </w:t>
      </w:r>
      <w:r w:rsidR="00246F93">
        <w:t xml:space="preserve">have an enduring </w:t>
      </w:r>
      <w:r>
        <w:t xml:space="preserve">love </w:t>
      </w:r>
      <w:r w:rsidR="00246F93">
        <w:t xml:space="preserve">affair with </w:t>
      </w:r>
      <w:r>
        <w:t xml:space="preserve">innovation. In a nation starkly divided on so many issues, we remain unified in our devotion to the novel product, the new service. Even </w:t>
      </w:r>
      <w:r w:rsidR="000A216B">
        <w:t>P</w:t>
      </w:r>
      <w:r>
        <w:t>residents Obama and Trump agree</w:t>
      </w:r>
      <w:r w:rsidR="002E05B1">
        <w:t>d</w:t>
      </w:r>
      <w:r>
        <w:t xml:space="preserve"> on this point, if on little else. </w:t>
      </w:r>
      <w:r w:rsidR="00861BD2" w:rsidRPr="00737CF7">
        <w:t>In 2011, President Obama used his State of the Union speech to highlight the importance of innovation to the American economy. He asserted that “[t]he first step in winning the future is encouraging American innovation.”</w:t>
      </w:r>
      <w:bookmarkStart w:id="3" w:name="_Ref126773325"/>
      <w:r w:rsidR="00861BD2" w:rsidRPr="00737CF7">
        <w:rPr>
          <w:rStyle w:val="FootnoteReference"/>
        </w:rPr>
        <w:footnoteReference w:id="4"/>
      </w:r>
      <w:bookmarkEnd w:id="3"/>
      <w:r w:rsidR="00861BD2" w:rsidRPr="00737CF7">
        <w:t xml:space="preserve"> Some years later, candidate Donald Trump promised that, if elected president, he would ensure that “America will become the world’s great magnet for innovation and job creation.”</w:t>
      </w:r>
      <w:r w:rsidR="00861BD2" w:rsidRPr="00737CF7">
        <w:rPr>
          <w:rStyle w:val="FootnoteReference"/>
        </w:rPr>
        <w:footnoteReference w:id="5"/>
      </w:r>
      <w:r w:rsidR="00861BD2" w:rsidRPr="00737CF7">
        <w:t xml:space="preserve"> Within months of taking office in 2017, President Trump established the White House Office of American Innovation, which he asserted would “develop innovative solutions to many problems our country faces.”</w:t>
      </w:r>
      <w:r w:rsidR="00861BD2" w:rsidRPr="00737CF7">
        <w:rPr>
          <w:rStyle w:val="FootnoteReference"/>
        </w:rPr>
        <w:footnoteReference w:id="6"/>
      </w:r>
      <w:r w:rsidR="00861BD2" w:rsidRPr="00737CF7">
        <w:t xml:space="preserve"> In politics, maximizing innovation is one of the few remaining areas of strong bi-partisan agreement, even if disagreements about how to achieve that goal remain.</w:t>
      </w:r>
      <w:bookmarkStart w:id="4" w:name="_Ref126773345"/>
      <w:r w:rsidR="00861BD2" w:rsidRPr="00737CF7">
        <w:rPr>
          <w:rStyle w:val="FootnoteReference"/>
        </w:rPr>
        <w:footnoteReference w:id="7"/>
      </w:r>
      <w:bookmarkEnd w:id="4"/>
      <w:r w:rsidR="00861BD2" w:rsidRPr="00737CF7">
        <w:t xml:space="preserve"> </w:t>
      </w:r>
    </w:p>
    <w:p w14:paraId="45F69477" w14:textId="77777777" w:rsidR="00861BD2" w:rsidRPr="00737CF7" w:rsidRDefault="00861BD2" w:rsidP="00861BD2">
      <w:pPr>
        <w:ind w:firstLine="720"/>
      </w:pPr>
      <w:r w:rsidRPr="00737CF7">
        <w:t>This political consensus reflects broad agreement among the general public about the importance of innovation.</w:t>
      </w:r>
      <w:bookmarkStart w:id="5" w:name="_Ref126773428"/>
      <w:r w:rsidRPr="00737CF7">
        <w:rPr>
          <w:rStyle w:val="FootnoteReference"/>
        </w:rPr>
        <w:footnoteReference w:id="8"/>
      </w:r>
      <w:bookmarkEnd w:id="5"/>
      <w:r w:rsidRPr="00737CF7">
        <w:t xml:space="preserve"> A recent survey on Americans’ views toward innovation found that 92% of respondents “believe that innovation is a big part of American culture and history” and that 77% believe the U.S. is “one of the world’s leaders in innovation.”</w:t>
      </w:r>
      <w:r w:rsidRPr="00737CF7">
        <w:rPr>
          <w:rStyle w:val="FootnoteReference"/>
        </w:rPr>
        <w:footnoteReference w:id="9"/>
      </w:r>
      <w:r w:rsidRPr="00737CF7">
        <w:t xml:space="preserve"> And in a 2017 poll asking Americans what has improved life the most over the past half-century, “technology” was the number one response, chosen by 42% of respondents; </w:t>
      </w:r>
      <w:r w:rsidRPr="00737CF7">
        <w:lastRenderedPageBreak/>
        <w:t>advances in medical care was number two, chosen by 14%.</w:t>
      </w:r>
      <w:bookmarkStart w:id="6" w:name="_Ref126773433"/>
      <w:r w:rsidRPr="00737CF7">
        <w:rPr>
          <w:rStyle w:val="FootnoteReference"/>
        </w:rPr>
        <w:footnoteReference w:id="10"/>
      </w:r>
      <w:bookmarkEnd w:id="6"/>
      <w:r w:rsidRPr="00737CF7">
        <w:t xml:space="preserve"> By contrast, “Civil and equal rights” and “Peace/End of wars” polled at 10% and 1%, respectively. </w:t>
      </w:r>
    </w:p>
    <w:p w14:paraId="1FAA6390" w14:textId="77777777" w:rsidR="00861BD2" w:rsidRPr="00737CF7" w:rsidRDefault="00861BD2" w:rsidP="00861BD2">
      <w:r w:rsidRPr="00737CF7">
        <w:tab/>
      </w:r>
      <w:r>
        <w:t>Of course,</w:t>
      </w:r>
      <w:r w:rsidRPr="00737CF7">
        <w:t xml:space="preserve"> in the business community innovation is pursued with an almost religious fervor.</w:t>
      </w:r>
      <w:bookmarkStart w:id="7" w:name="_Ref126773473"/>
      <w:r>
        <w:rPr>
          <w:rStyle w:val="FootnoteReference"/>
        </w:rPr>
        <w:footnoteReference w:id="11"/>
      </w:r>
      <w:bookmarkEnd w:id="7"/>
      <w:r w:rsidRPr="00737CF7">
        <w:t xml:space="preserve"> McKinsey contends that “innovation is critical to growth, particularly as the speed of business cycles continues to increase.”</w:t>
      </w:r>
      <w:r w:rsidRPr="00737CF7">
        <w:rPr>
          <w:rStyle w:val="FootnoteReference"/>
        </w:rPr>
        <w:footnoteReference w:id="12"/>
      </w:r>
      <w:r w:rsidRPr="00737CF7">
        <w:t xml:space="preserve"> The consultancy touts its “Eight Principles of Innovation” and observes that the “best companies find ways to embed innovation into the fibers of their culture, from the core to the periphery.”</w:t>
      </w:r>
      <w:r w:rsidRPr="00737CF7">
        <w:rPr>
          <w:rStyle w:val="FootnoteReference"/>
        </w:rPr>
        <w:footnoteReference w:id="13"/>
      </w:r>
      <w:r w:rsidRPr="00737CF7">
        <w:t xml:space="preserve"> Among the bestselling business books are many that focus on innovation and how to achieve it, including Clayton Christensen’s </w:t>
      </w:r>
      <w:r w:rsidRPr="00737CF7">
        <w:rPr>
          <w:i/>
          <w:iCs/>
        </w:rPr>
        <w:t>The Innovator</w:t>
      </w:r>
      <w:r>
        <w:rPr>
          <w:i/>
          <w:iCs/>
        </w:rPr>
        <w:t>’</w:t>
      </w:r>
      <w:r w:rsidRPr="00737CF7">
        <w:rPr>
          <w:i/>
          <w:iCs/>
        </w:rPr>
        <w:t>s Dilemma</w:t>
      </w:r>
      <w:r w:rsidRPr="00737CF7">
        <w:t xml:space="preserve"> and Bernadette Jiwa’s </w:t>
      </w:r>
      <w:r w:rsidRPr="00737CF7">
        <w:rPr>
          <w:i/>
          <w:iCs/>
        </w:rPr>
        <w:t>Meaningful: The Story of Ideas that Fly</w:t>
      </w:r>
      <w:r w:rsidRPr="00737CF7">
        <w:t>.</w:t>
      </w:r>
      <w:r w:rsidRPr="00737CF7">
        <w:rPr>
          <w:rStyle w:val="FootnoteReference"/>
        </w:rPr>
        <w:footnoteReference w:id="14"/>
      </w:r>
      <w:r w:rsidRPr="00737CF7">
        <w:t xml:space="preserve"> </w:t>
      </w:r>
      <w:r>
        <w:t>Top</w:t>
      </w:r>
      <w:r w:rsidRPr="00737CF7">
        <w:t xml:space="preserve"> business publications publish lists of the most innovative business leaders</w:t>
      </w:r>
      <w:r>
        <w:t>,</w:t>
      </w:r>
      <w:r w:rsidRPr="00737CF7">
        <w:rPr>
          <w:rStyle w:val="FootnoteReference"/>
        </w:rPr>
        <w:footnoteReference w:id="15"/>
      </w:r>
      <w:r w:rsidRPr="00737CF7">
        <w:t xml:space="preserve"> </w:t>
      </w:r>
      <w:r>
        <w:t xml:space="preserve">and </w:t>
      </w:r>
      <w:r w:rsidRPr="00737CF7">
        <w:t xml:space="preserve">business schools offer </w:t>
      </w:r>
      <w:r>
        <w:t>popular courses</w:t>
      </w:r>
      <w:r w:rsidRPr="00737CF7">
        <w:t xml:space="preserve"> on becoming an innovative </w:t>
      </w:r>
      <w:r>
        <w:t>executive</w:t>
      </w:r>
      <w:r w:rsidRPr="00737CF7">
        <w:t>.</w:t>
      </w:r>
      <w:bookmarkStart w:id="8" w:name="_Ref126773488"/>
      <w:r w:rsidRPr="00737CF7">
        <w:rPr>
          <w:rStyle w:val="FootnoteReference"/>
        </w:rPr>
        <w:footnoteReference w:id="16"/>
      </w:r>
      <w:bookmarkEnd w:id="8"/>
    </w:p>
    <w:p w14:paraId="66BA45FB" w14:textId="77777777" w:rsidR="00861BD2" w:rsidRDefault="00861BD2" w:rsidP="00861BD2">
      <w:pPr>
        <w:ind w:firstLine="720"/>
      </w:pPr>
      <w:r w:rsidRPr="00737CF7">
        <w:lastRenderedPageBreak/>
        <w:t>The scholarly literature on innovation focuses overwhelmingly on how innovation occurs and ways to increase it.</w:t>
      </w:r>
      <w:bookmarkStart w:id="9" w:name="_Ref126788945"/>
      <w:r w:rsidRPr="00737CF7">
        <w:rPr>
          <w:rStyle w:val="FootnoteReference"/>
        </w:rPr>
        <w:footnoteReference w:id="17"/>
      </w:r>
      <w:bookmarkEnd w:id="9"/>
      <w:r w:rsidRPr="00737CF7">
        <w:t xml:space="preserve"> Typical of this approach is the business school literature on fostering innovation, which is voluminous.</w:t>
      </w:r>
      <w:r w:rsidRPr="00737CF7">
        <w:rPr>
          <w:rStyle w:val="FootnoteReference"/>
        </w:rPr>
        <w:footnoteReference w:id="18"/>
      </w:r>
      <w:r w:rsidRPr="00737CF7">
        <w:t xml:space="preserve"> Scholars have identified an emerging field in innovation studies, whose proponents focus on the sources of innovation, including at the firm and national levels, and the relationship between innovation and economic growth.</w:t>
      </w:r>
      <w:r w:rsidRPr="00737CF7">
        <w:rPr>
          <w:rStyle w:val="FootnoteReference"/>
        </w:rPr>
        <w:footnoteReference w:id="19"/>
      </w:r>
      <w:r w:rsidRPr="00737CF7">
        <w:t xml:space="preserve"> Economists studying innovation also tend to focus on its origins and its role in propelling economic expansion. Classic examples in this field include Joseph</w:t>
      </w:r>
      <w:r>
        <w:t xml:space="preserve"> </w:t>
      </w:r>
      <w:r w:rsidRPr="00737CF7">
        <w:t>Schumpeter’s work on creative destruction</w:t>
      </w:r>
      <w:bookmarkStart w:id="10" w:name="_Ref126599599"/>
      <w:r w:rsidRPr="00737CF7">
        <w:rPr>
          <w:rStyle w:val="FootnoteReference"/>
        </w:rPr>
        <w:footnoteReference w:id="20"/>
      </w:r>
      <w:bookmarkEnd w:id="10"/>
      <w:r w:rsidRPr="00737CF7">
        <w:t xml:space="preserve"> and Kenneth Arrow’s contributions on competition and innovation.</w:t>
      </w:r>
      <w:bookmarkStart w:id="11" w:name="_Ref126789752"/>
      <w:r w:rsidRPr="00737CF7">
        <w:rPr>
          <w:rStyle w:val="FootnoteReference"/>
        </w:rPr>
        <w:footnoteReference w:id="21"/>
      </w:r>
      <w:bookmarkEnd w:id="11"/>
      <w:r w:rsidRPr="00737CF7">
        <w:t xml:space="preserve"> </w:t>
      </w:r>
      <w:r>
        <w:t>More recent work is in a similar vein.</w:t>
      </w:r>
      <w:bookmarkStart w:id="12" w:name="_Ref126785324"/>
      <w:r>
        <w:rPr>
          <w:rStyle w:val="FootnoteReference"/>
        </w:rPr>
        <w:footnoteReference w:id="22"/>
      </w:r>
      <w:bookmarkEnd w:id="12"/>
    </w:p>
    <w:p w14:paraId="131B90A4" w14:textId="2EEDE168" w:rsidR="00861BD2" w:rsidRDefault="0091062C" w:rsidP="00861BD2">
      <w:pPr>
        <w:ind w:firstLine="720"/>
      </w:pPr>
      <w:r>
        <w:t>And</w:t>
      </w:r>
      <w:r w:rsidR="00861BD2">
        <w:t xml:space="preserve"> this isn’t just cheap talk. Far from it. The United States and other western nations spend trillions of dollars a year encouraging innovation.</w:t>
      </w:r>
      <w:bookmarkStart w:id="13" w:name="_Ref126700955"/>
      <w:r w:rsidR="004D5EDB">
        <w:rPr>
          <w:rStyle w:val="FootnoteReference"/>
        </w:rPr>
        <w:footnoteReference w:id="23"/>
      </w:r>
      <w:bookmarkEnd w:id="13"/>
      <w:r w:rsidR="00861BD2">
        <w:t xml:space="preserve"> Much of this money comes in the form of direct research grants and </w:t>
      </w:r>
      <w:r w:rsidR="00861BD2">
        <w:lastRenderedPageBreak/>
        <w:t>subsidies.</w:t>
      </w:r>
      <w:bookmarkStart w:id="14" w:name="_Ref126774259"/>
      <w:r w:rsidR="00EC0C25">
        <w:rPr>
          <w:rStyle w:val="FootnoteReference"/>
        </w:rPr>
        <w:footnoteReference w:id="24"/>
      </w:r>
      <w:bookmarkEnd w:id="14"/>
      <w:r w:rsidR="00861BD2">
        <w:t xml:space="preserve"> Another huge percentage involves tax rebates.</w:t>
      </w:r>
      <w:r w:rsidR="00EC0C25">
        <w:rPr>
          <w:rStyle w:val="FootnoteReference"/>
        </w:rPr>
        <w:footnoteReference w:id="25"/>
      </w:r>
      <w:r w:rsidR="00861BD2">
        <w:t xml:space="preserve"> And one of the largest innovation incentives is patent law, which gives inventors exclusive rights to their discoveries, enabling them to price access to innovations at supracompetitive rates.</w:t>
      </w:r>
      <w:r w:rsidR="00EC0C25">
        <w:rPr>
          <w:rStyle w:val="FootnoteReference"/>
        </w:rPr>
        <w:footnoteReference w:id="26"/>
      </w:r>
      <w:r w:rsidR="00861BD2">
        <w:t xml:space="preserve"> </w:t>
      </w:r>
    </w:p>
    <w:p w14:paraId="2388B0FB" w14:textId="2FB81388" w:rsidR="00861BD2" w:rsidRDefault="00861BD2" w:rsidP="00861BD2">
      <w:r>
        <w:tab/>
        <w:t>According to all these perspectives, the biggest concern with innovation is that society might not get enough of it.</w:t>
      </w:r>
      <w:r w:rsidR="00441661">
        <w:t xml:space="preserve"> </w:t>
      </w:r>
      <w:r>
        <w:t xml:space="preserve">Without massive government funding or monopolistic patent pricing, we may miss out on the next round of innovations that will increase economic growth, propel society forward, and improve human well-being. But what if that’s not the whole story? What if it turned out that a substantial portion of innovative activity was </w:t>
      </w:r>
      <w:proofErr w:type="gramStart"/>
      <w:r>
        <w:t>actually bad</w:t>
      </w:r>
      <w:proofErr w:type="gramEnd"/>
      <w:r>
        <w:t xml:space="preserve"> for society as a whole? In this Article, we make just this argument. </w:t>
      </w:r>
    </w:p>
    <w:p w14:paraId="4DFA5903" w14:textId="1123E80E" w:rsidR="00861BD2" w:rsidRDefault="00861BD2" w:rsidP="00861BD2">
      <w:r>
        <w:tab/>
        <w:t>While we are, of course, thrilled to be able to research and write this Article on internet-enabled computers</w:t>
      </w:r>
      <w:r w:rsidR="006219E7">
        <w:t>,</w:t>
      </w:r>
      <w:r>
        <w:t xml:space="preserve"> with access to clean water, indoor plumbing, antibiotics, vaccines, and a host of other modern conveniences, we don’t view these transformational innovations as typical. No doubt, many innovations have radically transformed human lives, prolonging and improving them. But we can’t let these breakthroughs distort our view of innovation as a whole. Vanishingly few innovations dramatically improve society, while many don’t really affect it at all. And, we argue, a distressingly high number make life worse. We call these antisocial innovations.</w:t>
      </w:r>
    </w:p>
    <w:p w14:paraId="18359B0A" w14:textId="48EED038" w:rsidR="00861BD2" w:rsidRDefault="00861BD2" w:rsidP="00861BD2">
      <w:r>
        <w:tab/>
        <w:t>Almost no innovations are purely antisocial, in the sense that they produce only harms and no benefits. Bump stocks, which enable semi-automatic firearms to operate like fully automatic weapons, may come close, in the sense that they have no meaningful military use and exist primarily to evade regulation of machine guns.</w:t>
      </w:r>
      <w:r w:rsidR="004E4814">
        <w:rPr>
          <w:rStyle w:val="FootnoteReference"/>
        </w:rPr>
        <w:footnoteReference w:id="27"/>
      </w:r>
      <w:r>
        <w:t xml:space="preserve"> More typical are innovations where the benefits to one group are outweighed by the costs to other interests. Consider the following examples.</w:t>
      </w:r>
    </w:p>
    <w:p w14:paraId="5B898508" w14:textId="07DFD6B1" w:rsidR="00861BD2" w:rsidRDefault="00861BD2" w:rsidP="00861BD2">
      <w:r>
        <w:tab/>
      </w:r>
      <w:r w:rsidR="0061221D">
        <w:t xml:space="preserve">When California prohibited cigarette manufacturers from adding flavorings, including menthol, to their products, some producers adopted a </w:t>
      </w:r>
      <w:r w:rsidR="0061221D">
        <w:lastRenderedPageBreak/>
        <w:t>synthetic chemical that generates menthol’s cooling sensation but that does not add unlawful flavor.</w:t>
      </w:r>
      <w:r w:rsidR="0061221D">
        <w:rPr>
          <w:rStyle w:val="FootnoteReference"/>
        </w:rPr>
        <w:footnoteReference w:id="28"/>
      </w:r>
      <w:r w:rsidR="0061221D">
        <w:t xml:space="preserve"> Obviously, this change is valuable for the cigarette manufacturers, but it is almost certainly going to reduce the effectiveness of the flavor ban and, accordingly, social welfare.</w:t>
      </w:r>
      <w:r w:rsidR="0061221D">
        <w:rPr>
          <w:rStyle w:val="FootnoteReference"/>
        </w:rPr>
        <w:footnoteReference w:id="29"/>
      </w:r>
      <w:r w:rsidR="0061221D">
        <w:t xml:space="preserve"> </w:t>
      </w:r>
    </w:p>
    <w:p w14:paraId="45C158CD" w14:textId="4F80FF70" w:rsidR="00861BD2" w:rsidRDefault="00861BD2" w:rsidP="00861BD2">
      <w:r>
        <w:tab/>
      </w:r>
      <w:r w:rsidR="006A003E">
        <w:t xml:space="preserve">Pricing algorithms are another example. </w:t>
      </w:r>
      <w:r w:rsidR="0003607D">
        <w:t xml:space="preserve">For centuries, merchants relied on their own judgment to set prices for their goods. They were able to </w:t>
      </w:r>
      <w:r w:rsidR="006A003E">
        <w:t>consider</w:t>
      </w:r>
      <w:r w:rsidR="0003607D">
        <w:t xml:space="preserve"> their costs, estimate their customers’ willingness to pay, and perhaps have a limited knowledge of what their competitors were charging. </w:t>
      </w:r>
      <w:r w:rsidR="006A003E">
        <w:t xml:space="preserve">In a twentieth century store, almost all consumers paid the same price for the same goods. </w:t>
      </w:r>
      <w:r w:rsidR="0003607D">
        <w:t>Now, many sellers, including the most powerful merchants</w:t>
      </w:r>
      <w:r w:rsidR="006A003E">
        <w:t>—</w:t>
      </w:r>
      <w:r w:rsidR="0003607D">
        <w:t>Amazon, Walmart, and the big airlines</w:t>
      </w:r>
      <w:r w:rsidR="006A003E">
        <w:t>—</w:t>
      </w:r>
      <w:r w:rsidR="0003607D">
        <w:t>rely on computer programs to set their prices.</w:t>
      </w:r>
      <w:bookmarkStart w:id="15" w:name="_Ref126698226"/>
      <w:r w:rsidR="007512E7">
        <w:rPr>
          <w:rStyle w:val="FootnoteReference"/>
        </w:rPr>
        <w:footnoteReference w:id="30"/>
      </w:r>
      <w:bookmarkEnd w:id="15"/>
      <w:r w:rsidR="0003607D">
        <w:t xml:space="preserve"> These </w:t>
      </w:r>
      <w:r>
        <w:t>pricing algorithms</w:t>
      </w:r>
      <w:r w:rsidR="0003607D">
        <w:t xml:space="preserve"> </w:t>
      </w:r>
      <w:r w:rsidR="006A003E">
        <w:t xml:space="preserve">generate prices based on traditional inputs like cost of goods and demand, but they can </w:t>
      </w:r>
      <w:r w:rsidR="00246F93">
        <w:t xml:space="preserve">also </w:t>
      </w:r>
      <w:r w:rsidR="006A003E">
        <w:t>account for the prices of multiple rivals, the time of day, day of the month, and time of year a sale is made, and, with the advent of big data, they can personalize prices for individual consumers.</w:t>
      </w:r>
      <w:bookmarkStart w:id="16" w:name="_Ref126700792"/>
      <w:r w:rsidR="007512E7">
        <w:rPr>
          <w:rStyle w:val="FootnoteReference"/>
        </w:rPr>
        <w:footnoteReference w:id="31"/>
      </w:r>
      <w:bookmarkEnd w:id="16"/>
      <w:r w:rsidR="006A003E">
        <w:t xml:space="preserve"> This technology is a huge step forward for sellers, but on the whole consumers will almost certainly pay more for algorithmically priced goods.</w:t>
      </w:r>
      <w:r w:rsidR="003D1128">
        <w:rPr>
          <w:rStyle w:val="FootnoteReference"/>
        </w:rPr>
        <w:footnoteReference w:id="32"/>
      </w:r>
      <w:r w:rsidR="006A003E">
        <w:t xml:space="preserve"> A significant wealth transfer from consumers to sellers is the most likely result</w:t>
      </w:r>
      <w:r w:rsidR="00AC2F2E">
        <w:t>, reinforcing already alarming wealth distribution disparities in the United States</w:t>
      </w:r>
      <w:r w:rsidR="006A003E">
        <w:t xml:space="preserve">. </w:t>
      </w:r>
    </w:p>
    <w:p w14:paraId="25788299" w14:textId="2ECAF6DA" w:rsidR="00861BD2" w:rsidRPr="005F404C" w:rsidRDefault="00861BD2" w:rsidP="00861BD2">
      <w:pPr>
        <w:rPr>
          <w:highlight w:val="yellow"/>
        </w:rPr>
      </w:pPr>
      <w:r>
        <w:tab/>
      </w:r>
      <w:r w:rsidR="00A801A7">
        <w:t xml:space="preserve">Finally, consider the vast array of surveillance technologies that are being employed </w:t>
      </w:r>
      <w:r w:rsidR="00B41799">
        <w:t>in the workplace to track laborers</w:t>
      </w:r>
      <w:r w:rsidR="00891E80">
        <w:t>’</w:t>
      </w:r>
      <w:r w:rsidR="00B41799">
        <w:t xml:space="preserve"> </w:t>
      </w:r>
      <w:r w:rsidR="00AE0695">
        <w:t>motions</w:t>
      </w:r>
      <w:r w:rsidR="00B41799">
        <w:t>, bathroom breaks, keystrokes, and eye</w:t>
      </w:r>
      <w:r w:rsidR="00AE0695">
        <w:t xml:space="preserve"> movements.</w:t>
      </w:r>
      <w:r w:rsidR="006E2BCB">
        <w:rPr>
          <w:rStyle w:val="FootnoteReference"/>
        </w:rPr>
        <w:footnoteReference w:id="33"/>
      </w:r>
      <w:r w:rsidR="00AE0695">
        <w:t xml:space="preserve"> While </w:t>
      </w:r>
      <w:r w:rsidR="00DF5847">
        <w:t xml:space="preserve">firms may claim that surveilling workers will make them more efficient and, ultimately, reduce consumer prices, </w:t>
      </w:r>
      <w:r w:rsidR="00D163EC">
        <w:t xml:space="preserve">technology’s impact on workers’ health, privacy, and autonomy is alarming. </w:t>
      </w:r>
      <w:r w:rsidR="001D3B37">
        <w:t xml:space="preserve">Employees at Amazon warehouses face greater physical risks than do police officers, </w:t>
      </w:r>
      <w:r w:rsidR="00713FE1">
        <w:t xml:space="preserve">and surveilling workers’ behavior is especially damaging for </w:t>
      </w:r>
      <w:r w:rsidR="00AE277D">
        <w:t xml:space="preserve">labor organizers, women, and people from historically marginalized communities. </w:t>
      </w:r>
    </w:p>
    <w:p w14:paraId="22F19AF3" w14:textId="77777777" w:rsidR="00861BD2" w:rsidRDefault="00861BD2" w:rsidP="00861BD2">
      <w:r>
        <w:tab/>
        <w:t xml:space="preserve">As these examples attest, lots of innovations </w:t>
      </w:r>
      <w:proofErr w:type="gramStart"/>
      <w:r>
        <w:t>actually hurt</w:t>
      </w:r>
      <w:proofErr w:type="gramEnd"/>
      <w:r>
        <w:t xml:space="preserve"> people. While we don’t deny the value of lifesaving innovations like the Covid-19 vaccine, it is important for policymakers to recognize that many, and perhaps </w:t>
      </w:r>
      <w:r>
        <w:lastRenderedPageBreak/>
        <w:t xml:space="preserve">most, innovations do not fit the rosy image offered by politicians and tech gurus. This Article begins to challenge that image, and it offers a renewed vision of policymaking in a world where innovation can be great but where it can just as well be awful.  </w:t>
      </w:r>
    </w:p>
    <w:p w14:paraId="29D22A48" w14:textId="64F41268" w:rsidR="00861BD2" w:rsidRDefault="00861BD2" w:rsidP="00861BD2">
      <w:r>
        <w:tab/>
        <w:t>Our first step in this direction is to categorize and taxonomize antisocial innovations. From a legal and policymaking perspective, our concern is with innovations that are privately beneficial to innovators and their clients but socially harmful. For example, some financial innovations</w:t>
      </w:r>
      <w:r w:rsidR="006219E7">
        <w:t>,</w:t>
      </w:r>
      <w:r>
        <w:t xml:space="preserve"> like credit default swaps</w:t>
      </w:r>
      <w:r w:rsidR="006219E7">
        <w:t>,</w:t>
      </w:r>
      <w:r>
        <w:t xml:space="preserve"> made a lot of money for their creators, but they wreaked havoc on the global economy.</w:t>
      </w:r>
      <w:r w:rsidR="006B5C62">
        <w:rPr>
          <w:rStyle w:val="FootnoteReference"/>
        </w:rPr>
        <w:footnoteReference w:id="34"/>
      </w:r>
      <w:r>
        <w:t xml:space="preserve"> Similarly, the pricing algorithms just discussed are principally a means to extract money from consumers for the benefit of suppliers.</w:t>
      </w:r>
      <w:r w:rsidR="003F1B57">
        <w:rPr>
          <w:rStyle w:val="FootnoteReference"/>
        </w:rPr>
        <w:footnoteReference w:id="35"/>
      </w:r>
      <w:r>
        <w:t xml:space="preserve"> And many chemicals may help firms increase profits at the expense of the environment.</w:t>
      </w:r>
      <w:r w:rsidR="003F1B57">
        <w:rPr>
          <w:rStyle w:val="FootnoteReference"/>
        </w:rPr>
        <w:footnoteReference w:id="36"/>
      </w:r>
      <w:r>
        <w:t xml:space="preserve"> With this understanding of what makes an innovation a net benefit or harm, we propose a taxonomy of antisocial innovations according to the kinds of harms that they cause. We categorize and elucidate six main varieties of antisocial innovation harms: individual harms to people’s health, wealth, and well-being; environmental harms; harms to competition; harms to labor; privacy harms; and a catch-all category that we label social harms</w:t>
      </w:r>
      <w:r w:rsidR="00F16665">
        <w:t>, involving</w:t>
      </w:r>
      <w:r>
        <w:t xml:space="preserve"> concerns for democracy, stability, and the fair distribution of society’s resources. Of course, some technologies will cause multiple varieties of harm. </w:t>
      </w:r>
    </w:p>
    <w:p w14:paraId="7EACC300" w14:textId="0453A541" w:rsidR="00861BD2" w:rsidRDefault="00861BD2" w:rsidP="00861BD2">
      <w:r>
        <w:tab/>
        <w:t xml:space="preserve">The taxonomy’s purpose is to demonstrate </w:t>
      </w:r>
      <w:r w:rsidR="003A0D4F">
        <w:t xml:space="preserve">antisocial innovation’s </w:t>
      </w:r>
      <w:r>
        <w:t xml:space="preserve">distressing breadth. We hope that it offers a valuable corrective to the widely accepted vision of innovation’s beneficence. But our goals are not this modest. We also hope to begin reorienting innovation law and policy, and we conclude with a series of proposals for doing so. </w:t>
      </w:r>
    </w:p>
    <w:p w14:paraId="44C1D5B4" w14:textId="59D53203" w:rsidR="00861BD2" w:rsidRDefault="00861BD2" w:rsidP="00861BD2">
      <w:r>
        <w:tab/>
        <w:t>We begin by noting that two of society’s most important tools for promoting innovation</w:t>
      </w:r>
      <w:r w:rsidR="006219E7">
        <w:t>—</w:t>
      </w:r>
      <w:r>
        <w:t>patents and antitrust law</w:t>
      </w:r>
      <w:r w:rsidR="006219E7">
        <w:t>—</w:t>
      </w:r>
      <w:r>
        <w:t>treat all innovation as socially valuable.</w:t>
      </w:r>
      <w:r w:rsidR="00A63772">
        <w:rPr>
          <w:rStyle w:val="FootnoteReference"/>
        </w:rPr>
        <w:footnoteReference w:id="37"/>
      </w:r>
      <w:r>
        <w:t xml:space="preserve"> Borrowing from administrative law, we refer to this as the Inverse </w:t>
      </w:r>
      <w:r>
        <w:lastRenderedPageBreak/>
        <w:t>Precautionary Principle.</w:t>
      </w:r>
      <w:r w:rsidR="00A63772">
        <w:rPr>
          <w:rStyle w:val="FootnoteReference"/>
        </w:rPr>
        <w:footnoteReference w:id="38"/>
      </w:r>
      <w:r>
        <w:t xml:space="preserve"> While some administrative law policymaking supports the Precautionary Principle, whereby new activities should be regulated if they pose any meaningful risk of harm,</w:t>
      </w:r>
      <w:r w:rsidR="00383F9E">
        <w:rPr>
          <w:rStyle w:val="FootnoteReference"/>
        </w:rPr>
        <w:footnoteReference w:id="39"/>
      </w:r>
      <w:r>
        <w:t xml:space="preserve"> patent and antitrust law apply the inverse—all innovations should be promoted irrespective of their risks.</w:t>
      </w:r>
      <w:r w:rsidR="006B339E">
        <w:rPr>
          <w:rStyle w:val="FootnoteReference"/>
        </w:rPr>
        <w:footnoteReference w:id="40"/>
      </w:r>
      <w:r>
        <w:t xml:space="preserve"> Outside of pharmaceuticals and some other chemicals, our innovation governance approach is one of “beneficial until proven harmful.” </w:t>
      </w:r>
    </w:p>
    <w:p w14:paraId="5B303A39" w14:textId="77777777" w:rsidR="00861BD2" w:rsidRDefault="00861BD2" w:rsidP="00861BD2">
      <w:pPr>
        <w:ind w:firstLine="720"/>
      </w:pPr>
      <w:r>
        <w:t>A more nuanced framework, however, is required. Policymakers should realize that innovation governance involves risk-risk tradeoffs. While excessive regulation may deprive society of valuable new inventions, insufficient regulation poses serious, even catastrophic risks to society. Innovation necessarily produces new and, thus, unknown pathways. It may be difficult for policymakers and regulators to know, early on, whether an innovation will be salutary, harmful, or neither. But once they recognize that society’s only compelling interest in innovation is to generate more of it, their strategies should change.</w:t>
      </w:r>
    </w:p>
    <w:p w14:paraId="643682C2" w14:textId="70B8D034" w:rsidR="00861BD2" w:rsidRDefault="00861BD2" w:rsidP="00861BD2">
      <w:pPr>
        <w:ind w:firstLine="720"/>
      </w:pPr>
      <w:r>
        <w:t>More concretely, our account of the magnitude of antisocial innovation counsels a shift from patent incentives towards more targeted incentives like grants and prizes. Patent law is agnostic to an invention’s utility.</w:t>
      </w:r>
      <w:bookmarkStart w:id="17" w:name="_Ref126851394"/>
      <w:r w:rsidR="00BC3149">
        <w:rPr>
          <w:rStyle w:val="FootnoteReference"/>
        </w:rPr>
        <w:footnoteReference w:id="41"/>
      </w:r>
      <w:bookmarkEnd w:id="17"/>
      <w:r>
        <w:t xml:space="preserve"> A patent on a vaccine is just as valid and lasts just </w:t>
      </w:r>
      <w:proofErr w:type="gramStart"/>
      <w:r>
        <w:t>as long as</w:t>
      </w:r>
      <w:proofErr w:type="gramEnd"/>
      <w:r>
        <w:t xml:space="preserve"> one on a bump stock or a chemical that devastates the planet. Patent law relies on markets to sort out good innovations from bad ones.</w:t>
      </w:r>
      <w:r w:rsidR="00BC3149">
        <w:rPr>
          <w:rStyle w:val="FootnoteReference"/>
        </w:rPr>
        <w:footnoteReference w:id="42"/>
      </w:r>
      <w:r>
        <w:t xml:space="preserve"> Due to distortions, externalities, and cognitive biases, however, markets are often not great at picking society-wide winners and losers.</w:t>
      </w:r>
      <w:r w:rsidR="002C4388">
        <w:rPr>
          <w:rStyle w:val="FootnoteReference"/>
        </w:rPr>
        <w:footnoteReference w:id="43"/>
      </w:r>
      <w:r>
        <w:t xml:space="preserve"> Accordingly, policymakers should consider spending a greater proportion of their innovation incentivizing dollars on grants and prizes that are devoted to prosocial developments. </w:t>
      </w:r>
    </w:p>
    <w:p w14:paraId="1A433574" w14:textId="4180F29E" w:rsidR="00861BD2" w:rsidRDefault="00861BD2" w:rsidP="00861BD2">
      <w:pPr>
        <w:ind w:firstLine="720"/>
      </w:pPr>
      <w:r>
        <w:t>In addition, policymakers should be open to regulating a broader swath of innovations before they reach the market rather than waiting until they have already caused (potentially irrevocable) harm. Currently, only Food &amp; Drug Administration (FDA) regulation of new pharmaceuticals and Environmental Protection Agency (EPA) regulation of new pesticides and chemicals occur before products reach markets.</w:t>
      </w:r>
      <w:r w:rsidR="002C4388">
        <w:rPr>
          <w:rStyle w:val="FootnoteReference"/>
        </w:rPr>
        <w:footnoteReference w:id="44"/>
      </w:r>
      <w:r>
        <w:t xml:space="preserve"> All other harm-causing products are only </w:t>
      </w:r>
      <w:r>
        <w:lastRenderedPageBreak/>
        <w:t>regulated ex post, via administrative or tort law.</w:t>
      </w:r>
      <w:r w:rsidR="002C4388">
        <w:rPr>
          <w:rStyle w:val="FootnoteReference"/>
        </w:rPr>
        <w:footnoteReference w:id="45"/>
      </w:r>
      <w:r>
        <w:t xml:space="preserve"> Given the considerable risk of harm that many innovations pose, Congress should consider providing ex ante regulatory authority to cover financial innovations and those that affect privacy and labor. </w:t>
      </w:r>
    </w:p>
    <w:p w14:paraId="1F6668FA" w14:textId="1FC3E78A" w:rsidR="00861BD2" w:rsidRDefault="00861BD2" w:rsidP="00861BD2">
      <w:pPr>
        <w:ind w:firstLine="720"/>
      </w:pPr>
      <w:r>
        <w:t>Finally, antitrust law should adopt a healthy skepticism towards the claims that all innovations are procompetitive and socially beneficial. When monopolist firms change their products in ways that harm rivals, courts should not credulously accept those changes as valuable. Very often, they undermine competition, increase prices, and harm consumers.</w:t>
      </w:r>
      <w:r w:rsidR="00EA2123">
        <w:rPr>
          <w:rStyle w:val="FootnoteReference"/>
        </w:rPr>
        <w:footnoteReference w:id="46"/>
      </w:r>
      <w:r>
        <w:t xml:space="preserve"> </w:t>
      </w:r>
      <w:r w:rsidR="00D06846">
        <w:t xml:space="preserve"> </w:t>
      </w:r>
    </w:p>
    <w:p w14:paraId="36D5FD63" w14:textId="77777777" w:rsidR="00861BD2" w:rsidRDefault="00861BD2" w:rsidP="00861BD2">
      <w:pPr>
        <w:ind w:firstLine="720"/>
      </w:pPr>
      <w:r>
        <w:t>Before proceeding to the Article’s principal arguments, two caveats are in order. First is the matter of defining innovation. Some innovation scholars might object to our categorization of antisocial activities as “innovations” as a matter of definition. They might think that bump stocks, cigarette additives, or pricing algorithms don’t count as innovations if they’re bad for society. We disagree. Innovations on our view are new goods, services, or processes that solve problems. But whose problems they solve is an open question. A better pricing algorithm may solve a seller’s problem while also creating problems for others. Thus, antisocial innovations are not definitionally excluded.</w:t>
      </w:r>
    </w:p>
    <w:p w14:paraId="4A668C24" w14:textId="77777777" w:rsidR="00861BD2" w:rsidRDefault="00861BD2" w:rsidP="00861BD2">
      <w:pPr>
        <w:ind w:firstLine="720"/>
      </w:pPr>
      <w:r>
        <w:t xml:space="preserve">Second, the success of our intervention does not turn on whether we convince every reader that, in each example we describe, the innovation’s costs exceed its benefits. We suspect that </w:t>
      </w:r>
      <w:proofErr w:type="gramStart"/>
      <w:r>
        <w:t>all of</w:t>
      </w:r>
      <w:proofErr w:type="gramEnd"/>
      <w:r>
        <w:t xml:space="preserve"> these examples will have defenders who believe that they are, in the net, socially valuable. Very often, it will be difficult to know who is correct. This is due to, in part, to insufficient regulatory attention to innovation’s costs. We simply do not have the data to be confident in all cases. But, more fundamentally, we believe that our intervention succeeds if we convince readers that the distribution of innovation’s costs and benefits is more heavily weighted towards the former than they initially believed. If that’s the case, then their views about optimal innovation governance should be subject to revision. </w:t>
      </w:r>
    </w:p>
    <w:p w14:paraId="750C4015" w14:textId="621D2434" w:rsidR="00700DED" w:rsidRDefault="0061221D" w:rsidP="000A216B">
      <w:pPr>
        <w:pStyle w:val="BodyText"/>
        <w:ind w:firstLine="0"/>
        <w:rPr>
          <w:lang w:eastAsia="ja-JP"/>
        </w:rPr>
      </w:pPr>
      <w:r>
        <w:rPr>
          <w:lang w:eastAsia="ja-JP"/>
        </w:rPr>
        <w:t xml:space="preserve"> </w:t>
      </w:r>
      <w:r>
        <w:rPr>
          <w:lang w:eastAsia="ja-JP"/>
        </w:rPr>
        <w:tab/>
        <w:t xml:space="preserve">We begin, in Part I, with a brief </w:t>
      </w:r>
      <w:r w:rsidR="00514905">
        <w:rPr>
          <w:lang w:eastAsia="ja-JP"/>
        </w:rPr>
        <w:t xml:space="preserve">introduction to the mechanisms policymakers use to promote innovation, especially grants, prizes, patents, and antitrust law, and we discuss the scholarly literature on the tradeoffs between these options. Part II begins to introduce antisocial innovation and the regulatory approach that the U.S. takes to minimizing it. Part III is the center of the paper. Here we elaborate our approach to understanding innovation in terms of its private costs and benefits versus its social costs and benefits. We explain which sorts of innovations need promoting and which need regulation. Part III also includes our taxonomy of antisocial innovation, delimiting individual harms, </w:t>
      </w:r>
      <w:r w:rsidR="00514905">
        <w:t xml:space="preserve">environmental harms; harms to competition; harms to labor; privacy harms; and social harms. In Part IV, we offer a series of proposals for </w:t>
      </w:r>
      <w:r w:rsidR="00514905">
        <w:lastRenderedPageBreak/>
        <w:t xml:space="preserve">recalibrating innovation governance </w:t>
      </w:r>
      <w:proofErr w:type="gramStart"/>
      <w:r w:rsidR="00514905">
        <w:t>in light of</w:t>
      </w:r>
      <w:proofErr w:type="gramEnd"/>
      <w:r w:rsidR="00514905">
        <w:t xml:space="preserve"> these arguments. We offer potential modifications for patent, administrative, and antitrust laws. </w:t>
      </w:r>
    </w:p>
    <w:p w14:paraId="60B896F2" w14:textId="77777777" w:rsidR="002045CE" w:rsidRPr="00737CF7" w:rsidRDefault="002045CE" w:rsidP="00C77A11">
      <w:pPr>
        <w:ind w:firstLine="720"/>
      </w:pPr>
    </w:p>
    <w:p w14:paraId="56D1D8FD" w14:textId="4C441D6F" w:rsidR="00C77A11" w:rsidRPr="00E8791F" w:rsidRDefault="000335D9" w:rsidP="00C77A11">
      <w:pPr>
        <w:pStyle w:val="Heading1"/>
      </w:pPr>
      <w:bookmarkStart w:id="18" w:name="_Toc126854768"/>
      <w:bookmarkStart w:id="19" w:name="_Hlk115443492"/>
      <w:r>
        <w:t>Incentivizing Innovation</w:t>
      </w:r>
      <w:bookmarkEnd w:id="18"/>
    </w:p>
    <w:p w14:paraId="4B7E3980" w14:textId="6237F34C" w:rsidR="00C77A11" w:rsidRDefault="00861BD2" w:rsidP="00ED27B9">
      <w:pPr>
        <w:ind w:firstLine="720"/>
      </w:pPr>
      <w:r>
        <w:t>Everyone loves innovation, from tech gurus, to politicians, to everyday citizens.</w:t>
      </w:r>
      <w:r w:rsidR="00A54A80">
        <w:rPr>
          <w:rStyle w:val="FootnoteReference"/>
        </w:rPr>
        <w:footnoteReference w:id="47"/>
      </w:r>
      <w:r>
        <w:t xml:space="preserve"> And here, governments back up their rhetoric with unfathomable expenditures.</w:t>
      </w:r>
      <w:r w:rsidR="00DD3382" w:rsidRPr="00737CF7">
        <w:t xml:space="preserve"> Innovation is considered so important to social and economic development, that most countries spend enormous amounts of money promoting it.</w:t>
      </w:r>
      <w:bookmarkStart w:id="20" w:name="_Ref126842665"/>
      <w:r w:rsidR="00A54A80">
        <w:rPr>
          <w:rStyle w:val="FootnoteReference"/>
        </w:rPr>
        <w:footnoteReference w:id="48"/>
      </w:r>
      <w:bookmarkEnd w:id="20"/>
      <w:r w:rsidR="00DD3382" w:rsidRPr="00737CF7">
        <w:t xml:space="preserve"> </w:t>
      </w:r>
      <w:r w:rsidR="00853275">
        <w:t xml:space="preserve">From a policy perspective, the standard concern about innovation is that society will have too little of it. Innovative ideas are rare, research and development can be costly, and copying is often cheap, so policymakers fear that we will </w:t>
      </w:r>
      <w:r w:rsidR="00FF6546">
        <w:t>produce</w:t>
      </w:r>
      <w:r w:rsidR="00853275">
        <w:t xml:space="preserve"> a suboptimal amount of innovation.</w:t>
      </w:r>
      <w:r w:rsidR="000059BC">
        <w:rPr>
          <w:rStyle w:val="FootnoteReference"/>
        </w:rPr>
        <w:footnoteReference w:id="49"/>
      </w:r>
      <w:r w:rsidR="00853275">
        <w:t xml:space="preserve"> Accordingly, governments spend enormous amounts of money</w:t>
      </w:r>
      <w:r w:rsidR="00ED27B9">
        <w:t xml:space="preserve"> and effort</w:t>
      </w:r>
      <w:r w:rsidR="00853275">
        <w:t xml:space="preserve">, directly and indirectly, to subsidize </w:t>
      </w:r>
      <w:r w:rsidR="00ED27B9">
        <w:t xml:space="preserve">and promote </w:t>
      </w:r>
      <w:r w:rsidR="00853275">
        <w:t xml:space="preserve">innovative activity. </w:t>
      </w:r>
      <w:r w:rsidR="00ED27B9">
        <w:t>This part briefly introduces four sets of commonly used innovation</w:t>
      </w:r>
      <w:r w:rsidR="0075227A">
        <w:t>-</w:t>
      </w:r>
      <w:r w:rsidR="00ED27B9">
        <w:t>promoting tools:</w:t>
      </w:r>
      <w:r w:rsidR="00C77A11" w:rsidRPr="00737CF7">
        <w:t xml:space="preserve"> (1)</w:t>
      </w:r>
      <w:r w:rsidR="00CC7A03" w:rsidRPr="00CC7A03">
        <w:t xml:space="preserve"> </w:t>
      </w:r>
      <w:r w:rsidR="00CC7A03">
        <w:t>grants</w:t>
      </w:r>
      <w:r w:rsidR="00CC7A03" w:rsidRPr="00737CF7">
        <w:t xml:space="preserve">, </w:t>
      </w:r>
      <w:r w:rsidR="00CC7A03">
        <w:t>prizes</w:t>
      </w:r>
      <w:r w:rsidR="00CC7A03" w:rsidRPr="00737CF7">
        <w:t>, and tax incentives</w:t>
      </w:r>
      <w:r w:rsidR="00CC7A03">
        <w:t xml:space="preserve">; </w:t>
      </w:r>
      <w:r w:rsidR="00C77A11" w:rsidRPr="00737CF7">
        <w:t>(</w:t>
      </w:r>
      <w:r w:rsidR="008E6E99">
        <w:t>2</w:t>
      </w:r>
      <w:r w:rsidR="00C77A11" w:rsidRPr="00737CF7">
        <w:t xml:space="preserve">) </w:t>
      </w:r>
      <w:r w:rsidR="00CC7A03">
        <w:t>patents</w:t>
      </w:r>
      <w:r w:rsidR="00CC7A03" w:rsidRPr="00737CF7">
        <w:t>;</w:t>
      </w:r>
      <w:r w:rsidR="00C77A11" w:rsidRPr="00737CF7">
        <w:t xml:space="preserve"> (</w:t>
      </w:r>
      <w:r w:rsidR="008E6E99">
        <w:t>3</w:t>
      </w:r>
      <w:r w:rsidR="00C77A11" w:rsidRPr="00737CF7">
        <w:t>) antitrust enforcement and competition policy that aims to protect competitive markets, which are thought to promote innovation; and (</w:t>
      </w:r>
      <w:r w:rsidR="008E6E99">
        <w:t>4</w:t>
      </w:r>
      <w:r w:rsidR="00C77A11" w:rsidRPr="00737CF7">
        <w:t xml:space="preserve">) </w:t>
      </w:r>
      <w:r w:rsidR="008E6E99">
        <w:t xml:space="preserve">demand-side </w:t>
      </w:r>
      <w:r w:rsidR="00C77A11" w:rsidRPr="00737CF7">
        <w:t>regulation</w:t>
      </w:r>
      <w:r w:rsidR="008E6E99">
        <w:t>s</w:t>
      </w:r>
      <w:r w:rsidR="00C77A11" w:rsidRPr="00737CF7">
        <w:t xml:space="preserve"> that </w:t>
      </w:r>
      <w:r w:rsidR="008E6E99">
        <w:t>encourage innovative activity</w:t>
      </w:r>
      <w:r w:rsidR="00C77A11" w:rsidRPr="00737CF7">
        <w:t>.</w:t>
      </w:r>
      <w:r w:rsidR="008E6E99">
        <w:t xml:space="preserve"> </w:t>
      </w:r>
    </w:p>
    <w:p w14:paraId="58162A64" w14:textId="213D53C5" w:rsidR="00D9372F" w:rsidRPr="00737CF7" w:rsidRDefault="00CC7A03" w:rsidP="00604B15">
      <w:pPr>
        <w:pStyle w:val="Heading2"/>
      </w:pPr>
      <w:bookmarkStart w:id="21" w:name="_Toc126854769"/>
      <w:bookmarkEnd w:id="19"/>
      <w:r>
        <w:t>Grants, Prizes, and Tax Incentives</w:t>
      </w:r>
      <w:bookmarkEnd w:id="21"/>
    </w:p>
    <w:p w14:paraId="3E1F76F6" w14:textId="686C3469" w:rsidR="00CC7A03" w:rsidRDefault="00CC7A03" w:rsidP="001640F6">
      <w:pPr>
        <w:ind w:firstLine="720"/>
      </w:pPr>
      <w:r w:rsidRPr="00737CF7">
        <w:t xml:space="preserve">The most </w:t>
      </w:r>
      <w:r>
        <w:t>straightforward</w:t>
      </w:r>
      <w:r w:rsidRPr="00737CF7">
        <w:t xml:space="preserve"> way in which governments subsidize innovation is by giving money directly to people who will or have produced new discoveries. </w:t>
      </w:r>
      <w:r>
        <w:t>These are supply-side incentives, in the sense that governments attempt to stimulate innovation by rewarding innovations’ suppliers.</w:t>
      </w:r>
      <w:r>
        <w:rPr>
          <w:rStyle w:val="FootnoteReference"/>
        </w:rPr>
        <w:footnoteReference w:id="50"/>
      </w:r>
      <w:r>
        <w:t xml:space="preserve"> This can be accomplished in at least three ways. First, government can provide grants for research and development. In the United States the federal government spends over $100 billion annually funding research and development efforts, including $139 billion in 2019</w:t>
      </w:r>
      <w:bookmarkStart w:id="22" w:name="_Ref126784564"/>
      <w:r>
        <w:rPr>
          <w:rStyle w:val="FootnoteReference"/>
        </w:rPr>
        <w:footnoteReference w:id="51"/>
      </w:r>
      <w:bookmarkEnd w:id="22"/>
      <w:r>
        <w:t xml:space="preserve"> and $137.8 billion in 2020.</w:t>
      </w:r>
      <w:r>
        <w:rPr>
          <w:rStyle w:val="FootnoteReference"/>
        </w:rPr>
        <w:footnoteReference w:id="52"/>
      </w:r>
      <w:r>
        <w:t xml:space="preserve"> That 2019 figure represented 21% of the total funds spent on R&amp;D in the United States that year;</w:t>
      </w:r>
      <w:r>
        <w:rPr>
          <w:rStyle w:val="FootnoteReference"/>
        </w:rPr>
        <w:footnoteReference w:id="53"/>
      </w:r>
      <w:r>
        <w:t xml:space="preserve"> the 2020 figure was 19.5% of the total.</w:t>
      </w:r>
      <w:r>
        <w:rPr>
          <w:rStyle w:val="FootnoteReference"/>
        </w:rPr>
        <w:footnoteReference w:id="54"/>
      </w:r>
      <w:r>
        <w:t xml:space="preserve"> Much of this money goes to </w:t>
      </w:r>
      <w:r>
        <w:lastRenderedPageBreak/>
        <w:t>higher education institutions and to fund basic research.</w:t>
      </w:r>
      <w:r>
        <w:rPr>
          <w:rStyle w:val="FootnoteReference"/>
        </w:rPr>
        <w:footnoteReference w:id="55"/>
      </w:r>
      <w:r>
        <w:t xml:space="preserve"> The bulk of federal R&amp;D investment is directed to the defense and health care sectors.</w:t>
      </w:r>
      <w:r>
        <w:rPr>
          <w:rStyle w:val="FootnoteReference"/>
        </w:rPr>
        <w:footnoteReference w:id="56"/>
      </w:r>
      <w:r>
        <w:t xml:space="preserve"> State and local governments also provide grants to support R&amp;D, though in much smaller amounts than the federal government.</w:t>
      </w:r>
      <w:r>
        <w:rPr>
          <w:rStyle w:val="FootnoteReference"/>
        </w:rPr>
        <w:footnoteReference w:id="57"/>
      </w:r>
    </w:p>
    <w:p w14:paraId="58239E32" w14:textId="7C108012" w:rsidR="00CC7A03" w:rsidRPr="00737CF7" w:rsidRDefault="00CC7A03" w:rsidP="001640F6">
      <w:pPr>
        <w:ind w:firstLine="720"/>
      </w:pPr>
      <w:r>
        <w:t>Prizes are a second tool governments use to directly fund innovation. Rather than paying to support research efforts ex ante, this approach allows governments (or private organizations) to reward inventors ex post who have met a specific technical challenge.</w:t>
      </w:r>
      <w:bookmarkStart w:id="23" w:name="_Ref126787116"/>
      <w:r w:rsidR="00355C77">
        <w:rPr>
          <w:rStyle w:val="FootnoteReference"/>
        </w:rPr>
        <w:footnoteReference w:id="58"/>
      </w:r>
      <w:bookmarkEnd w:id="23"/>
      <w:r>
        <w:t xml:space="preserve"> Innovation prizes have a long history, dating back at least to the 1714 Longitude Act, under which the British government offered prize money to anyone who could invent a way to determine longitude while at sea.</w:t>
      </w:r>
      <w:bookmarkStart w:id="24" w:name="_Ref126842582"/>
      <w:r>
        <w:rPr>
          <w:rStyle w:val="FootnoteReference"/>
        </w:rPr>
        <w:footnoteReference w:id="59"/>
      </w:r>
      <w:bookmarkEnd w:id="24"/>
      <w:r>
        <w:t xml:space="preserve"> While the use of innovation prizes declined in the twentieth century, this strategy has been revitalized in recent years, both among private funders and the federal government.</w:t>
      </w:r>
      <w:bookmarkStart w:id="25" w:name="_Ref126705196"/>
      <w:bookmarkStart w:id="26" w:name="_Ref126790048"/>
      <w:r>
        <w:rPr>
          <w:rStyle w:val="FootnoteReference"/>
        </w:rPr>
        <w:footnoteReference w:id="60"/>
      </w:r>
      <w:bookmarkEnd w:id="25"/>
      <w:bookmarkEnd w:id="26"/>
      <w:r>
        <w:t xml:space="preserve"> In 2010, Congress passed the American COMPETES Reauthorization Act, which empowered the leaders of federal agencies to “award prizes competitively to stimulate innovation . . ..”</w:t>
      </w:r>
      <w:r>
        <w:rPr>
          <w:rStyle w:val="FootnoteReference"/>
        </w:rPr>
        <w:footnoteReference w:id="61"/>
      </w:r>
      <w:r>
        <w:t xml:space="preserve"> Federal agencies offered almost $250 million in innovation prize money during the 2010s.</w:t>
      </w:r>
      <w:r>
        <w:rPr>
          <w:rStyle w:val="FootnoteReference"/>
        </w:rPr>
        <w:footnoteReference w:id="62"/>
      </w:r>
      <w:r>
        <w:t xml:space="preserve"> While not insignificant, prizes are dwarfed by direct R&amp;D grants as a form of government spending on innovation. </w:t>
      </w:r>
    </w:p>
    <w:p w14:paraId="5B79775E" w14:textId="05E41A39" w:rsidR="00CC7A03" w:rsidRPr="00737CF7" w:rsidRDefault="00CC7A03" w:rsidP="00E43441">
      <w:pPr>
        <w:ind w:firstLine="720"/>
      </w:pPr>
      <w:r w:rsidRPr="00737CF7">
        <w:t>The U.S. also subsidizes innovative activity through its tax policy. As Daniel Hemel and Lisa Ouellette have shown, the U.S. government has created a number of tax credits and deductions for research and development.</w:t>
      </w:r>
      <w:r w:rsidRPr="00737CF7">
        <w:rPr>
          <w:rStyle w:val="FootnoteReference"/>
        </w:rPr>
        <w:footnoteReference w:id="63"/>
      </w:r>
      <w:r w:rsidRPr="00737CF7">
        <w:t xml:space="preserve"> For example, firms engaged in R&amp;D may expense some of the costs of their </w:t>
      </w:r>
      <w:r w:rsidRPr="00737CF7">
        <w:lastRenderedPageBreak/>
        <w:t>investments immediately, rather than having to do so over an extended period of time.</w:t>
      </w:r>
      <w:r w:rsidRPr="00737CF7">
        <w:rPr>
          <w:rStyle w:val="FootnoteReference"/>
        </w:rPr>
        <w:footnoteReference w:id="64"/>
      </w:r>
      <w:r w:rsidRPr="00737CF7">
        <w:t xml:space="preserve"> They may also receive tax credits for increasing research expenditures over preexisting baselines.</w:t>
      </w:r>
      <w:r w:rsidRPr="00737CF7">
        <w:rPr>
          <w:rStyle w:val="FootnoteReference"/>
        </w:rPr>
        <w:footnoteReference w:id="65"/>
      </w:r>
      <w:r w:rsidR="00E43441">
        <w:t xml:space="preserve"> </w:t>
      </w:r>
      <w:r w:rsidRPr="00737CF7">
        <w:t>The tax expensing and credit provisions both apply whether the claimant actually generates any new innovations or not.</w:t>
      </w:r>
      <w:r w:rsidR="00B277C1">
        <w:rPr>
          <w:rStyle w:val="FootnoteReference"/>
        </w:rPr>
        <w:footnoteReference w:id="66"/>
      </w:r>
      <w:r w:rsidRPr="00737CF7">
        <w:t xml:space="preserve"> But they cost the government a substantial sum. The Joint Committee on Taxation estimates that these two research incentives will cost the federal government almost $100 billion over the years 2020-2024.</w:t>
      </w:r>
      <w:r w:rsidRPr="00737CF7">
        <w:rPr>
          <w:rStyle w:val="FootnoteReference"/>
        </w:rPr>
        <w:footnoteReference w:id="67"/>
      </w:r>
      <w:r w:rsidRPr="00737CF7">
        <w:t xml:space="preserve"> </w:t>
      </w:r>
    </w:p>
    <w:p w14:paraId="5DE525F7" w14:textId="77777777" w:rsidR="00CC7A03" w:rsidRPr="00737CF7" w:rsidRDefault="00CC7A03" w:rsidP="001640F6">
      <w:pPr>
        <w:ind w:firstLine="720"/>
      </w:pPr>
    </w:p>
    <w:p w14:paraId="00200763" w14:textId="088FC507" w:rsidR="0021352B" w:rsidRPr="00737CF7" w:rsidRDefault="00CC7A03" w:rsidP="00C0465F">
      <w:pPr>
        <w:pStyle w:val="Heading2"/>
      </w:pPr>
      <w:bookmarkStart w:id="27" w:name="_Toc126854770"/>
      <w:r>
        <w:t>Patents</w:t>
      </w:r>
      <w:bookmarkEnd w:id="27"/>
    </w:p>
    <w:p w14:paraId="07C895A3" w14:textId="352148E2" w:rsidR="0021352B" w:rsidRPr="00737CF7" w:rsidRDefault="0021352B" w:rsidP="0021352B">
      <w:pPr>
        <w:ind w:firstLine="720"/>
      </w:pPr>
    </w:p>
    <w:p w14:paraId="05E6E22A" w14:textId="7D367B6F" w:rsidR="00CC7A03" w:rsidRPr="00737CF7" w:rsidRDefault="00CC7A03" w:rsidP="00CC7A03">
      <w:pPr>
        <w:ind w:firstLine="720"/>
      </w:pPr>
      <w:r w:rsidRPr="00737CF7">
        <w:t>When innovation scholars think about the means that governments use to encourage R&amp;D, patents are probably the first t</w:t>
      </w:r>
      <w:r>
        <w:t>ool</w:t>
      </w:r>
      <w:r w:rsidRPr="00737CF7">
        <w:t xml:space="preserve"> that come to mind. The standard account of patents as innovation incentives is well known.</w:t>
      </w:r>
      <w:r w:rsidR="00C0465F">
        <w:rPr>
          <w:rStyle w:val="FootnoteReference"/>
        </w:rPr>
        <w:footnoteReference w:id="68"/>
      </w:r>
      <w:r w:rsidRPr="00737CF7">
        <w:t xml:space="preserve"> Inventions are public goods that are both expensive to develop and difficult to prevent others from copying.</w:t>
      </w:r>
      <w:bookmarkStart w:id="28" w:name="_Ref126842516"/>
      <w:r w:rsidR="00C0465F">
        <w:rPr>
          <w:rStyle w:val="FootnoteReference"/>
        </w:rPr>
        <w:footnoteReference w:id="69"/>
      </w:r>
      <w:bookmarkEnd w:id="28"/>
      <w:r w:rsidRPr="00737CF7">
        <w:t xml:space="preserve"> Like other public goods, these features suggest that </w:t>
      </w:r>
      <w:r w:rsidR="00402D10">
        <w:t xml:space="preserve">the market will not optimally supply </w:t>
      </w:r>
      <w:r w:rsidR="00C0465F">
        <w:t xml:space="preserve">desired </w:t>
      </w:r>
      <w:r w:rsidRPr="00737CF7">
        <w:t xml:space="preserve">inventions. If an innovator would have to spend a million dollars to develop an invention that could easily be copied by its rivals, the innovator simply won’t bother to invest its money in the first place. Patents solve the public goods problem by giving inventors exclusive rights to their inventions for a limited </w:t>
      </w:r>
      <w:proofErr w:type="gramStart"/>
      <w:r w:rsidRPr="00737CF7">
        <w:t>period of time</w:t>
      </w:r>
      <w:proofErr w:type="gramEnd"/>
      <w:r w:rsidRPr="00737CF7">
        <w:t>.</w:t>
      </w:r>
      <w:r w:rsidR="00C0465F">
        <w:rPr>
          <w:rStyle w:val="FootnoteReference"/>
        </w:rPr>
        <w:footnoteReference w:id="70"/>
      </w:r>
      <w:r w:rsidRPr="00737CF7">
        <w:t xml:space="preserve"> This period of exclusivity may enable inventors to charge supra-competitive prices for products that embody their inventions, thus </w:t>
      </w:r>
      <w:r w:rsidR="00A54FC8">
        <w:t>allowing</w:t>
      </w:r>
      <w:r w:rsidRPr="00737CF7">
        <w:t xml:space="preserve"> them to recoup their R&amp;D costs</w:t>
      </w:r>
      <w:r>
        <w:t xml:space="preserve"> and make a profit</w:t>
      </w:r>
      <w:r w:rsidRPr="00737CF7">
        <w:t xml:space="preserve">. </w:t>
      </w:r>
    </w:p>
    <w:p w14:paraId="057F1FB5" w14:textId="08822781" w:rsidR="00CC7A03" w:rsidRPr="00737CF7" w:rsidRDefault="00CC7A03" w:rsidP="001640F6">
      <w:pPr>
        <w:ind w:firstLine="720"/>
      </w:pPr>
      <w:r w:rsidRPr="00737CF7">
        <w:t xml:space="preserve">Unlike </w:t>
      </w:r>
      <w:r>
        <w:t xml:space="preserve">some of </w:t>
      </w:r>
      <w:r w:rsidRPr="00737CF7">
        <w:t xml:space="preserve">the incentives described </w:t>
      </w:r>
      <w:r>
        <w:t>above</w:t>
      </w:r>
      <w:r w:rsidRPr="00737CF7">
        <w:t xml:space="preserve">, the government only </w:t>
      </w:r>
      <w:r w:rsidR="001C4A7C">
        <w:t>issues</w:t>
      </w:r>
      <w:r w:rsidRPr="00737CF7">
        <w:t xml:space="preserve"> patent rights to people who </w:t>
      </w:r>
      <w:proofErr w:type="gramStart"/>
      <w:r w:rsidRPr="00737CF7">
        <w:t>actually produce</w:t>
      </w:r>
      <w:proofErr w:type="gramEnd"/>
      <w:r w:rsidRPr="00737CF7">
        <w:t xml:space="preserve"> an </w:t>
      </w:r>
      <w:r>
        <w:t>invention</w:t>
      </w:r>
      <w:r w:rsidRPr="00737CF7">
        <w:t>. In order to obtain patents, inventors must demonstrate that they have generated something that is both novel and non-obvious to other skilled inventors.</w:t>
      </w:r>
      <w:r w:rsidR="000329CB">
        <w:rPr>
          <w:rStyle w:val="FootnoteReference"/>
        </w:rPr>
        <w:footnoteReference w:id="71"/>
      </w:r>
      <w:r w:rsidRPr="00737CF7">
        <w:t xml:space="preserve"> And, in theory at least, their inventions are required to be “useful.”</w:t>
      </w:r>
      <w:r>
        <w:rPr>
          <w:rStyle w:val="FootnoteReference"/>
        </w:rPr>
        <w:footnoteReference w:id="72"/>
      </w:r>
      <w:r w:rsidRPr="00737CF7">
        <w:t xml:space="preserve"> </w:t>
      </w:r>
    </w:p>
    <w:p w14:paraId="78F009F0" w14:textId="476FE8CF" w:rsidR="00CC7A03" w:rsidRDefault="00CC7A03" w:rsidP="001640F6">
      <w:pPr>
        <w:ind w:firstLine="720"/>
      </w:pPr>
      <w:r w:rsidRPr="00737CF7">
        <w:lastRenderedPageBreak/>
        <w:t xml:space="preserve">Patents differ from prizes, grants, and tax incentives in another way. While the latter are paid directly by the government (and, thus, taxpayers) through spending, </w:t>
      </w:r>
      <w:r>
        <w:t>issuing</w:t>
      </w:r>
      <w:r w:rsidRPr="00737CF7">
        <w:t xml:space="preserve"> patents doesn’t cost the government much.</w:t>
      </w:r>
      <w:r w:rsidRPr="00737CF7">
        <w:rPr>
          <w:rStyle w:val="FootnoteReference"/>
        </w:rPr>
        <w:footnoteReference w:id="73"/>
      </w:r>
      <w:r w:rsidRPr="00737CF7">
        <w:t xml:space="preserve"> But patents </w:t>
      </w:r>
      <w:proofErr w:type="gramStart"/>
      <w:r w:rsidRPr="00737CF7">
        <w:t>definitely have</w:t>
      </w:r>
      <w:proofErr w:type="gramEnd"/>
      <w:r w:rsidRPr="00737CF7">
        <w:t xml:space="preserve"> a price. The innovation incentive is </w:t>
      </w:r>
      <w:r>
        <w:t xml:space="preserve">financed </w:t>
      </w:r>
      <w:r w:rsidRPr="00737CF7">
        <w:t xml:space="preserve">by consumers of products that incorporate patents who must now pay </w:t>
      </w:r>
      <w:r w:rsidR="000C41DD">
        <w:t xml:space="preserve">higher </w:t>
      </w:r>
      <w:r w:rsidRPr="00737CF7">
        <w:t>prices for those goods.</w:t>
      </w:r>
      <w:r w:rsidR="009D5208">
        <w:rPr>
          <w:rStyle w:val="FootnoteReference"/>
        </w:rPr>
        <w:footnoteReference w:id="74"/>
      </w:r>
      <w:r w:rsidRPr="00737CF7">
        <w:t xml:space="preserve"> By enabling patent owners to charge </w:t>
      </w:r>
      <w:r w:rsidR="000C41DD">
        <w:t>supracompetitive</w:t>
      </w:r>
      <w:r w:rsidRPr="00737CF7">
        <w:t xml:space="preserve"> prices, patents act as a tax paid by consumers for the benefit of innovators. Thus, unlike other innovation expenditures, when governments promote innovation with the exclusive rights conferred by patents, their expenditures are “off-budget.”</w:t>
      </w:r>
      <w:r w:rsidRPr="00737CF7">
        <w:rPr>
          <w:rStyle w:val="FootnoteReference"/>
        </w:rPr>
        <w:footnoteReference w:id="75"/>
      </w:r>
      <w:r w:rsidRPr="00737CF7">
        <w:t xml:space="preserve"> This means that it is enormously difficult to estimate the size of society’s contribution to innovation promotion through higher prices for patented goods.</w:t>
      </w:r>
      <w:bookmarkStart w:id="30" w:name="_Ref126842673"/>
      <w:r w:rsidRPr="00737CF7">
        <w:rPr>
          <w:rStyle w:val="FootnoteReference"/>
        </w:rPr>
        <w:footnoteReference w:id="76"/>
      </w:r>
      <w:bookmarkEnd w:id="30"/>
    </w:p>
    <w:p w14:paraId="2BBA3C51" w14:textId="77777777" w:rsidR="00CC7A03" w:rsidRPr="00737CF7" w:rsidRDefault="00CC7A03" w:rsidP="001640F6">
      <w:pPr>
        <w:ind w:firstLine="720"/>
      </w:pPr>
    </w:p>
    <w:p w14:paraId="4B308E0D" w14:textId="35950BA7" w:rsidR="00BB6F37" w:rsidRDefault="00631392" w:rsidP="00F90BC5">
      <w:pPr>
        <w:pStyle w:val="Heading2"/>
      </w:pPr>
      <w:bookmarkStart w:id="31" w:name="_Toc126854771"/>
      <w:r>
        <w:t>Antitrust</w:t>
      </w:r>
      <w:bookmarkEnd w:id="31"/>
      <w:r>
        <w:t xml:space="preserve"> </w:t>
      </w:r>
    </w:p>
    <w:p w14:paraId="7F6916BA" w14:textId="2368DE3A" w:rsidR="0013109C" w:rsidRDefault="0013109C" w:rsidP="000A216B">
      <w:pPr>
        <w:ind w:firstLine="360"/>
      </w:pPr>
      <w:r w:rsidRPr="00E32F9F">
        <w:t xml:space="preserve">Promoting innovation is </w:t>
      </w:r>
      <w:r>
        <w:t xml:space="preserve">also </w:t>
      </w:r>
      <w:r w:rsidRPr="00E32F9F">
        <w:t>among the main aims of antitrust and competition policy.</w:t>
      </w:r>
      <w:bookmarkStart w:id="32" w:name="_Ref126785936"/>
      <w:r>
        <w:rPr>
          <w:rStyle w:val="FootnoteReference"/>
        </w:rPr>
        <w:footnoteReference w:id="77"/>
      </w:r>
      <w:bookmarkEnd w:id="32"/>
      <w:r w:rsidRPr="00E32F9F">
        <w:t xml:space="preserve"> </w:t>
      </w:r>
      <w:r w:rsidR="00E0465F">
        <w:t xml:space="preserve">For over a century, </w:t>
      </w:r>
      <w:r w:rsidR="00A97A7C">
        <w:t>U.S.</w:t>
      </w:r>
      <w:r w:rsidR="00E0465F">
        <w:t xml:space="preserve"> law has regulated the behavior of firms to ensure that their conduct does not unduly hinder competition. One of the guiding principles of this regulatory oversight is that when firms must compete, they will be more innovative.</w:t>
      </w:r>
      <w:r w:rsidR="00A63CFE">
        <w:rPr>
          <w:rStyle w:val="FootnoteReference"/>
        </w:rPr>
        <w:footnoteReference w:id="78"/>
      </w:r>
      <w:r w:rsidR="00E0465F">
        <w:t xml:space="preserve"> </w:t>
      </w:r>
      <w:r w:rsidRPr="00E32F9F">
        <w:t>Courts and enforcement agencies</w:t>
      </w:r>
      <w:r w:rsidR="00E0465F">
        <w:t>, thus,</w:t>
      </w:r>
      <w:r w:rsidRPr="00E32F9F">
        <w:t xml:space="preserve"> routinely consider innovation effects when analyzing potentially </w:t>
      </w:r>
      <w:r w:rsidRPr="00E32F9F">
        <w:lastRenderedPageBreak/>
        <w:t>anticompetitive mergers and business conduct.</w:t>
      </w:r>
      <w:bookmarkStart w:id="33" w:name="_Ref126785987"/>
      <w:r w:rsidRPr="00E32F9F">
        <w:rPr>
          <w:rStyle w:val="FootnoteReference"/>
        </w:rPr>
        <w:footnoteReference w:id="79"/>
      </w:r>
      <w:bookmarkEnd w:id="33"/>
      <w:r w:rsidRPr="00E32F9F">
        <w:t xml:space="preserve"> Enforcers and scholars repeatedly emphasize the role that antitrust can and should play in promoting innovative markets.</w:t>
      </w:r>
      <w:r w:rsidRPr="00E32F9F">
        <w:rPr>
          <w:rStyle w:val="FootnoteReference"/>
        </w:rPr>
        <w:footnoteReference w:id="80"/>
      </w:r>
      <w:r w:rsidRPr="00E32F9F">
        <w:t xml:space="preserve"> </w:t>
      </w:r>
      <w:r>
        <w:t>In this way, antitrust law is meant to encourage innovation</w:t>
      </w:r>
      <w:r w:rsidR="00F30DBD">
        <w:t>,</w:t>
      </w:r>
      <w:r>
        <w:t xml:space="preserve"> not </w:t>
      </w:r>
      <w:r w:rsidR="002C3B1B">
        <w:t>through monetary subsidies</w:t>
      </w:r>
      <w:r w:rsidR="00F30DBD">
        <w:t>,</w:t>
      </w:r>
      <w:r w:rsidR="002C3B1B">
        <w:t xml:space="preserve"> </w:t>
      </w:r>
      <w:r>
        <w:t>but rather by promoting competitive markets where innovation can flourish.</w:t>
      </w:r>
    </w:p>
    <w:p w14:paraId="7D99DDD8" w14:textId="366FAC29" w:rsidR="0013109C" w:rsidRDefault="00991649" w:rsidP="000A216B">
      <w:pPr>
        <w:ind w:firstLine="360"/>
      </w:pPr>
      <w:r>
        <w:t>In the Horizontal Merger Guidelines, f</w:t>
      </w:r>
      <w:r w:rsidR="00E0465F">
        <w:t>or example, t</w:t>
      </w:r>
      <w:r w:rsidR="0013109C">
        <w:t xml:space="preserve">he Federal Trade Commission and U.S. Department of Justice </w:t>
      </w:r>
      <w:r>
        <w:t>assert</w:t>
      </w:r>
      <w:r w:rsidR="0013109C" w:rsidRPr="00E32F9F">
        <w:t xml:space="preserve"> that “[c]ompetition often spurs firms to innovate.”</w:t>
      </w:r>
      <w:r w:rsidR="0013109C" w:rsidRPr="00E32F9F">
        <w:rPr>
          <w:rStyle w:val="FootnoteReference"/>
        </w:rPr>
        <w:footnoteReference w:id="81"/>
      </w:r>
      <w:r w:rsidR="0013109C" w:rsidRPr="00E32F9F">
        <w:t xml:space="preserve"> They caution that a horizontal merger</w:t>
      </w:r>
      <w:r w:rsidR="00E0465F">
        <w:t>—one between competing firms—</w:t>
      </w:r>
      <w:r w:rsidR="0013109C" w:rsidRPr="00E32F9F">
        <w:t>coul</w:t>
      </w:r>
      <w:r w:rsidR="00E0465F">
        <w:t>d</w:t>
      </w:r>
      <w:r w:rsidR="0013109C" w:rsidRPr="00E32F9F">
        <w:t xml:space="preserve"> result in a merged firm reducing its level of innovation.</w:t>
      </w:r>
      <w:r w:rsidR="00404F97">
        <w:rPr>
          <w:rStyle w:val="FootnoteReference"/>
        </w:rPr>
        <w:footnoteReference w:id="82"/>
      </w:r>
      <w:r w:rsidR="0013109C">
        <w:t xml:space="preserve"> Take, for </w:t>
      </w:r>
      <w:r w:rsidR="005B0ABA">
        <w:t>instance</w:t>
      </w:r>
      <w:r w:rsidR="0013109C">
        <w:t xml:space="preserve">, a proposed merger between two pharmaceutical companies that develop cancer-fighting drugs. Suppose both companies are developing a drug to treat breast cancer. A merger between them </w:t>
      </w:r>
      <w:r w:rsidR="00451812">
        <w:t xml:space="preserve">might </w:t>
      </w:r>
      <w:r w:rsidR="0013109C">
        <w:t>eliminate the possibility of one of those new drugs reaching the market</w:t>
      </w:r>
      <w:bookmarkStart w:id="34" w:name="_Hlk126157261"/>
      <w:r w:rsidR="00590C37">
        <w:t>.</w:t>
      </w:r>
      <w:r w:rsidR="0013109C">
        <w:t xml:space="preserve">  </w:t>
      </w:r>
    </w:p>
    <w:bookmarkEnd w:id="34"/>
    <w:p w14:paraId="4048C96B" w14:textId="71CE44D4" w:rsidR="00A97BC4" w:rsidRDefault="0013109C" w:rsidP="000A216B">
      <w:pPr>
        <w:ind w:firstLine="360"/>
      </w:pPr>
      <w:r>
        <w:t xml:space="preserve">Antitrust doctrine also protects innovation by granting monopolists broad latitude to change their products even when those changes would harm competitors. This approach to innovation is particularly relevant for vertically integrated platform companies and other firms that offer products that interconnect with complementary products. When a monopolist competes with third-party rivals to make the complements, it can gain a competitive advantage by altering its monopoly platform to disadvantage </w:t>
      </w:r>
      <w:r w:rsidR="00913718">
        <w:t>those</w:t>
      </w:r>
      <w:r>
        <w:t xml:space="preserve"> rivals. Take, for example, a dominant  manufacturer of camera film that is compatible with its own cameras and those of rival camera firms. That manufacturer could decide to change its film to make it incompatible with all competing cameras, putting its downstream rivals at a disadvantage. Courts routinely decline to sanction dominant </w:t>
      </w:r>
      <w:r>
        <w:lastRenderedPageBreak/>
        <w:t>firms whose product changes harm competitors in this way.</w:t>
      </w:r>
      <w:r>
        <w:rPr>
          <w:rStyle w:val="FootnoteReference"/>
        </w:rPr>
        <w:footnoteReference w:id="83"/>
      </w:r>
      <w:r>
        <w:t xml:space="preserve"> To do otherwise, they caution, would require judges to evaluate product designs, a role for which they are ill-suited, and which would chill desirable innovation.</w:t>
      </w:r>
      <w:r>
        <w:rPr>
          <w:rStyle w:val="FootnoteReference"/>
        </w:rPr>
        <w:footnoteReference w:id="84"/>
      </w:r>
      <w:r>
        <w:t xml:space="preserve">  </w:t>
      </w:r>
    </w:p>
    <w:p w14:paraId="18E78D68" w14:textId="01B49C6F" w:rsidR="00F90BC5" w:rsidRPr="00F91BE5" w:rsidRDefault="00F90BC5" w:rsidP="001C3E06">
      <w:pPr>
        <w:pStyle w:val="Heading2"/>
      </w:pPr>
      <w:bookmarkStart w:id="35" w:name="_Toc126854772"/>
      <w:r>
        <w:t>Evaluating Innovation Incentives</w:t>
      </w:r>
      <w:bookmarkEnd w:id="35"/>
    </w:p>
    <w:p w14:paraId="06288B41" w14:textId="35130BBB" w:rsidR="00F90BC5" w:rsidRDefault="00F90BC5" w:rsidP="00F90BC5">
      <w:pPr>
        <w:ind w:firstLine="720"/>
        <w:rPr>
          <w:lang w:eastAsia="ja-JP"/>
        </w:rPr>
      </w:pPr>
      <w:r w:rsidRPr="00E8791F">
        <w:rPr>
          <w:lang w:eastAsia="ja-JP"/>
        </w:rPr>
        <w:t xml:space="preserve">A rich scholarly literature has developed analyzing the relative merits of </w:t>
      </w:r>
      <w:r w:rsidR="001C3E06">
        <w:rPr>
          <w:lang w:eastAsia="ja-JP"/>
        </w:rPr>
        <w:t>the various</w:t>
      </w:r>
      <w:r w:rsidRPr="00E8791F">
        <w:rPr>
          <w:lang w:eastAsia="ja-JP"/>
        </w:rPr>
        <w:t xml:space="preserve"> innovation incentives.</w:t>
      </w:r>
      <w:bookmarkStart w:id="36" w:name="_Ref126757135"/>
      <w:r w:rsidR="00AE7E50">
        <w:rPr>
          <w:rStyle w:val="FootnoteReference"/>
          <w:lang w:eastAsia="ja-JP"/>
        </w:rPr>
        <w:footnoteReference w:id="85"/>
      </w:r>
      <w:bookmarkEnd w:id="36"/>
      <w:r w:rsidRPr="00737CF7">
        <w:rPr>
          <w:lang w:eastAsia="ja-JP"/>
        </w:rPr>
        <w:t xml:space="preserve"> </w:t>
      </w:r>
      <w:r w:rsidR="001C3E06">
        <w:rPr>
          <w:lang w:eastAsia="ja-JP"/>
        </w:rPr>
        <w:t>Three princip</w:t>
      </w:r>
      <w:r w:rsidR="004F494C">
        <w:rPr>
          <w:lang w:eastAsia="ja-JP"/>
        </w:rPr>
        <w:t>al issues arise with each mechanism</w:t>
      </w:r>
      <w:r>
        <w:rPr>
          <w:lang w:eastAsia="ja-JP"/>
        </w:rPr>
        <w:t>: (1) who decides on the beneficiary and size of the payment?; (2) when is the payment received?; and (3) who makes the payment?</w:t>
      </w:r>
      <w:r w:rsidR="009A728B">
        <w:rPr>
          <w:rStyle w:val="FootnoteReference"/>
          <w:lang w:eastAsia="ja-JP"/>
        </w:rPr>
        <w:footnoteReference w:id="86"/>
      </w:r>
      <w:r>
        <w:rPr>
          <w:lang w:eastAsia="ja-JP"/>
        </w:rPr>
        <w:t xml:space="preserve"> The answer to the first question, who decides, typically will be either government or the private sector.</w:t>
      </w:r>
      <w:r w:rsidR="009A728B">
        <w:rPr>
          <w:rStyle w:val="FootnoteReference"/>
          <w:lang w:eastAsia="ja-JP"/>
        </w:rPr>
        <w:footnoteReference w:id="87"/>
      </w:r>
      <w:r>
        <w:rPr>
          <w:lang w:eastAsia="ja-JP"/>
        </w:rPr>
        <w:t xml:space="preserve"> With government prizes and grants, the government determines who receives funding. With tax incentives and patents, while the government provides the benefit (a tax break or the right to exclude others from using an invention), private actors decide whether to avail themselves of these opportunities. Those same actors or the market determine the magnitude of the reward: the size of a tax incentive is based on how much a company invests in tax-deductible research; the value of a patent is derived from the market value of the invention.</w:t>
      </w:r>
      <w:r w:rsidR="009D7026">
        <w:rPr>
          <w:rStyle w:val="FootnoteReference"/>
          <w:lang w:eastAsia="ja-JP"/>
        </w:rPr>
        <w:footnoteReference w:id="88"/>
      </w:r>
    </w:p>
    <w:p w14:paraId="5C72E021" w14:textId="041B8D5B" w:rsidR="00F90BC5" w:rsidRDefault="00F90BC5" w:rsidP="00F90BC5">
      <w:pPr>
        <w:ind w:firstLine="720"/>
        <w:rPr>
          <w:lang w:eastAsia="ja-JP"/>
        </w:rPr>
      </w:pPr>
      <w:r>
        <w:rPr>
          <w:lang w:eastAsia="ja-JP"/>
        </w:rPr>
        <w:t>Turning to when the payments are made, some mechanisms (grants, tax breaks) provide funds before the innovation occurs (</w:t>
      </w:r>
      <w:proofErr w:type="spellStart"/>
      <w:r w:rsidRPr="007F1694">
        <w:rPr>
          <w:i/>
          <w:iCs/>
          <w:lang w:eastAsia="ja-JP"/>
        </w:rPr>
        <w:t>ex ante</w:t>
      </w:r>
      <w:proofErr w:type="spellEnd"/>
      <w:r>
        <w:rPr>
          <w:lang w:eastAsia="ja-JP"/>
        </w:rPr>
        <w:t>).</w:t>
      </w:r>
      <w:r w:rsidR="006E44D6">
        <w:rPr>
          <w:rStyle w:val="FootnoteReference"/>
          <w:lang w:eastAsia="ja-JP"/>
        </w:rPr>
        <w:footnoteReference w:id="89"/>
      </w:r>
      <w:r>
        <w:rPr>
          <w:lang w:eastAsia="ja-JP"/>
        </w:rPr>
        <w:t xml:space="preserve"> Patents and prizes are designed to reward innovation that has already taken place (</w:t>
      </w:r>
      <w:r w:rsidRPr="007F1694">
        <w:rPr>
          <w:i/>
          <w:iCs/>
          <w:lang w:eastAsia="ja-JP"/>
        </w:rPr>
        <w:t>ex post</w:t>
      </w:r>
      <w:r>
        <w:rPr>
          <w:lang w:eastAsia="ja-JP"/>
        </w:rPr>
        <w:t>).</w:t>
      </w:r>
      <w:r w:rsidR="006E44D6">
        <w:rPr>
          <w:rStyle w:val="FootnoteReference"/>
          <w:lang w:eastAsia="ja-JP"/>
        </w:rPr>
        <w:footnoteReference w:id="90"/>
      </w:r>
      <w:r>
        <w:rPr>
          <w:lang w:eastAsia="ja-JP"/>
        </w:rPr>
        <w:t xml:space="preserve"> These categories are somewhat fluid; grants could be structured so the money is delivered over several discrete periods, based on promising early results. </w:t>
      </w:r>
    </w:p>
    <w:p w14:paraId="3E0D2F93" w14:textId="77777777" w:rsidR="00F90BC5" w:rsidRDefault="00F90BC5" w:rsidP="00F90BC5">
      <w:pPr>
        <w:ind w:firstLine="720"/>
        <w:rPr>
          <w:lang w:eastAsia="ja-JP"/>
        </w:rPr>
      </w:pPr>
      <w:r>
        <w:rPr>
          <w:lang w:eastAsia="ja-JP"/>
        </w:rPr>
        <w:lastRenderedPageBreak/>
        <w:t xml:space="preserve">Who pays for these innovation incentives is related to who decides in the first place. When the government decides on the recipient and size of an incentive via a grant or a prize, those costs are socialized. The costs of R &amp; D tax incentives are also socialized, though private actors determine who receives those benefits and their magnitude. When an invention is patented, however, the market decides on the size of the incentive and the costs are borne by consumers of the patented product.  </w:t>
      </w:r>
    </w:p>
    <w:p w14:paraId="1AE6EF39" w14:textId="131FA421" w:rsidR="00F90BC5" w:rsidRDefault="00F90BC5" w:rsidP="00F90BC5">
      <w:pPr>
        <w:ind w:firstLine="720"/>
        <w:rPr>
          <w:lang w:eastAsia="ja-JP"/>
        </w:rPr>
      </w:pPr>
      <w:r>
        <w:rPr>
          <w:lang w:eastAsia="ja-JP"/>
        </w:rPr>
        <w:t>Scholars have debated the relative efficacy of these innovation incentives, especially prizes and patents. These debates focus mainly on the “who decides” question: is government or the private sector better situated to determine how research dollars should be spent?</w:t>
      </w:r>
      <w:r w:rsidR="00AA3C5A">
        <w:rPr>
          <w:rStyle w:val="FootnoteReference"/>
          <w:lang w:eastAsia="ja-JP"/>
        </w:rPr>
        <w:footnoteReference w:id="91"/>
      </w:r>
      <w:r>
        <w:rPr>
          <w:lang w:eastAsia="ja-JP"/>
        </w:rPr>
        <w:t xml:space="preserve"> Underlying this debate is the assumption that the private sector typically </w:t>
      </w:r>
      <w:r w:rsidR="003276AD">
        <w:rPr>
          <w:lang w:eastAsia="ja-JP"/>
        </w:rPr>
        <w:t>has</w:t>
      </w:r>
      <w:r>
        <w:rPr>
          <w:lang w:eastAsia="ja-JP"/>
        </w:rPr>
        <w:t xml:space="preserve"> an informational advantage over government when it comes to understanding what consumers want.</w:t>
      </w:r>
      <w:r>
        <w:rPr>
          <w:rStyle w:val="FootnoteReference"/>
          <w:lang w:eastAsia="ja-JP"/>
        </w:rPr>
        <w:footnoteReference w:id="92"/>
      </w:r>
      <w:r>
        <w:rPr>
          <w:lang w:eastAsia="ja-JP"/>
        </w:rPr>
        <w:t xml:space="preserve"> Where that assumption holds, patents and tax incentives are likely superior to prizes and grants in efficiently dispersing research funds. As Hemel and Ouelette argue, “[g]overment-set rewards are inefficient when the government cannot foresee a potential invention or evaluate its costs and benefits.”</w:t>
      </w:r>
      <w:r>
        <w:rPr>
          <w:rStyle w:val="FootnoteReference"/>
          <w:lang w:eastAsia="ja-JP"/>
        </w:rPr>
        <w:footnoteReference w:id="93"/>
      </w:r>
      <w:r>
        <w:rPr>
          <w:lang w:eastAsia="ja-JP"/>
        </w:rPr>
        <w:t xml:space="preserve"> But there are many settings where the social value of an invention outstrips its market value. Private actors are unlikely to invest in inventions that they do not expect to be profitable (or that they expect to be less profitable than other potential in</w:t>
      </w:r>
      <w:r w:rsidR="0045325E">
        <w:rPr>
          <w:lang w:eastAsia="ja-JP"/>
        </w:rPr>
        <w:t>vestments</w:t>
      </w:r>
      <w:r>
        <w:rPr>
          <w:lang w:eastAsia="ja-JP"/>
        </w:rPr>
        <w:t>) regardless of their beneficial social impact. In this setting, government is better situated to determine where research funds should go, making grants and prizes the superior tools.</w:t>
      </w:r>
      <w:r>
        <w:rPr>
          <w:rStyle w:val="FootnoteReference"/>
          <w:lang w:eastAsia="ja-JP"/>
        </w:rPr>
        <w:footnoteReference w:id="94"/>
      </w:r>
      <w:r>
        <w:rPr>
          <w:lang w:eastAsia="ja-JP"/>
        </w:rPr>
        <w:t xml:space="preserve">  </w:t>
      </w:r>
    </w:p>
    <w:p w14:paraId="5F7D1EED" w14:textId="035DFCC1" w:rsidR="00F90BC5" w:rsidRDefault="00C604D4" w:rsidP="000A216B">
      <w:r>
        <w:tab/>
        <w:t xml:space="preserve">We return to these issues below when we discuss the various ways that policymakers should respond to a world in which innovations may produce both social value and social harm. We turn to the latter issue now. </w:t>
      </w:r>
    </w:p>
    <w:p w14:paraId="2B610D30" w14:textId="77777777" w:rsidR="0021352B" w:rsidRPr="00737CF7" w:rsidRDefault="0021352B" w:rsidP="0033183C"/>
    <w:p w14:paraId="37A398C1" w14:textId="53283974" w:rsidR="00C02F1B" w:rsidRPr="00737CF7" w:rsidRDefault="00C02F1B" w:rsidP="00737CF7">
      <w:pPr>
        <w:pStyle w:val="Heading1"/>
        <w:spacing w:before="0" w:after="0"/>
      </w:pPr>
      <w:bookmarkStart w:id="37" w:name="_Toc126854773"/>
      <w:r w:rsidRPr="00737CF7">
        <w:t>Innovation’s Dark Side</w:t>
      </w:r>
      <w:bookmarkEnd w:id="37"/>
    </w:p>
    <w:p w14:paraId="08E206DD" w14:textId="77777777" w:rsidR="00C02F1B" w:rsidRPr="00737CF7" w:rsidRDefault="00C02F1B" w:rsidP="0021352B">
      <w:pPr>
        <w:ind w:firstLine="720"/>
      </w:pPr>
    </w:p>
    <w:p w14:paraId="329D1E37" w14:textId="1EEE4F05" w:rsidR="00C02F1B" w:rsidRPr="00737CF7" w:rsidRDefault="00C02F1B" w:rsidP="0021352B">
      <w:pPr>
        <w:ind w:firstLine="720"/>
      </w:pPr>
      <w:r w:rsidRPr="00737CF7">
        <w:t xml:space="preserve">Given the extensive investment that society directs towards innovation, one might conclude that it’s a truly great thing. Certainly, we are all </w:t>
      </w:r>
      <w:r w:rsidRPr="00737CF7">
        <w:lastRenderedPageBreak/>
        <w:t xml:space="preserve">grateful for anesthesia, clean drinking water, and indoor plumbing. But just because some innovations improve the quality of life doesn’t mean that all—or even most—do. In this Part, we </w:t>
      </w:r>
      <w:r w:rsidR="0008703A">
        <w:t xml:space="preserve">begin to </w:t>
      </w:r>
      <w:r w:rsidRPr="00737CF7">
        <w:t>explore innovation’s dark side, the ways in which new developments and technologies can make people’s lives worse. First we introduce the developing scholarly literature on antisocial innovation in contexts ranging from health and medicine to telecommunication</w:t>
      </w:r>
      <w:r w:rsidR="0033183C">
        <w:t>s</w:t>
      </w:r>
      <w:r w:rsidRPr="00737CF7">
        <w:t xml:space="preserve"> and investing. </w:t>
      </w:r>
      <w:r w:rsidR="00EE6228">
        <w:t>Our goal here is simply to introduce the fundamental concern. We elaborate on it more thoroughly in the next part. This part concludes by</w:t>
      </w:r>
      <w:r w:rsidRPr="00737CF7">
        <w:t xml:space="preserve"> </w:t>
      </w:r>
      <w:r w:rsidR="000335D9">
        <w:t>address</w:t>
      </w:r>
      <w:r w:rsidR="00EE6228">
        <w:t>ing</w:t>
      </w:r>
      <w:r w:rsidR="000335D9">
        <w:t xml:space="preserve"> the mechanisms that policymakers have used to combat antisocial innovation, including </w:t>
      </w:r>
      <w:r w:rsidR="005816D6">
        <w:t xml:space="preserve">regulation </w:t>
      </w:r>
      <w:r w:rsidR="0038520C">
        <w:t xml:space="preserve">and </w:t>
      </w:r>
      <w:r w:rsidR="000335D9">
        <w:t>tort law</w:t>
      </w:r>
      <w:r w:rsidR="0038520C">
        <w:t>.</w:t>
      </w:r>
      <w:r w:rsidR="000335D9">
        <w:t xml:space="preserve"> </w:t>
      </w:r>
    </w:p>
    <w:p w14:paraId="2DF98BF1" w14:textId="41B9AB7A" w:rsidR="000335D9" w:rsidRDefault="00EB61C1" w:rsidP="00EE6228">
      <w:pPr>
        <w:pStyle w:val="Heading2"/>
      </w:pPr>
      <w:bookmarkStart w:id="38" w:name="_Toc126854774"/>
      <w:r>
        <w:t>Antisocial Innovation</w:t>
      </w:r>
      <w:bookmarkEnd w:id="38"/>
      <w:r w:rsidR="0038520C">
        <w:tab/>
      </w:r>
    </w:p>
    <w:p w14:paraId="05E01389" w14:textId="2114AA99" w:rsidR="00A95A99" w:rsidRDefault="00757BDD" w:rsidP="00737CF7">
      <w:pPr>
        <w:ind w:firstLine="720"/>
      </w:pPr>
      <w:r>
        <w:t>Unconditional love of innovation is a</w:t>
      </w:r>
      <w:r w:rsidR="009A7D44">
        <w:t xml:space="preserve"> relatively recent phenomenon; i</w:t>
      </w:r>
      <w:r w:rsidR="0027743D" w:rsidRPr="00737CF7">
        <w:t xml:space="preserve">nnovation was not always viewed in </w:t>
      </w:r>
      <w:r w:rsidR="00294510">
        <w:t xml:space="preserve">such </w:t>
      </w:r>
      <w:r w:rsidR="0027743D" w:rsidRPr="00737CF7">
        <w:t>a positive light.</w:t>
      </w:r>
      <w:r w:rsidR="00C02F1B" w:rsidRPr="00737CF7">
        <w:rPr>
          <w:rStyle w:val="FootnoteReference"/>
        </w:rPr>
        <w:footnoteReference w:id="95"/>
      </w:r>
      <w:r w:rsidR="0027743D" w:rsidRPr="00737CF7">
        <w:t xml:space="preserve"> Indeed, before the Industrial Revolution in the 19</w:t>
      </w:r>
      <w:r w:rsidR="0027743D" w:rsidRPr="00737CF7">
        <w:rPr>
          <w:vertAlign w:val="superscript"/>
        </w:rPr>
        <w:t>th</w:t>
      </w:r>
      <w:r w:rsidR="0027743D" w:rsidRPr="00737CF7">
        <w:t xml:space="preserve"> century, innovation often had negative connotations.</w:t>
      </w:r>
      <w:r w:rsidR="0027743D" w:rsidRPr="00737CF7">
        <w:rPr>
          <w:rStyle w:val="FootnoteReference"/>
        </w:rPr>
        <w:footnoteReference w:id="96"/>
      </w:r>
      <w:r w:rsidR="0027743D" w:rsidRPr="00737CF7">
        <w:t xml:space="preserve"> </w:t>
      </w:r>
      <w:r w:rsidR="00A95A99">
        <w:t>Between the middle of the 19</w:t>
      </w:r>
      <w:r w:rsidR="00A95A99" w:rsidRPr="00604B15">
        <w:rPr>
          <w:vertAlign w:val="superscript"/>
        </w:rPr>
        <w:t>th</w:t>
      </w:r>
      <w:r w:rsidR="00A95A99">
        <w:t xml:space="preserve"> century and the middle of the 20</w:t>
      </w:r>
      <w:r w:rsidR="00A95A99" w:rsidRPr="00604B15">
        <w:rPr>
          <w:vertAlign w:val="superscript"/>
        </w:rPr>
        <w:t>th</w:t>
      </w:r>
      <w:r w:rsidR="00A95A99">
        <w:t>, humanity was treated to a series of what Robert J. Gordon calls “great invention</w:t>
      </w:r>
      <w:r w:rsidR="00CD751E">
        <w:t>[s]</w:t>
      </w:r>
      <w:r w:rsidR="00A95A99">
        <w:t>.”</w:t>
      </w:r>
      <w:bookmarkStart w:id="39" w:name="_Ref126665751"/>
      <w:r w:rsidR="00A95A99">
        <w:rPr>
          <w:rStyle w:val="FootnoteReference"/>
        </w:rPr>
        <w:footnoteReference w:id="97"/>
      </w:r>
      <w:bookmarkEnd w:id="39"/>
      <w:r w:rsidR="00A95A99">
        <w:t xml:space="preserve"> </w:t>
      </w:r>
      <w:r w:rsidR="00024D37">
        <w:t>Innovations in e</w:t>
      </w:r>
      <w:r w:rsidR="00A95A99">
        <w:t xml:space="preserve">lectricity, pasteurization, clean running water, </w:t>
      </w:r>
      <w:r w:rsidR="00024D37">
        <w:t>transportation</w:t>
      </w:r>
      <w:r w:rsidR="00A95A99">
        <w:t xml:space="preserve">, and </w:t>
      </w:r>
      <w:r w:rsidR="00024D37">
        <w:t>communication</w:t>
      </w:r>
      <w:r w:rsidR="00A95A99">
        <w:t xml:space="preserve"> radically altered people’s lives, extending them</w:t>
      </w:r>
      <w:r w:rsidR="00024D37">
        <w:t xml:space="preserve"> and making them far more pleasurable. According to Gordon, these inventions represent a “unique clustering” that made possible a period of unparalleled economic and social growth.</w:t>
      </w:r>
      <w:r w:rsidR="00AC449C">
        <w:rPr>
          <w:rStyle w:val="FootnoteReference"/>
        </w:rPr>
        <w:footnoteReference w:id="98"/>
      </w:r>
      <w:r w:rsidR="00024D37">
        <w:t xml:space="preserve"> Since the 1970s, innovations have not kept up with the transformations brought about by the great inventions, and growth in our standard of living has slowed.</w:t>
      </w:r>
      <w:r w:rsidR="00AC449C">
        <w:rPr>
          <w:rStyle w:val="FootnoteReference"/>
        </w:rPr>
        <w:footnoteReference w:id="99"/>
      </w:r>
      <w:r w:rsidR="00024D37">
        <w:t xml:space="preserve"> </w:t>
      </w:r>
    </w:p>
    <w:p w14:paraId="40CFD3EA" w14:textId="6ECE0895" w:rsidR="00F018B6" w:rsidRPr="00737CF7" w:rsidRDefault="00024D37" w:rsidP="00737CF7">
      <w:pPr>
        <w:ind w:firstLine="720"/>
      </w:pPr>
      <w:r>
        <w:t>R</w:t>
      </w:r>
      <w:r w:rsidR="00294510">
        <w:t>ecently, a</w:t>
      </w:r>
      <w:r w:rsidR="0027743D" w:rsidRPr="00737CF7">
        <w:t xml:space="preserve"> handful of scholars have </w:t>
      </w:r>
      <w:r w:rsidR="00AB460F">
        <w:t>gone further and</w:t>
      </w:r>
      <w:r w:rsidR="00AB460F" w:rsidRPr="00737CF7">
        <w:t xml:space="preserve"> </w:t>
      </w:r>
      <w:r w:rsidR="0027743D" w:rsidRPr="00737CF7">
        <w:t>push</w:t>
      </w:r>
      <w:r w:rsidR="00AB460F">
        <w:t>ed</w:t>
      </w:r>
      <w:r w:rsidR="0027743D" w:rsidRPr="00737CF7">
        <w:t xml:space="preserve"> back on current notions of innovation as an unalloyed good</w:t>
      </w:r>
      <w:r w:rsidR="0008703A">
        <w:t xml:space="preserve">, or what economist Paul </w:t>
      </w:r>
      <w:r w:rsidR="0008703A">
        <w:lastRenderedPageBreak/>
        <w:t>David calls “the innovation fetish</w:t>
      </w:r>
      <w:r w:rsidR="0027743D" w:rsidRPr="00737CF7">
        <w:t>.</w:t>
      </w:r>
      <w:r w:rsidR="0008703A">
        <w:t>”</w:t>
      </w:r>
      <w:r w:rsidR="0008703A">
        <w:rPr>
          <w:rStyle w:val="FootnoteReference"/>
        </w:rPr>
        <w:footnoteReference w:id="100"/>
      </w:r>
      <w:r w:rsidR="0027743D" w:rsidRPr="00737CF7">
        <w:t xml:space="preserve"> Alex Coad, Paul Nightingale, Jack Stilgoe, and Antonio Vezzani have argued for a more nuanced understanding of innovation, which recognizes that </w:t>
      </w:r>
      <w:r w:rsidR="003D32CD">
        <w:t>it</w:t>
      </w:r>
      <w:r w:rsidR="0027743D" w:rsidRPr="00737CF7">
        <w:t xml:space="preserve"> “can have good and bad effects.”</w:t>
      </w:r>
      <w:r w:rsidR="0027743D" w:rsidRPr="00737CF7">
        <w:rPr>
          <w:rStyle w:val="FootnoteReference"/>
        </w:rPr>
        <w:footnoteReference w:id="101"/>
      </w:r>
      <w:r w:rsidR="0027743D" w:rsidRPr="00737CF7">
        <w:t xml:space="preserve"> They identify various types of harmful innovation, including those unintentionally leading to environmental harm (e.g., pesticides, air conditioning), those intended to be harmful (e.g., the atomic bomb), and those intended to deceive consumers or allow firms to avoid regulation (e.g., certain financial products and e-cigarettes).</w:t>
      </w:r>
      <w:r w:rsidR="0027743D" w:rsidRPr="00737CF7">
        <w:rPr>
          <w:rStyle w:val="FootnoteReference"/>
        </w:rPr>
        <w:footnoteReference w:id="102"/>
      </w:r>
      <w:r w:rsidR="003F1E86" w:rsidRPr="00737CF7">
        <w:t xml:space="preserve"> Similarly, Ariel Ezrachi and Maurice Stucke </w:t>
      </w:r>
      <w:r w:rsidR="00860BC2" w:rsidRPr="00737CF7">
        <w:t xml:space="preserve">have recognized that </w:t>
      </w:r>
      <w:r w:rsidR="00C339A5" w:rsidRPr="00737CF7">
        <w:t>innovation is not inherently good.</w:t>
      </w:r>
      <w:r w:rsidR="0025040B" w:rsidRPr="00737CF7">
        <w:rPr>
          <w:rStyle w:val="FootnoteReference"/>
        </w:rPr>
        <w:footnoteReference w:id="103"/>
      </w:r>
      <w:r w:rsidR="00C339A5" w:rsidRPr="00737CF7">
        <w:t xml:space="preserve"> Indeed, they argue, </w:t>
      </w:r>
      <w:r w:rsidR="007F6A43" w:rsidRPr="00737CF7">
        <w:t>there are many examples of what they term “negative innovation</w:t>
      </w:r>
      <w:r w:rsidR="00500A0F" w:rsidRPr="00737CF7">
        <w:t xml:space="preserve">,” which “works against the interests of </w:t>
      </w:r>
      <w:r w:rsidR="00F018B6" w:rsidRPr="00737CF7">
        <w:t>consumers and society [and] reduces overall welfare.”</w:t>
      </w:r>
      <w:r w:rsidR="00B26F80" w:rsidRPr="00737CF7">
        <w:rPr>
          <w:rStyle w:val="FootnoteReference"/>
        </w:rPr>
        <w:footnoteReference w:id="104"/>
      </w:r>
      <w:r w:rsidR="0027743D" w:rsidRPr="00737CF7">
        <w:t xml:space="preserve"> </w:t>
      </w:r>
      <w:r w:rsidR="007170B3" w:rsidRPr="00737CF7">
        <w:t>Framing the debate in moral terms</w:t>
      </w:r>
      <w:r w:rsidR="00D8400B" w:rsidRPr="00737CF7">
        <w:t>, Ned Snow</w:t>
      </w:r>
      <w:r w:rsidR="007170B3" w:rsidRPr="00737CF7">
        <w:t xml:space="preserve"> has argued that </w:t>
      </w:r>
      <w:r w:rsidR="004077F0" w:rsidRPr="00737CF7">
        <w:t xml:space="preserve">“some creations </w:t>
      </w:r>
      <w:r w:rsidR="00125B51" w:rsidRPr="00737CF7">
        <w:t>promote actions that are wrong</w:t>
      </w:r>
      <w:r w:rsidR="00A84370" w:rsidRPr="00737CF7">
        <w:t xml:space="preserve"> . . . they prom</w:t>
      </w:r>
      <w:r w:rsidR="006B4796" w:rsidRPr="00737CF7">
        <w:t>ote immoral behavior</w:t>
      </w:r>
      <w:r w:rsidR="00304358" w:rsidRPr="00737CF7">
        <w:t>.”</w:t>
      </w:r>
      <w:r w:rsidR="00F643E0" w:rsidRPr="00737CF7">
        <w:rPr>
          <w:rStyle w:val="FootnoteReference"/>
        </w:rPr>
        <w:footnoteReference w:id="105"/>
      </w:r>
      <w:r w:rsidR="00304358" w:rsidRPr="00737CF7">
        <w:t xml:space="preserve"> He concludes that </w:t>
      </w:r>
      <w:r w:rsidR="00F643E0" w:rsidRPr="00737CF7">
        <w:t>“works that are harmful to society should not be incentivized or rewarded.”</w:t>
      </w:r>
      <w:r w:rsidR="00574C3B" w:rsidRPr="00737CF7">
        <w:rPr>
          <w:rStyle w:val="FootnoteReference"/>
        </w:rPr>
        <w:footnoteReference w:id="106"/>
      </w:r>
    </w:p>
    <w:p w14:paraId="3E042700" w14:textId="692EBB2E" w:rsidR="0027743D" w:rsidRPr="00737CF7" w:rsidRDefault="0027743D" w:rsidP="00737CF7">
      <w:pPr>
        <w:ind w:firstLine="720"/>
      </w:pPr>
      <w:r w:rsidRPr="00737CF7">
        <w:t>Gianluca Biggi and Elisa Giuliani performed a literature review on scholarship analyzing the “noxious effects of innovation.”</w:t>
      </w:r>
      <w:r w:rsidRPr="00737CF7">
        <w:rPr>
          <w:rStyle w:val="FootnoteReference"/>
        </w:rPr>
        <w:footnoteReference w:id="107"/>
      </w:r>
      <w:r w:rsidRPr="00737CF7">
        <w:t xml:space="preserve"> Using a custom search query, they found 125 articles published between 1991 and 2017 on harmful innovation.</w:t>
      </w:r>
      <w:r w:rsidRPr="00737CF7">
        <w:rPr>
          <w:rStyle w:val="FootnoteReference"/>
        </w:rPr>
        <w:footnoteReference w:id="108"/>
      </w:r>
      <w:r w:rsidRPr="00737CF7">
        <w:t xml:space="preserve"> The authors divided this body of scholarship into five “clusters”: the negative impact of technology on workers; innovation’s unintended negative effects on the environment; innovation’s negative effects on economic growth and economic equality; the dangers of emerging technologies, such as big data and social media; and the negative effects of “open innovation” on firm performance.</w:t>
      </w:r>
      <w:r w:rsidRPr="00737CF7">
        <w:rPr>
          <w:rStyle w:val="FootnoteReference"/>
        </w:rPr>
        <w:footnoteReference w:id="109"/>
      </w:r>
      <w:r w:rsidRPr="00737CF7">
        <w:t xml:space="preserve"> </w:t>
      </w:r>
    </w:p>
    <w:p w14:paraId="3CC3AC96" w14:textId="4D4F575E" w:rsidR="007850A0" w:rsidRPr="00737CF7" w:rsidRDefault="0027743D" w:rsidP="00737CF7">
      <w:pPr>
        <w:ind w:firstLine="720"/>
      </w:pPr>
      <w:r w:rsidRPr="00737CF7">
        <w:lastRenderedPageBreak/>
        <w:t xml:space="preserve">Other scholars have focused on the negative </w:t>
      </w:r>
      <w:r w:rsidR="00C20021">
        <w:t>impact</w:t>
      </w:r>
      <w:r w:rsidRPr="00737CF7">
        <w:t xml:space="preserve"> of innovation in specific economic sectors, including financial services and health care. After the 2008 financial crisis, which was linked in part to financial innovations like collateralized debt obligations and credit default swaps, some researchers questioned the benefits of financial innovation. Simon Johnson and James Kwak argued that financial innovations are different than many other types of innovation in that they do not necessarily make the world a better place.</w:t>
      </w:r>
      <w:r w:rsidRPr="00737CF7">
        <w:rPr>
          <w:rStyle w:val="FootnoteReference"/>
        </w:rPr>
        <w:footnoteReference w:id="110"/>
      </w:r>
      <w:r w:rsidRPr="00737CF7">
        <w:t xml:space="preserve"> In their view, the “principal purpose” of financial innovation is to facilitate “financial intermediation”—the movement of capital from unproductive uses to productive uses.</w:t>
      </w:r>
      <w:r w:rsidRPr="00737CF7">
        <w:rPr>
          <w:rStyle w:val="FootnoteReference"/>
        </w:rPr>
        <w:footnoteReference w:id="111"/>
      </w:r>
      <w:r w:rsidRPr="00737CF7">
        <w:t xml:space="preserve"> But not all financial intermediation is good for society. When evaluating financial innovation, the authors urge</w:t>
      </w:r>
      <w:r w:rsidR="00F364D2" w:rsidRPr="00737CF7">
        <w:t>d</w:t>
      </w:r>
      <w:r w:rsidRPr="00737CF7">
        <w:t xml:space="preserve"> that policy makers consider whether the financial intermediation it facilitates is “beneficial” or “excessive and destructive.”</w:t>
      </w:r>
      <w:r w:rsidRPr="00737CF7">
        <w:rPr>
          <w:rStyle w:val="FootnoteReference"/>
        </w:rPr>
        <w:footnoteReference w:id="112"/>
      </w:r>
    </w:p>
    <w:p w14:paraId="316945CC" w14:textId="4E166EA9" w:rsidR="0027743D" w:rsidRPr="00737CF7" w:rsidRDefault="0027743D" w:rsidP="00737CF7">
      <w:pPr>
        <w:ind w:firstLine="720"/>
      </w:pPr>
      <w:r w:rsidRPr="00737CF7">
        <w:t>Scholars have also studied the effects of harmful innovation in the health care sector. Shobita Parthasarathy has shown how certain health care innovations can be socially harmful</w:t>
      </w:r>
      <w:r w:rsidR="00B64959">
        <w:t>, at least in some populations</w:t>
      </w:r>
      <w:r w:rsidRPr="00737CF7">
        <w:t>.</w:t>
      </w:r>
      <w:r w:rsidRPr="00737CF7">
        <w:rPr>
          <w:rStyle w:val="FootnoteReference"/>
        </w:rPr>
        <w:footnoteReference w:id="113"/>
      </w:r>
      <w:r w:rsidRPr="00737CF7">
        <w:t xml:space="preserve"> The pulse oximeter is an example. Parthasarathy explained that the company that commercialized this technology failed to test it on patients with different skin tones, with the result that the oximeter is less accurate for </w:t>
      </w:r>
      <w:r w:rsidR="00B64959">
        <w:t>B</w:t>
      </w:r>
      <w:r w:rsidRPr="00737CF7">
        <w:t>lack users than for whites.</w:t>
      </w:r>
      <w:r w:rsidRPr="00737CF7">
        <w:rPr>
          <w:rStyle w:val="FootnoteReference"/>
        </w:rPr>
        <w:footnoteReference w:id="114"/>
      </w:r>
      <w:r w:rsidRPr="00737CF7">
        <w:t xml:space="preserve"> These oximeters sometimes produced results for </w:t>
      </w:r>
      <w:r w:rsidR="00B64959">
        <w:t>B</w:t>
      </w:r>
      <w:r w:rsidRPr="00737CF7">
        <w:t>lack users showing inflated blood oxygen levels, potentially causing those users to decide against seeking medical attention when such attention was warranted.</w:t>
      </w:r>
      <w:r w:rsidRPr="00737CF7">
        <w:rPr>
          <w:rStyle w:val="FootnoteReference"/>
        </w:rPr>
        <w:footnoteReference w:id="115"/>
      </w:r>
      <w:r w:rsidRPr="00737CF7">
        <w:t xml:space="preserve"> Patents on the oximeter prevented competing devices from being developed, exacerbating the problem.</w:t>
      </w:r>
      <w:r w:rsidRPr="00737CF7">
        <w:rPr>
          <w:rStyle w:val="FootnoteReference"/>
        </w:rPr>
        <w:footnoteReference w:id="116"/>
      </w:r>
      <w:r w:rsidRPr="00737CF7">
        <w:t xml:space="preserve"> </w:t>
      </w:r>
    </w:p>
    <w:p w14:paraId="297FD422" w14:textId="3C243082" w:rsidR="009C0368" w:rsidRPr="00737CF7" w:rsidRDefault="0041340D" w:rsidP="00737CF7">
      <w:pPr>
        <w:ind w:firstLine="720"/>
      </w:pPr>
      <w:r>
        <w:t xml:space="preserve">The foregoing provides a brief sense of the scope and scale of antisocial innovation. In Part </w:t>
      </w:r>
      <w:r w:rsidR="00861BD2">
        <w:t xml:space="preserve">III </w:t>
      </w:r>
      <w:r>
        <w:t>below we offer a more thorough taxonomy of the phenomenon. But while</w:t>
      </w:r>
      <w:r w:rsidRPr="00737CF7">
        <w:t xml:space="preserve"> </w:t>
      </w:r>
      <w:r w:rsidR="00F31B7D" w:rsidRPr="00737CF7">
        <w:t xml:space="preserve">some recent scholarship has explored the potential for innovation to harm society, the bulk of the scholarly literature across </w:t>
      </w:r>
      <w:r w:rsidR="00F31B7D" w:rsidRPr="00737CF7">
        <w:lastRenderedPageBreak/>
        <w:t xml:space="preserve">disciplines </w:t>
      </w:r>
      <w:r w:rsidR="00B30A1F" w:rsidRPr="00737CF7">
        <w:t xml:space="preserve">continues to treat innovation as a </w:t>
      </w:r>
      <w:r w:rsidR="0049324A">
        <w:t xml:space="preserve">purely </w:t>
      </w:r>
      <w:r w:rsidR="00B30A1F" w:rsidRPr="00737CF7">
        <w:t xml:space="preserve">salutary goal </w:t>
      </w:r>
      <w:r w:rsidR="00127C67" w:rsidRPr="00737CF7">
        <w:t xml:space="preserve">and seeks to unlock ways to increase the production of new </w:t>
      </w:r>
      <w:r w:rsidR="00850C6D">
        <w:t>inventions</w:t>
      </w:r>
      <w:r w:rsidR="00127C67" w:rsidRPr="00737CF7">
        <w:t xml:space="preserve">. </w:t>
      </w:r>
    </w:p>
    <w:p w14:paraId="4EC2FB96" w14:textId="0C19AEDD" w:rsidR="004B6350" w:rsidRDefault="004B6350" w:rsidP="0021352B">
      <w:pPr>
        <w:pStyle w:val="BodyText"/>
        <w:rPr>
          <w:lang w:eastAsia="ja-JP"/>
        </w:rPr>
      </w:pPr>
    </w:p>
    <w:p w14:paraId="50561E63" w14:textId="647A46A4" w:rsidR="005011E7" w:rsidRDefault="005011E7" w:rsidP="0021352B">
      <w:pPr>
        <w:pStyle w:val="BodyText"/>
        <w:rPr>
          <w:lang w:eastAsia="ja-JP"/>
        </w:rPr>
      </w:pPr>
      <w:r>
        <w:rPr>
          <w:lang w:eastAsia="ja-JP"/>
        </w:rPr>
        <w:t>B. Regulating Antisocial Innovation</w:t>
      </w:r>
    </w:p>
    <w:p w14:paraId="41F4EF0C" w14:textId="6C8387A8" w:rsidR="005011E7" w:rsidRDefault="005011E7" w:rsidP="0021352B">
      <w:pPr>
        <w:pStyle w:val="BodyText"/>
        <w:rPr>
          <w:lang w:eastAsia="ja-JP"/>
        </w:rPr>
      </w:pPr>
    </w:p>
    <w:p w14:paraId="246D796B" w14:textId="11AEC42C" w:rsidR="00222E2C" w:rsidRDefault="00222E2C" w:rsidP="00187E43">
      <w:pPr>
        <w:pStyle w:val="BodyText"/>
        <w:rPr>
          <w:lang w:eastAsia="ja-JP"/>
        </w:rPr>
      </w:pPr>
      <w:r>
        <w:rPr>
          <w:lang w:eastAsia="ja-JP"/>
        </w:rPr>
        <w:t>We do not mean to suggest that policymakers are unaware of the potential for innovations to cause harm. Nuclear disasters and the birth defects caused by thalidomide are well known cautionary tales of innovation gone wrong.</w:t>
      </w:r>
      <w:bookmarkStart w:id="40" w:name="_Ref126842867"/>
      <w:r w:rsidR="000F448C">
        <w:rPr>
          <w:rStyle w:val="FootnoteReference"/>
          <w:lang w:eastAsia="ja-JP"/>
        </w:rPr>
        <w:footnoteReference w:id="117"/>
      </w:r>
      <w:bookmarkEnd w:id="40"/>
      <w:r>
        <w:rPr>
          <w:lang w:eastAsia="ja-JP"/>
        </w:rPr>
        <w:t xml:space="preserve"> And, of course, a range of regulatory mechanisms exist to protect the public from harmful products.</w:t>
      </w:r>
      <w:r w:rsidR="000F448C">
        <w:rPr>
          <w:rStyle w:val="FootnoteReference"/>
          <w:lang w:eastAsia="ja-JP"/>
        </w:rPr>
        <w:footnoteReference w:id="118"/>
      </w:r>
      <w:r>
        <w:rPr>
          <w:lang w:eastAsia="ja-JP"/>
        </w:rPr>
        <w:t xml:space="preserve"> While some of these mechanisms operate before products have reached the market, most of them only arise after—sometimes long after—people have suffered harm. Here we catalogue the principal regulatory tools for minimizing antisocial innovation.</w:t>
      </w:r>
    </w:p>
    <w:p w14:paraId="14969E5F" w14:textId="77777777" w:rsidR="00C74108" w:rsidRDefault="00C74108" w:rsidP="00187E43">
      <w:pPr>
        <w:pStyle w:val="BodyText"/>
        <w:rPr>
          <w:lang w:eastAsia="ja-JP"/>
        </w:rPr>
      </w:pPr>
    </w:p>
    <w:p w14:paraId="10A86E1A" w14:textId="77777777" w:rsidR="00187E43" w:rsidRDefault="00187E43" w:rsidP="00187E43">
      <w:pPr>
        <w:pStyle w:val="Heading3"/>
      </w:pPr>
      <w:bookmarkStart w:id="41" w:name="_Toc126854775"/>
      <w:r w:rsidRPr="00E8791F">
        <w:t xml:space="preserve">Ex Ante Regulation of </w:t>
      </w:r>
      <w:r>
        <w:t>New</w:t>
      </w:r>
      <w:r w:rsidRPr="00E8791F">
        <w:t xml:space="preserve"> Products</w:t>
      </w:r>
      <w:bookmarkEnd w:id="41"/>
    </w:p>
    <w:p w14:paraId="28948A34" w14:textId="77777777" w:rsidR="00187E43" w:rsidRDefault="00187E43" w:rsidP="00187E43">
      <w:pPr>
        <w:pStyle w:val="BodyText"/>
        <w:rPr>
          <w:lang w:eastAsia="ja-JP"/>
        </w:rPr>
      </w:pPr>
    </w:p>
    <w:p w14:paraId="6586AD8D" w14:textId="2AA66778" w:rsidR="00187E43" w:rsidRDefault="00187E43" w:rsidP="00187E43">
      <w:pPr>
        <w:pStyle w:val="BodyText"/>
        <w:rPr>
          <w:lang w:eastAsia="ja-JP"/>
        </w:rPr>
      </w:pPr>
      <w:r>
        <w:rPr>
          <w:lang w:eastAsia="ja-JP"/>
        </w:rPr>
        <w:t xml:space="preserve">In some markets, firms are required to seek regulatory pre-approval </w:t>
      </w:r>
      <w:r w:rsidR="00C74108">
        <w:rPr>
          <w:lang w:eastAsia="ja-JP"/>
        </w:rPr>
        <w:t xml:space="preserve">before marketing </w:t>
      </w:r>
      <w:r>
        <w:rPr>
          <w:lang w:eastAsia="ja-JP"/>
        </w:rPr>
        <w:t>new products. Pharmaceuticals are probably the best-known example. When a firm wants to introduce a new drug, the Food, Drug and Cosmetic Act requires that the firm file a New Drug Application with the U.S. Food and Drug Administration.</w:t>
      </w:r>
      <w:r>
        <w:rPr>
          <w:rStyle w:val="FootnoteReference"/>
          <w:lang w:eastAsia="ja-JP"/>
        </w:rPr>
        <w:footnoteReference w:id="119"/>
      </w:r>
      <w:r>
        <w:rPr>
          <w:lang w:eastAsia="ja-JP"/>
        </w:rPr>
        <w:t xml:space="preserve"> The filing requirements </w:t>
      </w:r>
      <w:r w:rsidR="001354CA">
        <w:rPr>
          <w:lang w:eastAsia="ja-JP"/>
        </w:rPr>
        <w:t xml:space="preserve">can be </w:t>
      </w:r>
      <w:r>
        <w:rPr>
          <w:lang w:eastAsia="ja-JP"/>
        </w:rPr>
        <w:t>onerous, especially the mandate that the applicant conduct clinical trials to demonstrate that the new drug is “safe” and “effective.”</w:t>
      </w:r>
      <w:r>
        <w:rPr>
          <w:rStyle w:val="FootnoteReference"/>
          <w:lang w:eastAsia="ja-JP"/>
        </w:rPr>
        <w:footnoteReference w:id="120"/>
      </w:r>
      <w:r>
        <w:rPr>
          <w:lang w:eastAsia="ja-JP"/>
        </w:rPr>
        <w:t xml:space="preserve"> The goal is to mitigate the risk that unregulated new drugs could cause severe harm to many patients.</w:t>
      </w:r>
      <w:bookmarkStart w:id="42" w:name="_Ref126597706"/>
      <w:r>
        <w:rPr>
          <w:rStyle w:val="FootnoteReference"/>
          <w:lang w:eastAsia="ja-JP"/>
        </w:rPr>
        <w:footnoteReference w:id="121"/>
      </w:r>
      <w:bookmarkEnd w:id="42"/>
      <w:r>
        <w:rPr>
          <w:lang w:eastAsia="ja-JP"/>
        </w:rPr>
        <w:t xml:space="preserve"> </w:t>
      </w:r>
    </w:p>
    <w:p w14:paraId="7ABCF10E" w14:textId="62EC7341" w:rsidR="00187E43" w:rsidRDefault="00187E43" w:rsidP="00187E43">
      <w:pPr>
        <w:pStyle w:val="BodyText"/>
        <w:rPr>
          <w:lang w:eastAsia="ja-JP"/>
        </w:rPr>
      </w:pPr>
      <w:r>
        <w:rPr>
          <w:lang w:eastAsia="ja-JP"/>
        </w:rPr>
        <w:t xml:space="preserve">Certain environmental laws take a similar ex ante approach to protecting the public from harmful new products. For example, the Federal Insecticide, </w:t>
      </w:r>
      <w:r>
        <w:rPr>
          <w:lang w:eastAsia="ja-JP"/>
        </w:rPr>
        <w:lastRenderedPageBreak/>
        <w:t xml:space="preserve">Fungicide, and </w:t>
      </w:r>
      <w:r w:rsidR="00C46736">
        <w:rPr>
          <w:lang w:eastAsia="ja-JP"/>
        </w:rPr>
        <w:t>Rodenticide</w:t>
      </w:r>
      <w:r>
        <w:rPr>
          <w:lang w:eastAsia="ja-JP"/>
        </w:rPr>
        <w:t xml:space="preserve"> Act (FIFRA) requires firms that want to sell a new pesticide to register it with the </w:t>
      </w:r>
      <w:r w:rsidR="00442CBF">
        <w:rPr>
          <w:lang w:eastAsia="ja-JP"/>
        </w:rPr>
        <w:t>EPA</w:t>
      </w:r>
      <w:r>
        <w:rPr>
          <w:lang w:eastAsia="ja-JP"/>
        </w:rPr>
        <w:t xml:space="preserve"> first.</w:t>
      </w:r>
      <w:r w:rsidR="008C5074">
        <w:rPr>
          <w:rStyle w:val="FootnoteReference"/>
          <w:lang w:eastAsia="ja-JP"/>
        </w:rPr>
        <w:footnoteReference w:id="122"/>
      </w:r>
      <w:r>
        <w:rPr>
          <w:lang w:eastAsia="ja-JP"/>
        </w:rPr>
        <w:t xml:space="preserve"> To secure EPA registration, applicants must show that the pesticide “will not generally cause unreasonable adverse effects on the environment.”</w:t>
      </w:r>
      <w:r>
        <w:rPr>
          <w:rStyle w:val="FootnoteReference"/>
          <w:lang w:eastAsia="ja-JP"/>
        </w:rPr>
        <w:footnoteReference w:id="123"/>
      </w:r>
      <w:r>
        <w:rPr>
          <w:lang w:eastAsia="ja-JP"/>
        </w:rPr>
        <w:t xml:space="preserve"> The Act also gives the EPA authority to cancel a pesticide’s registration ex post if it turns out to pose unacceptable risks which the manufacturer has not or cannot remediate.</w:t>
      </w:r>
      <w:r w:rsidR="008C5074">
        <w:rPr>
          <w:rStyle w:val="FootnoteReference"/>
          <w:lang w:eastAsia="ja-JP"/>
        </w:rPr>
        <w:footnoteReference w:id="124"/>
      </w:r>
    </w:p>
    <w:p w14:paraId="3D78A970" w14:textId="77777777" w:rsidR="00187E43" w:rsidRDefault="00187E43" w:rsidP="00187E43">
      <w:pPr>
        <w:pStyle w:val="BodyText"/>
        <w:rPr>
          <w:lang w:eastAsia="ja-JP"/>
        </w:rPr>
      </w:pPr>
      <w:r>
        <w:rPr>
          <w:lang w:eastAsia="ja-JP"/>
        </w:rPr>
        <w:t>Similarly, the Toxic Substances Control Act requires firms to provide the EPA with pre-manufacture notification of any “new chemical substance” ninety days before manufacturing the chemical.</w:t>
      </w:r>
      <w:r>
        <w:rPr>
          <w:rStyle w:val="FootnoteReference"/>
          <w:lang w:eastAsia="ja-JP"/>
        </w:rPr>
        <w:footnoteReference w:id="125"/>
      </w:r>
      <w:r>
        <w:rPr>
          <w:lang w:eastAsia="ja-JP"/>
        </w:rPr>
        <w:t xml:space="preserve"> The EPA is then required within a certain time period to review the notification and determine whether the chemical substance “presents an unreasonable risk of injury to health or the environment . . .” (or if it does not pose such a risk).</w:t>
      </w:r>
      <w:r>
        <w:rPr>
          <w:rStyle w:val="FootnoteReference"/>
          <w:lang w:eastAsia="ja-JP"/>
        </w:rPr>
        <w:footnoteReference w:id="126"/>
      </w:r>
      <w:r>
        <w:rPr>
          <w:lang w:eastAsia="ja-JP"/>
        </w:rPr>
        <w:t xml:space="preserve"> The EPA can also determine that it lacks sufficient information to evaluate the new chemical and request additional information from the manufacturer.</w:t>
      </w:r>
      <w:r>
        <w:rPr>
          <w:rStyle w:val="FootnoteReference"/>
          <w:lang w:eastAsia="ja-JP"/>
        </w:rPr>
        <w:footnoteReference w:id="127"/>
      </w:r>
      <w:r>
        <w:rPr>
          <w:lang w:eastAsia="ja-JP"/>
        </w:rPr>
        <w:t xml:space="preserve"> </w:t>
      </w:r>
    </w:p>
    <w:p w14:paraId="5908F132" w14:textId="77777777" w:rsidR="00187E43" w:rsidRDefault="00187E43" w:rsidP="00187E43">
      <w:pPr>
        <w:pStyle w:val="BodyText"/>
        <w:rPr>
          <w:lang w:eastAsia="ja-JP"/>
        </w:rPr>
      </w:pPr>
      <w:r>
        <w:rPr>
          <w:lang w:eastAsia="ja-JP"/>
        </w:rPr>
        <w:t>These examples of ex ante approval requirements for new products are notable for their rarity.</w:t>
      </w:r>
      <w:r>
        <w:rPr>
          <w:rStyle w:val="FootnoteReference"/>
          <w:lang w:eastAsia="ja-JP"/>
        </w:rPr>
        <w:footnoteReference w:id="128"/>
      </w:r>
      <w:r>
        <w:rPr>
          <w:lang w:eastAsia="ja-JP"/>
        </w:rPr>
        <w:t xml:space="preserve"> Manufacturers are otherwise free to introduce almost any other type of new product without seeking government approval first. In doing so, however, manufacturers still must comply with any regulations pertaining to the type of product they are producing. Certain products are simply banned by existing regulations. Examples include toys that present mechanical hazards</w:t>
      </w:r>
      <w:r>
        <w:rPr>
          <w:rStyle w:val="FootnoteReference"/>
          <w:lang w:eastAsia="ja-JP"/>
        </w:rPr>
        <w:footnoteReference w:id="129"/>
      </w:r>
      <w:r>
        <w:rPr>
          <w:lang w:eastAsia="ja-JP"/>
        </w:rPr>
        <w:t xml:space="preserve"> and paint that contains lead.</w:t>
      </w:r>
      <w:r>
        <w:rPr>
          <w:rStyle w:val="FootnoteReference"/>
          <w:lang w:eastAsia="ja-JP"/>
        </w:rPr>
        <w:footnoteReference w:id="130"/>
      </w:r>
      <w:r>
        <w:rPr>
          <w:lang w:eastAsia="ja-JP"/>
        </w:rPr>
        <w:t xml:space="preserve"> Other products must meet specified regulatory standards. Examples abound and include the requirement that “[h]and supported hair dryers . . . provide integral immersion protection”</w:t>
      </w:r>
      <w:r>
        <w:rPr>
          <w:rStyle w:val="FootnoteReference"/>
          <w:lang w:eastAsia="ja-JP"/>
        </w:rPr>
        <w:footnoteReference w:id="131"/>
      </w:r>
      <w:r>
        <w:rPr>
          <w:lang w:eastAsia="ja-JP"/>
        </w:rPr>
        <w:t xml:space="preserve"> </w:t>
      </w:r>
      <w:r>
        <w:rPr>
          <w:lang w:eastAsia="ja-JP"/>
        </w:rPr>
        <w:lastRenderedPageBreak/>
        <w:t>and that extension cords intended for outside use be jacketed.</w:t>
      </w:r>
      <w:r>
        <w:rPr>
          <w:rStyle w:val="FootnoteReference"/>
          <w:lang w:eastAsia="ja-JP"/>
        </w:rPr>
        <w:footnoteReference w:id="132"/>
      </w:r>
      <w:r>
        <w:rPr>
          <w:lang w:eastAsia="ja-JP"/>
        </w:rPr>
        <w:t xml:space="preserve"> These sorts of regulations limit ex ante the types of new products that can be marketed.</w:t>
      </w:r>
    </w:p>
    <w:p w14:paraId="4B3BDD74" w14:textId="77777777" w:rsidR="00187E43" w:rsidRPr="007B29B6" w:rsidRDefault="00187E43" w:rsidP="00187E43">
      <w:pPr>
        <w:pStyle w:val="BodyText"/>
        <w:ind w:firstLine="0"/>
        <w:rPr>
          <w:lang w:eastAsia="ja-JP"/>
        </w:rPr>
      </w:pPr>
    </w:p>
    <w:p w14:paraId="52AB7CD0" w14:textId="77777777" w:rsidR="00187E43" w:rsidRDefault="00187E43" w:rsidP="00187E43">
      <w:pPr>
        <w:pStyle w:val="Heading3"/>
      </w:pPr>
      <w:bookmarkStart w:id="43" w:name="_Toc126854776"/>
      <w:r w:rsidRPr="00E8791F">
        <w:t>Ex Post Regulation of Har</w:t>
      </w:r>
      <w:r>
        <w:t>mful</w:t>
      </w:r>
      <w:r w:rsidRPr="00E8791F">
        <w:t xml:space="preserve"> Product</w:t>
      </w:r>
      <w:r>
        <w:t>s</w:t>
      </w:r>
      <w:bookmarkEnd w:id="43"/>
    </w:p>
    <w:p w14:paraId="17E010F4" w14:textId="77777777" w:rsidR="00187E43" w:rsidRDefault="00187E43" w:rsidP="00187E43">
      <w:pPr>
        <w:pStyle w:val="BodyText"/>
        <w:rPr>
          <w:lang w:eastAsia="ja-JP"/>
        </w:rPr>
      </w:pPr>
    </w:p>
    <w:p w14:paraId="09F72EDF" w14:textId="553D9015" w:rsidR="00187E43" w:rsidRDefault="00187E43" w:rsidP="00187E43">
      <w:pPr>
        <w:pStyle w:val="BodyText"/>
        <w:rPr>
          <w:lang w:eastAsia="ja-JP"/>
        </w:rPr>
      </w:pPr>
      <w:r>
        <w:rPr>
          <w:lang w:eastAsia="ja-JP"/>
        </w:rPr>
        <w:t xml:space="preserve">For the vast universe of new products that are not subject to regulatory pre-approval (or not banned altogether), regulation of any harmful effects must occur after such products are already in the hands of consumers. Two main forms of ex post regulation predominate: government intervention in the form of </w:t>
      </w:r>
      <w:r w:rsidR="001354CA">
        <w:rPr>
          <w:lang w:eastAsia="ja-JP"/>
        </w:rPr>
        <w:t>monetary penalties or recalls</w:t>
      </w:r>
      <w:r>
        <w:rPr>
          <w:lang w:eastAsia="ja-JP"/>
        </w:rPr>
        <w:t xml:space="preserve"> and private intervention via tort law.</w:t>
      </w:r>
    </w:p>
    <w:p w14:paraId="6ACDC666" w14:textId="240E8079" w:rsidR="00187E43" w:rsidRDefault="00187E43" w:rsidP="00187E43">
      <w:pPr>
        <w:pStyle w:val="BodyText"/>
        <w:rPr>
          <w:lang w:eastAsia="ja-JP"/>
        </w:rPr>
      </w:pPr>
      <w:r>
        <w:rPr>
          <w:lang w:eastAsia="ja-JP"/>
        </w:rPr>
        <w:t xml:space="preserve">Starting with governmental tools, many regulatory regimes grant agencies authority to recall dangerous products. Indeed, the Food, Drug and Cosmetic Act and the Federal Insecticide, Fungicide, and </w:t>
      </w:r>
      <w:r w:rsidR="00C46736">
        <w:rPr>
          <w:lang w:eastAsia="ja-JP"/>
        </w:rPr>
        <w:t>Rodenticide</w:t>
      </w:r>
      <w:r>
        <w:rPr>
          <w:lang w:eastAsia="ja-JP"/>
        </w:rPr>
        <w:t xml:space="preserve"> Act, discussed above, also empower the FDA and EPA to recall products that receive initial approval but turn out to be </w:t>
      </w:r>
      <w:r w:rsidRPr="00EE6228">
        <w:rPr>
          <w:lang w:eastAsia="ja-JP"/>
        </w:rPr>
        <w:t>dangerous</w:t>
      </w:r>
      <w:r w:rsidRPr="00DE54BA">
        <w:rPr>
          <w:lang w:eastAsia="ja-JP"/>
        </w:rPr>
        <w:t>.</w:t>
      </w:r>
      <w:r>
        <w:rPr>
          <w:rStyle w:val="FootnoteReference"/>
          <w:lang w:eastAsia="ja-JP"/>
        </w:rPr>
        <w:footnoteReference w:id="133"/>
      </w:r>
      <w:r>
        <w:rPr>
          <w:lang w:eastAsia="ja-JP"/>
        </w:rPr>
        <w:t xml:space="preserve"> The National Traffic and Motor Safety Act of 1966 includes a recall regime familiar to many automobile owners. That law empowers the Secretary of Transportation to </w:t>
      </w:r>
      <w:r w:rsidR="00AA3B6D">
        <w:rPr>
          <w:lang w:eastAsia="ja-JP"/>
        </w:rPr>
        <w:t>determine</w:t>
      </w:r>
      <w:r>
        <w:rPr>
          <w:lang w:eastAsia="ja-JP"/>
        </w:rPr>
        <w:t xml:space="preserve"> that specific automobiles or automobile parts are defective and to mandate recall of </w:t>
      </w:r>
      <w:r w:rsidR="007C3671">
        <w:rPr>
          <w:lang w:eastAsia="ja-JP"/>
        </w:rPr>
        <w:t xml:space="preserve">such </w:t>
      </w:r>
      <w:r>
        <w:rPr>
          <w:lang w:eastAsia="ja-JP"/>
        </w:rPr>
        <w:t>defective cars or car parts.</w:t>
      </w:r>
      <w:r>
        <w:rPr>
          <w:rStyle w:val="FootnoteReference"/>
          <w:lang w:eastAsia="ja-JP"/>
        </w:rPr>
        <w:footnoteReference w:id="134"/>
      </w:r>
      <w:r>
        <w:rPr>
          <w:lang w:eastAsia="ja-JP"/>
        </w:rPr>
        <w:t xml:space="preserve"> Some regulators also have the authority to ban products that turn out to be dangerous. In 2010, the FDA barred the sale of cigarettes and tobacco to minors</w:t>
      </w:r>
      <w:r>
        <w:rPr>
          <w:rStyle w:val="FootnoteReference"/>
          <w:lang w:eastAsia="ja-JP"/>
        </w:rPr>
        <w:footnoteReference w:id="135"/>
      </w:r>
      <w:r>
        <w:rPr>
          <w:lang w:eastAsia="ja-JP"/>
        </w:rPr>
        <w:t xml:space="preserve"> and in 2022, voters in California passed a ballot measure approving a 2020 law that banned the sale of most flavored tobacco products.</w:t>
      </w:r>
      <w:r>
        <w:rPr>
          <w:rStyle w:val="FootnoteReference"/>
          <w:lang w:eastAsia="ja-JP"/>
        </w:rPr>
        <w:footnoteReference w:id="136"/>
      </w:r>
      <w:r>
        <w:rPr>
          <w:lang w:eastAsia="ja-JP"/>
        </w:rPr>
        <w:t xml:space="preserve"> The U.S. Consumer Product Safety Commission </w:t>
      </w:r>
      <w:r w:rsidR="00442CBF">
        <w:rPr>
          <w:lang w:eastAsia="ja-JP"/>
        </w:rPr>
        <w:t xml:space="preserve">(CPSC) </w:t>
      </w:r>
      <w:r>
        <w:rPr>
          <w:lang w:eastAsia="ja-JP"/>
        </w:rPr>
        <w:t xml:space="preserve">has broad authority to recall dangerous consumer products and to issue fines </w:t>
      </w:r>
      <w:r>
        <w:rPr>
          <w:lang w:eastAsia="ja-JP"/>
        </w:rPr>
        <w:lastRenderedPageBreak/>
        <w:t>to firms that violate consumer product safety laws.</w:t>
      </w:r>
      <w:r>
        <w:rPr>
          <w:rStyle w:val="FootnoteReference"/>
          <w:lang w:eastAsia="ja-JP"/>
        </w:rPr>
        <w:footnoteReference w:id="137"/>
      </w:r>
      <w:r w:rsidR="002230C5">
        <w:rPr>
          <w:lang w:eastAsia="ja-JP"/>
        </w:rPr>
        <w:t xml:space="preserve"> </w:t>
      </w:r>
      <w:r w:rsidR="008C4FE3">
        <w:rPr>
          <w:lang w:eastAsia="ja-JP"/>
        </w:rPr>
        <w:t>I</w:t>
      </w:r>
      <w:r w:rsidR="004817F1">
        <w:rPr>
          <w:lang w:eastAsia="ja-JP"/>
        </w:rPr>
        <w:t xml:space="preserve">n January 2023, </w:t>
      </w:r>
      <w:r w:rsidR="008C4FE3">
        <w:rPr>
          <w:lang w:eastAsia="ja-JP"/>
        </w:rPr>
        <w:t xml:space="preserve">for example, </w:t>
      </w:r>
      <w:r w:rsidR="004817F1">
        <w:rPr>
          <w:lang w:eastAsia="ja-JP"/>
        </w:rPr>
        <w:t xml:space="preserve">the CPSC announced that it </w:t>
      </w:r>
      <w:r w:rsidR="008C4FE3">
        <w:rPr>
          <w:lang w:eastAsia="ja-JP"/>
        </w:rPr>
        <w:t xml:space="preserve">had </w:t>
      </w:r>
      <w:r w:rsidR="004817F1">
        <w:rPr>
          <w:lang w:eastAsia="ja-JP"/>
        </w:rPr>
        <w:t xml:space="preserve">levied a </w:t>
      </w:r>
      <w:r w:rsidR="009E417F">
        <w:rPr>
          <w:lang w:eastAsia="ja-JP"/>
        </w:rPr>
        <w:t>$19</w:t>
      </w:r>
      <w:r w:rsidR="00D07F77">
        <w:rPr>
          <w:lang w:eastAsia="ja-JP"/>
        </w:rPr>
        <w:t xml:space="preserve"> million</w:t>
      </w:r>
      <w:r w:rsidR="009E417F">
        <w:rPr>
          <w:lang w:eastAsia="ja-JP"/>
        </w:rPr>
        <w:t xml:space="preserve"> civil penalty</w:t>
      </w:r>
      <w:r w:rsidR="004817F1">
        <w:rPr>
          <w:lang w:eastAsia="ja-JP"/>
        </w:rPr>
        <w:t xml:space="preserve"> against </w:t>
      </w:r>
      <w:r w:rsidR="006A345E">
        <w:rPr>
          <w:lang w:eastAsia="ja-JP"/>
        </w:rPr>
        <w:t>Peloton</w:t>
      </w:r>
      <w:r w:rsidR="004817F1">
        <w:rPr>
          <w:lang w:eastAsia="ja-JP"/>
        </w:rPr>
        <w:t xml:space="preserve"> </w:t>
      </w:r>
      <w:r w:rsidR="006114A6">
        <w:rPr>
          <w:lang w:eastAsia="ja-JP"/>
        </w:rPr>
        <w:t xml:space="preserve">for failing to report a defect in its </w:t>
      </w:r>
      <w:r w:rsidR="00D8756F">
        <w:rPr>
          <w:lang w:eastAsia="ja-JP"/>
        </w:rPr>
        <w:t xml:space="preserve">Tread+ treadmill that had caused multiple injuries </w:t>
      </w:r>
      <w:r w:rsidR="00C5065B">
        <w:rPr>
          <w:lang w:eastAsia="ja-JP"/>
        </w:rPr>
        <w:t>and a death.</w:t>
      </w:r>
      <w:r w:rsidR="00C5065B">
        <w:rPr>
          <w:rStyle w:val="FootnoteReference"/>
          <w:lang w:eastAsia="ja-JP"/>
        </w:rPr>
        <w:footnoteReference w:id="138"/>
      </w:r>
    </w:p>
    <w:p w14:paraId="56278BAB" w14:textId="0EE5FB29" w:rsidR="00060B56" w:rsidRDefault="00060B56" w:rsidP="00060B56">
      <w:pPr>
        <w:pStyle w:val="BodyText"/>
        <w:rPr>
          <w:lang w:eastAsia="ja-JP"/>
        </w:rPr>
      </w:pPr>
      <w:r>
        <w:rPr>
          <w:lang w:eastAsia="ja-JP"/>
        </w:rPr>
        <w:t>Taxation also can serve as a form of ex post regulation.</w:t>
      </w:r>
      <w:bookmarkStart w:id="44" w:name="_Ref126845050"/>
      <w:r>
        <w:rPr>
          <w:rStyle w:val="FootnoteReference"/>
          <w:lang w:eastAsia="ja-JP"/>
        </w:rPr>
        <w:footnoteReference w:id="139"/>
      </w:r>
      <w:bookmarkEnd w:id="44"/>
      <w:r w:rsidR="00045C26">
        <w:rPr>
          <w:lang w:eastAsia="ja-JP"/>
        </w:rPr>
        <w:t xml:space="preserve"> Once government determines that a product is dangerous, it can tax it</w:t>
      </w:r>
      <w:r w:rsidR="00BE1D48">
        <w:rPr>
          <w:lang w:eastAsia="ja-JP"/>
        </w:rPr>
        <w:t xml:space="preserve"> with the goal of reducing consumption.</w:t>
      </w:r>
      <w:r>
        <w:rPr>
          <w:lang w:eastAsia="ja-JP"/>
        </w:rPr>
        <w:t xml:space="preserve"> </w:t>
      </w:r>
      <w:r w:rsidR="00BE1D48">
        <w:rPr>
          <w:lang w:eastAsia="ja-JP"/>
        </w:rPr>
        <w:t>Cigarette taxes are an example.</w:t>
      </w:r>
      <w:bookmarkStart w:id="45" w:name="_Ref126837840"/>
      <w:r w:rsidR="00BE3C2D">
        <w:rPr>
          <w:rStyle w:val="FootnoteReference"/>
          <w:lang w:eastAsia="ja-JP"/>
        </w:rPr>
        <w:footnoteReference w:id="140"/>
      </w:r>
      <w:bookmarkEnd w:id="45"/>
      <w:r w:rsidR="00BE1D48">
        <w:rPr>
          <w:lang w:eastAsia="ja-JP"/>
        </w:rPr>
        <w:t xml:space="preserve"> </w:t>
      </w:r>
      <w:r w:rsidR="00E22AEA">
        <w:rPr>
          <w:lang w:eastAsia="ja-JP"/>
        </w:rPr>
        <w:t xml:space="preserve">Taxation also has an ex ante regulatory function. </w:t>
      </w:r>
      <w:r>
        <w:rPr>
          <w:lang w:eastAsia="ja-JP"/>
        </w:rPr>
        <w:t>By making products more expensive to sell, taxation discourages innovation.</w:t>
      </w:r>
      <w:r w:rsidR="00BE3C2D">
        <w:rPr>
          <w:rStyle w:val="FootnoteReference"/>
          <w:lang w:eastAsia="ja-JP"/>
        </w:rPr>
        <w:footnoteReference w:id="141"/>
      </w:r>
      <w:r>
        <w:rPr>
          <w:lang w:eastAsia="ja-JP"/>
        </w:rPr>
        <w:t xml:space="preserve"> A tax on sales of vapes, for example, reduces the number of potential purchasers of new types of vapes, and disincentivizes manufacturers from expending resources to create innovations in this product.</w:t>
      </w:r>
    </w:p>
    <w:p w14:paraId="73412964" w14:textId="77777777" w:rsidR="00187E43" w:rsidRPr="009379E1" w:rsidRDefault="00187E43" w:rsidP="00187E43">
      <w:pPr>
        <w:pStyle w:val="BodyText"/>
        <w:rPr>
          <w:lang w:eastAsia="ja-JP"/>
        </w:rPr>
      </w:pPr>
      <w:r>
        <w:rPr>
          <w:lang w:eastAsia="ja-JP"/>
        </w:rPr>
        <w:t>Turning to private law, tort liability is another ex post regulatory tool for managing the risk of harmful products.</w:t>
      </w:r>
      <w:r>
        <w:rPr>
          <w:rStyle w:val="FootnoteReference"/>
          <w:lang w:eastAsia="ja-JP"/>
        </w:rPr>
        <w:footnoteReference w:id="142"/>
      </w:r>
      <w:r>
        <w:rPr>
          <w:lang w:eastAsia="ja-JP"/>
        </w:rPr>
        <w:t xml:space="preserve"> By requiring manufacturers to compensate individuals harmed by dangerous products, tort law incentivizes firms to make their products safer.</w:t>
      </w:r>
      <w:r>
        <w:rPr>
          <w:rStyle w:val="FootnoteReference"/>
          <w:lang w:eastAsia="ja-JP"/>
        </w:rPr>
        <w:footnoteReference w:id="143"/>
      </w:r>
      <w:r>
        <w:rPr>
          <w:lang w:eastAsia="ja-JP"/>
        </w:rPr>
        <w:t xml:space="preserve"> Rather than blocking a new product before it can be sold to consumers or taxing the product as it is sold—measures that take effect before or at the same time a product enters the market—the impact of tort law on manufacturers comes after, sometimes long after, a product is sold.</w:t>
      </w:r>
    </w:p>
    <w:p w14:paraId="25DDE8BA" w14:textId="77777777" w:rsidR="00187E43" w:rsidRPr="00097172" w:rsidRDefault="00187E43" w:rsidP="00187E43">
      <w:pPr>
        <w:pStyle w:val="Heading3"/>
      </w:pPr>
      <w:bookmarkStart w:id="46" w:name="_Toc126854777"/>
      <w:r>
        <w:t>Comparing Ex Ante and Ex Post Regulation</w:t>
      </w:r>
      <w:bookmarkEnd w:id="46"/>
    </w:p>
    <w:p w14:paraId="4D35E3BD" w14:textId="77AD8242" w:rsidR="00187E43" w:rsidRDefault="00EE6228" w:rsidP="00187E43">
      <w:pPr>
        <w:pStyle w:val="BodyText"/>
      </w:pPr>
      <w:r>
        <w:t xml:space="preserve">Society would obviously be better off if regulators could prevent dangerous products from ever reaching consumers, because no one would have to suffer the grievous harms they cause. Unfortunately, regulators rarely know which products are going to be dangerous until they have been used by </w:t>
      </w:r>
      <w:r>
        <w:lastRenderedPageBreak/>
        <w:t>people.</w:t>
      </w:r>
      <w:r>
        <w:rPr>
          <w:rStyle w:val="FootnoteReference"/>
        </w:rPr>
        <w:footnoteReference w:id="144"/>
      </w:r>
      <w:r w:rsidR="00187E43">
        <w:t xml:space="preserve"> </w:t>
      </w:r>
      <w:r w:rsidR="00917A94">
        <w:t>Accordingly, regulating ex post often seems like the only viable alternative</w:t>
      </w:r>
      <w:r w:rsidR="00187E43">
        <w:t>.</w:t>
      </w:r>
      <w:r w:rsidR="00187E43">
        <w:rPr>
          <w:rStyle w:val="FootnoteReference"/>
        </w:rPr>
        <w:footnoteReference w:id="145"/>
      </w:r>
      <w:r w:rsidR="00187E43">
        <w:t xml:space="preserve"> </w:t>
      </w:r>
      <w:r w:rsidR="00917A94">
        <w:t>In order to prevent harmful innovations before they have been released to the public, regulators would need solid information about the risks and benefits involved and how these were distributed among both producers and consumers</w:t>
      </w:r>
      <w:r w:rsidR="00187E43">
        <w:t>.</w:t>
      </w:r>
      <w:r w:rsidR="00187E43">
        <w:rPr>
          <w:rStyle w:val="FootnoteReference"/>
        </w:rPr>
        <w:footnoteReference w:id="146"/>
      </w:r>
      <w:r w:rsidR="00187E43">
        <w:t xml:space="preserve"> </w:t>
      </w:r>
    </w:p>
    <w:p w14:paraId="04D43A5C" w14:textId="026BEAB1" w:rsidR="00187E43" w:rsidRDefault="00187E43" w:rsidP="00187E43">
      <w:pPr>
        <w:pStyle w:val="BodyText"/>
      </w:pPr>
      <w:r>
        <w:t>Further, ex post regulation, by definition, arrives too late to prevent harm in individual cases. Therefore, as Judge Richard Posner has argued, ex ante regulation is preferable in cases where a product or activity could cause “catastrophic injury.”</w:t>
      </w:r>
      <w:r>
        <w:rPr>
          <w:rStyle w:val="FootnoteReference"/>
        </w:rPr>
        <w:footnoteReference w:id="147"/>
      </w:r>
      <w:r>
        <w:t xml:space="preserve"> Posner had in mind regulations to prevent building collapses and to stop the sale of unsafe drugs.</w:t>
      </w:r>
      <w:r w:rsidR="008005B0">
        <w:rPr>
          <w:rStyle w:val="FootnoteReference"/>
        </w:rPr>
        <w:footnoteReference w:id="148"/>
      </w:r>
      <w:r>
        <w:t xml:space="preserve"> In both these cases, society has chosen ex ante regulatory tools—building codes and the FDA</w:t>
      </w:r>
      <w:r w:rsidR="003E27A3">
        <w:t>’s</w:t>
      </w:r>
      <w:r>
        <w:t xml:space="preserve"> new drug regime described above—to try to the limit potential for mass harm.</w:t>
      </w:r>
    </w:p>
    <w:p w14:paraId="5CCF8E4C" w14:textId="77777777" w:rsidR="00187E43" w:rsidRDefault="00187E43" w:rsidP="00187E43">
      <w:pPr>
        <w:pStyle w:val="BodyText"/>
      </w:pPr>
      <w:r>
        <w:t>In sum, the relative merits of ex ante and ex post regulation of new products will depend on several factors, including the products’ potential for mass harm, the importance of any informational advantage ex post regulation enjoys in a particular case, and the strength of the assumptions supporting the disciplining effect of tort law on manufacturers.</w:t>
      </w:r>
    </w:p>
    <w:p w14:paraId="0CF8323E" w14:textId="77777777" w:rsidR="005011E7" w:rsidRPr="00E8791F" w:rsidRDefault="005011E7" w:rsidP="0021352B">
      <w:pPr>
        <w:pStyle w:val="BodyText"/>
        <w:rPr>
          <w:lang w:eastAsia="ja-JP"/>
        </w:rPr>
      </w:pPr>
    </w:p>
    <w:p w14:paraId="27158064" w14:textId="49D7767C" w:rsidR="004B6350" w:rsidRPr="00E8791F" w:rsidRDefault="00C02F1B" w:rsidP="00737CF7">
      <w:pPr>
        <w:pStyle w:val="Heading1"/>
      </w:pPr>
      <w:bookmarkStart w:id="47" w:name="_Toc126854778"/>
      <w:r w:rsidRPr="00E8791F">
        <w:t>A Taxonomy of Antisocial Innovation</w:t>
      </w:r>
      <w:bookmarkEnd w:id="47"/>
    </w:p>
    <w:p w14:paraId="62ED0600" w14:textId="3A0C12EE" w:rsidR="00C02F1B" w:rsidRPr="00E8791F" w:rsidRDefault="00C02F1B" w:rsidP="004B6350">
      <w:pPr>
        <w:pStyle w:val="BodyText"/>
        <w:rPr>
          <w:lang w:eastAsia="ja-JP"/>
        </w:rPr>
      </w:pPr>
    </w:p>
    <w:p w14:paraId="23A7B728" w14:textId="026FBE91" w:rsidR="00186569" w:rsidRPr="00737CF7" w:rsidRDefault="00186569" w:rsidP="00737CF7">
      <w:r>
        <w:tab/>
        <w:t>In this Part, we offer a taxonomy of innovations based on their contributions to society. As we have seen, most popular and scholarly discussion of innovation treats it as an unalloyed good. But many innovations don’t improve the world</w:t>
      </w:r>
      <w:r w:rsidR="00BE4FA3">
        <w:t>; they</w:t>
      </w:r>
      <w:r>
        <w:t xml:space="preserve"> make it worse. Here, we categorize various </w:t>
      </w:r>
      <w:r w:rsidR="008A3DA2">
        <w:t>types</w:t>
      </w:r>
      <w:r>
        <w:t xml:space="preserve"> of antisocial innovation, focusing particularly on the kinds of harms that innovations may cause. With this categorization in hand, we will be able to turn next to policy mechanisms for limiting antisocial innovation.</w:t>
      </w:r>
    </w:p>
    <w:p w14:paraId="742A43EF" w14:textId="570E30ED" w:rsidR="00186569" w:rsidRDefault="00186569" w:rsidP="00737CF7">
      <w:pPr>
        <w:pStyle w:val="Heading2"/>
      </w:pPr>
      <w:bookmarkStart w:id="48" w:name="_Toc126854779"/>
      <w:r>
        <w:lastRenderedPageBreak/>
        <w:t>Who Benefits? Who is Harmed?</w:t>
      </w:r>
      <w:bookmarkEnd w:id="48"/>
    </w:p>
    <w:p w14:paraId="147D0FD4" w14:textId="2743CADA" w:rsidR="00186569" w:rsidRDefault="00186569" w:rsidP="00737CF7">
      <w:r>
        <w:tab/>
        <w:t>Our innovation taxonomy begins with an assessment of the groups who may be benefited or harmed by a given innovation. We begin by dividing the world into two classes of interests: private and social. In the category of private interests we include the benefits and harms that flow to innovators, innovative firms, and their clients. Thus, if a firm develops a new production technique that lowers its costs, the innovative technique conveys (at least) a private benefit. Included in the category of social interests are the benefits and harms that flow to the consumers of innovative goods and services and to society at large when it is affected by them. Accordingly, if the same production technique results in lower prices for consumers and, thus, more access to the good, the innovation conveys a social benefit</w:t>
      </w:r>
      <w:r w:rsidR="003E27A3">
        <w:t xml:space="preserve"> (assuming for the moment that the good itself is not harmful)</w:t>
      </w:r>
      <w:r>
        <w:t>. We represent this categorization of interests below:</w:t>
      </w:r>
    </w:p>
    <w:p w14:paraId="1CD4EFFD" w14:textId="77777777" w:rsidR="00186569" w:rsidRDefault="00186569" w:rsidP="00737CF7"/>
    <w:p w14:paraId="30078AB0" w14:textId="51183C1B" w:rsidR="00186569" w:rsidRDefault="00186569" w:rsidP="00737CF7">
      <w:r>
        <w:t xml:space="preserve">Figure </w:t>
      </w:r>
      <w:r w:rsidR="00CE3369">
        <w:t>1</w:t>
      </w:r>
      <w:r>
        <w:t>: Private Value and Social Value</w:t>
      </w:r>
    </w:p>
    <w:p w14:paraId="2C604A3F" w14:textId="77777777" w:rsidR="00186569" w:rsidRDefault="00186569" w:rsidP="00737CF7">
      <w:r>
        <w:rPr>
          <w:noProof/>
        </w:rPr>
        <w:drawing>
          <wp:inline distT="0" distB="0" distL="0" distR="0" wp14:anchorId="28BD1D59" wp14:editId="7A1BA28A">
            <wp:extent cx="3275937" cy="2874495"/>
            <wp:effectExtent l="0" t="0" r="127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3313119" cy="2907121"/>
                    </a:xfrm>
                    <a:prstGeom prst="rect">
                      <a:avLst/>
                    </a:prstGeom>
                  </pic:spPr>
                </pic:pic>
              </a:graphicData>
            </a:graphic>
          </wp:inline>
        </w:drawing>
      </w:r>
    </w:p>
    <w:p w14:paraId="050D113B" w14:textId="7978B91F" w:rsidR="00186569" w:rsidRDefault="00186569" w:rsidP="00737CF7">
      <w:r>
        <w:tab/>
        <w:t>Each of the quadrants in the figure represent</w:t>
      </w:r>
      <w:r w:rsidR="00286D76">
        <w:t>s</w:t>
      </w:r>
      <w:r>
        <w:t xml:space="preserve"> a particular relationship between private value and social value that a given innovation may generate. The </w:t>
      </w:r>
      <w:r>
        <w:rPr>
          <w:i/>
          <w:iCs/>
        </w:rPr>
        <w:t xml:space="preserve">x </w:t>
      </w:r>
      <w:r>
        <w:t xml:space="preserve">and </w:t>
      </w:r>
      <w:r>
        <w:rPr>
          <w:i/>
          <w:iCs/>
        </w:rPr>
        <w:t xml:space="preserve">y </w:t>
      </w:r>
      <w:r>
        <w:t xml:space="preserve">axes that cut through the middle of the figure enable us to plot any innovation in terms of its effects on private and social value. From a policymaking perspective, </w:t>
      </w:r>
      <w:r w:rsidR="00917A94">
        <w:t>the principal variable</w:t>
      </w:r>
      <w:r>
        <w:t xml:space="preserve"> is the </w:t>
      </w:r>
      <w:r>
        <w:rPr>
          <w:i/>
          <w:iCs/>
        </w:rPr>
        <w:t xml:space="preserve">x </w:t>
      </w:r>
      <w:r>
        <w:t xml:space="preserve">axis—social value. The law’s goal is to encourage the production of innovations that fall into Boxes 2 and 4 and to discourage or regulate those that fall into Boxes 1 and 3. But, policymakers also need to be aware of the </w:t>
      </w:r>
      <w:r>
        <w:rPr>
          <w:i/>
          <w:iCs/>
        </w:rPr>
        <w:t xml:space="preserve">y </w:t>
      </w:r>
      <w:r>
        <w:t xml:space="preserve">axis in order to properly calibrate innovation incentives. </w:t>
      </w:r>
    </w:p>
    <w:p w14:paraId="615ABCB4" w14:textId="20CA831D" w:rsidR="00186569" w:rsidRDefault="00186569" w:rsidP="00737CF7">
      <w:r>
        <w:tab/>
        <w:t xml:space="preserve">Before exploring the boxes in detail, it’s worth explaining a little more about our conceptions of private and social value. By private value, we certainly mean to include the value that innovators themselves receive from their </w:t>
      </w:r>
      <w:r>
        <w:lastRenderedPageBreak/>
        <w:t>innovations. Thus, if innovators can use their innovations to reduce their costs, increase their prices, or improve their market share, they receive private value from their innovations. For ease of classification, we also include in the concept of private value the benefits</w:t>
      </w:r>
      <w:r w:rsidR="00D263C0">
        <w:t xml:space="preserve"> accruing to</w:t>
      </w:r>
      <w:r>
        <w:t xml:space="preserve"> parties that purchase innovations for use in the market. For example, if a firm develops a piece of software like a pricing algorithm that it sells to clients who then use it to manipulate the price of airline tickets, we include the value that the clients receive in our measure of private value. </w:t>
      </w:r>
    </w:p>
    <w:p w14:paraId="71062F09" w14:textId="76E4689F" w:rsidR="00186569" w:rsidRDefault="00186569" w:rsidP="00737CF7">
      <w:r>
        <w:tab/>
        <w:t xml:space="preserve">Social value, in our classification, includes the net harms and benefits that society </w:t>
      </w:r>
      <w:proofErr w:type="gramStart"/>
      <w:r>
        <w:t>as a whole experiences</w:t>
      </w:r>
      <w:proofErr w:type="gramEnd"/>
      <w:r>
        <w:t xml:space="preserve"> from an innovation. This could include the innovation’s consumers who may benefit (or be harmed) by using it. It would also </w:t>
      </w:r>
      <w:r w:rsidR="009B2F72">
        <w:t>encompass</w:t>
      </w:r>
      <w:r>
        <w:t xml:space="preserve"> the innovation’s effects on non</w:t>
      </w:r>
      <w:r w:rsidR="009B2F72">
        <w:t>-</w:t>
      </w:r>
      <w:r>
        <w:t>consumers, including the innovator’s competitors and other members of society. If a firm develops a new</w:t>
      </w:r>
      <w:r w:rsidR="007B1FA4">
        <w:t>,</w:t>
      </w:r>
      <w:r>
        <w:t xml:space="preserve"> high</w:t>
      </w:r>
      <w:r w:rsidR="009B2F72">
        <w:t>-</w:t>
      </w:r>
      <w:r>
        <w:t>quality, low</w:t>
      </w:r>
      <w:r w:rsidR="009B2F72">
        <w:t>-</w:t>
      </w:r>
      <w:r>
        <w:t xml:space="preserve">cost digital movie camera, the innovation’s social value would include both the filmmakers who use the camera and the moviegoers who get to experience their films. Or if a firm introduced a new product the manufacture of which increased air pollution, the innovation’s social value would be measured by the net effect of whatever benefits the product provided to its consumers minus the health and environmental harms it caused to others. </w:t>
      </w:r>
    </w:p>
    <w:p w14:paraId="154770D2" w14:textId="38EF296E" w:rsidR="00186569" w:rsidRDefault="00186569" w:rsidP="00737CF7">
      <w:r>
        <w:tab/>
        <w:t>Returning to the boxes, consider first Box 2, which should need the least attention from policymakers. These innovations generate positive value for both their innovators and society at large. Here reside innovations like the production technique mentioned above. It reduces the innovator’s costs of production, so it is private</w:t>
      </w:r>
      <w:r w:rsidR="007B1FA4">
        <w:t>ly</w:t>
      </w:r>
      <w:r>
        <w:t xml:space="preserve"> beneficial. And, at least if some of those cost savings get passed on to consumers, it is socially beneficial. Assuming that the innovator is sufficiently motivated to produce these sorts of innovations, policymakers have little work to do. Similarly unimportant are innovations that fall into Box 3. Although these are antisocial innovations, the private costs of producing them should mean that we see relatively few of them. Why would a firm invest resources in developing an innovation that made itself worse off?</w:t>
      </w:r>
    </w:p>
    <w:p w14:paraId="70BFE833" w14:textId="3C4E3F09" w:rsidR="00186569" w:rsidRDefault="00186569" w:rsidP="00737CF7">
      <w:r>
        <w:tab/>
        <w:t>Policymakers tend to pay a lot of attention to the innovations in Box 4—those that produce positive social value but that have negative private value to innovators.</w:t>
      </w:r>
      <w:r w:rsidR="00FC4EBF">
        <w:rPr>
          <w:rStyle w:val="FootnoteReference"/>
        </w:rPr>
        <w:footnoteReference w:id="149"/>
      </w:r>
      <w:r>
        <w:t xml:space="preserve"> Here, the concern is that innovators won’t in</w:t>
      </w:r>
      <w:r w:rsidR="003E27A3">
        <w:t>cur</w:t>
      </w:r>
      <w:r>
        <w:t xml:space="preserve"> substantial costs in developing socially valuable innovations if they risk losing money on the effort.</w:t>
      </w:r>
      <w:r w:rsidR="009E1845">
        <w:rPr>
          <w:rStyle w:val="FootnoteReference"/>
        </w:rPr>
        <w:footnoteReference w:id="150"/>
      </w:r>
      <w:r>
        <w:t xml:space="preserve"> The classic problem involves a situation in which developing the innovation is expensive but copying the innovation is cheap. If an innovator </w:t>
      </w:r>
      <w:proofErr w:type="gramStart"/>
      <w:r>
        <w:t>has to</w:t>
      </w:r>
      <w:proofErr w:type="gramEnd"/>
      <w:r>
        <w:t xml:space="preserve"> spend </w:t>
      </w:r>
      <w:r w:rsidR="00BB4203">
        <w:t>millions</w:t>
      </w:r>
      <w:r>
        <w:t xml:space="preserve"> of dollars creating a new innovation but then, once the innovation is disclosed, the innovator’s competitors can easily copy it, the innovator won’t be motivated to invest in the innovation in the first place. Innovations are often public goods, but, like many public goods, there is a risk </w:t>
      </w:r>
      <w:r>
        <w:lastRenderedPageBreak/>
        <w:t xml:space="preserve">that they will be underproduced because innovators will not be able to recoup their investments in creating them. </w:t>
      </w:r>
    </w:p>
    <w:p w14:paraId="0D3BEA69" w14:textId="7A5BE86C" w:rsidR="00186569" w:rsidRDefault="00186569" w:rsidP="00737CF7">
      <w:r>
        <w:tab/>
        <w:t>There are various solutions to the Box 4 problem that we have already discussed</w:t>
      </w:r>
      <w:r w:rsidR="008A24F7">
        <w:t>.</w:t>
      </w:r>
      <w:r>
        <w:t xml:space="preserve"> Intellectual property rights give innovators exclusivity for a time where they can charge supracompetitive prices for access to their innovations, thereby recouping their investments.</w:t>
      </w:r>
      <w:r w:rsidR="000D7F2C">
        <w:rPr>
          <w:rStyle w:val="FootnoteReference"/>
        </w:rPr>
        <w:footnoteReference w:id="151"/>
      </w:r>
      <w:r>
        <w:t xml:space="preserve"> Prizes, grants, and tax incentives are other mechanisms to decrease or compensate for innovators’ costs to make the innovation privately valuable and worth pursuing.</w:t>
      </w:r>
      <w:r w:rsidR="000D7F2C">
        <w:rPr>
          <w:rStyle w:val="FootnoteReference"/>
        </w:rPr>
        <w:footnoteReference w:id="152"/>
      </w:r>
      <w:r>
        <w:t xml:space="preserve"> In effect, these incentives turn Box 4 innovations into Box 2 innovations. </w:t>
      </w:r>
    </w:p>
    <w:p w14:paraId="4E9C779D" w14:textId="6791F5A5" w:rsidR="00186569" w:rsidRDefault="00186569" w:rsidP="00737CF7">
      <w:r>
        <w:tab/>
      </w:r>
      <w:r w:rsidR="00952FA5">
        <w:t>Importantly, though, i</w:t>
      </w:r>
      <w:r>
        <w:t>nnovation incentives create</w:t>
      </w:r>
      <w:r w:rsidR="003E27A3">
        <w:t xml:space="preserve"> two major risks</w:t>
      </w:r>
      <w:r>
        <w:t xml:space="preserve">. First, if </w:t>
      </w:r>
      <w:r w:rsidR="00E55DD6">
        <w:t>they</w:t>
      </w:r>
      <w:r>
        <w:t xml:space="preserve"> are awarded to innovators who already find themselves in Box 2, where they have sufficient private motivation to pursue the innovation, the incentives are unnecessary and socially costly. Giving patents to firms that would be willing to pursue inventions in the absence of exclusive rights simply drives up costs for consumers and competitors without generating any innovation benefits. </w:t>
      </w:r>
    </w:p>
    <w:p w14:paraId="63A5A816" w14:textId="225C6D01" w:rsidR="00186569" w:rsidRPr="00C10DC8" w:rsidRDefault="00186569" w:rsidP="00737CF7">
      <w:r>
        <w:tab/>
        <w:t xml:space="preserve">Second, and more important from this article’s perspective, is </w:t>
      </w:r>
      <w:r w:rsidR="00BB4203">
        <w:t xml:space="preserve">the </w:t>
      </w:r>
      <w:r>
        <w:t xml:space="preserve">risk that we will give innovation incentives to Box 3 innovations and turn them into Box 1 innovations. That is to say, </w:t>
      </w:r>
      <w:r w:rsidR="00F46DBD">
        <w:t xml:space="preserve">offering </w:t>
      </w:r>
      <w:r>
        <w:t xml:space="preserve">patents, prizes, grants, or tax incentives to negative private value-negative social value innovations that would not otherwise </w:t>
      </w:r>
      <w:r w:rsidR="00E91A75">
        <w:t xml:space="preserve">be </w:t>
      </w:r>
      <w:r>
        <w:t xml:space="preserve">pursued may make them sufficiently lucrative to be worth developing. Now, the innovation has positive private value, but it still has negative social value. </w:t>
      </w:r>
      <w:r w:rsidR="00AF6E15">
        <w:t>For example, tobacco companies might not be willing to engage in the addition</w:t>
      </w:r>
      <w:r w:rsidR="00DF5456">
        <w:t>al</w:t>
      </w:r>
      <w:r w:rsidR="00AF6E15">
        <w:t xml:space="preserve"> research and development to create a new menthol substitute on their own, but if the first company to develop one receives a lucrative patent, the calculus could change. </w:t>
      </w:r>
    </w:p>
    <w:p w14:paraId="652E3CF7" w14:textId="31788DF2" w:rsidR="00186569" w:rsidRDefault="00186569" w:rsidP="00737CF7">
      <w:r>
        <w:tab/>
        <w:t>In this article, we’re especially concerned with innovations in Box 1—those that generate private value for innovators but negative social value. Subsequent sections will further elaborate on the various kinds of antisocial innovations that may arise, and we will sketch out the options that policymakers possess for dealing with them. For present purposes, it’s enough to say that these are the sorts of innovations that the law should disincentiv</w:t>
      </w:r>
      <w:r w:rsidR="00AF6E15">
        <w:t>ize</w:t>
      </w:r>
      <w:r>
        <w:t xml:space="preserve"> ex ante and/or regulate ex post. Figure </w:t>
      </w:r>
      <w:r w:rsidR="00CE3369">
        <w:t>2</w:t>
      </w:r>
      <w:r>
        <w:t xml:space="preserve"> depicts the appropriate policy responses to innovations that fall into Boxes 1 and 4 where the goal is to decrease and increase their respective numbers. </w:t>
      </w:r>
    </w:p>
    <w:p w14:paraId="39E5BBED" w14:textId="77777777" w:rsidR="00186569" w:rsidRDefault="00186569" w:rsidP="00737CF7"/>
    <w:p w14:paraId="3D675807" w14:textId="45638CF2" w:rsidR="00186569" w:rsidRDefault="00186569" w:rsidP="00737CF7">
      <w:r>
        <w:t xml:space="preserve">Figure </w:t>
      </w:r>
      <w:r w:rsidR="00CE3369">
        <w:t>2</w:t>
      </w:r>
      <w:r>
        <w:t>: Policy Responses to Private and Social Value</w:t>
      </w:r>
    </w:p>
    <w:p w14:paraId="40A8D1B8" w14:textId="77777777" w:rsidR="00186569" w:rsidRDefault="00186569" w:rsidP="00737CF7">
      <w:r>
        <w:rPr>
          <w:noProof/>
        </w:rPr>
        <w:lastRenderedPageBreak/>
        <w:drawing>
          <wp:inline distT="0" distB="0" distL="0" distR="0" wp14:anchorId="113785B7" wp14:editId="5F985822">
            <wp:extent cx="3127102" cy="2957886"/>
            <wp:effectExtent l="0" t="0" r="0" b="127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3163828" cy="2992625"/>
                    </a:xfrm>
                    <a:prstGeom prst="rect">
                      <a:avLst/>
                    </a:prstGeom>
                  </pic:spPr>
                </pic:pic>
              </a:graphicData>
            </a:graphic>
          </wp:inline>
        </w:drawing>
      </w:r>
    </w:p>
    <w:p w14:paraId="27825D22" w14:textId="77777777" w:rsidR="00186569" w:rsidRDefault="00186569" w:rsidP="00737CF7"/>
    <w:p w14:paraId="4F3B9A4C" w14:textId="77777777" w:rsidR="00186569" w:rsidRDefault="00186569" w:rsidP="00737CF7">
      <w:r>
        <w:t>B. Taxonomizing Antisocial Innovation</w:t>
      </w:r>
    </w:p>
    <w:p w14:paraId="3C9B313F" w14:textId="1AD9F283" w:rsidR="00186569" w:rsidRPr="00E91175" w:rsidRDefault="00186569" w:rsidP="00737CF7">
      <w:r>
        <w:tab/>
        <w:t xml:space="preserve">We now turn to elaborating different varieties of antisocial innovation, placing them into categories based on the kinds of harms that they create. We focus on harms to </w:t>
      </w:r>
      <w:r w:rsidR="00E51938">
        <w:t>individuals</w:t>
      </w:r>
      <w:r>
        <w:t xml:space="preserve">, </w:t>
      </w:r>
      <w:r w:rsidR="00587C7B">
        <w:t xml:space="preserve">the environment, </w:t>
      </w:r>
      <w:r>
        <w:t xml:space="preserve">competition, </w:t>
      </w:r>
      <w:r w:rsidR="00952FA5">
        <w:t xml:space="preserve">privacy, labor, </w:t>
      </w:r>
      <w:r>
        <w:t xml:space="preserve">and society, as well as distributive harms that innovations may foster. </w:t>
      </w:r>
      <w:r w:rsidR="00003C28">
        <w:t>Before we begin, two caveats are in order. First, t</w:t>
      </w:r>
      <w:r w:rsidR="00BB10B6">
        <w:t>he taxonomic exercise is never straightforward</w:t>
      </w:r>
      <w:r w:rsidR="00070463">
        <w:t xml:space="preserve">, and others might have different views about which harms should be lumped together or split off from others. And some innovations entail harms in multiple categories. Accordingly, we offer the following taxonomy as </w:t>
      </w:r>
      <w:r w:rsidR="009671C1">
        <w:t>a foundation</w:t>
      </w:r>
      <w:r w:rsidR="00070463">
        <w:t xml:space="preserve"> for further study rather than a</w:t>
      </w:r>
      <w:r w:rsidR="00D77533">
        <w:t xml:space="preserve"> complete </w:t>
      </w:r>
      <w:r w:rsidR="00070463">
        <w:t xml:space="preserve">account of </w:t>
      </w:r>
      <w:r w:rsidR="00A92CD4">
        <w:t>all innovation effects</w:t>
      </w:r>
      <w:r w:rsidR="00070463">
        <w:t xml:space="preserve">. </w:t>
      </w:r>
      <w:r w:rsidR="00D066C4">
        <w:t xml:space="preserve">Second, our goal isn’t to convince readers that in every case described below the innovation’s net effects are harmful rather than beneficial. If we include some that readers think are net beneficial, that’s fine. We will consider this effort a success if readers now believe that the distribution of prosocial versus antisocial innovations is more skewed towards the latter than previously thought. </w:t>
      </w:r>
    </w:p>
    <w:p w14:paraId="5D60F034" w14:textId="6E508DF0" w:rsidR="007F3AD3" w:rsidRDefault="007F3AD3" w:rsidP="00A8449C">
      <w:pPr>
        <w:pStyle w:val="BodyText"/>
        <w:ind w:firstLine="0"/>
        <w:rPr>
          <w:lang w:eastAsia="ja-JP"/>
        </w:rPr>
      </w:pPr>
      <w:bookmarkStart w:id="49" w:name="_Toc121134027"/>
      <w:bookmarkStart w:id="50" w:name="_Toc121134030"/>
      <w:bookmarkStart w:id="51" w:name="_Toc121134031"/>
      <w:bookmarkStart w:id="52" w:name="_Toc121134032"/>
      <w:bookmarkStart w:id="53" w:name="_Toc121134033"/>
      <w:bookmarkStart w:id="54" w:name="_Toc121134034"/>
      <w:bookmarkStart w:id="55" w:name="_Toc121134035"/>
      <w:bookmarkStart w:id="56" w:name="_Toc121134036"/>
      <w:bookmarkStart w:id="57" w:name="_Toc121134037"/>
      <w:bookmarkStart w:id="58" w:name="_Toc121134038"/>
      <w:bookmarkStart w:id="59" w:name="_Toc121134039"/>
      <w:bookmarkEnd w:id="49"/>
      <w:bookmarkEnd w:id="50"/>
      <w:bookmarkEnd w:id="51"/>
      <w:bookmarkEnd w:id="52"/>
      <w:bookmarkEnd w:id="53"/>
      <w:bookmarkEnd w:id="54"/>
      <w:bookmarkEnd w:id="55"/>
      <w:bookmarkEnd w:id="56"/>
      <w:bookmarkEnd w:id="57"/>
      <w:bookmarkEnd w:id="58"/>
      <w:bookmarkEnd w:id="59"/>
    </w:p>
    <w:p w14:paraId="23622886" w14:textId="6D134AA5" w:rsidR="005011E7" w:rsidRDefault="00E51938" w:rsidP="00F17C88">
      <w:pPr>
        <w:pStyle w:val="Heading3"/>
        <w:rPr>
          <w:rStyle w:val="Heading3Char"/>
          <w:rFonts w:ascii="Garamond" w:hAnsi="Garamond"/>
          <w:bCs/>
          <w:i/>
          <w:sz w:val="24"/>
        </w:rPr>
      </w:pPr>
      <w:bookmarkStart w:id="60" w:name="_Toc126854780"/>
      <w:r w:rsidRPr="00952FA5">
        <w:rPr>
          <w:rStyle w:val="Heading3Char"/>
          <w:rFonts w:ascii="Garamond" w:hAnsi="Garamond"/>
          <w:bCs/>
          <w:i/>
          <w:sz w:val="24"/>
        </w:rPr>
        <w:t>Individual</w:t>
      </w:r>
      <w:r w:rsidR="005011E7" w:rsidRPr="00952FA5">
        <w:rPr>
          <w:rStyle w:val="Heading3Char"/>
          <w:rFonts w:ascii="Garamond" w:hAnsi="Garamond"/>
          <w:bCs/>
          <w:i/>
          <w:sz w:val="24"/>
        </w:rPr>
        <w:t xml:space="preserve"> Harms</w:t>
      </w:r>
      <w:bookmarkEnd w:id="60"/>
    </w:p>
    <w:p w14:paraId="384B4218" w14:textId="77777777" w:rsidR="002B38B5" w:rsidRPr="002B38B5" w:rsidRDefault="002B38B5" w:rsidP="00952FA5">
      <w:pPr>
        <w:pStyle w:val="BodyText"/>
        <w:rPr>
          <w:lang w:eastAsia="ja-JP"/>
        </w:rPr>
      </w:pPr>
    </w:p>
    <w:p w14:paraId="58F7FDEE" w14:textId="6797D3E5" w:rsidR="00A9400E" w:rsidRDefault="00E51938" w:rsidP="00A8449C">
      <w:pPr>
        <w:pStyle w:val="BodyText"/>
        <w:ind w:firstLine="0"/>
        <w:rPr>
          <w:lang w:eastAsia="ja-JP"/>
        </w:rPr>
      </w:pPr>
      <w:r>
        <w:rPr>
          <w:lang w:eastAsia="ja-JP"/>
        </w:rPr>
        <w:tab/>
        <w:t>Perhaps most obviously, innovations can hurt the people who are exposed to them, and they can hurt them in a variety of different ways—physically, emotionally, and financially.</w:t>
      </w:r>
      <w:r w:rsidR="00952FA5">
        <w:rPr>
          <w:rStyle w:val="FootnoteReference"/>
          <w:lang w:eastAsia="ja-JP"/>
        </w:rPr>
        <w:footnoteReference w:id="153"/>
      </w:r>
      <w:r>
        <w:rPr>
          <w:lang w:eastAsia="ja-JP"/>
        </w:rPr>
        <w:t xml:space="preserve"> </w:t>
      </w:r>
      <w:r w:rsidR="00A9400E">
        <w:rPr>
          <w:lang w:eastAsia="ja-JP"/>
        </w:rPr>
        <w:t>Harms to individuals can come about in</w:t>
      </w:r>
      <w:r w:rsidR="00E91A75">
        <w:rPr>
          <w:lang w:eastAsia="ja-JP"/>
        </w:rPr>
        <w:t xml:space="preserve"> </w:t>
      </w:r>
      <w:r w:rsidR="00E91A75">
        <w:rPr>
          <w:lang w:eastAsia="ja-JP"/>
        </w:rPr>
        <w:lastRenderedPageBreak/>
        <w:t>many</w:t>
      </w:r>
      <w:r w:rsidR="00A9400E">
        <w:rPr>
          <w:lang w:eastAsia="ja-JP"/>
        </w:rPr>
        <w:t xml:space="preserve"> different </w:t>
      </w:r>
      <w:r w:rsidR="00E91A75">
        <w:rPr>
          <w:lang w:eastAsia="ja-JP"/>
        </w:rPr>
        <w:t>fashions</w:t>
      </w:r>
      <w:r w:rsidR="00A9400E">
        <w:rPr>
          <w:lang w:eastAsia="ja-JP"/>
        </w:rPr>
        <w:t xml:space="preserve">, some of which are intentional while others are accidental by-products of other goals. </w:t>
      </w:r>
    </w:p>
    <w:p w14:paraId="305A4679" w14:textId="64E0800C" w:rsidR="005011E7" w:rsidRDefault="00A9400E" w:rsidP="00604B15">
      <w:pPr>
        <w:pStyle w:val="BodyText"/>
        <w:ind w:firstLine="720"/>
        <w:rPr>
          <w:lang w:eastAsia="ja-JP"/>
        </w:rPr>
      </w:pPr>
      <w:r>
        <w:rPr>
          <w:lang w:eastAsia="ja-JP"/>
        </w:rPr>
        <w:t xml:space="preserve">Often it may be beneficial for innovative firms to hurt people directly and intentionally. </w:t>
      </w:r>
      <w:r w:rsidR="00E51938">
        <w:rPr>
          <w:lang w:eastAsia="ja-JP"/>
        </w:rPr>
        <w:t xml:space="preserve">As the figures above indicate, harms to individuals will arise </w:t>
      </w:r>
      <w:r>
        <w:rPr>
          <w:lang w:eastAsia="ja-JP"/>
        </w:rPr>
        <w:t>when</w:t>
      </w:r>
      <w:r w:rsidR="00E51938">
        <w:rPr>
          <w:lang w:eastAsia="ja-JP"/>
        </w:rPr>
        <w:t xml:space="preserve"> </w:t>
      </w:r>
      <w:r w:rsidR="00BC25C5">
        <w:rPr>
          <w:lang w:eastAsia="ja-JP"/>
        </w:rPr>
        <w:t>firms</w:t>
      </w:r>
      <w:r w:rsidR="00E51938">
        <w:rPr>
          <w:lang w:eastAsia="ja-JP"/>
        </w:rPr>
        <w:t xml:space="preserve"> have not </w:t>
      </w:r>
      <w:r>
        <w:rPr>
          <w:lang w:eastAsia="ja-JP"/>
        </w:rPr>
        <w:t xml:space="preserve">been made to </w:t>
      </w:r>
      <w:r w:rsidR="00E51938">
        <w:rPr>
          <w:lang w:eastAsia="ja-JP"/>
        </w:rPr>
        <w:t xml:space="preserve">internalize the costs of their </w:t>
      </w:r>
      <w:r w:rsidR="00BC25C5">
        <w:rPr>
          <w:lang w:eastAsia="ja-JP"/>
        </w:rPr>
        <w:t xml:space="preserve">innovations on others in society. Although the innovation is privately beneficial to the firm, it produces net social costs on others exposed to it. For example, the pricing algorithms </w:t>
      </w:r>
      <w:r w:rsidR="00DD4E42">
        <w:rPr>
          <w:lang w:eastAsia="ja-JP"/>
        </w:rPr>
        <w:t xml:space="preserve">firms </w:t>
      </w:r>
      <w:r w:rsidR="00BC25C5">
        <w:rPr>
          <w:lang w:eastAsia="ja-JP"/>
        </w:rPr>
        <w:t>use to obtain greater profits by marking up goods to specific people clearly benefit the firms employing them at the expense of consumers who will pay higher prices.</w:t>
      </w:r>
      <w:r w:rsidR="00C351D9">
        <w:rPr>
          <w:rStyle w:val="FootnoteReference"/>
          <w:lang w:eastAsia="ja-JP"/>
        </w:rPr>
        <w:footnoteReference w:id="154"/>
      </w:r>
      <w:r>
        <w:rPr>
          <w:lang w:eastAsia="ja-JP"/>
        </w:rPr>
        <w:t xml:space="preserve"> </w:t>
      </w:r>
      <w:r w:rsidR="005D0560">
        <w:rPr>
          <w:lang w:eastAsia="ja-JP"/>
        </w:rPr>
        <w:t xml:space="preserve">The </w:t>
      </w:r>
      <w:r>
        <w:rPr>
          <w:lang w:eastAsia="ja-JP"/>
        </w:rPr>
        <w:t xml:space="preserve">whole point of pricing algorithms is </w:t>
      </w:r>
      <w:r w:rsidR="005D0560">
        <w:rPr>
          <w:lang w:eastAsia="ja-JP"/>
        </w:rPr>
        <w:t xml:space="preserve">to </w:t>
      </w:r>
      <w:r>
        <w:rPr>
          <w:lang w:eastAsia="ja-JP"/>
        </w:rPr>
        <w:t>extract value from consumers</w:t>
      </w:r>
      <w:r w:rsidR="00990B38">
        <w:rPr>
          <w:lang w:eastAsia="ja-JP"/>
        </w:rPr>
        <w:t>, and consumers may have little choice but to interact with them</w:t>
      </w:r>
      <w:r>
        <w:rPr>
          <w:lang w:eastAsia="ja-JP"/>
        </w:rPr>
        <w:t>.</w:t>
      </w:r>
      <w:r w:rsidR="00F4054A">
        <w:rPr>
          <w:rStyle w:val="FootnoteReference"/>
          <w:lang w:eastAsia="ja-JP"/>
        </w:rPr>
        <w:footnoteReference w:id="155"/>
      </w:r>
    </w:p>
    <w:p w14:paraId="7A807746" w14:textId="5B635F19" w:rsidR="00BC25C5" w:rsidRDefault="00BC25C5" w:rsidP="00A8449C">
      <w:pPr>
        <w:pStyle w:val="BodyText"/>
        <w:ind w:firstLine="0"/>
        <w:rPr>
          <w:lang w:eastAsia="ja-JP"/>
        </w:rPr>
      </w:pPr>
      <w:r>
        <w:rPr>
          <w:lang w:eastAsia="ja-JP"/>
        </w:rPr>
        <w:tab/>
        <w:t xml:space="preserve">In other cases, new innovations may benefit some people at the expense of others. </w:t>
      </w:r>
      <w:r w:rsidR="0075506B">
        <w:rPr>
          <w:lang w:eastAsia="ja-JP"/>
        </w:rPr>
        <w:t xml:space="preserve">Consider, for example, the </w:t>
      </w:r>
      <w:r w:rsidR="004A3DA4">
        <w:rPr>
          <w:lang w:eastAsia="ja-JP"/>
        </w:rPr>
        <w:t>substantial increases in the size and weight of passenger trucks and SUVs over the past couple of decades.</w:t>
      </w:r>
      <w:bookmarkStart w:id="61" w:name="_Ref126842785"/>
      <w:r w:rsidR="005112E6">
        <w:rPr>
          <w:rStyle w:val="FootnoteReference"/>
          <w:lang w:eastAsia="ja-JP"/>
        </w:rPr>
        <w:footnoteReference w:id="156"/>
      </w:r>
      <w:bookmarkEnd w:id="61"/>
      <w:r w:rsidR="004A3DA4">
        <w:rPr>
          <w:lang w:eastAsia="ja-JP"/>
        </w:rPr>
        <w:t xml:space="preserve"> </w:t>
      </w:r>
      <w:r w:rsidR="005112E6">
        <w:rPr>
          <w:lang w:eastAsia="ja-JP"/>
        </w:rPr>
        <w:t>In the last two decades, trucks and SUVs have grown substantially, with the best</w:t>
      </w:r>
      <w:r w:rsidR="00C4660B">
        <w:rPr>
          <w:lang w:eastAsia="ja-JP"/>
        </w:rPr>
        <w:t>-</w:t>
      </w:r>
      <w:r w:rsidR="005112E6">
        <w:rPr>
          <w:lang w:eastAsia="ja-JP"/>
        </w:rPr>
        <w:t>selling trucks now over fifty-five inches tall—the average height of an eight-year-old.</w:t>
      </w:r>
      <w:bookmarkStart w:id="62" w:name="_Ref126852520"/>
      <w:r w:rsidR="005C43BB">
        <w:rPr>
          <w:rStyle w:val="FootnoteReference"/>
          <w:lang w:eastAsia="ja-JP"/>
        </w:rPr>
        <w:footnoteReference w:id="157"/>
      </w:r>
      <w:bookmarkEnd w:id="62"/>
      <w:r w:rsidR="005112E6">
        <w:rPr>
          <w:lang w:eastAsia="ja-JP"/>
        </w:rPr>
        <w:t xml:space="preserve"> They are also far heavier—more than half a ton—than they were in 2000.</w:t>
      </w:r>
      <w:bookmarkStart w:id="63" w:name="_Ref126842906"/>
      <w:r w:rsidR="005112E6">
        <w:rPr>
          <w:rStyle w:val="FootnoteReference"/>
          <w:lang w:eastAsia="ja-JP"/>
        </w:rPr>
        <w:footnoteReference w:id="158"/>
      </w:r>
      <w:bookmarkEnd w:id="63"/>
      <w:r w:rsidR="004A3DA4">
        <w:rPr>
          <w:lang w:eastAsia="ja-JP"/>
        </w:rPr>
        <w:t xml:space="preserve"> Larger trucks are safer for their occupants,</w:t>
      </w:r>
      <w:r w:rsidR="00C4660B">
        <w:rPr>
          <w:rStyle w:val="FootnoteReference"/>
          <w:lang w:eastAsia="ja-JP"/>
        </w:rPr>
        <w:footnoteReference w:id="159"/>
      </w:r>
      <w:r w:rsidR="004A3DA4">
        <w:rPr>
          <w:lang w:eastAsia="ja-JP"/>
        </w:rPr>
        <w:t xml:space="preserve"> and their size and aggressive styling may appeal to some consumers. But these vehicles are horrifically more dangerous than smaller ones to people outside of them, like other motorists, cyclists, and pedestrians.</w:t>
      </w:r>
      <w:r w:rsidR="005112E6">
        <w:rPr>
          <w:rStyle w:val="FootnoteReference"/>
          <w:lang w:eastAsia="ja-JP"/>
        </w:rPr>
        <w:footnoteReference w:id="160"/>
      </w:r>
      <w:r w:rsidR="004A3DA4">
        <w:rPr>
          <w:lang w:eastAsia="ja-JP"/>
        </w:rPr>
        <w:t xml:space="preserve"> Their larger </w:t>
      </w:r>
      <w:r w:rsidR="00C46736">
        <w:rPr>
          <w:lang w:eastAsia="ja-JP"/>
        </w:rPr>
        <w:t>blind spots</w:t>
      </w:r>
      <w:r w:rsidR="004A3DA4">
        <w:rPr>
          <w:lang w:eastAsia="ja-JP"/>
        </w:rPr>
        <w:t xml:space="preserve"> increase the probability of accidents, because drivers can’t see as well.</w:t>
      </w:r>
      <w:r w:rsidR="005C43BB">
        <w:rPr>
          <w:rStyle w:val="FootnoteReference"/>
          <w:lang w:eastAsia="ja-JP"/>
        </w:rPr>
        <w:footnoteReference w:id="161"/>
      </w:r>
      <w:r w:rsidR="004A3DA4">
        <w:rPr>
          <w:lang w:eastAsia="ja-JP"/>
        </w:rPr>
        <w:t xml:space="preserve"> And when accidents do happen, they are much more deadly</w:t>
      </w:r>
      <w:r w:rsidR="00860F89">
        <w:rPr>
          <w:lang w:eastAsia="ja-JP"/>
        </w:rPr>
        <w:t>, because the vehicles weigh so much more.</w:t>
      </w:r>
      <w:r w:rsidR="005112E6">
        <w:rPr>
          <w:rStyle w:val="FootnoteReference"/>
          <w:lang w:eastAsia="ja-JP"/>
        </w:rPr>
        <w:footnoteReference w:id="162"/>
      </w:r>
      <w:r w:rsidR="00860F89">
        <w:rPr>
          <w:lang w:eastAsia="ja-JP"/>
        </w:rPr>
        <w:t xml:space="preserve"> Thus, we have a situation in which a smaller number of people are made better off at the expense of a large number who are put in more danger.</w:t>
      </w:r>
    </w:p>
    <w:p w14:paraId="70D17D43" w14:textId="42F66C57" w:rsidR="00165B9E" w:rsidRDefault="00165B9E" w:rsidP="00A8449C">
      <w:pPr>
        <w:pStyle w:val="BodyText"/>
        <w:ind w:firstLine="0"/>
        <w:rPr>
          <w:lang w:eastAsia="ja-JP"/>
        </w:rPr>
      </w:pPr>
      <w:r>
        <w:rPr>
          <w:lang w:eastAsia="ja-JP"/>
        </w:rPr>
        <w:lastRenderedPageBreak/>
        <w:tab/>
        <w:t xml:space="preserve">Sometimes, innovations may harm consumers of the product themselves. In some cases, this can happen because the product’s risks aren’t known at the time of purchase. Thus, </w:t>
      </w:r>
      <w:r w:rsidR="00CE6486">
        <w:rPr>
          <w:lang w:eastAsia="ja-JP"/>
        </w:rPr>
        <w:t>when it was first developed, thalidomide was thought to be a safe treatment for morning sickness during pregnancy.</w:t>
      </w:r>
      <w:r w:rsidR="00CD2987">
        <w:rPr>
          <w:rStyle w:val="FootnoteReference"/>
          <w:lang w:eastAsia="ja-JP"/>
        </w:rPr>
        <w:footnoteReference w:id="163"/>
      </w:r>
      <w:r w:rsidR="00CE6486">
        <w:rPr>
          <w:lang w:eastAsia="ja-JP"/>
        </w:rPr>
        <w:t xml:space="preserve"> Only later did it become apparent that the drug could cause serious birth defects.</w:t>
      </w:r>
      <w:r w:rsidR="002801FF">
        <w:rPr>
          <w:rStyle w:val="FootnoteReference"/>
          <w:lang w:eastAsia="ja-JP"/>
        </w:rPr>
        <w:footnoteReference w:id="164"/>
      </w:r>
      <w:r w:rsidR="00CE6486">
        <w:rPr>
          <w:lang w:eastAsia="ja-JP"/>
        </w:rPr>
        <w:t xml:space="preserve"> The number of such examples could be extended ad nauseum. </w:t>
      </w:r>
    </w:p>
    <w:p w14:paraId="2C297732" w14:textId="3EB0E972" w:rsidR="001E1DF0" w:rsidRDefault="005112E6" w:rsidP="00A8449C">
      <w:pPr>
        <w:pStyle w:val="BodyText"/>
        <w:ind w:firstLine="0"/>
        <w:rPr>
          <w:lang w:eastAsia="ja-JP"/>
        </w:rPr>
      </w:pPr>
      <w:r>
        <w:rPr>
          <w:lang w:eastAsia="ja-JP"/>
        </w:rPr>
        <w:tab/>
        <w:t xml:space="preserve">But headline-grabbing examples like thalidomide </w:t>
      </w:r>
      <w:r w:rsidR="00292DB1">
        <w:rPr>
          <w:lang w:eastAsia="ja-JP"/>
        </w:rPr>
        <w:t xml:space="preserve">may not be the most troublesome pharmaceuticals from a social welfare perspective. Recent research in both the United States and Europe indicates that an astonishingly large percentage of FDA-approved new drugs </w:t>
      </w:r>
      <w:r w:rsidR="002801FF">
        <w:rPr>
          <w:lang w:eastAsia="ja-JP"/>
        </w:rPr>
        <w:t>provide</w:t>
      </w:r>
      <w:r w:rsidR="00292DB1">
        <w:rPr>
          <w:lang w:eastAsia="ja-JP"/>
        </w:rPr>
        <w:t xml:space="preserve"> no meaningful therapeutic benefit over their </w:t>
      </w:r>
      <w:proofErr w:type="gramStart"/>
      <w:r w:rsidR="00292DB1">
        <w:rPr>
          <w:lang w:eastAsia="ja-JP"/>
        </w:rPr>
        <w:t>predecessors</w:t>
      </w:r>
      <w:proofErr w:type="gramEnd"/>
      <w:r w:rsidR="00292DB1">
        <w:rPr>
          <w:lang w:eastAsia="ja-JP"/>
        </w:rPr>
        <w:t xml:space="preserve"> and, in many cases, they are worse.</w:t>
      </w:r>
      <w:r w:rsidR="00292DB1">
        <w:rPr>
          <w:rStyle w:val="FootnoteReference"/>
          <w:lang w:eastAsia="ja-JP"/>
        </w:rPr>
        <w:footnoteReference w:id="165"/>
      </w:r>
      <w:r w:rsidR="00292DB1">
        <w:rPr>
          <w:lang w:eastAsia="ja-JP"/>
        </w:rPr>
        <w:t xml:space="preserve"> </w:t>
      </w:r>
      <w:r w:rsidR="001E1DF0">
        <w:rPr>
          <w:lang w:eastAsia="ja-JP"/>
        </w:rPr>
        <w:t>These studies cover a wide variety of different pharmaceuticals in different countries. Their estimates for the percentage of zero and negative value drugs range from a quarter to half of the sample.</w:t>
      </w:r>
      <w:r w:rsidR="001E1DF0">
        <w:rPr>
          <w:rStyle w:val="FootnoteReference"/>
          <w:lang w:eastAsia="ja-JP"/>
        </w:rPr>
        <w:footnoteReference w:id="166"/>
      </w:r>
      <w:r w:rsidR="001E1DF0">
        <w:rPr>
          <w:lang w:eastAsia="ja-JP"/>
        </w:rPr>
        <w:t xml:space="preserve"> </w:t>
      </w:r>
    </w:p>
    <w:p w14:paraId="1388647E" w14:textId="048D7D7A" w:rsidR="00706736" w:rsidRDefault="00706736" w:rsidP="00340B72">
      <w:pPr>
        <w:pStyle w:val="BodyText"/>
        <w:ind w:firstLine="720"/>
        <w:rPr>
          <w:lang w:eastAsia="ja-JP"/>
        </w:rPr>
      </w:pPr>
      <w:r w:rsidRPr="00737CF7">
        <w:t>Along similar lines, Robin Feldman, David Hyman, W. Nicholson Price, and Mark Ratain have argued that patents can sometime</w:t>
      </w:r>
      <w:r>
        <w:t>s</w:t>
      </w:r>
      <w:r w:rsidRPr="00737CF7">
        <w:t xml:space="preserve"> represent “negative innovation.”</w:t>
      </w:r>
      <w:r w:rsidRPr="00737CF7">
        <w:rPr>
          <w:rStyle w:val="FootnoteReference"/>
        </w:rPr>
        <w:footnoteReference w:id="167"/>
      </w:r>
      <w:r w:rsidRPr="00737CF7">
        <w:t xml:space="preserve"> Their work focuses on situations in which the structure of patent law encourages innovation that harms consumers.</w:t>
      </w:r>
      <w:r w:rsidRPr="00737CF7">
        <w:rPr>
          <w:rStyle w:val="FootnoteReference"/>
        </w:rPr>
        <w:footnoteReference w:id="168"/>
      </w:r>
      <w:r w:rsidRPr="00737CF7">
        <w:t xml:space="preserve"> They show, for example, how a pharmaceutical manufacturer offered a drug with toxic side effects at higher doses than necessary because lower doses were considered obvious and therefore not patentable.</w:t>
      </w:r>
      <w:r w:rsidRPr="00737CF7">
        <w:rPr>
          <w:rStyle w:val="FootnoteReference"/>
        </w:rPr>
        <w:footnoteReference w:id="169"/>
      </w:r>
    </w:p>
    <w:p w14:paraId="06F38F88" w14:textId="3FC131A4" w:rsidR="005112E6" w:rsidRDefault="001E1DF0" w:rsidP="00604B15">
      <w:pPr>
        <w:pStyle w:val="BodyText"/>
        <w:ind w:firstLine="720"/>
        <w:rPr>
          <w:lang w:eastAsia="ja-JP"/>
        </w:rPr>
      </w:pPr>
      <w:r>
        <w:rPr>
          <w:lang w:eastAsia="ja-JP"/>
        </w:rPr>
        <w:t>Obviously, if a drug is worse for patients than the previous technology, then there is clear antisocial harm. But the true harm is even greater. Many of these drugs are so-called “me too” drugs that mimic already existing options.</w:t>
      </w:r>
      <w:r w:rsidR="001E43B2">
        <w:rPr>
          <w:rStyle w:val="FootnoteReference"/>
          <w:lang w:eastAsia="ja-JP"/>
        </w:rPr>
        <w:footnoteReference w:id="170"/>
      </w:r>
      <w:r>
        <w:rPr>
          <w:lang w:eastAsia="ja-JP"/>
        </w:rPr>
        <w:t xml:space="preserve"> In so doing, they reduce the demand for the original valuable drug and, </w:t>
      </w:r>
      <w:r>
        <w:rPr>
          <w:lang w:eastAsia="ja-JP"/>
        </w:rPr>
        <w:lastRenderedPageBreak/>
        <w:t>thereby, undermine the incentives to achieve truly beneficial innovations.</w:t>
      </w:r>
      <w:bookmarkStart w:id="64" w:name="_Ref126694238"/>
      <w:r>
        <w:rPr>
          <w:rStyle w:val="FootnoteReference"/>
          <w:lang w:eastAsia="ja-JP"/>
        </w:rPr>
        <w:footnoteReference w:id="171"/>
      </w:r>
      <w:bookmarkEnd w:id="64"/>
      <w:r>
        <w:rPr>
          <w:lang w:eastAsia="ja-JP"/>
        </w:rPr>
        <w:t xml:space="preserve"> This phenomenon is an example of the risks that we described above. But for the existence of a patent, firms wouldn’t invest in the me-too drug, because R&amp;D costs would exceed expected returns (Box 3: negative private/negative social). Once they can patent their discoveries, though, copycat firms can expect profitable returns, so they will invest in R&amp;D even though the social benefits are negative (Box 1: positive private/negative social). While it is socially valuable to award a patent to the initial groundbreaking pharmaceutical in the field, awarding patents to </w:t>
      </w:r>
      <w:proofErr w:type="gramStart"/>
      <w:r>
        <w:rPr>
          <w:lang w:eastAsia="ja-JP"/>
        </w:rPr>
        <w:t>all of</w:t>
      </w:r>
      <w:proofErr w:type="gramEnd"/>
      <w:r>
        <w:rPr>
          <w:lang w:eastAsia="ja-JP"/>
        </w:rPr>
        <w:t xml:space="preserve"> the </w:t>
      </w:r>
      <w:r w:rsidR="007D42CB">
        <w:rPr>
          <w:lang w:eastAsia="ja-JP"/>
        </w:rPr>
        <w:t xml:space="preserve">trivially different follow-on drugs is socially harmful. </w:t>
      </w:r>
    </w:p>
    <w:p w14:paraId="4787E26F" w14:textId="4F81362A" w:rsidR="009E3019" w:rsidRDefault="00597A9B" w:rsidP="000A216B">
      <w:pPr>
        <w:ind w:firstLine="720"/>
      </w:pPr>
      <w:r>
        <w:rPr>
          <w:lang w:eastAsia="ja-JP"/>
        </w:rPr>
        <w:t xml:space="preserve">Finally, people may be harmed by innovations when they </w:t>
      </w:r>
      <w:r w:rsidR="009E3019">
        <w:rPr>
          <w:lang w:eastAsia="ja-JP"/>
        </w:rPr>
        <w:t>affirmatively choose to consume products that are bad for them</w:t>
      </w:r>
      <w:r>
        <w:rPr>
          <w:lang w:eastAsia="ja-JP"/>
        </w:rPr>
        <w:t>, even though the risks are widely known</w:t>
      </w:r>
      <w:r w:rsidR="009E3019">
        <w:rPr>
          <w:lang w:eastAsia="ja-JP"/>
        </w:rPr>
        <w:t xml:space="preserve">. </w:t>
      </w:r>
      <w:r>
        <w:rPr>
          <w:lang w:eastAsia="ja-JP"/>
        </w:rPr>
        <w:t>The most obvious examples include addictive products like opioids and nicotine</w:t>
      </w:r>
      <w:r w:rsidR="009E3019">
        <w:rPr>
          <w:lang w:eastAsia="ja-JP"/>
        </w:rPr>
        <w:t xml:space="preserve">. </w:t>
      </w:r>
      <w:r>
        <w:rPr>
          <w:lang w:eastAsia="ja-JP"/>
        </w:rPr>
        <w:t>Social media usage may also fall into this category</w:t>
      </w:r>
      <w:r w:rsidR="009E3019">
        <w:rPr>
          <w:lang w:eastAsia="ja-JP"/>
        </w:rPr>
        <w:t>.</w:t>
      </w:r>
      <w:r w:rsidR="00F90D49">
        <w:rPr>
          <w:rStyle w:val="FootnoteReference"/>
          <w:lang w:eastAsia="ja-JP"/>
        </w:rPr>
        <w:footnoteReference w:id="172"/>
      </w:r>
      <w:r w:rsidR="009E3019">
        <w:rPr>
          <w:lang w:eastAsia="ja-JP"/>
        </w:rPr>
        <w:t xml:space="preserve"> An increasing number of studies show that social media usage is bad for people’s well-being, that people appreciate its harms, but that they struggle to give it up.</w:t>
      </w:r>
      <w:r w:rsidR="00F90D49">
        <w:rPr>
          <w:rStyle w:val="FootnoteReference"/>
          <w:lang w:eastAsia="ja-JP"/>
        </w:rPr>
        <w:footnoteReference w:id="173"/>
      </w:r>
      <w:r w:rsidR="009E3019">
        <w:rPr>
          <w:lang w:eastAsia="ja-JP"/>
        </w:rPr>
        <w:t xml:space="preserve"> </w:t>
      </w:r>
      <w:r w:rsidR="00003C28">
        <w:rPr>
          <w:lang w:eastAsia="ja-JP"/>
        </w:rPr>
        <w:t>At other times, though, people may not initially realize the risks. For example, Apple’s Air Tags</w:t>
      </w:r>
      <w:r w:rsidR="00003C28">
        <w:t>, which were created to help find lost keys or luggage, have been called “a gift to stalkers.”</w:t>
      </w:r>
      <w:r w:rsidR="00003C28">
        <w:rPr>
          <w:rStyle w:val="FootnoteReference"/>
        </w:rPr>
        <w:footnoteReference w:id="174"/>
      </w:r>
      <w:r w:rsidR="00003C28">
        <w:t xml:space="preserve"> These devices pose an additional threat to victims of intimate partner violence, even beyond stalkerware apps and accounts being compromised, because they rely on a global network of billions of Apple devices to track whereabouts.</w:t>
      </w:r>
      <w:r w:rsidR="00003C28">
        <w:rPr>
          <w:rStyle w:val="FootnoteReference"/>
        </w:rPr>
        <w:footnoteReference w:id="175"/>
      </w:r>
      <w:r w:rsidR="00003C28">
        <w:t xml:space="preserve"> Once Apple realized (in response to outcry) how easily AirTags enable cheap, efficient stalking, they modified them to try to prevent “unwanted tracking,” but this ex-post self-regulation is only a partial solution and is easy to circumvent.</w:t>
      </w:r>
      <w:r w:rsidR="00003C28">
        <w:rPr>
          <w:rStyle w:val="FootnoteReference"/>
        </w:rPr>
        <w:footnoteReference w:id="176"/>
      </w:r>
      <w:r w:rsidR="00003C28">
        <w:t xml:space="preserve"> </w:t>
      </w:r>
    </w:p>
    <w:p w14:paraId="7C551E48" w14:textId="6877B560" w:rsidR="00587C7B" w:rsidRDefault="00587C7B" w:rsidP="00A8449C">
      <w:pPr>
        <w:pStyle w:val="BodyText"/>
        <w:ind w:firstLine="0"/>
        <w:rPr>
          <w:lang w:eastAsia="ja-JP"/>
        </w:rPr>
      </w:pPr>
    </w:p>
    <w:p w14:paraId="4A0A37DA" w14:textId="2267F416" w:rsidR="002B38B5" w:rsidRPr="007C4369" w:rsidRDefault="00587C7B" w:rsidP="00340B72">
      <w:pPr>
        <w:pStyle w:val="Heading3"/>
        <w:rPr>
          <w:i w:val="0"/>
        </w:rPr>
      </w:pPr>
      <w:bookmarkStart w:id="65" w:name="_Toc126854781"/>
      <w:r w:rsidRPr="007C4369">
        <w:rPr>
          <w:rStyle w:val="Heading3Char"/>
          <w:rFonts w:ascii="Garamond" w:hAnsi="Garamond"/>
          <w:i/>
          <w:sz w:val="24"/>
        </w:rPr>
        <w:t>Environmental Harms</w:t>
      </w:r>
      <w:bookmarkEnd w:id="65"/>
    </w:p>
    <w:p w14:paraId="781C72EA" w14:textId="71FC2944" w:rsidR="00587C7B" w:rsidRDefault="00587C7B" w:rsidP="00A8449C">
      <w:pPr>
        <w:pStyle w:val="BodyText"/>
        <w:ind w:firstLine="0"/>
        <w:rPr>
          <w:lang w:eastAsia="ja-JP"/>
        </w:rPr>
      </w:pPr>
    </w:p>
    <w:p w14:paraId="7529673F" w14:textId="411430DC" w:rsidR="002633CE" w:rsidRDefault="000A501B" w:rsidP="00A8449C">
      <w:pPr>
        <w:pStyle w:val="BodyText"/>
        <w:ind w:firstLine="0"/>
        <w:rPr>
          <w:lang w:eastAsia="ja-JP"/>
        </w:rPr>
      </w:pPr>
      <w:r>
        <w:rPr>
          <w:lang w:eastAsia="ja-JP"/>
        </w:rPr>
        <w:tab/>
        <w:t xml:space="preserve">It is abundantly clear that innovations can harm the environment. </w:t>
      </w:r>
      <w:r w:rsidR="002633CE">
        <w:rPr>
          <w:lang w:eastAsia="ja-JP"/>
        </w:rPr>
        <w:t xml:space="preserve">Scientists attribute a substantial portion of global climate change to human </w:t>
      </w:r>
      <w:r w:rsidR="002633CE">
        <w:rPr>
          <w:lang w:eastAsia="ja-JP"/>
        </w:rPr>
        <w:lastRenderedPageBreak/>
        <w:t>activities, many of which are the result of previous innovations.</w:t>
      </w:r>
      <w:r w:rsidR="00EA28C8">
        <w:rPr>
          <w:rStyle w:val="FootnoteReference"/>
          <w:lang w:eastAsia="ja-JP"/>
        </w:rPr>
        <w:footnoteReference w:id="177"/>
      </w:r>
      <w:r w:rsidR="002633CE">
        <w:rPr>
          <w:lang w:eastAsia="ja-JP"/>
        </w:rPr>
        <w:t xml:space="preserve"> Obviously, coal-based electricity plants and gasoline-powered internal combustion engines are responsible for an enormous share of environmental pollution.</w:t>
      </w:r>
      <w:r w:rsidR="002D56FC">
        <w:rPr>
          <w:rStyle w:val="FootnoteReference"/>
          <w:lang w:eastAsia="ja-JP"/>
        </w:rPr>
        <w:footnoteReference w:id="178"/>
      </w:r>
      <w:r w:rsidR="002633CE">
        <w:rPr>
          <w:lang w:eastAsia="ja-JP"/>
        </w:rPr>
        <w:t xml:space="preserve"> This is not to say that electricity and automobiles have been net negative for society. We don’t think so. But there are many innovations that have generated substantially fewer benefits while producing meaningful environmental degradation.</w:t>
      </w:r>
    </w:p>
    <w:p w14:paraId="7D88C0DA" w14:textId="577CD34D" w:rsidR="00DC220E" w:rsidRDefault="002633CE" w:rsidP="00A8449C">
      <w:pPr>
        <w:pStyle w:val="BodyText"/>
        <w:ind w:firstLine="0"/>
        <w:rPr>
          <w:lang w:eastAsia="ja-JP"/>
        </w:rPr>
      </w:pPr>
      <w:r>
        <w:rPr>
          <w:lang w:eastAsia="ja-JP"/>
        </w:rPr>
        <w:tab/>
      </w:r>
      <w:r w:rsidRPr="006F69DD">
        <w:rPr>
          <w:lang w:eastAsia="ja-JP"/>
        </w:rPr>
        <w:t xml:space="preserve">Sometimes, innovations can harm the environment directly. For example, hydraulic fracturing, also known as fracking, is believed by many scientists to cause </w:t>
      </w:r>
      <w:r w:rsidR="006F69DD" w:rsidRPr="006F69DD">
        <w:rPr>
          <w:lang w:eastAsia="ja-JP"/>
        </w:rPr>
        <w:t xml:space="preserve">increases in air toxins and </w:t>
      </w:r>
      <w:r w:rsidRPr="006F69DD">
        <w:rPr>
          <w:lang w:eastAsia="ja-JP"/>
        </w:rPr>
        <w:t xml:space="preserve">substantial harm to </w:t>
      </w:r>
      <w:r w:rsidR="006F69DD" w:rsidRPr="006F69DD">
        <w:rPr>
          <w:lang w:eastAsia="ja-JP"/>
        </w:rPr>
        <w:t>groundwater.</w:t>
      </w:r>
      <w:r w:rsidR="00A84E06" w:rsidRPr="006F69DD">
        <w:rPr>
          <w:rStyle w:val="FootnoteReference"/>
          <w:lang w:eastAsia="ja-JP"/>
        </w:rPr>
        <w:footnoteReference w:id="179"/>
      </w:r>
      <w:r>
        <w:rPr>
          <w:lang w:eastAsia="ja-JP"/>
        </w:rPr>
        <w:t xml:space="preserve"> In addition, mining scarce minerals that are required for contemporary computing devices may be destroying environments in already ecologically stressed parts of the globe.</w:t>
      </w:r>
      <w:r>
        <w:rPr>
          <w:rStyle w:val="FootnoteReference"/>
          <w:lang w:eastAsia="ja-JP"/>
        </w:rPr>
        <w:footnoteReference w:id="180"/>
      </w:r>
      <w:r>
        <w:rPr>
          <w:lang w:eastAsia="ja-JP"/>
        </w:rPr>
        <w:t xml:space="preserve"> </w:t>
      </w:r>
      <w:r w:rsidR="004E7315">
        <w:rPr>
          <w:lang w:eastAsia="ja-JP"/>
        </w:rPr>
        <w:t xml:space="preserve">And, of course, many innovations generate enormous amounts of air and water pollution. </w:t>
      </w:r>
      <w:proofErr w:type="spellStart"/>
      <w:r w:rsidR="00DC220E">
        <w:rPr>
          <w:lang w:eastAsia="ja-JP"/>
        </w:rPr>
        <w:t>Innovations</w:t>
      </w:r>
      <w:proofErr w:type="spellEnd"/>
      <w:r w:rsidR="00DC220E">
        <w:rPr>
          <w:lang w:eastAsia="ja-JP"/>
        </w:rPr>
        <w:t xml:space="preserve"> don’t simply harm the environment directly. </w:t>
      </w:r>
      <w:r w:rsidR="00AE0CD2">
        <w:rPr>
          <w:lang w:eastAsia="ja-JP"/>
        </w:rPr>
        <w:t>I</w:t>
      </w:r>
      <w:r w:rsidR="00DC220E">
        <w:rPr>
          <w:lang w:eastAsia="ja-JP"/>
        </w:rPr>
        <w:t>n a range of industries</w:t>
      </w:r>
      <w:r w:rsidR="00340B72">
        <w:rPr>
          <w:lang w:eastAsia="ja-JP"/>
        </w:rPr>
        <w:t>,</w:t>
      </w:r>
      <w:r w:rsidR="00DC220E">
        <w:rPr>
          <w:lang w:eastAsia="ja-JP"/>
        </w:rPr>
        <w:t xml:space="preserve"> </w:t>
      </w:r>
      <w:r w:rsidR="00AE0CD2">
        <w:rPr>
          <w:lang w:eastAsia="ja-JP"/>
        </w:rPr>
        <w:t xml:space="preserve">innovations </w:t>
      </w:r>
      <w:r w:rsidR="00DC220E">
        <w:rPr>
          <w:lang w:eastAsia="ja-JP"/>
        </w:rPr>
        <w:t xml:space="preserve">contribute to environmental harms through </w:t>
      </w:r>
      <w:r w:rsidR="00670104">
        <w:rPr>
          <w:i/>
          <w:iCs/>
          <w:lang w:eastAsia="ja-JP"/>
        </w:rPr>
        <w:t xml:space="preserve">planned </w:t>
      </w:r>
      <w:r w:rsidR="00DC220E">
        <w:rPr>
          <w:i/>
          <w:iCs/>
          <w:lang w:eastAsia="ja-JP"/>
        </w:rPr>
        <w:t>obsolescence</w:t>
      </w:r>
      <w:r w:rsidR="00DC220E">
        <w:rPr>
          <w:lang w:eastAsia="ja-JP"/>
        </w:rPr>
        <w:t>, the phenomenon in which people are encouraged to discard perfectly useful items once a new version is released.</w:t>
      </w:r>
      <w:bookmarkStart w:id="66" w:name="_Ref126598350"/>
      <w:r w:rsidR="00A84E06">
        <w:rPr>
          <w:rStyle w:val="FootnoteReference"/>
          <w:lang w:eastAsia="ja-JP"/>
        </w:rPr>
        <w:footnoteReference w:id="181"/>
      </w:r>
      <w:bookmarkEnd w:id="66"/>
      <w:r w:rsidR="00DC220E">
        <w:rPr>
          <w:lang w:eastAsia="ja-JP"/>
        </w:rPr>
        <w:t xml:space="preserve"> </w:t>
      </w:r>
      <w:r w:rsidR="00670104">
        <w:rPr>
          <w:lang w:eastAsia="ja-JP"/>
        </w:rPr>
        <w:t>For example, over 100 million cell phones and over 300 million personal computers are discarded each year.</w:t>
      </w:r>
      <w:r w:rsidR="00670104">
        <w:rPr>
          <w:rStyle w:val="FootnoteReference"/>
          <w:lang w:eastAsia="ja-JP"/>
        </w:rPr>
        <w:footnoteReference w:id="182"/>
      </w:r>
      <w:r w:rsidR="00670104">
        <w:rPr>
          <w:lang w:eastAsia="ja-JP"/>
        </w:rPr>
        <w:t xml:space="preserve"> Millions of new televisions are purchased, but very few are refurbished.</w:t>
      </w:r>
      <w:r w:rsidR="00EB6AE4">
        <w:rPr>
          <w:rStyle w:val="FootnoteReference"/>
          <w:lang w:eastAsia="ja-JP"/>
        </w:rPr>
        <w:footnoteReference w:id="183"/>
      </w:r>
      <w:r w:rsidR="00670104">
        <w:rPr>
          <w:lang w:eastAsia="ja-JP"/>
        </w:rPr>
        <w:t xml:space="preserve"> Many of these products are still fully functional, but consumers have been induced into desiring new versions of them.</w:t>
      </w:r>
      <w:r w:rsidR="00670104">
        <w:rPr>
          <w:rStyle w:val="FootnoteReference"/>
          <w:lang w:eastAsia="ja-JP"/>
        </w:rPr>
        <w:footnoteReference w:id="184"/>
      </w:r>
      <w:r w:rsidR="00670104">
        <w:rPr>
          <w:lang w:eastAsia="ja-JP"/>
        </w:rPr>
        <w:t xml:space="preserve"> </w:t>
      </w:r>
      <w:r w:rsidR="00503A6D">
        <w:rPr>
          <w:lang w:eastAsia="ja-JP"/>
        </w:rPr>
        <w:t>Often, the new version may not represent any real upgrade in the product’s quality.</w:t>
      </w:r>
      <w:r w:rsidR="00503A6D">
        <w:rPr>
          <w:rStyle w:val="FootnoteReference"/>
          <w:lang w:eastAsia="ja-JP"/>
        </w:rPr>
        <w:footnoteReference w:id="185"/>
      </w:r>
      <w:r w:rsidR="00503A6D">
        <w:rPr>
          <w:lang w:eastAsia="ja-JP"/>
        </w:rPr>
        <w:t xml:space="preserve"> </w:t>
      </w:r>
      <w:r w:rsidR="00670104">
        <w:rPr>
          <w:lang w:eastAsia="ja-JP"/>
        </w:rPr>
        <w:t xml:space="preserve">In other cases, manufacturers intentionally limit a product’s lifetime in </w:t>
      </w:r>
      <w:r w:rsidR="00670104">
        <w:rPr>
          <w:lang w:eastAsia="ja-JP"/>
        </w:rPr>
        <w:lastRenderedPageBreak/>
        <w:t>order to encourage new purchases.</w:t>
      </w:r>
      <w:r w:rsidR="00670104">
        <w:rPr>
          <w:rStyle w:val="FootnoteReference"/>
          <w:lang w:eastAsia="ja-JP"/>
        </w:rPr>
        <w:footnoteReference w:id="186"/>
      </w:r>
      <w:r w:rsidR="00670104">
        <w:rPr>
          <w:lang w:eastAsia="ja-JP"/>
        </w:rPr>
        <w:t xml:space="preserve"> For example, light bulb filaments were designed to burn out more quickly than necessary</w:t>
      </w:r>
      <w:r w:rsidR="00503A6D">
        <w:rPr>
          <w:lang w:eastAsia="ja-JP"/>
        </w:rPr>
        <w:t>, and smartphone companies have designed software updates that degrade the phone’s battery.</w:t>
      </w:r>
      <w:r w:rsidR="0063455D">
        <w:rPr>
          <w:rStyle w:val="FootnoteReference"/>
          <w:lang w:eastAsia="ja-JP"/>
        </w:rPr>
        <w:footnoteReference w:id="187"/>
      </w:r>
      <w:r w:rsidR="00503A6D">
        <w:rPr>
          <w:lang w:eastAsia="ja-JP"/>
        </w:rPr>
        <w:t xml:space="preserve"> Finally, manufacturers can shorten product lifetimes by limiting consumers’ ability to repair their devices.</w:t>
      </w:r>
      <w:r w:rsidR="00503A6D">
        <w:rPr>
          <w:rStyle w:val="FootnoteReference"/>
          <w:lang w:eastAsia="ja-JP"/>
        </w:rPr>
        <w:footnoteReference w:id="188"/>
      </w:r>
    </w:p>
    <w:p w14:paraId="624F12A5" w14:textId="65CF87B6" w:rsidR="00503A6D" w:rsidRPr="00DC220E" w:rsidRDefault="00503A6D" w:rsidP="00A8449C">
      <w:pPr>
        <w:pStyle w:val="BodyText"/>
        <w:ind w:firstLine="0"/>
        <w:rPr>
          <w:lang w:eastAsia="ja-JP"/>
        </w:rPr>
      </w:pPr>
      <w:r>
        <w:rPr>
          <w:lang w:eastAsia="ja-JP"/>
        </w:rPr>
        <w:tab/>
        <w:t>By inducing unnecessary consumption of new products and generating unnecessary waste, planned obsolescence causes environmental harm. While the existence of cell phones may be socially valuable, the incessant versioning of new cell phones with trivially different features</w:t>
      </w:r>
      <w:r w:rsidR="0062581C">
        <w:rPr>
          <w:lang w:eastAsia="ja-JP"/>
        </w:rPr>
        <w:t xml:space="preserve"> is likely </w:t>
      </w:r>
      <w:r w:rsidR="00EB2957">
        <w:rPr>
          <w:lang w:eastAsia="ja-JP"/>
        </w:rPr>
        <w:t xml:space="preserve">not </w:t>
      </w:r>
      <w:r w:rsidR="0062581C">
        <w:rPr>
          <w:lang w:eastAsia="ja-JP"/>
        </w:rPr>
        <w:t xml:space="preserve">justified </w:t>
      </w:r>
      <w:proofErr w:type="gramStart"/>
      <w:r w:rsidR="0062581C">
        <w:rPr>
          <w:lang w:eastAsia="ja-JP"/>
        </w:rPr>
        <w:t>in light of</w:t>
      </w:r>
      <w:proofErr w:type="gramEnd"/>
      <w:r w:rsidR="0062581C">
        <w:rPr>
          <w:lang w:eastAsia="ja-JP"/>
        </w:rPr>
        <w:t xml:space="preserve"> the substantial ecological cost. Many otherwise durable goods, from digital technologies to fast fashion, likely generate net negative social </w:t>
      </w:r>
      <w:r w:rsidR="00955102">
        <w:rPr>
          <w:lang w:eastAsia="ja-JP"/>
        </w:rPr>
        <w:t>value</w:t>
      </w:r>
      <w:r w:rsidR="0062581C">
        <w:rPr>
          <w:lang w:eastAsia="ja-JP"/>
        </w:rPr>
        <w:t>.</w:t>
      </w:r>
      <w:r w:rsidR="0062581C">
        <w:rPr>
          <w:rStyle w:val="FootnoteReference"/>
          <w:lang w:eastAsia="ja-JP"/>
        </w:rPr>
        <w:footnoteReference w:id="189"/>
      </w:r>
    </w:p>
    <w:p w14:paraId="714CB90F" w14:textId="77777777" w:rsidR="00587C7B" w:rsidRDefault="00587C7B" w:rsidP="00A8449C">
      <w:pPr>
        <w:pStyle w:val="BodyText"/>
        <w:ind w:firstLine="0"/>
        <w:rPr>
          <w:lang w:eastAsia="ja-JP"/>
        </w:rPr>
      </w:pPr>
    </w:p>
    <w:p w14:paraId="7A60BBF8" w14:textId="08ABF136" w:rsidR="00587C7B" w:rsidRPr="00340B72" w:rsidRDefault="00587C7B" w:rsidP="00340B72">
      <w:pPr>
        <w:pStyle w:val="Heading3"/>
        <w:rPr>
          <w:rStyle w:val="Heading3Char"/>
          <w:rFonts w:ascii="Garamond" w:hAnsi="Garamond"/>
          <w:i/>
          <w:sz w:val="24"/>
        </w:rPr>
      </w:pPr>
      <w:bookmarkStart w:id="67" w:name="_Toc126854782"/>
      <w:r w:rsidRPr="007C4369">
        <w:rPr>
          <w:rStyle w:val="Heading3Char"/>
          <w:rFonts w:ascii="Garamond" w:hAnsi="Garamond"/>
          <w:i/>
          <w:sz w:val="24"/>
        </w:rPr>
        <w:t>Competition Harms</w:t>
      </w:r>
      <w:bookmarkEnd w:id="67"/>
    </w:p>
    <w:p w14:paraId="387D2E30" w14:textId="77777777" w:rsidR="002B38B5" w:rsidRDefault="002B38B5" w:rsidP="00A8449C">
      <w:pPr>
        <w:pStyle w:val="BodyText"/>
        <w:ind w:firstLine="0"/>
        <w:rPr>
          <w:lang w:eastAsia="ja-JP"/>
        </w:rPr>
      </w:pPr>
    </w:p>
    <w:p w14:paraId="0E8F0D89" w14:textId="0FB86E56" w:rsidR="009F6315" w:rsidRDefault="003B3C3D" w:rsidP="003B3C3D">
      <w:pPr>
        <w:pStyle w:val="BodyText"/>
        <w:ind w:firstLine="720"/>
        <w:rPr>
          <w:lang w:eastAsia="ja-JP"/>
        </w:rPr>
      </w:pPr>
      <w:r>
        <w:rPr>
          <w:lang w:eastAsia="ja-JP"/>
        </w:rPr>
        <w:t xml:space="preserve">Some innovations are designed to harm the competitive process itself. Many innovations, of course, are created to give the inventor a competitive advantage. </w:t>
      </w:r>
      <w:r w:rsidR="001B228A">
        <w:rPr>
          <w:lang w:eastAsia="ja-JP"/>
        </w:rPr>
        <w:t>W</w:t>
      </w:r>
      <w:r w:rsidR="009F6315">
        <w:rPr>
          <w:lang w:eastAsia="ja-JP"/>
        </w:rPr>
        <w:t>hen</w:t>
      </w:r>
      <w:r>
        <w:rPr>
          <w:lang w:eastAsia="ja-JP"/>
        </w:rPr>
        <w:t xml:space="preserve"> </w:t>
      </w:r>
      <w:r w:rsidR="001B228A">
        <w:rPr>
          <w:lang w:eastAsia="ja-JP"/>
        </w:rPr>
        <w:t xml:space="preserve">superior </w:t>
      </w:r>
      <w:r>
        <w:rPr>
          <w:lang w:eastAsia="ja-JP"/>
        </w:rPr>
        <w:t>new products or processes harm competitors but benefit consumers</w:t>
      </w:r>
      <w:r w:rsidR="001B228A">
        <w:rPr>
          <w:lang w:eastAsia="ja-JP"/>
        </w:rPr>
        <w:t>, that is typically a sign of healthy competition</w:t>
      </w:r>
      <w:r>
        <w:rPr>
          <w:lang w:eastAsia="ja-JP"/>
        </w:rPr>
        <w:t>. The Google search engine, for example, resulted in the quick demise of lesser search companies like AltaVista and Ask Jeeves.</w:t>
      </w:r>
      <w:r w:rsidR="00E16085">
        <w:rPr>
          <w:rStyle w:val="FootnoteReference"/>
          <w:lang w:eastAsia="ja-JP"/>
        </w:rPr>
        <w:footnoteReference w:id="190"/>
      </w:r>
      <w:r>
        <w:rPr>
          <w:lang w:eastAsia="ja-JP"/>
        </w:rPr>
        <w:t xml:space="preserve"> But Internet users were better off.</w:t>
      </w:r>
      <w:r w:rsidR="009F6315">
        <w:rPr>
          <w:lang w:eastAsia="ja-JP"/>
        </w:rPr>
        <w:t xml:space="preserve"> The economist Joseph Schumpeter referred to this as “creative destruction.”</w:t>
      </w:r>
      <w:r w:rsidR="009F6315">
        <w:rPr>
          <w:rStyle w:val="FootnoteReference"/>
          <w:lang w:eastAsia="ja-JP"/>
        </w:rPr>
        <w:footnoteReference w:id="191"/>
      </w:r>
      <w:r>
        <w:rPr>
          <w:lang w:eastAsia="ja-JP"/>
        </w:rPr>
        <w:t xml:space="preserve"> In some cases, though, innovations are employed to harm competitors in ways that do not make consumers better off. </w:t>
      </w:r>
    </w:p>
    <w:p w14:paraId="1B5E2426" w14:textId="26826F41" w:rsidR="003B3C3D" w:rsidRDefault="003B3C3D" w:rsidP="003B3C3D">
      <w:pPr>
        <w:pStyle w:val="BodyText"/>
        <w:ind w:firstLine="720"/>
        <w:rPr>
          <w:lang w:eastAsia="ja-JP"/>
        </w:rPr>
      </w:pPr>
      <w:r>
        <w:rPr>
          <w:lang w:eastAsia="ja-JP"/>
        </w:rPr>
        <w:t>Predatory pricing algorithms are an example</w:t>
      </w:r>
      <w:r w:rsidR="009F6315">
        <w:rPr>
          <w:lang w:eastAsia="ja-JP"/>
        </w:rPr>
        <w:t xml:space="preserve"> of anticompetitive antisocial innovation</w:t>
      </w:r>
      <w:r>
        <w:rPr>
          <w:lang w:eastAsia="ja-JP"/>
        </w:rPr>
        <w:t xml:space="preserve">. Lina Khan has argued that Amazon has used its sophisticated pricing algorithm to selectively undercut the prices of rivals selling on the Amazon marketplace </w:t>
      </w:r>
      <w:proofErr w:type="gramStart"/>
      <w:r>
        <w:rPr>
          <w:lang w:eastAsia="ja-JP"/>
        </w:rPr>
        <w:t>in an effort to</w:t>
      </w:r>
      <w:proofErr w:type="gramEnd"/>
      <w:r>
        <w:rPr>
          <w:lang w:eastAsia="ja-JP"/>
        </w:rPr>
        <w:t xml:space="preserve"> eliminate or co-opt competitors.</w:t>
      </w:r>
      <w:r>
        <w:rPr>
          <w:rStyle w:val="FootnoteReference"/>
          <w:lang w:eastAsia="ja-JP"/>
        </w:rPr>
        <w:footnoteReference w:id="192"/>
      </w:r>
      <w:r>
        <w:rPr>
          <w:lang w:eastAsia="ja-JP"/>
        </w:rPr>
        <w:t xml:space="preserve"> But the </w:t>
      </w:r>
      <w:r>
        <w:rPr>
          <w:lang w:eastAsia="ja-JP"/>
        </w:rPr>
        <w:lastRenderedPageBreak/>
        <w:t>threat of algorithmic predatory pricing is broader than Amazon. Indeed, Christopher Leslie has shown how pricing algorithms facilitate predatory pricing more generally.</w:t>
      </w:r>
      <w:r>
        <w:rPr>
          <w:rStyle w:val="FootnoteReference"/>
          <w:lang w:eastAsia="ja-JP"/>
        </w:rPr>
        <w:footnoteReference w:id="193"/>
      </w:r>
      <w:r w:rsidR="00D32701">
        <w:rPr>
          <w:lang w:eastAsia="ja-JP"/>
        </w:rPr>
        <w:t xml:space="preserve"> In particular, a</w:t>
      </w:r>
      <w:r w:rsidR="0053669C">
        <w:rPr>
          <w:lang w:eastAsia="ja-JP"/>
        </w:rPr>
        <w:t xml:space="preserve">rtificial intelligence can make price wars easier to win by allowing </w:t>
      </w:r>
      <w:r w:rsidR="006307E7">
        <w:rPr>
          <w:lang w:eastAsia="ja-JP"/>
        </w:rPr>
        <w:t xml:space="preserve">predatory </w:t>
      </w:r>
      <w:r w:rsidR="0053669C">
        <w:rPr>
          <w:lang w:eastAsia="ja-JP"/>
        </w:rPr>
        <w:t>firms to target their rivals</w:t>
      </w:r>
      <w:r w:rsidR="00D67B63">
        <w:rPr>
          <w:lang w:eastAsia="ja-JP"/>
        </w:rPr>
        <w:t>’</w:t>
      </w:r>
      <w:r w:rsidR="0053669C">
        <w:rPr>
          <w:lang w:eastAsia="ja-JP"/>
        </w:rPr>
        <w:t xml:space="preserve"> customers for </w:t>
      </w:r>
      <w:r w:rsidR="00D67B63">
        <w:rPr>
          <w:lang w:eastAsia="ja-JP"/>
        </w:rPr>
        <w:t xml:space="preserve">exclusionary </w:t>
      </w:r>
      <w:r w:rsidR="0053669C">
        <w:rPr>
          <w:lang w:eastAsia="ja-JP"/>
        </w:rPr>
        <w:t xml:space="preserve">below-cost pricing while continuing to </w:t>
      </w:r>
      <w:r w:rsidR="007338F4">
        <w:rPr>
          <w:lang w:eastAsia="ja-JP"/>
        </w:rPr>
        <w:t>profit off their own loyal customers.</w:t>
      </w:r>
      <w:r w:rsidR="00D76359">
        <w:rPr>
          <w:rStyle w:val="FootnoteReference"/>
          <w:lang w:eastAsia="ja-JP"/>
        </w:rPr>
        <w:footnoteReference w:id="194"/>
      </w:r>
      <w:r>
        <w:rPr>
          <w:lang w:eastAsia="ja-JP"/>
        </w:rPr>
        <w:t xml:space="preserve"> </w:t>
      </w:r>
      <w:r w:rsidR="006307E7">
        <w:rPr>
          <w:lang w:eastAsia="ja-JP"/>
        </w:rPr>
        <w:t>This type of a</w:t>
      </w:r>
      <w:r>
        <w:rPr>
          <w:lang w:eastAsia="ja-JP"/>
        </w:rPr>
        <w:t>lgorithmic predatory pricing will harm competition and ultimately make consumers worse off.</w:t>
      </w:r>
    </w:p>
    <w:p w14:paraId="059D78AF" w14:textId="1AD87530" w:rsidR="003B3C3D" w:rsidRDefault="003B3C3D" w:rsidP="003B3C3D">
      <w:pPr>
        <w:pStyle w:val="BodyText"/>
        <w:ind w:firstLine="720"/>
      </w:pPr>
      <w:r>
        <w:rPr>
          <w:lang w:eastAsia="ja-JP"/>
        </w:rPr>
        <w:t xml:space="preserve">In other instances, firms with market power alter their products to damage rivals. One setting where this occurs is when a firm produces a monopoly product that interconnects with complementary products. If the dominant firm also produces the complements in competition with third-party rivals, it might decide to alter its monopoly product to make it incompatible with competing downstream products. This was the allegation in </w:t>
      </w:r>
      <w:r w:rsidRPr="00E32F9F">
        <w:rPr>
          <w:i/>
          <w:iCs/>
        </w:rPr>
        <w:t>C.R. Bard, Inc. v. M3 Systems</w:t>
      </w:r>
      <w:r w:rsidRPr="007C4369">
        <w:t>.</w:t>
      </w:r>
      <w:r w:rsidR="00CA3A87" w:rsidRPr="007C4369">
        <w:rPr>
          <w:rStyle w:val="FootnoteReference"/>
        </w:rPr>
        <w:footnoteReference w:id="195"/>
      </w:r>
      <w:r>
        <w:rPr>
          <w:i/>
          <w:iCs/>
        </w:rPr>
        <w:t xml:space="preserve"> </w:t>
      </w:r>
      <w:r>
        <w:t>Bard manufactured biopsy guns for taking tissue samples.</w:t>
      </w:r>
      <w:r w:rsidR="0063631B">
        <w:rPr>
          <w:rStyle w:val="FootnoteReference"/>
        </w:rPr>
        <w:footnoteReference w:id="196"/>
      </w:r>
      <w:r>
        <w:t xml:space="preserve"> The guns require needles, which both Bard and third-party firms produced.</w:t>
      </w:r>
      <w:r w:rsidR="0063631B">
        <w:rPr>
          <w:rStyle w:val="FootnoteReference"/>
        </w:rPr>
        <w:footnoteReference w:id="197"/>
      </w:r>
      <w:r>
        <w:t xml:space="preserve"> Bard redesigned its guns so that they no longer were compatible with third-party needles.</w:t>
      </w:r>
      <w:r w:rsidR="00266300">
        <w:rPr>
          <w:rStyle w:val="FootnoteReference"/>
        </w:rPr>
        <w:footnoteReference w:id="198"/>
      </w:r>
      <w:r>
        <w:t xml:space="preserve"> The evidence showed that the redesigned guns were no more effective than the older model.</w:t>
      </w:r>
      <w:r w:rsidR="00266300">
        <w:rPr>
          <w:rStyle w:val="FootnoteReference"/>
        </w:rPr>
        <w:footnoteReference w:id="199"/>
      </w:r>
      <w:r>
        <w:t xml:space="preserve"> The design change</w:t>
      </w:r>
      <w:r w:rsidR="009F6315">
        <w:t>—i.e., the innovation—</w:t>
      </w:r>
      <w:r>
        <w:t>was intended only to exclude Bard’s rivals.</w:t>
      </w:r>
      <w:r w:rsidR="00266300">
        <w:rPr>
          <w:rStyle w:val="FootnoteReference"/>
        </w:rPr>
        <w:footnoteReference w:id="200"/>
      </w:r>
      <w:r>
        <w:t xml:space="preserve"> </w:t>
      </w:r>
    </w:p>
    <w:p w14:paraId="73879F47" w14:textId="4824A8ED" w:rsidR="003B3C3D" w:rsidRDefault="003B3C3D" w:rsidP="003B3C3D">
      <w:pPr>
        <w:pStyle w:val="BodyText"/>
        <w:ind w:firstLine="720"/>
      </w:pPr>
      <w:r>
        <w:t>Altering products to harm competition is a common strategy in the pharmaceutical sector</w:t>
      </w:r>
      <w:r w:rsidR="007E552F">
        <w:t xml:space="preserve"> too</w:t>
      </w:r>
      <w:r>
        <w:t>. Firms with successful drugs whose patents are near expiration will sometimes modify the drugs in minor ways to extend their patent rights and exclude generic rivals poised to enter the market.</w:t>
      </w:r>
      <w:bookmarkStart w:id="68" w:name="_Ref126698942"/>
      <w:r w:rsidR="00192380">
        <w:rPr>
          <w:rStyle w:val="FootnoteReference"/>
        </w:rPr>
        <w:footnoteReference w:id="201"/>
      </w:r>
      <w:bookmarkEnd w:id="68"/>
      <w:r>
        <w:t xml:space="preserve"> For example, a drug maker might change the form of its drug, say from a tablet to a capsule, or alter the number of doses required by changing from </w:t>
      </w:r>
      <w:r w:rsidR="008275BA">
        <w:t xml:space="preserve">an </w:t>
      </w:r>
      <w:r>
        <w:t>immediate release</w:t>
      </w:r>
      <w:r w:rsidR="008275BA">
        <w:t xml:space="preserve"> </w:t>
      </w:r>
      <w:r>
        <w:t xml:space="preserve">to </w:t>
      </w:r>
      <w:r w:rsidR="008275BA">
        <w:t xml:space="preserve">an </w:t>
      </w:r>
      <w:r>
        <w:t>extended release</w:t>
      </w:r>
      <w:r w:rsidR="009A1F27">
        <w:t xml:space="preserve"> formulation</w:t>
      </w:r>
      <w:r>
        <w:t>.</w:t>
      </w:r>
      <w:r w:rsidR="009A1F27">
        <w:rPr>
          <w:rStyle w:val="FootnoteReference"/>
        </w:rPr>
        <w:footnoteReference w:id="202"/>
      </w:r>
      <w:r>
        <w:t xml:space="preserve"> These changes might offer no (or limited) real benefits to consumers, but the manufacturer is able to secure a patent on the new formulation and extend its ability to charge monopoly </w:t>
      </w:r>
      <w:r>
        <w:lastRenderedPageBreak/>
        <w:t xml:space="preserve">prices for the drug. This strategy, termed “product hopping,” has faced antitrust scrutiny in </w:t>
      </w:r>
      <w:proofErr w:type="gramStart"/>
      <w:r>
        <w:t>a number of</w:t>
      </w:r>
      <w:proofErr w:type="gramEnd"/>
      <w:r>
        <w:t xml:space="preserve"> cases.</w:t>
      </w:r>
      <w:r w:rsidR="008275BA">
        <w:rPr>
          <w:rStyle w:val="FootnoteReference"/>
        </w:rPr>
        <w:footnoteReference w:id="203"/>
      </w:r>
      <w:r>
        <w:t xml:space="preserve"> </w:t>
      </w:r>
    </w:p>
    <w:p w14:paraId="6899EDDA" w14:textId="12325864" w:rsidR="001E7D78" w:rsidRDefault="003B3C3D" w:rsidP="003B3C3D">
      <w:pPr>
        <w:pStyle w:val="BodyText"/>
        <w:ind w:firstLine="720"/>
        <w:rPr>
          <w:lang w:eastAsia="ja-JP"/>
        </w:rPr>
      </w:pPr>
      <w:r>
        <w:t>In each of these scenarios, firms create products that, while new, offer little or nothing in the way of consumer benefits. Instead, these innovations serve primarily to exclude competitors, ultimately making consumers worse off. One might argue that these types of product changes are not innovation at all. But, as we discuss below, antitrust law tends to treat any change to a product, unless it is clearly not an improvement, as an innovation requiring immunity from liability.</w:t>
      </w:r>
    </w:p>
    <w:p w14:paraId="192821D2" w14:textId="0BA2450C" w:rsidR="001E7D78" w:rsidRDefault="001E7D78" w:rsidP="003B3C3D">
      <w:pPr>
        <w:pStyle w:val="BodyText"/>
        <w:ind w:firstLine="720"/>
        <w:rPr>
          <w:lang w:eastAsia="ja-JP"/>
        </w:rPr>
      </w:pPr>
    </w:p>
    <w:p w14:paraId="72CFA54D" w14:textId="19508A5E" w:rsidR="001E7D78" w:rsidRPr="006F69DD" w:rsidRDefault="001E7D78" w:rsidP="00CD7DE1">
      <w:pPr>
        <w:pStyle w:val="Heading3"/>
        <w:rPr>
          <w:i w:val="0"/>
          <w:iCs/>
        </w:rPr>
      </w:pPr>
      <w:bookmarkStart w:id="69" w:name="_Toc126854783"/>
      <w:r w:rsidRPr="006F69DD">
        <w:rPr>
          <w:rStyle w:val="Heading3Char"/>
          <w:rFonts w:ascii="Garamond" w:hAnsi="Garamond"/>
          <w:i/>
          <w:iCs/>
          <w:sz w:val="24"/>
        </w:rPr>
        <w:t>Labor Harms</w:t>
      </w:r>
      <w:bookmarkEnd w:id="69"/>
      <w:r w:rsidRPr="006F69DD">
        <w:rPr>
          <w:i w:val="0"/>
          <w:iCs/>
        </w:rPr>
        <w:t xml:space="preserve"> </w:t>
      </w:r>
    </w:p>
    <w:p w14:paraId="4AF589E1" w14:textId="77777777" w:rsidR="002B38B5" w:rsidRPr="00CD7DE1" w:rsidRDefault="002B38B5" w:rsidP="001E7D78"/>
    <w:p w14:paraId="23056D9D" w14:textId="3EB93196" w:rsidR="001E7D78" w:rsidRDefault="001E7D78" w:rsidP="001E7D78">
      <w:pPr>
        <w:ind w:firstLine="720"/>
      </w:pPr>
      <w:r>
        <w:t>People have long worried that innovations may be harmful to labor. At least since the Industrial Revolution, people have been anxious about technology’s impact on workers—that they would be displaced by machines or, perhaps worse, turned into them.</w:t>
      </w:r>
      <w:r>
        <w:rPr>
          <w:rStyle w:val="FootnoteReference"/>
        </w:rPr>
        <w:footnoteReference w:id="204"/>
      </w:r>
      <w:r>
        <w:t xml:space="preserve"> While most scholars believe that productivity gains from innovation outweigh the costs to workers in the long run, some recent research has been less sanguine.</w:t>
      </w:r>
      <w:r>
        <w:rPr>
          <w:rStyle w:val="FootnoteReference"/>
        </w:rPr>
        <w:footnoteReference w:id="205"/>
      </w:r>
      <w:r>
        <w:t xml:space="preserve"> Artificial intelligence innovations may be displacing workers and harming wages at higher rates than in previous eras.</w:t>
      </w:r>
      <w:r w:rsidR="00827C4D">
        <w:rPr>
          <w:rStyle w:val="FootnoteReference"/>
        </w:rPr>
        <w:footnoteReference w:id="206"/>
      </w:r>
      <w:r>
        <w:t xml:space="preserve"> In addition, new developments in worker surveillance are threatening workers’ health, privacy, and well-being.</w:t>
      </w:r>
      <w:r w:rsidR="008163AA">
        <w:rPr>
          <w:rStyle w:val="FootnoteReference"/>
        </w:rPr>
        <w:footnoteReference w:id="207"/>
      </w:r>
      <w:r>
        <w:t xml:space="preserve"> </w:t>
      </w:r>
    </w:p>
    <w:p w14:paraId="224AF694" w14:textId="782F2C89" w:rsidR="001E7D78" w:rsidRDefault="001E7D78" w:rsidP="001E7D78">
      <w:pPr>
        <w:ind w:firstLine="720"/>
      </w:pPr>
      <w:r>
        <w:t>It's natural for innovation to make some jobs obsolete. The widespread adoption of automobiles had a devastating effect on buggy whip manufacturers.</w:t>
      </w:r>
      <w:r w:rsidR="003C6DA4">
        <w:rPr>
          <w:rStyle w:val="FootnoteReference"/>
        </w:rPr>
        <w:footnoteReference w:id="208"/>
      </w:r>
      <w:r>
        <w:t xml:space="preserve"> And while fewer people are needed to build a car than in the 1960s, the social benefits from productivity have historically been valuable.</w:t>
      </w:r>
      <w:r>
        <w:rPr>
          <w:rStyle w:val="FootnoteReference"/>
        </w:rPr>
        <w:footnoteReference w:id="209"/>
      </w:r>
      <w:r>
        <w:t xml:space="preserve"> As more humans get replaced by robots, however, displacement effects may exceed productivity gains. Recent research shows that increased use of robots, especially in manufacturing fields, significantly depressed both wages and employment.</w:t>
      </w:r>
      <w:r>
        <w:rPr>
          <w:rStyle w:val="FootnoteReference"/>
        </w:rPr>
        <w:footnoteReference w:id="210"/>
      </w:r>
      <w:r>
        <w:t xml:space="preserve"> Economists now worry that the potential productivity gains from automation may not be strong enough to outweigh losses to labor. Darren </w:t>
      </w:r>
      <w:r>
        <w:lastRenderedPageBreak/>
        <w:t>Acemoglu and Pascaul Restrepo have recently warned of the possibility of “excessive automation” where “automation could reduce GDP and welfare.”</w:t>
      </w:r>
      <w:r>
        <w:rPr>
          <w:rStyle w:val="FootnoteReference"/>
        </w:rPr>
        <w:footnoteReference w:id="211"/>
      </w:r>
    </w:p>
    <w:p w14:paraId="30E25DBD" w14:textId="278969C2" w:rsidR="001E7D78" w:rsidRDefault="001E7D78" w:rsidP="001E7D78">
      <w:pPr>
        <w:ind w:firstLine="720"/>
      </w:pPr>
      <w:r>
        <w:t>Innovation also has the potential to benefit a firm while harming that firm’s employees. Surveillance technology is a salient example of an invention that has benefitted companies at the expense of labor.</w:t>
      </w:r>
      <w:bookmarkStart w:id="70" w:name="_Ref126792197"/>
      <w:r>
        <w:rPr>
          <w:rStyle w:val="FootnoteReference"/>
        </w:rPr>
        <w:footnoteReference w:id="212"/>
      </w:r>
      <w:bookmarkEnd w:id="70"/>
      <w:r>
        <w:t xml:space="preserve"> The desire of employers to supervise their employees through intense monitoring is certainly not new.</w:t>
      </w:r>
      <w:bookmarkStart w:id="71" w:name="_Ref126792644"/>
      <w:r>
        <w:rPr>
          <w:rStyle w:val="FootnoteReference"/>
        </w:rPr>
        <w:footnoteReference w:id="213"/>
      </w:r>
      <w:bookmarkEnd w:id="71"/>
      <w:r>
        <w:t xml:space="preserve"> </w:t>
      </w:r>
      <w:r w:rsidR="008163AA">
        <w:t>But f</w:t>
      </w:r>
      <w:r>
        <w:t>irms have a newfound capability to conduct surveillance for longer durations and with a more expansive scope.</w:t>
      </w:r>
      <w:r>
        <w:rPr>
          <w:rStyle w:val="FootnoteReference"/>
        </w:rPr>
        <w:footnoteReference w:id="214"/>
      </w:r>
      <w:r>
        <w:t xml:space="preserve"> And surveillance is becoming more intrusive as boundaries between work and home blur.</w:t>
      </w:r>
      <w:bookmarkStart w:id="72" w:name="_Ref126792252"/>
      <w:r>
        <w:rPr>
          <w:rStyle w:val="FootnoteReference"/>
        </w:rPr>
        <w:footnoteReference w:id="215"/>
      </w:r>
      <w:bookmarkEnd w:id="72"/>
      <w:r>
        <w:t xml:space="preserve"> These developments raise concerns for employee privacy, autonomy, and safety. </w:t>
      </w:r>
    </w:p>
    <w:p w14:paraId="7732EA8E" w14:textId="77777777" w:rsidR="001E7D78" w:rsidRDefault="001E7D78" w:rsidP="001E7D78">
      <w:pPr>
        <w:ind w:firstLine="720"/>
      </w:pPr>
      <w:r>
        <w:t>Privacy concerns are a central focus of recent work examining harms stemming from workplace surveillance.</w:t>
      </w:r>
      <w:bookmarkStart w:id="73" w:name="_Ref126792407"/>
      <w:r w:rsidRPr="00626D34">
        <w:rPr>
          <w:rStyle w:val="FootnoteReference"/>
        </w:rPr>
        <w:footnoteReference w:id="216"/>
      </w:r>
      <w:bookmarkEnd w:id="73"/>
      <w:r w:rsidRPr="00626D34">
        <w:t xml:space="preserve"> This is unsurprising since employer surveillance </w:t>
      </w:r>
      <w:r>
        <w:t>has become</w:t>
      </w:r>
      <w:r w:rsidRPr="00626D34">
        <w:t xml:space="preserve"> remarkably commonplace. Survey data has suggested that nearly seventy-percent of employers track employee internet use, almost half log keystrokes, and over forty percent monitor emails.</w:t>
      </w:r>
      <w:r w:rsidRPr="00626D34">
        <w:rPr>
          <w:rStyle w:val="FootnoteReference"/>
        </w:rPr>
        <w:footnoteReference w:id="217"/>
      </w:r>
      <w:r w:rsidRPr="00626D34">
        <w:t xml:space="preserve"> Employee privacy is also jeopardized by the expansive reach of monitoring practices. Electronic applications installed on company devices allow employers to incessantly track employee</w:t>
      </w:r>
      <w:r>
        <w:t xml:space="preserve">s </w:t>
      </w:r>
      <w:r w:rsidRPr="00626D34">
        <w:t>“twenty</w:t>
      </w:r>
      <w:r>
        <w:t>-</w:t>
      </w:r>
      <w:r w:rsidRPr="00626D34">
        <w:t>four hours a day, seven days a week.”</w:t>
      </w:r>
      <w:r w:rsidRPr="00626D34">
        <w:rPr>
          <w:rStyle w:val="FootnoteReference"/>
        </w:rPr>
        <w:footnoteReference w:id="218"/>
      </w:r>
      <w:r>
        <w:t xml:space="preserve"> Even without the technological developments sure to come in the future, privacy at work is already “largely illusory.”</w:t>
      </w:r>
      <w:r>
        <w:rPr>
          <w:rStyle w:val="FootnoteReference"/>
        </w:rPr>
        <w:footnoteReference w:id="219"/>
      </w:r>
      <w:r>
        <w:t xml:space="preserve"> </w:t>
      </w:r>
    </w:p>
    <w:p w14:paraId="775D540D" w14:textId="77777777" w:rsidR="001E7D78" w:rsidRDefault="001E7D78" w:rsidP="001E7D78">
      <w:r>
        <w:lastRenderedPageBreak/>
        <w:tab/>
        <w:t>Companies are coupling monitoring capabilities with other innovations designed to boost productivity. A collaboration between two Japanese companies, Daikin and NEC, has developed a system which monitors the eye movements of employees and lowers the temperature of the employee’s workplace when it suspects the target is becoming drowsy.</w:t>
      </w:r>
      <w:r>
        <w:rPr>
          <w:rStyle w:val="FootnoteReference"/>
        </w:rPr>
        <w:footnoteReference w:id="220"/>
      </w:r>
      <w:r>
        <w:t xml:space="preserve"> EdanSafe, an Australian </w:t>
      </w:r>
      <w:r w:rsidRPr="00787EC4">
        <w:t>company, produces a brain scanning device called the Smart Cap.</w:t>
      </w:r>
      <w:bookmarkStart w:id="74" w:name="_Ref126792607"/>
      <w:r w:rsidRPr="00787EC4">
        <w:rPr>
          <w:rStyle w:val="FootnoteReference"/>
        </w:rPr>
        <w:footnoteReference w:id="221"/>
      </w:r>
      <w:bookmarkEnd w:id="74"/>
      <w:r w:rsidRPr="00787EC4">
        <w:t xml:space="preserve"> Originally developed for the mining industry, the Smart Cap scans the user’s brain to detect indicators of fatigue.</w:t>
      </w:r>
      <w:r w:rsidRPr="00787EC4">
        <w:rPr>
          <w:rStyle w:val="FootnoteReference"/>
        </w:rPr>
        <w:footnoteReference w:id="222"/>
      </w:r>
      <w:r w:rsidRPr="00787EC4">
        <w:t xml:space="preserve"> If the user shows signs of fatigue, audio and visual alarms are activated.</w:t>
      </w:r>
      <w:r w:rsidRPr="00787EC4">
        <w:rPr>
          <w:rStyle w:val="FootnoteReference"/>
        </w:rPr>
        <w:footnoteReference w:id="223"/>
      </w:r>
      <w:r w:rsidRPr="00787EC4">
        <w:t xml:space="preserve"> Coupled with accompanying software, the Smart Cap also allows employers to “</w:t>
      </w:r>
      <w:r w:rsidRPr="00787EC4">
        <w:rPr>
          <w:shd w:val="clear" w:color="auto" w:fill="FFFFFF"/>
        </w:rPr>
        <w:t>monitor the output and fatigue levels of numerous cap-wearing employees during past shifts.”</w:t>
      </w:r>
      <w:r>
        <w:rPr>
          <w:rStyle w:val="FootnoteReference"/>
          <w:shd w:val="clear" w:color="auto" w:fill="FFFFFF"/>
        </w:rPr>
        <w:footnoteReference w:id="224"/>
      </w:r>
      <w:r>
        <w:rPr>
          <w:shd w:val="clear" w:color="auto" w:fill="FFFFFF"/>
        </w:rPr>
        <w:t xml:space="preserve"> These inventions potentially allow employers to ensure workers are putting in optimal effort, but also risk encouraging employees to overexert themselves to avoid reprimands for slacking off. </w:t>
      </w:r>
    </w:p>
    <w:p w14:paraId="526E6A56" w14:textId="037A2835" w:rsidR="001E7D78" w:rsidRDefault="001E7D78" w:rsidP="001E7D78">
      <w:r>
        <w:tab/>
        <w:t>As companies extract previously private data about their employees using surveillance technologies, they can also employ predictive technologies to make value judgments about those employees.</w:t>
      </w:r>
      <w:r>
        <w:rPr>
          <w:rStyle w:val="FootnoteReference"/>
        </w:rPr>
        <w:footnoteReference w:id="225"/>
      </w:r>
      <w:r>
        <w:t xml:space="preserve"> Microsoft, for instance, possesses a program capable of “analyz[ing] </w:t>
      </w:r>
      <w:r w:rsidRPr="00E0104F">
        <w:t>data from emails, calendars, and other sources</w:t>
      </w:r>
      <w:r>
        <w:t>” to “assess whether [employees] are using their time efficiently.”</w:t>
      </w:r>
      <w:r>
        <w:rPr>
          <w:rStyle w:val="FootnoteReference"/>
        </w:rPr>
        <w:footnoteReference w:id="226"/>
      </w:r>
      <w:r>
        <w:t xml:space="preserve"> Other companies possess more robust predictive capabilities. Sociometric Solutions, which provides its technology to Bank of America among other institutions,</w:t>
      </w:r>
      <w:bookmarkStart w:id="75" w:name="_Ref126792516"/>
      <w:r>
        <w:rPr>
          <w:rStyle w:val="FootnoteReference"/>
        </w:rPr>
        <w:footnoteReference w:id="227"/>
      </w:r>
      <w:bookmarkEnd w:id="75"/>
      <w:r>
        <w:t xml:space="preserve"> makes employee badges that contain “a microphone, location sensor, and accelerometer.”</w:t>
      </w:r>
      <w:r>
        <w:rPr>
          <w:rStyle w:val="FootnoteReference"/>
        </w:rPr>
        <w:footnoteReference w:id="228"/>
      </w:r>
      <w:r>
        <w:t xml:space="preserve"> </w:t>
      </w:r>
      <w:r w:rsidRPr="00C1687E">
        <w:t xml:space="preserve">Sociometric Solutions’ CEO purports that his products allow him to “divine from a worker's patterns of movement </w:t>
      </w:r>
      <w:r w:rsidRPr="00C1687E">
        <w:lastRenderedPageBreak/>
        <w:t>whether that employee is likely to leave the company, or score a promotion.”</w:t>
      </w:r>
      <w:r w:rsidRPr="00C1687E">
        <w:rPr>
          <w:rStyle w:val="FootnoteReference"/>
        </w:rPr>
        <w:footnoteReference w:id="229"/>
      </w:r>
      <w:r w:rsidRPr="00C1687E">
        <w:t xml:space="preserve"> These prospective assessments of employee merit are frequently made with dubious consent or entirely unbeknownst to employees.</w:t>
      </w:r>
      <w:bookmarkStart w:id="76" w:name="_Ref126792702"/>
      <w:r w:rsidRPr="00C1687E">
        <w:rPr>
          <w:rStyle w:val="FootnoteReference"/>
        </w:rPr>
        <w:footnoteReference w:id="230"/>
      </w:r>
      <w:bookmarkEnd w:id="76"/>
    </w:p>
    <w:p w14:paraId="2EE7CF86" w14:textId="1DE16736" w:rsidR="00E5555C" w:rsidRDefault="001E7D78" w:rsidP="001E7D78">
      <w:pPr>
        <w:ind w:firstLine="720"/>
      </w:pPr>
      <w:r>
        <w:t>New monitoring technologies also threaten employee autonomy.</w:t>
      </w:r>
      <w:r>
        <w:rPr>
          <w:rStyle w:val="FootnoteReference"/>
        </w:rPr>
        <w:footnoteReference w:id="231"/>
      </w:r>
      <w:r>
        <w:t xml:space="preserve"> Because of the increasing expanse of potential monitoring, employees risk being fired or treated adversely at work based on conduct that occurs solely outside of the workplace.</w:t>
      </w:r>
      <w:r>
        <w:rPr>
          <w:rStyle w:val="FootnoteReference"/>
        </w:rPr>
        <w:footnoteReference w:id="232"/>
      </w:r>
      <w:r>
        <w:t xml:space="preserve"> </w:t>
      </w:r>
      <w:r w:rsidRPr="001300A1">
        <w:t xml:space="preserve">Employers regularly monitor </w:t>
      </w:r>
      <w:r w:rsidR="001837C8">
        <w:t xml:space="preserve">employees’ </w:t>
      </w:r>
      <w:r w:rsidRPr="001300A1">
        <w:t>social media presence—even when they are not at work.</w:t>
      </w:r>
      <w:r w:rsidRPr="001300A1">
        <w:rPr>
          <w:rStyle w:val="FootnoteReference"/>
        </w:rPr>
        <w:footnoteReference w:id="233"/>
      </w:r>
      <w:r w:rsidRPr="001300A1">
        <w:t xml:space="preserve"> This pervasive monitoring may chill the willingness of employees to engage in speech </w:t>
      </w:r>
      <w:r>
        <w:t>outside of work hours and even lead employers to punish workers for what they say off the clock.</w:t>
      </w:r>
      <w:r>
        <w:rPr>
          <w:rStyle w:val="FootnoteReference"/>
        </w:rPr>
        <w:footnoteReference w:id="234"/>
      </w:r>
      <w:r>
        <w:t xml:space="preserve"> The unflinching pursuit of efficiency has also led firms to deploy technologies that reduce the amount of time workers spend taking breaks.</w:t>
      </w:r>
      <w:r>
        <w:rPr>
          <w:rStyle w:val="FootnoteReference"/>
        </w:rPr>
        <w:footnoteReference w:id="235"/>
      </w:r>
      <w:r>
        <w:t xml:space="preserve"> One startup has accordingly developed a toilet that is painful to sit on for more than five minutes in hopes that “</w:t>
      </w:r>
      <w:r w:rsidRPr="009C7846">
        <w:t>the uncomfortable seat will discourage employees from using social media while in the bathroom.</w:t>
      </w:r>
      <w:r>
        <w:t>”</w:t>
      </w:r>
      <w:r>
        <w:rPr>
          <w:rStyle w:val="FootnoteReference"/>
        </w:rPr>
        <w:footnoteReference w:id="236"/>
      </w:r>
    </w:p>
    <w:p w14:paraId="70F24992" w14:textId="2725EA6F" w:rsidR="001E7D78" w:rsidRDefault="00E5555C" w:rsidP="00E5555C">
      <w:pPr>
        <w:ind w:firstLine="720"/>
      </w:pPr>
      <w:r>
        <w:t>These monitoring efforts are typically justified as efforts to increase output by enhancing productivity or to promote efficiency.</w:t>
      </w:r>
      <w:r>
        <w:rPr>
          <w:rStyle w:val="FootnoteReference"/>
        </w:rPr>
        <w:footnoteReference w:id="237"/>
      </w:r>
      <w:r>
        <w:t xml:space="preserve"> But these prospective benefits are not costless. Efficiency seeking has the potential to generate labor harms that are commensurate with or exceed the benefits to </w:t>
      </w:r>
      <w:r>
        <w:lastRenderedPageBreak/>
        <w:t>firms.</w:t>
      </w:r>
      <w:r>
        <w:rPr>
          <w:rStyle w:val="FootnoteReference"/>
        </w:rPr>
        <w:footnoteReference w:id="238"/>
      </w:r>
      <w:r>
        <w:t xml:space="preserve"> And in some cases, the private gain an invention purportedly seeks to generate may not be actualized.</w:t>
      </w:r>
      <w:r>
        <w:rPr>
          <w:rStyle w:val="FootnoteReference"/>
        </w:rPr>
        <w:t xml:space="preserve"> </w:t>
      </w:r>
      <w:r>
        <w:t xml:space="preserve">Accordingly, many inventions designed to allow firms to monitor employees deserve </w:t>
      </w:r>
      <w:proofErr w:type="gramStart"/>
      <w:r>
        <w:t>particular scrutiny</w:t>
      </w:r>
      <w:proofErr w:type="gramEnd"/>
      <w:r>
        <w:t xml:space="preserve"> and may ultimately fall into Box One.</w:t>
      </w:r>
      <w:r w:rsidR="001E7D78">
        <w:t xml:space="preserve"> </w:t>
      </w:r>
    </w:p>
    <w:p w14:paraId="19FD4833" w14:textId="38FF7875" w:rsidR="001E7D78" w:rsidRDefault="001E7D78" w:rsidP="001E7D78">
      <w:pPr>
        <w:ind w:firstLine="720"/>
      </w:pPr>
      <w:r>
        <w:t>Introducing new technology to the workplace also has the potential to physically harm workers. Some risks are relatively minor, like nausea or eye strain.</w:t>
      </w:r>
      <w:r>
        <w:rPr>
          <w:rStyle w:val="FootnoteReference"/>
        </w:rPr>
        <w:footnoteReference w:id="239"/>
      </w:r>
      <w:r>
        <w:t xml:space="preserve">  Other workplaces subject workers to more concerning risks. Amazon, notorious both for its emphasis on innovation and penchant for monitoring workers</w:t>
      </w:r>
      <w:r w:rsidR="001127E2">
        <w:t>,</w:t>
      </w:r>
      <w:r>
        <w:rPr>
          <w:rStyle w:val="FootnoteReference"/>
        </w:rPr>
        <w:footnoteReference w:id="240"/>
      </w:r>
      <w:r>
        <w:t xml:space="preserve"> provides a particularly poignant example. Amazon employees are more likely to be injured on the job than lumberjacks or coal miners.</w:t>
      </w:r>
      <w:r>
        <w:rPr>
          <w:rStyle w:val="FootnoteReference"/>
        </w:rPr>
        <w:footnoteReference w:id="241"/>
      </w:r>
    </w:p>
    <w:p w14:paraId="6A68F3F7" w14:textId="57642D8F" w:rsidR="00161574" w:rsidRDefault="00161574" w:rsidP="00A8449C">
      <w:pPr>
        <w:pStyle w:val="BodyText"/>
        <w:ind w:firstLine="0"/>
        <w:rPr>
          <w:lang w:eastAsia="ja-JP"/>
        </w:rPr>
      </w:pPr>
    </w:p>
    <w:p w14:paraId="3CABD4E4" w14:textId="71E0F183" w:rsidR="00CD7DE1" w:rsidRDefault="00CD7DE1">
      <w:pPr>
        <w:pStyle w:val="Heading3"/>
      </w:pPr>
      <w:bookmarkStart w:id="77" w:name="_Toc126854784"/>
      <w:r>
        <w:t>Privacy Harms</w:t>
      </w:r>
      <w:bookmarkEnd w:id="77"/>
    </w:p>
    <w:p w14:paraId="5D9E353C" w14:textId="1AF1366B" w:rsidR="00CD7DE1" w:rsidRDefault="00CD7DE1" w:rsidP="00CD7DE1">
      <w:pPr>
        <w:pStyle w:val="BodyText"/>
        <w:rPr>
          <w:lang w:eastAsia="ja-JP"/>
        </w:rPr>
      </w:pPr>
    </w:p>
    <w:p w14:paraId="2777946E" w14:textId="07E02720" w:rsidR="00CD7DE1" w:rsidRDefault="00CD7DE1" w:rsidP="00CD7DE1">
      <w:pPr>
        <w:ind w:firstLine="720"/>
      </w:pPr>
      <w:r w:rsidRPr="003E217D">
        <w:t>Innovation is also to blame for a society-wide loss of privacy in the past few decades. Advances in technology have made it possible for platform companies to compile huge stores of consumer data, which they sell to advertisers and other third-parties.</w:t>
      </w:r>
      <w:r w:rsidR="0085739A">
        <w:rPr>
          <w:rStyle w:val="FootnoteReference"/>
        </w:rPr>
        <w:footnoteReference w:id="242"/>
      </w:r>
      <w:r w:rsidRPr="003E217D">
        <w:t xml:space="preserve"> Phones and smart watches track users’ whereabouts, and this location information is leveraged for ads or sold to other interested parties.</w:t>
      </w:r>
      <w:r w:rsidR="0085739A">
        <w:rPr>
          <w:rStyle w:val="FootnoteReference"/>
        </w:rPr>
        <w:footnoteReference w:id="243"/>
      </w:r>
      <w:r w:rsidRPr="003E217D">
        <w:t xml:space="preserve"> Facial recognition software is weaponized not just by law enforcement, but by private companies</w:t>
      </w:r>
      <w:r>
        <w:t>,</w:t>
      </w:r>
      <w:r w:rsidRPr="003E217D">
        <w:t xml:space="preserve"> too.</w:t>
      </w:r>
      <w:r w:rsidR="0085739A">
        <w:rPr>
          <w:rStyle w:val="FootnoteReference"/>
        </w:rPr>
        <w:footnoteReference w:id="244"/>
      </w:r>
      <w:r w:rsidRPr="003E217D">
        <w:t xml:space="preserve"> Our financial histories, our addresses, our buying and reading habits, all are available for purchase in the Internet age.</w:t>
      </w:r>
      <w:r w:rsidR="004F259A">
        <w:rPr>
          <w:rStyle w:val="FootnoteReference"/>
        </w:rPr>
        <w:footnoteReference w:id="245"/>
      </w:r>
      <w:r w:rsidRPr="003E217D">
        <w:t xml:space="preserve"> Even our children’s names, ages, and Internet habits can be </w:t>
      </w:r>
      <w:r w:rsidRPr="003E217D">
        <w:lastRenderedPageBreak/>
        <w:t>discovered, and strangers can contact and converse with them over social media.</w:t>
      </w:r>
      <w:r w:rsidR="004F259A">
        <w:rPr>
          <w:rStyle w:val="FootnoteReference"/>
        </w:rPr>
        <w:footnoteReference w:id="246"/>
      </w:r>
      <w:r w:rsidRPr="003E217D">
        <w:t xml:space="preserve"> </w:t>
      </w:r>
    </w:p>
    <w:p w14:paraId="31861169" w14:textId="72B946C6" w:rsidR="00CD7DE1" w:rsidRDefault="00CD7DE1" w:rsidP="00CD7DE1">
      <w:pPr>
        <w:ind w:firstLine="720"/>
      </w:pPr>
      <w:r>
        <w:t>Privacy harms can be conceptually difficult to make sense of because they are vast and varied and because like a death by a thousand cuts, they often accrue in small amounts slowly. Privacy harms are complicated further because not only are individuals</w:t>
      </w:r>
      <w:r w:rsidRPr="001470FE">
        <w:t xml:space="preserve"> </w:t>
      </w:r>
      <w:r>
        <w:t>harmed, society is collectively harmed.</w:t>
      </w:r>
      <w:bookmarkStart w:id="78" w:name="_Ref126696350"/>
      <w:r>
        <w:rPr>
          <w:rStyle w:val="FootnoteReference"/>
        </w:rPr>
        <w:footnoteReference w:id="247"/>
      </w:r>
      <w:bookmarkEnd w:id="78"/>
      <w:r>
        <w:t xml:space="preserve"> Because privacy functions like an interconnected network, if one person’s privacy is violated, then the privacy of their entire network is also put at risk. Despite these conceptual challenges, innovation can harm privacy in physical, economic, reputational, psychological, and discriminatory ways while also jeopardizing one’s autonomy and self-expression.</w:t>
      </w:r>
      <w:r>
        <w:rPr>
          <w:rStyle w:val="FootnoteReference"/>
        </w:rPr>
        <w:footnoteReference w:id="248"/>
      </w:r>
    </w:p>
    <w:p w14:paraId="0087CDF9" w14:textId="6A2A0347" w:rsidR="00CD7DE1" w:rsidRDefault="00CD7DE1" w:rsidP="00CD7DE1">
      <w:pPr>
        <w:ind w:firstLine="720"/>
      </w:pPr>
      <w:r>
        <w:t xml:space="preserve">New technologies have expanded the types of economic harms associated with privacy loss by facilitating more traditional violations and enabling new violations. A classic privacy harm with economic consequences is </w:t>
      </w:r>
      <w:r w:rsidR="00003C28">
        <w:t>identity</w:t>
      </w:r>
      <w:r>
        <w:t xml:space="preserve"> theft. The development of online databases and reliance on digital storage have led to an exponential increase in identity theft by making the crime much simpler.</w:t>
      </w:r>
      <w:r>
        <w:rPr>
          <w:rStyle w:val="FootnoteReference"/>
        </w:rPr>
        <w:footnoteReference w:id="249"/>
      </w:r>
      <w:r>
        <w:t xml:space="preserve"> Not only do victims of identity theft lose money, </w:t>
      </w:r>
      <w:proofErr w:type="gramStart"/>
      <w:r>
        <w:t>they</w:t>
      </w:r>
      <w:proofErr w:type="gramEnd"/>
      <w:r>
        <w:t xml:space="preserve"> also spend a great deal of time—sometimes years—trying to get their money refunded, their identity back, their credit history healed, and their digital reputations restored.</w:t>
      </w:r>
      <w:r>
        <w:rPr>
          <w:rStyle w:val="FootnoteReference"/>
        </w:rPr>
        <w:footnoteReference w:id="250"/>
      </w:r>
      <w:r>
        <w:t xml:space="preserve"> But the economic harms of privacy loss are much more wide-ranging now. For example, using a variety of collected data, companies such as a retailers, airlines, banks, and wireless carriers calculate a score for every consumer.</w:t>
      </w:r>
      <w:r>
        <w:rPr>
          <w:rStyle w:val="FootnoteReference"/>
        </w:rPr>
        <w:footnoteReference w:id="251"/>
      </w:r>
      <w:r>
        <w:t xml:space="preserve"> Companies then use this score to determine an individual’s potential value and use it to determine how to invest in the customer relationship and what prices or interest rates to offer.</w:t>
      </w:r>
      <w:r>
        <w:rPr>
          <w:rStyle w:val="FootnoteReference"/>
        </w:rPr>
        <w:footnoteReference w:id="252"/>
      </w:r>
      <w:r>
        <w:t xml:space="preserve">  These scores are based on unknown factors, entirely unregulated, and usually hidden from consumers.</w:t>
      </w:r>
      <w:r>
        <w:rPr>
          <w:rStyle w:val="FootnoteReference"/>
        </w:rPr>
        <w:footnoteReference w:id="253"/>
      </w:r>
      <w:r>
        <w:t xml:space="preserve"> Thus, </w:t>
      </w:r>
      <w:r>
        <w:lastRenderedPageBreak/>
        <w:t xml:space="preserve">companies, using an innovative way to evaluate customers, rely on data that is opaque, possibly false, and collected without most people having any idea how it is used. Innovative uses of data built on privacy harms can cost consumers significantly. </w:t>
      </w:r>
    </w:p>
    <w:p w14:paraId="74F5809A" w14:textId="22FCA2DD" w:rsidR="00CD7DE1" w:rsidRDefault="00CD7DE1" w:rsidP="00CD7DE1">
      <w:pPr>
        <w:ind w:firstLine="720"/>
      </w:pPr>
      <w:r>
        <w:t>Privacy harms perhaps most acutely threaten autonomy. Unrestrained innovations across many fields have concerning impacts on the ability to develop one’s own sense of self and make one’s own choices.</w:t>
      </w:r>
      <w:r>
        <w:rPr>
          <w:rStyle w:val="FootnoteReference"/>
        </w:rPr>
        <w:footnoteReference w:id="254"/>
      </w:r>
      <w:r w:rsidRPr="00342DB5">
        <w:t xml:space="preserve"> </w:t>
      </w:r>
      <w:r>
        <w:t>Autonomy can be harmed in many ways, through mechanisms such as coercion or manipulation, among others.</w:t>
      </w:r>
      <w:r>
        <w:rPr>
          <w:rStyle w:val="FootnoteReference"/>
        </w:rPr>
        <w:footnoteReference w:id="255"/>
      </w:r>
      <w:r>
        <w:t xml:space="preserve"> As Ryan Calo has explained, these kinds of digital market manipulations “create[] subjective privacy harms insofar as the consumer has a vague sense that information is being collected and used to her disadvantage, but never truly knows how or when.”</w:t>
      </w:r>
      <w:r>
        <w:rPr>
          <w:rStyle w:val="FootnoteReference"/>
        </w:rPr>
        <w:footnoteReference w:id="256"/>
      </w:r>
      <w:r>
        <w:t xml:space="preserve"> In the last few decades, much innovation has been promoted as enhancing online experiences through personalization. But so much opaque data underpinning these experiences, the line between personalization and manipulation has become fuzzy.</w:t>
      </w:r>
    </w:p>
    <w:p w14:paraId="0953882A" w14:textId="77777777" w:rsidR="00CD7DE1" w:rsidRDefault="00CD7DE1" w:rsidP="00CD7DE1">
      <w:pPr>
        <w:ind w:firstLine="720"/>
      </w:pPr>
      <w:r>
        <w:t>Finally, privacy harms can entrench inequalities and exacerbate systemic harms to disadvantaged populations.</w:t>
      </w:r>
      <w:bookmarkStart w:id="79" w:name="_Ref126697113"/>
      <w:r>
        <w:rPr>
          <w:rStyle w:val="FootnoteReference"/>
        </w:rPr>
        <w:footnoteReference w:id="257"/>
      </w:r>
      <w:bookmarkEnd w:id="79"/>
      <w:r w:rsidRPr="00242B93">
        <w:t xml:space="preserve"> </w:t>
      </w:r>
      <w:r>
        <w:t>Historically disadvantaged groups are likely to suffer more from privacy harms because marginalized groups are less able to absorb the social costs of privacy harms.</w:t>
      </w:r>
      <w:r>
        <w:rPr>
          <w:rStyle w:val="FootnoteReference"/>
        </w:rPr>
        <w:footnoteReference w:id="258"/>
      </w:r>
      <w:r>
        <w:t xml:space="preserve"> Algorithms, infected with the biases of the humans who code them and the datasets that fuel them, regularly discriminate against minorities. Surveillance disproportionately targets people of color.</w:t>
      </w:r>
      <w:r>
        <w:rPr>
          <w:rStyle w:val="FootnoteReference"/>
        </w:rPr>
        <w:footnoteReference w:id="259"/>
      </w:r>
      <w:r>
        <w:t xml:space="preserve"> Poor people are subject to additional surveillance and privacy harms by private industry and by the government through public assistance programs.</w:t>
      </w:r>
      <w:r>
        <w:rPr>
          <w:rStyle w:val="FootnoteReference"/>
        </w:rPr>
        <w:footnoteReference w:id="260"/>
      </w:r>
      <w:r>
        <w:t xml:space="preserve"> As Mary Anne Franks has explained: “For the less privileged members of society, surveillance does not simply mean inhibited Internet searches or decreased willingness to make online purchases; it can mean an entire existence under scrutiny, with every personal choice carrying a risk of bodily harm.”</w:t>
      </w:r>
      <w:r>
        <w:rPr>
          <w:rStyle w:val="FootnoteReference"/>
        </w:rPr>
        <w:footnoteReference w:id="261"/>
      </w:r>
      <w:r>
        <w:t xml:space="preserve"> Privacy harms are concerning for everyone, but they are particularly concerning for how they cement systemic inequalities. </w:t>
      </w:r>
    </w:p>
    <w:p w14:paraId="649B67C8" w14:textId="77777777" w:rsidR="00CD7DE1" w:rsidRDefault="00CD7DE1" w:rsidP="00CD7DE1">
      <w:pPr>
        <w:ind w:firstLine="720"/>
      </w:pPr>
      <w:r>
        <w:lastRenderedPageBreak/>
        <w:t xml:space="preserve">In the case of privacy harms, the incentives are often skewed because the privacy violations are themselves monetized. Unlike some other harms categorized here, privacy harms can be spillover effects from incentivizing innovation, but often the innovation depends part and parcel on the harm itself. While there are undoubtedly crucial advancements that have come from technologies that have created privacy harms, the consequences—to individuals and to society—are dire. </w:t>
      </w:r>
    </w:p>
    <w:p w14:paraId="32C165BD" w14:textId="77777777" w:rsidR="00CD7DE1" w:rsidRPr="00003C28" w:rsidRDefault="00CD7DE1" w:rsidP="00003C28">
      <w:pPr>
        <w:pStyle w:val="BodyText"/>
        <w:rPr>
          <w:lang w:eastAsia="ja-JP"/>
        </w:rPr>
      </w:pPr>
    </w:p>
    <w:p w14:paraId="3934B731" w14:textId="606BDBFB" w:rsidR="00161574" w:rsidRPr="007C4369" w:rsidRDefault="00161574" w:rsidP="00003C28">
      <w:pPr>
        <w:pStyle w:val="Heading3"/>
        <w:rPr>
          <w:i w:val="0"/>
        </w:rPr>
      </w:pPr>
      <w:bookmarkStart w:id="80" w:name="_Toc126854785"/>
      <w:r w:rsidRPr="007C4369">
        <w:rPr>
          <w:rStyle w:val="Heading3Char"/>
          <w:rFonts w:ascii="Garamond" w:hAnsi="Garamond"/>
          <w:i/>
          <w:sz w:val="24"/>
        </w:rPr>
        <w:t>Social Harms</w:t>
      </w:r>
      <w:bookmarkEnd w:id="80"/>
    </w:p>
    <w:p w14:paraId="3C16F181" w14:textId="531DF1A8" w:rsidR="00BC25C5" w:rsidRDefault="00BC25C5" w:rsidP="00A8449C">
      <w:pPr>
        <w:pStyle w:val="BodyText"/>
        <w:ind w:firstLine="0"/>
        <w:rPr>
          <w:lang w:eastAsia="ja-JP"/>
        </w:rPr>
      </w:pPr>
    </w:p>
    <w:p w14:paraId="020DFD13" w14:textId="196EA12D" w:rsidR="00805EFC" w:rsidRDefault="007A1B91" w:rsidP="00070463">
      <w:pPr>
        <w:pStyle w:val="BodyText"/>
        <w:ind w:firstLine="720"/>
        <w:rPr>
          <w:lang w:eastAsia="ja-JP"/>
        </w:rPr>
      </w:pPr>
      <w:r>
        <w:rPr>
          <w:lang w:eastAsia="ja-JP"/>
        </w:rPr>
        <w:t>Innovations sometimes do more than harm individuals or competitors</w:t>
      </w:r>
      <w:r w:rsidR="00BB10B6">
        <w:rPr>
          <w:lang w:eastAsia="ja-JP"/>
        </w:rPr>
        <w:t>;</w:t>
      </w:r>
      <w:r>
        <w:rPr>
          <w:lang w:eastAsia="ja-JP"/>
        </w:rPr>
        <w:t xml:space="preserve"> they damage society itself. </w:t>
      </w:r>
      <w:r w:rsidR="00070463">
        <w:rPr>
          <w:lang w:eastAsia="ja-JP"/>
        </w:rPr>
        <w:t xml:space="preserve">We enumerate this category to capture a wide variety of antisocial outcomes that are more generalized than the particularized harms described above. </w:t>
      </w:r>
      <w:r w:rsidR="00805EFC">
        <w:rPr>
          <w:lang w:eastAsia="ja-JP"/>
        </w:rPr>
        <w:t xml:space="preserve">We focus on three issues: risks to democracy, risks to the financial system, and distributive harms. </w:t>
      </w:r>
      <w:r w:rsidR="003F74D3">
        <w:rPr>
          <w:lang w:eastAsia="ja-JP"/>
        </w:rPr>
        <w:t>Each of these issues</w:t>
      </w:r>
      <w:r w:rsidR="003F74D3" w:rsidDel="001E0FD7">
        <w:rPr>
          <w:lang w:eastAsia="ja-JP"/>
        </w:rPr>
        <w:t xml:space="preserve"> </w:t>
      </w:r>
      <w:r w:rsidR="001E0FD7">
        <w:rPr>
          <w:lang w:eastAsia="ja-JP"/>
        </w:rPr>
        <w:t>is</w:t>
      </w:r>
      <w:r w:rsidR="003F74D3">
        <w:rPr>
          <w:lang w:eastAsia="ja-JP"/>
        </w:rPr>
        <w:t xml:space="preserve"> hugely important, and we can do no more than scratch the surface of any one of them. </w:t>
      </w:r>
    </w:p>
    <w:p w14:paraId="70C708E1" w14:textId="03BA3D1A" w:rsidR="007A1B91" w:rsidRDefault="00805EFC" w:rsidP="00070463">
      <w:pPr>
        <w:pStyle w:val="BodyText"/>
        <w:ind w:firstLine="720"/>
        <w:rPr>
          <w:lang w:eastAsia="ja-JP"/>
        </w:rPr>
      </w:pPr>
      <w:r>
        <w:rPr>
          <w:lang w:eastAsia="ja-JP"/>
        </w:rPr>
        <w:t xml:space="preserve">The risks that social media pose to democratic values are becoming increasingly apparent. </w:t>
      </w:r>
      <w:r w:rsidR="007A1B91">
        <w:rPr>
          <w:lang w:eastAsia="ja-JP"/>
        </w:rPr>
        <w:t>In addition to its addictive qualities, which hurt many users, social media is a conduit for dangerous misinformation and conspiracy theories.</w:t>
      </w:r>
      <w:r w:rsidR="004A0580">
        <w:rPr>
          <w:rStyle w:val="FootnoteReference"/>
          <w:lang w:eastAsia="ja-JP"/>
        </w:rPr>
        <w:footnoteReference w:id="262"/>
      </w:r>
      <w:r w:rsidR="007A1B91">
        <w:rPr>
          <w:lang w:eastAsia="ja-JP"/>
        </w:rPr>
        <w:t xml:space="preserve"> Russian operatives have repeatedly used social media to spread propaganda designed to undermine free and fair elections in the United States and other democracies.</w:t>
      </w:r>
      <w:r w:rsidR="004A0580">
        <w:rPr>
          <w:rStyle w:val="FootnoteReference"/>
          <w:lang w:eastAsia="ja-JP"/>
        </w:rPr>
        <w:footnoteReference w:id="263"/>
      </w:r>
      <w:r w:rsidR="007A1B91">
        <w:rPr>
          <w:lang w:eastAsia="ja-JP"/>
        </w:rPr>
        <w:t xml:space="preserve"> Compelling evidence exists that in both 2016 and 2020, Russia used Facebook and other social media outlets to support the </w:t>
      </w:r>
      <w:r w:rsidR="007A1B91">
        <w:rPr>
          <w:lang w:eastAsia="ja-JP"/>
        </w:rPr>
        <w:lastRenderedPageBreak/>
        <w:t>Trump campaign and to sow division among Americans.</w:t>
      </w:r>
      <w:r w:rsidR="007A1B91">
        <w:rPr>
          <w:rStyle w:val="FootnoteReference"/>
          <w:lang w:eastAsia="ja-JP"/>
        </w:rPr>
        <w:footnoteReference w:id="264"/>
      </w:r>
      <w:r w:rsidR="007A1B91">
        <w:rPr>
          <w:lang w:eastAsia="ja-JP"/>
        </w:rPr>
        <w:t xml:space="preserve"> In a post-mortem on the 2016 election, the Senate Intelligence Committee, then led by Republicans, concluded that Russia’s social media strategy “was overtly and almost invariably supportive of then-candidate Trump.”</w:t>
      </w:r>
      <w:r w:rsidR="007A1B91">
        <w:rPr>
          <w:rStyle w:val="FootnoteReference"/>
          <w:lang w:eastAsia="ja-JP"/>
        </w:rPr>
        <w:footnoteReference w:id="265"/>
      </w:r>
      <w:r w:rsidR="007A1B91">
        <w:rPr>
          <w:lang w:eastAsia="ja-JP"/>
        </w:rPr>
        <w:t xml:space="preserve"> Committee Chairman Senator Richard Burr explained that Russia “flood[ed] social media with false reports, conspiracy theories, and trolls” to “exploit existing divisions” in U.S. society and “breed distrust of our democratic institutions and our fellow Americans.”</w:t>
      </w:r>
      <w:r w:rsidR="007A1B91">
        <w:rPr>
          <w:rStyle w:val="FootnoteReference"/>
          <w:lang w:eastAsia="ja-JP"/>
        </w:rPr>
        <w:footnoteReference w:id="266"/>
      </w:r>
    </w:p>
    <w:p w14:paraId="5F63F397" w14:textId="203AE092" w:rsidR="007A1B91" w:rsidRDefault="007A1B91" w:rsidP="007A1B91">
      <w:pPr>
        <w:pStyle w:val="BodyText"/>
        <w:ind w:firstLine="0"/>
        <w:rPr>
          <w:lang w:eastAsia="ja-JP"/>
        </w:rPr>
      </w:pPr>
      <w:r>
        <w:rPr>
          <w:lang w:eastAsia="ja-JP"/>
        </w:rPr>
        <w:tab/>
        <w:t>Social media is easy to weaponize. It is an open system that reaches billions of users worldwide. Anyone can post anything on these sites, and while Twitter, Facebook, and other social media outlets employ content moderation teams to various extents to try to limit damaging misinformation, so far these efforts have proved ineffective (and some would say half-hearted).</w:t>
      </w:r>
      <w:r w:rsidR="00847EB2">
        <w:rPr>
          <w:rStyle w:val="FootnoteReference"/>
          <w:lang w:eastAsia="ja-JP"/>
        </w:rPr>
        <w:footnoteReference w:id="267"/>
      </w:r>
      <w:r>
        <w:rPr>
          <w:lang w:eastAsia="ja-JP"/>
        </w:rPr>
        <w:t xml:space="preserve"> Not surprisingly, these platforms have been used not only by state actors like Russia, and not just to threaten democracy, but also by non-state actors with a variety of antisocial goals, like undermining public health through anti-vaccine disinformation, and stoking racial division.</w:t>
      </w:r>
      <w:r w:rsidR="00847EB2">
        <w:rPr>
          <w:rStyle w:val="FootnoteReference"/>
          <w:lang w:eastAsia="ja-JP"/>
        </w:rPr>
        <w:footnoteReference w:id="268"/>
      </w:r>
      <w:r>
        <w:rPr>
          <w:lang w:eastAsia="ja-JP"/>
        </w:rPr>
        <w:t xml:space="preserve">  </w:t>
      </w:r>
    </w:p>
    <w:p w14:paraId="1884CB10" w14:textId="45B1578C" w:rsidR="007A1B91" w:rsidRDefault="007A1B91" w:rsidP="007A1B91">
      <w:pPr>
        <w:pStyle w:val="BodyText"/>
        <w:ind w:firstLine="0"/>
        <w:rPr>
          <w:lang w:eastAsia="ja-JP"/>
        </w:rPr>
      </w:pPr>
      <w:r>
        <w:rPr>
          <w:lang w:eastAsia="ja-JP"/>
        </w:rPr>
        <w:tab/>
        <w:t xml:space="preserve">High-frequency trading is another financial innovation that causes social harm. In certain financial markets fractions of a second make a difference for investors’ profits, so some trading firms invest heavily in technology that </w:t>
      </w:r>
      <w:r>
        <w:rPr>
          <w:lang w:eastAsia="ja-JP"/>
        </w:rPr>
        <w:lastRenderedPageBreak/>
        <w:t>shaves milliseconds off their trading speeds.</w:t>
      </w:r>
      <w:r w:rsidR="0066327A">
        <w:rPr>
          <w:rStyle w:val="FootnoteReference"/>
          <w:lang w:eastAsia="ja-JP"/>
        </w:rPr>
        <w:footnoteReference w:id="269"/>
      </w:r>
      <w:r>
        <w:rPr>
          <w:lang w:eastAsia="ja-JP"/>
        </w:rPr>
        <w:t xml:space="preserve"> Studies have shown that these advances in speed reduce liquidity in affected markets, raising the costs for other investors.</w:t>
      </w:r>
      <w:r w:rsidR="00B879AA">
        <w:rPr>
          <w:rStyle w:val="FootnoteReference"/>
          <w:lang w:eastAsia="ja-JP"/>
        </w:rPr>
        <w:footnoteReference w:id="270"/>
      </w:r>
      <w:r>
        <w:rPr>
          <w:lang w:eastAsia="ja-JP"/>
        </w:rPr>
        <w:t xml:space="preserve"> High-frequency trading is yet another example of a clear product improvement making conditions worse for innocent third parties, in this case by distorting financial markets.</w:t>
      </w:r>
    </w:p>
    <w:p w14:paraId="7E624257" w14:textId="5F4D783B" w:rsidR="00E95911" w:rsidRDefault="007A1B91" w:rsidP="007A1B91">
      <w:pPr>
        <w:pStyle w:val="BodyText"/>
        <w:ind w:firstLine="0"/>
        <w:rPr>
          <w:lang w:eastAsia="ja-JP"/>
        </w:rPr>
      </w:pPr>
      <w:r>
        <w:rPr>
          <w:lang w:eastAsia="ja-JP"/>
        </w:rPr>
        <w:tab/>
      </w:r>
      <w:r w:rsidR="00E95911">
        <w:rPr>
          <w:lang w:eastAsia="ja-JP"/>
        </w:rPr>
        <w:t>Finally, but of enormous importance, is the effect that innovations may have on the distribution of scarce resources in society. Thinking about distributional harms is challenging, because many canonically valuable innovations still pose distributive harm. For example, the introduction of electric lamps in households and workplaces caused a revolution in society’s health and well-being.</w:t>
      </w:r>
      <w:r w:rsidR="00E95911">
        <w:rPr>
          <w:rStyle w:val="FootnoteReference"/>
          <w:lang w:eastAsia="ja-JP"/>
        </w:rPr>
        <w:footnoteReference w:id="271"/>
      </w:r>
      <w:r w:rsidR="00E95911">
        <w:rPr>
          <w:lang w:eastAsia="ja-JP"/>
        </w:rPr>
        <w:t xml:space="preserve"> But </w:t>
      </w:r>
      <w:r w:rsidR="00D066C4">
        <w:rPr>
          <w:lang w:eastAsia="ja-JP"/>
        </w:rPr>
        <w:t>electric lamps were</w:t>
      </w:r>
      <w:r w:rsidR="00E95911">
        <w:rPr>
          <w:lang w:eastAsia="ja-JP"/>
        </w:rPr>
        <w:t xml:space="preserve"> terrible for whalers and kerosene salesman who</w:t>
      </w:r>
      <w:r w:rsidR="00447795">
        <w:rPr>
          <w:lang w:eastAsia="ja-JP"/>
        </w:rPr>
        <w:t>se</w:t>
      </w:r>
      <w:r w:rsidR="00E95911">
        <w:rPr>
          <w:lang w:eastAsia="ja-JP"/>
        </w:rPr>
        <w:t xml:space="preserve"> oil sales </w:t>
      </w:r>
      <w:r w:rsidR="00447795">
        <w:rPr>
          <w:lang w:eastAsia="ja-JP"/>
        </w:rPr>
        <w:t>were</w:t>
      </w:r>
      <w:r w:rsidR="00E95911">
        <w:rPr>
          <w:lang w:eastAsia="ja-JP"/>
        </w:rPr>
        <w:t xml:space="preserve"> displaced.</w:t>
      </w:r>
      <w:r w:rsidR="00784BD5">
        <w:rPr>
          <w:rStyle w:val="FootnoteReference"/>
          <w:lang w:eastAsia="ja-JP"/>
        </w:rPr>
        <w:footnoteReference w:id="272"/>
      </w:r>
      <w:r w:rsidR="00E95911">
        <w:rPr>
          <w:lang w:eastAsia="ja-JP"/>
        </w:rPr>
        <w:t xml:space="preserve"> Again, this is the sort of creative destruction that is appropriately lauded by innovation scholars.</w:t>
      </w:r>
    </w:p>
    <w:p w14:paraId="4475A6C0" w14:textId="084E1078" w:rsidR="00B13B60" w:rsidRDefault="00E95911" w:rsidP="007A1B91">
      <w:pPr>
        <w:pStyle w:val="BodyText"/>
        <w:ind w:firstLine="0"/>
        <w:rPr>
          <w:lang w:eastAsia="ja-JP"/>
        </w:rPr>
      </w:pPr>
      <w:r>
        <w:rPr>
          <w:lang w:eastAsia="ja-JP"/>
        </w:rPr>
        <w:tab/>
        <w:t xml:space="preserve">In other cases, the normative desirability of an innovation’s distributive consequences may be much less clear. </w:t>
      </w:r>
      <w:r w:rsidR="00031D44">
        <w:rPr>
          <w:lang w:eastAsia="ja-JP"/>
        </w:rPr>
        <w:t xml:space="preserve">Innovations almost always create both winners and losers, so the distributive consequences depend on these parties’ identities. On one hand, consider the winners. The winners created by electrification were enormously widespread. After its introduction around 1900, </w:t>
      </w:r>
      <w:r w:rsidR="00686A8B">
        <w:rPr>
          <w:lang w:eastAsia="ja-JP"/>
        </w:rPr>
        <w:t>electricity</w:t>
      </w:r>
      <w:r w:rsidR="00031D44">
        <w:rPr>
          <w:lang w:eastAsia="ja-JP"/>
        </w:rPr>
        <w:t xml:space="preserve"> had reached 80% of the American population by 1940.</w:t>
      </w:r>
      <w:r w:rsidR="00031D44">
        <w:rPr>
          <w:rStyle w:val="FootnoteReference"/>
          <w:lang w:eastAsia="ja-JP"/>
        </w:rPr>
        <w:footnoteReference w:id="273"/>
      </w:r>
      <w:r w:rsidR="00031D44">
        <w:rPr>
          <w:lang w:eastAsia="ja-JP"/>
        </w:rPr>
        <w:t xml:space="preserve"> </w:t>
      </w:r>
      <w:r w:rsidR="00EA559D">
        <w:rPr>
          <w:lang w:eastAsia="ja-JP"/>
        </w:rPr>
        <w:t xml:space="preserve">The winners created by other innovations are likely to be </w:t>
      </w:r>
      <w:r w:rsidR="000140B3">
        <w:rPr>
          <w:lang w:eastAsia="ja-JP"/>
        </w:rPr>
        <w:t>less numerous</w:t>
      </w:r>
      <w:r w:rsidR="00EA559D">
        <w:rPr>
          <w:lang w:eastAsia="ja-JP"/>
        </w:rPr>
        <w:t xml:space="preserve"> and less well distributed throughout the community. For example, the benefits of financial innovations largely redound to a small class of already wealthy traders and investors.</w:t>
      </w:r>
      <w:r w:rsidR="00784BD5">
        <w:rPr>
          <w:rStyle w:val="FootnoteReference"/>
          <w:lang w:eastAsia="ja-JP"/>
        </w:rPr>
        <w:footnoteReference w:id="274"/>
      </w:r>
      <w:r w:rsidR="00EA559D">
        <w:rPr>
          <w:lang w:eastAsia="ja-JP"/>
        </w:rPr>
        <w:t xml:space="preserve"> </w:t>
      </w:r>
      <w:r w:rsidR="00AB2D39">
        <w:rPr>
          <w:lang w:eastAsia="ja-JP"/>
        </w:rPr>
        <w:t>The same is true for</w:t>
      </w:r>
      <w:r w:rsidR="00686A8B">
        <w:rPr>
          <w:lang w:eastAsia="ja-JP"/>
        </w:rPr>
        <w:t xml:space="preserve"> pricing al</w:t>
      </w:r>
      <w:r w:rsidR="00E44979">
        <w:rPr>
          <w:lang w:eastAsia="ja-JP"/>
        </w:rPr>
        <w:t xml:space="preserve">gorithms that function to transfer wealth from </w:t>
      </w:r>
      <w:r w:rsidR="00FE1C58">
        <w:rPr>
          <w:lang w:eastAsia="ja-JP"/>
        </w:rPr>
        <w:t xml:space="preserve">the great mass of </w:t>
      </w:r>
      <w:r w:rsidR="00E44979">
        <w:rPr>
          <w:lang w:eastAsia="ja-JP"/>
        </w:rPr>
        <w:t xml:space="preserve">consumers to </w:t>
      </w:r>
      <w:r w:rsidR="00FE1C58">
        <w:rPr>
          <w:lang w:eastAsia="ja-JP"/>
        </w:rPr>
        <w:t xml:space="preserve">a smaller class of </w:t>
      </w:r>
      <w:r w:rsidR="00E44979">
        <w:rPr>
          <w:lang w:eastAsia="ja-JP"/>
        </w:rPr>
        <w:t>producers</w:t>
      </w:r>
      <w:r w:rsidR="00AB2D39">
        <w:rPr>
          <w:lang w:eastAsia="ja-JP"/>
        </w:rPr>
        <w:t>.</w:t>
      </w:r>
      <w:r w:rsidR="00784BD5">
        <w:rPr>
          <w:rStyle w:val="FootnoteReference"/>
          <w:lang w:eastAsia="ja-JP"/>
        </w:rPr>
        <w:footnoteReference w:id="275"/>
      </w:r>
      <w:r w:rsidR="00AB2D39">
        <w:rPr>
          <w:lang w:eastAsia="ja-JP"/>
        </w:rPr>
        <w:t xml:space="preserve"> </w:t>
      </w:r>
    </w:p>
    <w:p w14:paraId="52CB50BC" w14:textId="24C88D63" w:rsidR="00E95911" w:rsidRDefault="00AB2D39" w:rsidP="00D066C4">
      <w:pPr>
        <w:pStyle w:val="BodyText"/>
        <w:ind w:firstLine="720"/>
        <w:rPr>
          <w:lang w:eastAsia="ja-JP"/>
        </w:rPr>
      </w:pPr>
      <w:r>
        <w:rPr>
          <w:lang w:eastAsia="ja-JP"/>
        </w:rPr>
        <w:t xml:space="preserve">Now, on the other hand, consider </w:t>
      </w:r>
      <w:r w:rsidR="00D066C4">
        <w:rPr>
          <w:lang w:eastAsia="ja-JP"/>
        </w:rPr>
        <w:t xml:space="preserve">innovation’s </w:t>
      </w:r>
      <w:r>
        <w:rPr>
          <w:lang w:eastAsia="ja-JP"/>
        </w:rPr>
        <w:t xml:space="preserve">losers. The increasing use of algorithms to determine much of our social, employment, and political lives may turn out to be net beneficial in the long run, but, at least so far, these </w:t>
      </w:r>
      <w:r>
        <w:rPr>
          <w:lang w:eastAsia="ja-JP"/>
        </w:rPr>
        <w:lastRenderedPageBreak/>
        <w:t>technologies may generate exaggerated biases against women</w:t>
      </w:r>
      <w:r w:rsidR="008D6649">
        <w:rPr>
          <w:lang w:eastAsia="ja-JP"/>
        </w:rPr>
        <w:t>,</w:t>
      </w:r>
      <w:r>
        <w:rPr>
          <w:lang w:eastAsia="ja-JP"/>
        </w:rPr>
        <w:t xml:space="preserve"> people of color</w:t>
      </w:r>
      <w:r w:rsidR="008D6649">
        <w:rPr>
          <w:lang w:eastAsia="ja-JP"/>
        </w:rPr>
        <w:t>, and people with disabilities, among others</w:t>
      </w:r>
      <w:r>
        <w:rPr>
          <w:lang w:eastAsia="ja-JP"/>
        </w:rPr>
        <w:t>.</w:t>
      </w:r>
      <w:r w:rsidR="008D6649">
        <w:rPr>
          <w:rStyle w:val="FootnoteReference"/>
          <w:lang w:eastAsia="ja-JP"/>
        </w:rPr>
        <w:footnoteReference w:id="276"/>
      </w:r>
      <w:r>
        <w:rPr>
          <w:lang w:eastAsia="ja-JP"/>
        </w:rPr>
        <w:t xml:space="preserve"> </w:t>
      </w:r>
      <w:r w:rsidR="008D6649">
        <w:rPr>
          <w:lang w:eastAsia="ja-JP"/>
        </w:rPr>
        <w:t>Sometimes this means that socially marginalized groups suffer representational biases at the hands of algorithmic innovations, but they also suffer allocative and interpersonal harms as well.</w:t>
      </w:r>
      <w:r w:rsidR="008D6649">
        <w:rPr>
          <w:rStyle w:val="FootnoteReference"/>
          <w:lang w:eastAsia="ja-JP"/>
        </w:rPr>
        <w:footnoteReference w:id="277"/>
      </w:r>
      <w:r w:rsidR="008D6649">
        <w:rPr>
          <w:lang w:eastAsia="ja-JP"/>
        </w:rPr>
        <w:t xml:space="preserve"> For example, in the employment context, algorithms may give preferences to men, or they may match Black applicants predominantly with Black-owned businesses.</w:t>
      </w:r>
      <w:r w:rsidR="008D6649">
        <w:rPr>
          <w:rStyle w:val="FootnoteReference"/>
          <w:lang w:eastAsia="ja-JP"/>
        </w:rPr>
        <w:footnoteReference w:id="278"/>
      </w:r>
    </w:p>
    <w:p w14:paraId="55F593B9" w14:textId="2EFF5AC7" w:rsidR="004A39E7" w:rsidRDefault="004A39E7" w:rsidP="007A1B91">
      <w:pPr>
        <w:pStyle w:val="BodyText"/>
        <w:ind w:firstLine="0"/>
        <w:rPr>
          <w:lang w:eastAsia="ja-JP"/>
        </w:rPr>
      </w:pPr>
      <w:r>
        <w:rPr>
          <w:lang w:eastAsia="ja-JP"/>
        </w:rPr>
        <w:tab/>
        <w:t xml:space="preserve">In cases such as these, where an innovation’s benefits to men, white people, rich people, or people from the global north technically exceed the innovation’s costs to marginalized people, we might still characterize the innovation as antisocial and worthy of regulation. Our goal here is not to defend a particular calculus for trading off welfare versus distributional concerns but merely to point out that </w:t>
      </w:r>
      <w:r w:rsidR="004365D9">
        <w:rPr>
          <w:lang w:eastAsia="ja-JP"/>
        </w:rPr>
        <w:t>there are a host of innovations that appear prosocial if viewed from the perspective of net welfare tha</w:t>
      </w:r>
      <w:r w:rsidR="00305FA1">
        <w:rPr>
          <w:lang w:eastAsia="ja-JP"/>
        </w:rPr>
        <w:t>t</w:t>
      </w:r>
      <w:r w:rsidR="004365D9">
        <w:rPr>
          <w:lang w:eastAsia="ja-JP"/>
        </w:rPr>
        <w:t xml:space="preserve"> </w:t>
      </w:r>
      <w:r w:rsidR="00D066C4">
        <w:rPr>
          <w:lang w:eastAsia="ja-JP"/>
        </w:rPr>
        <w:t xml:space="preserve">may </w:t>
      </w:r>
      <w:r w:rsidR="00561443">
        <w:rPr>
          <w:lang w:eastAsia="ja-JP"/>
        </w:rPr>
        <w:t>turn out to be</w:t>
      </w:r>
      <w:r w:rsidR="004365D9">
        <w:rPr>
          <w:lang w:eastAsia="ja-JP"/>
        </w:rPr>
        <w:t xml:space="preserve"> antisocial when their distributional impacts are considered. </w:t>
      </w:r>
    </w:p>
    <w:p w14:paraId="3ECC9C56" w14:textId="38ED47E0" w:rsidR="00D74B43" w:rsidRPr="00E8791F" w:rsidRDefault="007A1B91" w:rsidP="00A8449C">
      <w:pPr>
        <w:pStyle w:val="BodyText"/>
        <w:ind w:firstLine="0"/>
        <w:rPr>
          <w:lang w:eastAsia="ja-JP"/>
        </w:rPr>
      </w:pPr>
      <w:r>
        <w:rPr>
          <w:lang w:eastAsia="ja-JP"/>
        </w:rPr>
        <w:t xml:space="preserve">       </w:t>
      </w:r>
    </w:p>
    <w:p w14:paraId="22998298" w14:textId="4B783760" w:rsidR="00E95462" w:rsidRDefault="00196FE1" w:rsidP="00E61D05">
      <w:pPr>
        <w:pStyle w:val="Heading1"/>
      </w:pPr>
      <w:bookmarkStart w:id="81" w:name="_Toc126854786"/>
      <w:r w:rsidRPr="00E8791F">
        <w:t xml:space="preserve">Policy </w:t>
      </w:r>
      <w:r w:rsidR="00E95462">
        <w:t>Implications</w:t>
      </w:r>
      <w:bookmarkEnd w:id="81"/>
    </w:p>
    <w:p w14:paraId="10623412" w14:textId="79FC5B3D" w:rsidR="00730C34" w:rsidRPr="00E8791F" w:rsidRDefault="00587C7B" w:rsidP="00B32A32">
      <w:pPr>
        <w:pStyle w:val="BodyText"/>
        <w:rPr>
          <w:lang w:eastAsia="ja-JP"/>
        </w:rPr>
      </w:pPr>
      <w:r>
        <w:t xml:space="preserve">We hope that this Article serves as a caution against the all-too-easy ascription of positive value to innovation. </w:t>
      </w:r>
      <w:r w:rsidR="0046648D">
        <w:t xml:space="preserve">While we believe that innovations have the capacity to dramatically improve human lives, we also recognize that much of what passes for innovation is dangerous to people, our environment, and our society. </w:t>
      </w:r>
      <w:r w:rsidR="00676474">
        <w:t>So what can be done? How can policymakers better sort prosocial wheat from antisocial chaff? In this Part, we offer some suggestions, beginning with general reflections on modern innovation policy and then turning towards specific changes that the law can make.</w:t>
      </w:r>
    </w:p>
    <w:p w14:paraId="5DF12CC6" w14:textId="77777777" w:rsidR="00A56EAE" w:rsidRPr="00A56EAE" w:rsidRDefault="00A56EAE" w:rsidP="000A501B">
      <w:pPr>
        <w:pStyle w:val="BodyText"/>
        <w:ind w:firstLine="0"/>
        <w:rPr>
          <w:lang w:eastAsia="ja-JP"/>
        </w:rPr>
      </w:pPr>
    </w:p>
    <w:p w14:paraId="76CB8581" w14:textId="79FE5062" w:rsidR="006C0213" w:rsidRDefault="006C0213" w:rsidP="00E61D05">
      <w:pPr>
        <w:pStyle w:val="Heading2"/>
      </w:pPr>
      <w:bookmarkStart w:id="82" w:name="_Toc126854787"/>
      <w:r>
        <w:t>The Inverse Precautionary Principle</w:t>
      </w:r>
      <w:bookmarkEnd w:id="82"/>
    </w:p>
    <w:p w14:paraId="2C5EA8E1" w14:textId="7A3D175E" w:rsidR="006C0213" w:rsidRDefault="008236E4" w:rsidP="00B32A32">
      <w:pPr>
        <w:pStyle w:val="BodyText"/>
        <w:rPr>
          <w:lang w:eastAsia="ja-JP"/>
        </w:rPr>
      </w:pPr>
      <w:r>
        <w:rPr>
          <w:lang w:eastAsia="ja-JP"/>
        </w:rPr>
        <w:t xml:space="preserve">Part </w:t>
      </w:r>
      <w:r w:rsidR="00861BD2">
        <w:rPr>
          <w:lang w:eastAsia="ja-JP"/>
        </w:rPr>
        <w:t xml:space="preserve">III </w:t>
      </w:r>
      <w:r>
        <w:rPr>
          <w:lang w:eastAsia="ja-JP"/>
        </w:rPr>
        <w:t xml:space="preserve">of this Article catalogued the manifold ways in which innovations can be bad for society. Even in the fields that have best exemplified technological progress, like pharmaceuticals, </w:t>
      </w:r>
      <w:r w:rsidR="009A720A">
        <w:rPr>
          <w:lang w:eastAsia="ja-JP"/>
        </w:rPr>
        <w:t xml:space="preserve">many new innovations are harmful. And the share of antisocial innovations will be even greater in other fields, </w:t>
      </w:r>
      <w:r w:rsidR="00DE7E73">
        <w:rPr>
          <w:lang w:eastAsia="ja-JP"/>
        </w:rPr>
        <w:t>like workplace surveillance, financ</w:t>
      </w:r>
      <w:r w:rsidR="005F435D">
        <w:rPr>
          <w:lang w:eastAsia="ja-JP"/>
        </w:rPr>
        <w:t>e</w:t>
      </w:r>
      <w:r w:rsidR="00DE7E73">
        <w:rPr>
          <w:lang w:eastAsia="ja-JP"/>
        </w:rPr>
        <w:t>, and tobacco products. But none of this is apparent from two of our most important innovation governance tools—patent law and antitrust law. Both sets of doctrines treat all or almost all innovation as good innovation and worthy of encouragement.</w:t>
      </w:r>
      <w:r w:rsidR="00C3588E">
        <w:rPr>
          <w:rStyle w:val="FootnoteReference"/>
          <w:lang w:eastAsia="ja-JP"/>
        </w:rPr>
        <w:footnoteReference w:id="279"/>
      </w:r>
    </w:p>
    <w:p w14:paraId="630425B1" w14:textId="79899A69" w:rsidR="00BB3326" w:rsidRDefault="00BB3326" w:rsidP="00B32A32">
      <w:pPr>
        <w:pStyle w:val="BodyText"/>
        <w:rPr>
          <w:lang w:eastAsia="ja-JP"/>
        </w:rPr>
      </w:pPr>
      <w:r>
        <w:rPr>
          <w:lang w:eastAsia="ja-JP"/>
        </w:rPr>
        <w:lastRenderedPageBreak/>
        <w:t>We refer to the uncritical embrace of innovation as the Inverse Precautionary Principle. The term derives from administrative law, where, according to the Precautionary Principle, the state should actively regulate behaviors that pose a risk of harm, even in the absence of empirical evidence of the risk.</w:t>
      </w:r>
      <w:bookmarkStart w:id="83" w:name="_Ref126660145"/>
      <w:r>
        <w:rPr>
          <w:rStyle w:val="FootnoteReference"/>
          <w:lang w:eastAsia="ja-JP"/>
        </w:rPr>
        <w:footnoteReference w:id="280"/>
      </w:r>
      <w:bookmarkEnd w:id="83"/>
      <w:r>
        <w:rPr>
          <w:lang w:eastAsia="ja-JP"/>
        </w:rPr>
        <w:t xml:space="preserve"> </w:t>
      </w:r>
      <w:r w:rsidR="004664CC">
        <w:rPr>
          <w:lang w:eastAsia="ja-JP"/>
        </w:rPr>
        <w:t>For example, t</w:t>
      </w:r>
      <w:r>
        <w:rPr>
          <w:lang w:eastAsia="ja-JP"/>
        </w:rPr>
        <w:t xml:space="preserve">he Precautionary Principle should be used as a guide for regulating environmental harms, according to the United Nations: “Where there are threats of serious or irreversible damage, lack of full scientific </w:t>
      </w:r>
      <w:r w:rsidR="004664CC">
        <w:rPr>
          <w:lang w:eastAsia="ja-JP"/>
        </w:rPr>
        <w:t>certainty</w:t>
      </w:r>
      <w:r>
        <w:rPr>
          <w:lang w:eastAsia="ja-JP"/>
        </w:rPr>
        <w:t xml:space="preserve"> should not be used as a reason for postponing measures to prevent environmental degradation.”</w:t>
      </w:r>
      <w:r>
        <w:rPr>
          <w:rStyle w:val="FootnoteReference"/>
          <w:lang w:eastAsia="ja-JP"/>
        </w:rPr>
        <w:footnoteReference w:id="281"/>
      </w:r>
      <w:r w:rsidR="004664CC">
        <w:rPr>
          <w:lang w:eastAsia="ja-JP"/>
        </w:rPr>
        <w:t xml:space="preserve"> The guiding intuition is “better safe than sorry.” In the face of uncertainty about risks, the Precautionary Principle dictates, it’s best to regulate and avoid them.</w:t>
      </w:r>
    </w:p>
    <w:p w14:paraId="2EF5A68E" w14:textId="6B2717DF" w:rsidR="004664CC" w:rsidRDefault="004664CC" w:rsidP="00B32A32">
      <w:pPr>
        <w:pStyle w:val="BodyText"/>
        <w:rPr>
          <w:lang w:eastAsia="ja-JP"/>
        </w:rPr>
      </w:pPr>
      <w:r>
        <w:rPr>
          <w:lang w:eastAsia="ja-JP"/>
        </w:rPr>
        <w:t xml:space="preserve">To a considerable extent, major tools of innovation governance operate under the opposite intuition. In the absence of knowledge about the benefits and risks of an innovation, </w:t>
      </w:r>
      <w:r w:rsidR="00867455">
        <w:rPr>
          <w:lang w:eastAsia="ja-JP"/>
        </w:rPr>
        <w:t xml:space="preserve">patent law and antitrust law assume </w:t>
      </w:r>
      <w:r>
        <w:rPr>
          <w:lang w:eastAsia="ja-JP"/>
        </w:rPr>
        <w:t>the appropriate path is encouragement and promotion.</w:t>
      </w:r>
      <w:r w:rsidR="00EF3590">
        <w:rPr>
          <w:rStyle w:val="FootnoteReference"/>
          <w:lang w:eastAsia="ja-JP"/>
        </w:rPr>
        <w:footnoteReference w:id="282"/>
      </w:r>
      <w:r>
        <w:rPr>
          <w:lang w:eastAsia="ja-JP"/>
        </w:rPr>
        <w:t xml:space="preserve"> </w:t>
      </w:r>
      <w:r w:rsidR="003F1A08">
        <w:rPr>
          <w:lang w:eastAsia="ja-JP"/>
        </w:rPr>
        <w:t xml:space="preserve">Patent law ostensibly requires that an invention be “useful” in order to obtain exclusive rights. But </w:t>
      </w:r>
      <w:r w:rsidR="00867455">
        <w:rPr>
          <w:lang w:eastAsia="ja-JP"/>
        </w:rPr>
        <w:t xml:space="preserve">in practice, </w:t>
      </w:r>
      <w:r w:rsidR="003F1A08">
        <w:rPr>
          <w:lang w:eastAsia="ja-JP"/>
        </w:rPr>
        <w:t>the utility requirement is toothless.</w:t>
      </w:r>
      <w:bookmarkStart w:id="84" w:name="_Ref126785588"/>
      <w:bookmarkStart w:id="85" w:name="_Ref126702807"/>
      <w:r w:rsidR="00867455">
        <w:rPr>
          <w:rStyle w:val="FootnoteReference"/>
          <w:lang w:eastAsia="ja-JP"/>
        </w:rPr>
        <w:footnoteReference w:id="283"/>
      </w:r>
      <w:bookmarkEnd w:id="84"/>
      <w:bookmarkEnd w:id="85"/>
      <w:r w:rsidR="003F1A08">
        <w:rPr>
          <w:lang w:eastAsia="ja-JP"/>
        </w:rPr>
        <w:t xml:space="preserve"> Only truly “impossible” inventions like perpetual motion machines fail the requirement.</w:t>
      </w:r>
      <w:r w:rsidR="002753D5">
        <w:rPr>
          <w:rStyle w:val="FootnoteReference"/>
          <w:lang w:eastAsia="ja-JP"/>
        </w:rPr>
        <w:footnoteReference w:id="284"/>
      </w:r>
      <w:r w:rsidR="003F1A08">
        <w:rPr>
          <w:lang w:eastAsia="ja-JP"/>
        </w:rPr>
        <w:t xml:space="preserve"> Patents on bump stocks and tobacco additives are readily obtainable.</w:t>
      </w:r>
      <w:bookmarkStart w:id="86" w:name="_Ref126845301"/>
      <w:r w:rsidR="00867455">
        <w:rPr>
          <w:rStyle w:val="FootnoteReference"/>
          <w:lang w:eastAsia="ja-JP"/>
        </w:rPr>
        <w:footnoteReference w:id="285"/>
      </w:r>
      <w:bookmarkEnd w:id="86"/>
      <w:r w:rsidR="003F1A08">
        <w:rPr>
          <w:lang w:eastAsia="ja-JP"/>
        </w:rPr>
        <w:t xml:space="preserve"> </w:t>
      </w:r>
      <w:r w:rsidR="00867455">
        <w:rPr>
          <w:lang w:eastAsia="ja-JP"/>
        </w:rPr>
        <w:t xml:space="preserve">This is the Inverse Precautionary Principle at work. </w:t>
      </w:r>
    </w:p>
    <w:p w14:paraId="30ECA090" w14:textId="378CAB1D" w:rsidR="002C3473" w:rsidRDefault="00867455" w:rsidP="00B32A32">
      <w:pPr>
        <w:pStyle w:val="BodyText"/>
        <w:rPr>
          <w:lang w:eastAsia="ja-JP"/>
        </w:rPr>
      </w:pPr>
      <w:r>
        <w:rPr>
          <w:lang w:eastAsia="ja-JP"/>
        </w:rPr>
        <w:t>Consider the poster child for patent law as an innovation mechanism: pharmaceuticals. Here, the justifications for patent law exclusivity appear to be strongest, and the potential welfare benefits are potentially the highest.</w:t>
      </w:r>
      <w:r w:rsidR="006D7971">
        <w:rPr>
          <w:rStyle w:val="FootnoteReference"/>
          <w:lang w:eastAsia="ja-JP"/>
        </w:rPr>
        <w:footnoteReference w:id="286"/>
      </w:r>
      <w:r>
        <w:rPr>
          <w:lang w:eastAsia="ja-JP"/>
        </w:rPr>
        <w:t xml:space="preserve"> Of all the patented drugs, only a small percentage enter FDA clinical trials at all, presumably because their sponsors already know they are unlikely to succeed.</w:t>
      </w:r>
      <w:r w:rsidR="002C3473">
        <w:rPr>
          <w:rStyle w:val="FootnoteReference"/>
          <w:lang w:eastAsia="ja-JP"/>
        </w:rPr>
        <w:footnoteReference w:id="287"/>
      </w:r>
      <w:r>
        <w:rPr>
          <w:lang w:eastAsia="ja-JP"/>
        </w:rPr>
        <w:t xml:space="preserve"> Of the ones that </w:t>
      </w:r>
      <w:r w:rsidR="002C3473">
        <w:rPr>
          <w:lang w:eastAsia="ja-JP"/>
        </w:rPr>
        <w:t>enter FDA trials, fewer than 20% ultimately win approval.</w:t>
      </w:r>
      <w:r w:rsidR="00F92962">
        <w:rPr>
          <w:rStyle w:val="FootnoteReference"/>
          <w:lang w:eastAsia="ja-JP"/>
        </w:rPr>
        <w:footnoteReference w:id="288"/>
      </w:r>
      <w:r w:rsidR="002C3473">
        <w:rPr>
          <w:lang w:eastAsia="ja-JP"/>
        </w:rPr>
        <w:t xml:space="preserve"> For example, in 2019 only forty-eight drugs were approved by the </w:t>
      </w:r>
      <w:r w:rsidR="002C3473">
        <w:rPr>
          <w:lang w:eastAsia="ja-JP"/>
        </w:rPr>
        <w:lastRenderedPageBreak/>
        <w:t>FDA.</w:t>
      </w:r>
      <w:r w:rsidR="00F92962">
        <w:rPr>
          <w:rStyle w:val="FootnoteReference"/>
          <w:lang w:eastAsia="ja-JP"/>
        </w:rPr>
        <w:footnoteReference w:id="289"/>
      </w:r>
      <w:r w:rsidR="002C3473">
        <w:rPr>
          <w:lang w:eastAsia="ja-JP"/>
        </w:rPr>
        <w:t xml:space="preserve"> And</w:t>
      </w:r>
      <w:r w:rsidR="001653A8">
        <w:rPr>
          <w:lang w:eastAsia="ja-JP"/>
        </w:rPr>
        <w:t>,</w:t>
      </w:r>
      <w:r w:rsidR="002C3473">
        <w:rPr>
          <w:lang w:eastAsia="ja-JP"/>
        </w:rPr>
        <w:t xml:space="preserve"> as we described above, as many as half of those that are approved are no better or affirmatively worse than those that preceded them.</w:t>
      </w:r>
      <w:r w:rsidR="00C003CB">
        <w:rPr>
          <w:rStyle w:val="FootnoteReference"/>
          <w:lang w:eastAsia="ja-JP"/>
        </w:rPr>
        <w:footnoteReference w:id="290"/>
      </w:r>
      <w:r w:rsidR="002C3473">
        <w:rPr>
          <w:lang w:eastAsia="ja-JP"/>
        </w:rPr>
        <w:t xml:space="preserve"> </w:t>
      </w:r>
    </w:p>
    <w:p w14:paraId="4502FB01" w14:textId="6F3008D4" w:rsidR="00F76DBC" w:rsidRDefault="002C3473" w:rsidP="00B32A32">
      <w:pPr>
        <w:pStyle w:val="BodyText"/>
        <w:rPr>
          <w:lang w:eastAsia="ja-JP"/>
        </w:rPr>
      </w:pPr>
      <w:r>
        <w:rPr>
          <w:lang w:eastAsia="ja-JP"/>
        </w:rPr>
        <w:t xml:space="preserve">While we’re all grateful for the drugs that cure diseases, extend lifespans, and improve health, we shouldn’t deceive ourselves into believing that most new patented pharmaceuticals are wonder drugs. They’re called wonder drugs for a reason. But that is not patent law’s approach. Although patent law may not know which drugs are going to turn into breakthroughs and which will be duds, its assumption is that they should all be encouraged. Where the Precautionary Principle dictates regulation in the face of uncertain risks, patent law’s Inverse Precautionary Principle offers incentives in the face of uncertain gains—and serious antisocial risks. </w:t>
      </w:r>
    </w:p>
    <w:p w14:paraId="3F6036BE" w14:textId="51B2A432" w:rsidR="00C62623" w:rsidRPr="00E32F9F" w:rsidRDefault="00C62623" w:rsidP="00B32A32">
      <w:pPr>
        <w:ind w:firstLine="360"/>
      </w:pPr>
      <w:r>
        <w:t>Antitrust law, like patent law, seems to apply the Inverse Precautionary Principle, treating all innovation as beneficial and ignoring the risks that it may pose. Laws governing monopolists, agreements among firms, and merger enforcement are designed to safeguard and maximize innovative activity.</w:t>
      </w:r>
      <w:r w:rsidR="00F527F6">
        <w:rPr>
          <w:rStyle w:val="FootnoteReference"/>
        </w:rPr>
        <w:footnoteReference w:id="291"/>
      </w:r>
      <w:r>
        <w:t xml:space="preserve"> When firms don’t have to compete with rivals, the theory goes, they will become complacent and less likely to offer new products or services to consumers.</w:t>
      </w:r>
      <w:r>
        <w:rPr>
          <w:rStyle w:val="FootnoteReference"/>
        </w:rPr>
        <w:footnoteReference w:id="292"/>
      </w:r>
      <w:r>
        <w:t xml:space="preserve"> </w:t>
      </w:r>
      <w:r w:rsidRPr="00E32F9F">
        <w:t>But</w:t>
      </w:r>
      <w:r>
        <w:t>, as with patent law,</w:t>
      </w:r>
      <w:r w:rsidRPr="00E32F9F">
        <w:t xml:space="preserve"> </w:t>
      </w:r>
      <w:r>
        <w:t>antitrust law pays scant attention to the degree of innovation that firms produce or whether that innovation ultimately benefits consumers</w:t>
      </w:r>
      <w:r w:rsidRPr="00E32F9F">
        <w:t>.</w:t>
      </w:r>
      <w:bookmarkStart w:id="87" w:name="_Ref126789899"/>
      <w:r w:rsidRPr="00E32F9F">
        <w:rPr>
          <w:rStyle w:val="FootnoteReference"/>
        </w:rPr>
        <w:footnoteReference w:id="293"/>
      </w:r>
      <w:bookmarkEnd w:id="87"/>
      <w:r w:rsidRPr="00E32F9F">
        <w:t xml:space="preserve"> </w:t>
      </w:r>
    </w:p>
    <w:p w14:paraId="6920F19C" w14:textId="1D29AE68" w:rsidR="00C62623" w:rsidRPr="00E32F9F" w:rsidRDefault="00C62623" w:rsidP="00C62623">
      <w:pPr>
        <w:ind w:firstLine="360"/>
      </w:pPr>
      <w:r>
        <w:tab/>
        <w:t>As a rule, antitrust law is committed to the idea that innovation benefits society.</w:t>
      </w:r>
      <w:r w:rsidR="000B3A91">
        <w:rPr>
          <w:rStyle w:val="FootnoteReference"/>
        </w:rPr>
        <w:footnoteReference w:id="294"/>
      </w:r>
      <w:r>
        <w:t xml:space="preserve"> Moreover, the law adopts the same stance as patent law, assuming that consumers and markets are better </w:t>
      </w:r>
      <w:r w:rsidR="007A247F">
        <w:t xml:space="preserve">than </w:t>
      </w:r>
      <w:r w:rsidR="000B3A91">
        <w:t xml:space="preserve">enforcers and courts </w:t>
      </w:r>
      <w:r>
        <w:t>at sorting out which innovations are valuable.</w:t>
      </w:r>
      <w:r w:rsidR="00F8161D">
        <w:rPr>
          <w:rStyle w:val="FootnoteReference"/>
        </w:rPr>
        <w:footnoteReference w:id="295"/>
      </w:r>
      <w:r>
        <w:t xml:space="preserve"> </w:t>
      </w:r>
      <w:r w:rsidRPr="00E32F9F">
        <w:t xml:space="preserve">Consider the language the antitrust enforcement agencies use in the Horizontal Merger Guidelines to discuss innovation. The goal of innovation policy as expressed in the Guidelines is simply </w:t>
      </w:r>
      <w:r w:rsidRPr="00E32F9F">
        <w:lastRenderedPageBreak/>
        <w:t>to increase the volume of new products firms produce.</w:t>
      </w:r>
      <w:r w:rsidR="00201260">
        <w:rPr>
          <w:rStyle w:val="FootnoteReference"/>
        </w:rPr>
        <w:footnoteReference w:id="296"/>
      </w:r>
      <w:r w:rsidRPr="00E32F9F">
        <w:t xml:space="preserve"> In this telling, innovation is merely the creation of these new products; the societal benefits or costs of th</w:t>
      </w:r>
      <w:r>
        <w:t>e</w:t>
      </w:r>
      <w:r w:rsidRPr="00E32F9F">
        <w:t xml:space="preserve"> products are irrelevant. This approach is consistent with the prevailing view among antitrust experts that competition policy should promote competitive markets but not favor any particular market outcomes.</w:t>
      </w:r>
      <w:r w:rsidR="00C80A04">
        <w:rPr>
          <w:rStyle w:val="FootnoteReference"/>
        </w:rPr>
        <w:footnoteReference w:id="297"/>
      </w:r>
      <w:r w:rsidRPr="00E32F9F">
        <w:t xml:space="preserve"> As the FTC puts it, the agency “does not choose winners and losers—you, as the consumer, do that.”</w:t>
      </w:r>
      <w:r w:rsidRPr="00E32F9F">
        <w:rPr>
          <w:rStyle w:val="FootnoteReference"/>
        </w:rPr>
        <w:footnoteReference w:id="298"/>
      </w:r>
      <w:r w:rsidRPr="00E32F9F">
        <w:t xml:space="preserve"> </w:t>
      </w:r>
    </w:p>
    <w:p w14:paraId="0727F64E" w14:textId="3164216E" w:rsidR="00C62623" w:rsidRDefault="00C62623" w:rsidP="000A216B">
      <w:r>
        <w:tab/>
        <w:t xml:space="preserve">This sanguine approach to innovation’s benefits is </w:t>
      </w:r>
      <w:r w:rsidR="009C1F57">
        <w:t xml:space="preserve">especially </w:t>
      </w:r>
      <w:r>
        <w:t>apparent in the way antitrust courts treat the quality of a claimed innovation in predatory product design cases. These cases demonstrate antitrust’s embrace of the Inverse Precautionary Principle. Predatory product design c</w:t>
      </w:r>
      <w:r w:rsidR="00201260">
        <w:t>laims</w:t>
      </w:r>
      <w:r>
        <w:t xml:space="preserve"> typically center on </w:t>
      </w:r>
      <w:r w:rsidRPr="00E32F9F">
        <w:t>allegation</w:t>
      </w:r>
      <w:r>
        <w:t>s</w:t>
      </w:r>
      <w:r w:rsidRPr="00E32F9F">
        <w:t xml:space="preserve"> that a vertically integrated manufacturer </w:t>
      </w:r>
      <w:r>
        <w:t xml:space="preserve">with monopoly power at one level of the distribution chain </w:t>
      </w:r>
      <w:r w:rsidRPr="00E32F9F">
        <w:t>has altered its monopoly product with the goal of excluding a downstream competitor</w:t>
      </w:r>
      <w:r>
        <w:t xml:space="preserve">. Consider the Ninth Circuit’s 2010 decision in </w:t>
      </w:r>
      <w:r w:rsidRPr="00A947DF">
        <w:rPr>
          <w:i/>
          <w:iCs/>
        </w:rPr>
        <w:t>Allied Orthopedic Appliances, Inc. v. Tyco Health Care Group</w:t>
      </w:r>
      <w:r w:rsidRPr="001326C9">
        <w:t>.</w:t>
      </w:r>
      <w:r w:rsidR="009B1AEF" w:rsidRPr="001326C9">
        <w:rPr>
          <w:rStyle w:val="FootnoteReference"/>
        </w:rPr>
        <w:footnoteReference w:id="299"/>
      </w:r>
      <w:r>
        <w:rPr>
          <w:i/>
          <w:iCs/>
        </w:rPr>
        <w:t xml:space="preserve"> </w:t>
      </w:r>
      <w:r>
        <w:t xml:space="preserve">Defendant Tyco </w:t>
      </w:r>
      <w:r w:rsidR="00AF28EB">
        <w:t>i</w:t>
      </w:r>
      <w:r>
        <w:t>s a manufacturer of pulse oximetry systems.</w:t>
      </w:r>
      <w:r w:rsidR="00D11CA0">
        <w:rPr>
          <w:rStyle w:val="FootnoteReference"/>
        </w:rPr>
        <w:footnoteReference w:id="300"/>
      </w:r>
      <w:r>
        <w:t xml:space="preserve"> These systems include sensors, which are attached to a patient and collect data, and monitors, which receive the data and show a patient’s blood oxygenation levels.</w:t>
      </w:r>
      <w:r w:rsidR="00201260">
        <w:rPr>
          <w:rStyle w:val="FootnoteReference"/>
        </w:rPr>
        <w:footnoteReference w:id="301"/>
      </w:r>
      <w:r>
        <w:t xml:space="preserve"> Tyco’s monitors were in widespread use and</w:t>
      </w:r>
      <w:r w:rsidR="00A97A7C">
        <w:t>,</w:t>
      </w:r>
      <w:r>
        <w:t xml:space="preserve"> due to a patent on Tyco’s technology</w:t>
      </w:r>
      <w:r w:rsidR="00A97A7C">
        <w:t>,</w:t>
      </w:r>
      <w:r>
        <w:t xml:space="preserve"> these monitors used only Tyco sensors.</w:t>
      </w:r>
      <w:r w:rsidR="00DD5E23">
        <w:rPr>
          <w:rStyle w:val="FootnoteReference"/>
        </w:rPr>
        <w:footnoteReference w:id="302"/>
      </w:r>
      <w:r>
        <w:t xml:space="preserve"> But Tyco’s patent was expiring, and the company expected that competitors would soon produce generic sensors compatible with Tyco monitors.</w:t>
      </w:r>
      <w:r w:rsidR="009B15E8">
        <w:rPr>
          <w:rStyle w:val="FootnoteReference"/>
        </w:rPr>
        <w:footnoteReference w:id="303"/>
      </w:r>
      <w:r>
        <w:t xml:space="preserve"> To avoid this outcome, Tyco redesigned its system.</w:t>
      </w:r>
      <w:r w:rsidR="00071845">
        <w:rPr>
          <w:rStyle w:val="FootnoteReference"/>
        </w:rPr>
        <w:footnoteReference w:id="304"/>
      </w:r>
      <w:r>
        <w:t xml:space="preserve"> It created a new patented sensor and moved much of the key </w:t>
      </w:r>
      <w:r>
        <w:lastRenderedPageBreak/>
        <w:t>technology that had been in the monitors into this new sensor.</w:t>
      </w:r>
      <w:r w:rsidR="009B15E8">
        <w:rPr>
          <w:rStyle w:val="FootnoteReference"/>
        </w:rPr>
        <w:footnoteReference w:id="305"/>
      </w:r>
      <w:r>
        <w:t xml:space="preserve"> Tyco introduced its new system and announced that it was retiring the old technology.</w:t>
      </w:r>
      <w:r w:rsidR="00071845">
        <w:rPr>
          <w:rStyle w:val="FootnoteReference"/>
        </w:rPr>
        <w:footnoteReference w:id="306"/>
      </w:r>
      <w:r>
        <w:t xml:space="preserve"> A group of hospitals and other health care providers sued Tyco claiming that Tyco’s product redesign and related marketing and distribution practices violated </w:t>
      </w:r>
      <w:r w:rsidR="00AF419B">
        <w:t>S</w:t>
      </w:r>
      <w:r>
        <w:t>ections 1 and 2 of the Sherman Act.</w:t>
      </w:r>
      <w:r w:rsidR="009E0763">
        <w:rPr>
          <w:rStyle w:val="FootnoteReference"/>
        </w:rPr>
        <w:footnoteReference w:id="307"/>
      </w:r>
      <w:r>
        <w:t xml:space="preserve"> </w:t>
      </w:r>
    </w:p>
    <w:p w14:paraId="398A47D0" w14:textId="77054FFA" w:rsidR="00C62623" w:rsidRDefault="00C62623" w:rsidP="001326C9">
      <w:pPr>
        <w:ind w:firstLine="360"/>
      </w:pPr>
      <w:r>
        <w:t xml:space="preserve">The Ninth Circuit affirmed the district court’s </w:t>
      </w:r>
      <w:r w:rsidR="00B92D80">
        <w:t>grant of summary judgment to Tyco</w:t>
      </w:r>
      <w:r>
        <w:t>.</w:t>
      </w:r>
      <w:r w:rsidR="00071845">
        <w:rPr>
          <w:rStyle w:val="FootnoteReference"/>
        </w:rPr>
        <w:footnoteReference w:id="308"/>
      </w:r>
      <w:r>
        <w:t xml:space="preserve"> While conceding that “product design changes are not immune from antitrust scrutiny,</w:t>
      </w:r>
      <w:r w:rsidR="00635BA4">
        <w:t>”</w:t>
      </w:r>
      <w:r>
        <w:t xml:space="preserve"> </w:t>
      </w:r>
      <w:r w:rsidR="00A97A7C">
        <w:t xml:space="preserve">the court held that </w:t>
      </w:r>
      <w:r>
        <w:t>“</w:t>
      </w:r>
      <w:r w:rsidRPr="001326C9">
        <w:rPr>
          <w:color w:val="3D3D3D"/>
          <w:shd w:val="clear" w:color="auto" w:fill="FFFFFF"/>
        </w:rPr>
        <w:t>a design change that improves a product by providing a new benefit to consumers does not violate</w:t>
      </w:r>
      <w:r w:rsidR="005D06AA">
        <w:rPr>
          <w:shd w:val="clear" w:color="auto" w:fill="FFFFFF"/>
        </w:rPr>
        <w:t xml:space="preserve"> </w:t>
      </w:r>
      <w:r w:rsidRPr="00A947DF">
        <w:rPr>
          <w:bdr w:val="none" w:sz="0" w:space="0" w:color="auto" w:frame="1"/>
          <w:shd w:val="clear" w:color="auto" w:fill="FFFFFF"/>
        </w:rPr>
        <w:t>Section 2</w:t>
      </w:r>
      <w:r w:rsidR="005D06AA">
        <w:rPr>
          <w:shd w:val="clear" w:color="auto" w:fill="FFFFFF"/>
        </w:rPr>
        <w:t xml:space="preserve"> </w:t>
      </w:r>
      <w:r w:rsidRPr="001326C9">
        <w:rPr>
          <w:color w:val="3D3D3D"/>
          <w:shd w:val="clear" w:color="auto" w:fill="FFFFFF"/>
        </w:rPr>
        <w:t>absent some associated anticompetitive conduct</w:t>
      </w:r>
      <w:r w:rsidRPr="001326C9">
        <w:rPr>
          <w:shd w:val="clear" w:color="auto" w:fill="FFFFFF"/>
        </w:rPr>
        <w:t>.”</w:t>
      </w:r>
      <w:r w:rsidR="005323D9" w:rsidRPr="001326C9">
        <w:rPr>
          <w:rStyle w:val="FootnoteReference"/>
          <w:shd w:val="clear" w:color="auto" w:fill="FFFFFF"/>
        </w:rPr>
        <w:footnoteReference w:id="309"/>
      </w:r>
      <w:r w:rsidRPr="00543F54">
        <w:t xml:space="preserve"> </w:t>
      </w:r>
      <w:r>
        <w:t>The court found that Tyco’s product redesign was an improvement.</w:t>
      </w:r>
      <w:r w:rsidR="00324ADE">
        <w:rPr>
          <w:rStyle w:val="FootnoteReference"/>
        </w:rPr>
        <w:footnoteReference w:id="310"/>
      </w:r>
      <w:r>
        <w:t xml:space="preserve"> It did so despite evidence that a new type of sensor the system made possible was “no more accurate” than older sensors and that doctors had “not found” some of the new features “very useful.”</w:t>
      </w:r>
      <w:r w:rsidR="00543748">
        <w:rPr>
          <w:rStyle w:val="FootnoteReference"/>
        </w:rPr>
        <w:footnoteReference w:id="311"/>
      </w:r>
      <w:r>
        <w:t xml:space="preserve"> </w:t>
      </w:r>
      <w:r w:rsidR="00B92D80">
        <w:t>The court ignored evidence</w:t>
      </w:r>
      <w:r>
        <w:t xml:space="preserve"> that Tyco </w:t>
      </w:r>
      <w:r w:rsidR="00AB5900">
        <w:t>“</w:t>
      </w:r>
      <w:r w:rsidR="00AB5900" w:rsidRPr="001326C9">
        <w:rPr>
          <w:shd w:val="clear" w:color="auto" w:fill="FFFFFF"/>
        </w:rPr>
        <w:t>worried that the market would perceive its new technology as nothing more than a way to lock out generics.”</w:t>
      </w:r>
      <w:r w:rsidR="00AB5900" w:rsidRPr="001326C9">
        <w:rPr>
          <w:rStyle w:val="FootnoteReference"/>
          <w:shd w:val="clear" w:color="auto" w:fill="FFFFFF"/>
        </w:rPr>
        <w:footnoteReference w:id="312"/>
      </w:r>
      <w:r w:rsidR="005D06AA">
        <w:rPr>
          <w:rFonts w:ascii="Source Sans Pro" w:hAnsi="Source Sans Pro"/>
          <w:sz w:val="26"/>
          <w:szCs w:val="26"/>
          <w:shd w:val="clear" w:color="auto" w:fill="FFFFFF"/>
        </w:rPr>
        <w:t xml:space="preserve"> </w:t>
      </w:r>
      <w:r>
        <w:t>Among other forms of evidence the court relied on for its conclusion that the new Tyco system was an improvement was that the PTO had found the new sensor design “to be sufficiently innovative over the prior art to deserve a patent.”</w:t>
      </w:r>
      <w:r w:rsidR="00543748">
        <w:rPr>
          <w:rStyle w:val="FootnoteReference"/>
        </w:rPr>
        <w:footnoteReference w:id="313"/>
      </w:r>
      <w:r w:rsidR="00157FAA">
        <w:t xml:space="preserve"> </w:t>
      </w:r>
      <w:r w:rsidR="00401652">
        <w:t>Here, patent law</w:t>
      </w:r>
      <w:r w:rsidR="002432AE">
        <w:t>’s toothless utility standard</w:t>
      </w:r>
      <w:r w:rsidR="00F367FE">
        <w:t xml:space="preserve"> was used to buttress an antitrust court’s decision </w:t>
      </w:r>
      <w:r w:rsidR="003C54E0">
        <w:t>to ignore evidence of an innovation’s low quality.</w:t>
      </w:r>
    </w:p>
    <w:p w14:paraId="08F1DAAC" w14:textId="65D54E44" w:rsidR="00C62623" w:rsidRDefault="00C62623" w:rsidP="001326C9">
      <w:pPr>
        <w:ind w:firstLine="360"/>
      </w:pPr>
      <w:r>
        <w:t xml:space="preserve">In addition to </w:t>
      </w:r>
      <w:r w:rsidR="002D7E2A">
        <w:t>setting</w:t>
      </w:r>
      <w:r w:rsidR="00EC5FEB">
        <w:t xml:space="preserve"> this</w:t>
      </w:r>
      <w:r>
        <w:t xml:space="preserve"> low bar for what constitutes a product improvement, the Ninth Circuit rejected out of hand plaintiffs’ argument that the district court should have balanced any benefits of Tyco’s new product against its anticompetitive impact. </w:t>
      </w:r>
      <w:r w:rsidR="00B92D80">
        <w:t xml:space="preserve">According to the court, </w:t>
      </w:r>
      <w:r>
        <w:t>“</w:t>
      </w:r>
      <w:r w:rsidR="000C77A3">
        <w:t>[t]</w:t>
      </w:r>
      <w:r>
        <w:t>here is no room in [the] analysis for balancing the benefits or worth of a product improvement against its anticompetitive effects.”</w:t>
      </w:r>
      <w:r w:rsidR="00543748">
        <w:rPr>
          <w:rStyle w:val="FootnoteReference"/>
        </w:rPr>
        <w:footnoteReference w:id="314"/>
      </w:r>
      <w:r>
        <w:t xml:space="preserve"> To do so, the court continued, would not only be “unwise” it would be “unadministrable.”</w:t>
      </w:r>
      <w:r w:rsidR="00543748">
        <w:rPr>
          <w:rStyle w:val="FootnoteReference"/>
        </w:rPr>
        <w:footnoteReference w:id="315"/>
      </w:r>
      <w:r>
        <w:t xml:space="preserve"> Therefore, “if a monopolist’s design change is an improvement, it is ‘necessarily tolerated by the antitrust laws.’”</w:t>
      </w:r>
      <w:r w:rsidR="00543748">
        <w:rPr>
          <w:rStyle w:val="FootnoteReference"/>
        </w:rPr>
        <w:footnoteReference w:id="316"/>
      </w:r>
    </w:p>
    <w:p w14:paraId="415E9F5F" w14:textId="4C15274E" w:rsidR="00C62623" w:rsidRDefault="00C62623" w:rsidP="001326C9">
      <w:pPr>
        <w:ind w:firstLine="360"/>
      </w:pPr>
      <w:r>
        <w:lastRenderedPageBreak/>
        <w:t>This is the Inverse Precautionary Principle at work. “Innovation” means barely more than novelty or variation. Any indication by the defendant firm that its product is an improvement along some dimension from what came before is sufficient to shield anticompetitive behavior. Courts in these cases do not consider whether the asserted innovation</w:t>
      </w:r>
      <w:r w:rsidR="00793E5B">
        <w:t>’</w:t>
      </w:r>
      <w:r w:rsidR="000612FA">
        <w:t>s</w:t>
      </w:r>
      <w:r>
        <w:t xml:space="preserve"> benefits likely exceed </w:t>
      </w:r>
      <w:r w:rsidR="00793E5B">
        <w:t>its</w:t>
      </w:r>
      <w:r>
        <w:t xml:space="preserve"> anticompetitive costs.</w:t>
      </w:r>
      <w:r w:rsidR="006613BC">
        <w:rPr>
          <w:rStyle w:val="FootnoteReference"/>
        </w:rPr>
        <w:footnoteReference w:id="317"/>
      </w:r>
      <w:r>
        <w:t xml:space="preserve"> </w:t>
      </w:r>
    </w:p>
    <w:p w14:paraId="3C61E777" w14:textId="3C71EA77" w:rsidR="00C62623" w:rsidRDefault="00C62623" w:rsidP="00C62623">
      <w:pPr>
        <w:ind w:firstLine="720"/>
      </w:pPr>
      <w:r>
        <w:t xml:space="preserve">Antitrust law embraces the Inverse Precautionary Principle in other </w:t>
      </w:r>
      <w:r w:rsidR="00E369BE">
        <w:t>types of case</w:t>
      </w:r>
      <w:r>
        <w:t xml:space="preserve"> as well. Indeed, o</w:t>
      </w:r>
      <w:r w:rsidRPr="00E32F9F">
        <w:t>utside the predatory product design context, there is even less indication that the benefits of innovation are a proper subject of antitrust law. Policy makers, courts, and antitrust litigants are concerned with the effects of mergers and conduct on the quantity of innovation, but almost never discuss its quality.</w:t>
      </w:r>
      <w:r w:rsidR="00A97A7C">
        <w:rPr>
          <w:rStyle w:val="FootnoteReference"/>
        </w:rPr>
        <w:footnoteReference w:id="318"/>
      </w:r>
      <w:r w:rsidRPr="00E32F9F">
        <w:t xml:space="preserve"> Scholars have observed how antitrust’s agnostic approach to innovation can lead to perverse results when the products in question are toxic (like cigarettes) or potentially toxic (like social media).</w:t>
      </w:r>
      <w:r>
        <w:rPr>
          <w:rStyle w:val="FootnoteReference"/>
        </w:rPr>
        <w:footnoteReference w:id="319"/>
      </w:r>
      <w:r w:rsidRPr="00E32F9F">
        <w:t xml:space="preserve"> Nonetheless, current antitrust doctrine dictates that whether a new product is good or bad for society is an issue consumers can address in the first instance and, if that approach fails, that </w:t>
      </w:r>
      <w:r>
        <w:t xml:space="preserve">sector </w:t>
      </w:r>
      <w:r w:rsidRPr="00E32F9F">
        <w:t>regulators will eventually confront.</w:t>
      </w:r>
    </w:p>
    <w:p w14:paraId="23293F49" w14:textId="161CFAA6" w:rsidR="00F76DBC" w:rsidRPr="00C62623" w:rsidRDefault="00FB22B3" w:rsidP="001326C9">
      <w:pPr>
        <w:pStyle w:val="BodyText"/>
      </w:pPr>
      <w:r>
        <w:rPr>
          <w:lang w:eastAsia="ja-JP"/>
        </w:rPr>
        <w:t xml:space="preserve">In sum, patent </w:t>
      </w:r>
      <w:r w:rsidR="00335419">
        <w:rPr>
          <w:lang w:eastAsia="ja-JP"/>
        </w:rPr>
        <w:t xml:space="preserve">law </w:t>
      </w:r>
      <w:r>
        <w:rPr>
          <w:lang w:eastAsia="ja-JP"/>
        </w:rPr>
        <w:t>and antitrust law, two pillars of innovation policy, systematically ignore</w:t>
      </w:r>
      <w:r w:rsidR="00335419">
        <w:rPr>
          <w:lang w:eastAsia="ja-JP"/>
        </w:rPr>
        <w:t xml:space="preserve"> the quality of innovations and their potential harms.</w:t>
      </w:r>
      <w:r>
        <w:rPr>
          <w:lang w:eastAsia="ja-JP"/>
        </w:rPr>
        <w:t xml:space="preserve"> </w:t>
      </w:r>
      <w:r w:rsidR="00F76DBC">
        <w:rPr>
          <w:lang w:eastAsia="ja-JP"/>
        </w:rPr>
        <w:t>Our solution to this problem is not to reject the Inverse Precautionary Principle in favor of the Precautionary Principle. We do not advocate assuming that innovations are antisocial until they have been proven prosocial. Rather, we recognize that we live in a multirisk world, as Jonathan Wiener describes.</w:t>
      </w:r>
      <w:bookmarkStart w:id="88" w:name="_Ref126660087"/>
      <w:r w:rsidR="00F76DBC">
        <w:rPr>
          <w:rStyle w:val="FootnoteReference"/>
          <w:lang w:eastAsia="ja-JP"/>
        </w:rPr>
        <w:footnoteReference w:id="320"/>
      </w:r>
      <w:bookmarkEnd w:id="88"/>
      <w:r w:rsidR="00F76DBC">
        <w:rPr>
          <w:lang w:eastAsia="ja-JP"/>
        </w:rPr>
        <w:t xml:space="preserve"> If we assume that innovations will generally be beneficial, we risk overincentivizing activities that will prove harmful. By contrast, if </w:t>
      </w:r>
      <w:r>
        <w:rPr>
          <w:lang w:eastAsia="ja-JP"/>
        </w:rPr>
        <w:t xml:space="preserve">we </w:t>
      </w:r>
      <w:r w:rsidR="00F76DBC">
        <w:rPr>
          <w:lang w:eastAsia="ja-JP"/>
        </w:rPr>
        <w:t>assume innovations will generally be harmful, we risk missing out on the next great inventions.</w:t>
      </w:r>
      <w:r w:rsidR="0014270C">
        <w:rPr>
          <w:rStyle w:val="FootnoteReference"/>
          <w:lang w:eastAsia="ja-JP"/>
        </w:rPr>
        <w:footnoteReference w:id="321"/>
      </w:r>
      <w:r w:rsidR="00F76DBC">
        <w:rPr>
          <w:lang w:eastAsia="ja-JP"/>
        </w:rPr>
        <w:t xml:space="preserve"> </w:t>
      </w:r>
      <w:r w:rsidR="0014270C">
        <w:rPr>
          <w:lang w:eastAsia="ja-JP"/>
        </w:rPr>
        <w:t xml:space="preserve">We must recognize that our decisions about regulating innovation can impose risk in both directions. </w:t>
      </w:r>
    </w:p>
    <w:p w14:paraId="0F95A0E8" w14:textId="0E94A004" w:rsidR="00E95462" w:rsidRDefault="00416E46" w:rsidP="00E61D05">
      <w:pPr>
        <w:pStyle w:val="Heading2"/>
      </w:pPr>
      <w:bookmarkStart w:id="89" w:name="_Toc126854788"/>
      <w:r>
        <w:lastRenderedPageBreak/>
        <w:t xml:space="preserve">Uncertainty and the Timing of </w:t>
      </w:r>
      <w:r w:rsidR="00FE1178">
        <w:t xml:space="preserve">Policy </w:t>
      </w:r>
      <w:r>
        <w:t>Interventions</w:t>
      </w:r>
      <w:bookmarkEnd w:id="89"/>
    </w:p>
    <w:p w14:paraId="130A1BD1" w14:textId="08CB5F85" w:rsidR="00FD5F50" w:rsidRDefault="00B01094" w:rsidP="001326C9">
      <w:pPr>
        <w:pStyle w:val="BodyText"/>
        <w:rPr>
          <w:lang w:eastAsia="ja-JP"/>
        </w:rPr>
      </w:pPr>
      <w:r>
        <w:rPr>
          <w:lang w:eastAsia="ja-JP"/>
        </w:rPr>
        <w:t xml:space="preserve">In Parts I and II we catalogued the various ways in which policymakers have generally treated innovation, whether prosocial or antisocial. </w:t>
      </w:r>
      <w:r w:rsidR="0034195A">
        <w:rPr>
          <w:lang w:eastAsia="ja-JP"/>
        </w:rPr>
        <w:t>O</w:t>
      </w:r>
      <w:r w:rsidR="00FD5F50">
        <w:rPr>
          <w:lang w:eastAsia="ja-JP"/>
        </w:rPr>
        <w:t xml:space="preserve">ur most important innovation incentives </w:t>
      </w:r>
      <w:r w:rsidR="0034195A">
        <w:rPr>
          <w:lang w:eastAsia="ja-JP"/>
        </w:rPr>
        <w:t xml:space="preserve">primarily </w:t>
      </w:r>
      <w:r w:rsidR="00FD1576">
        <w:rPr>
          <w:lang w:eastAsia="ja-JP"/>
        </w:rPr>
        <w:t xml:space="preserve">operate early in the innovation process and largely ignore an innovation’s </w:t>
      </w:r>
      <w:r w:rsidR="004576DC">
        <w:rPr>
          <w:lang w:eastAsia="ja-JP"/>
        </w:rPr>
        <w:t>anti</w:t>
      </w:r>
      <w:r w:rsidR="00FD1576">
        <w:rPr>
          <w:lang w:eastAsia="ja-JP"/>
        </w:rPr>
        <w:t>social effects.</w:t>
      </w:r>
      <w:r w:rsidR="00D5706A">
        <w:rPr>
          <w:rStyle w:val="FootnoteReference"/>
          <w:lang w:eastAsia="ja-JP"/>
        </w:rPr>
        <w:footnoteReference w:id="322"/>
      </w:r>
      <w:r w:rsidR="00FD1576">
        <w:rPr>
          <w:lang w:eastAsia="ja-JP"/>
        </w:rPr>
        <w:t xml:space="preserve"> By contrast, most of our means for limiting</w:t>
      </w:r>
      <w:r w:rsidR="0035577C">
        <w:rPr>
          <w:lang w:eastAsia="ja-JP"/>
        </w:rPr>
        <w:t xml:space="preserve"> </w:t>
      </w:r>
      <w:r w:rsidR="00FD1576">
        <w:rPr>
          <w:lang w:eastAsia="ja-JP"/>
        </w:rPr>
        <w:t>antisocial innovation operate much later in the innovation lifecycle, once the product has already entered the market and caused harm.</w:t>
      </w:r>
      <w:r w:rsidR="00D5706A">
        <w:rPr>
          <w:rStyle w:val="FootnoteReference"/>
          <w:lang w:eastAsia="ja-JP"/>
        </w:rPr>
        <w:footnoteReference w:id="323"/>
      </w:r>
      <w:r w:rsidR="00FD1576">
        <w:rPr>
          <w:lang w:eastAsia="ja-JP"/>
        </w:rPr>
        <w:t xml:space="preserve"> While this </w:t>
      </w:r>
      <w:r w:rsidR="0035577C">
        <w:rPr>
          <w:lang w:eastAsia="ja-JP"/>
        </w:rPr>
        <w:t xml:space="preserve">outcome </w:t>
      </w:r>
      <w:r w:rsidR="00FD1576">
        <w:rPr>
          <w:lang w:eastAsia="ja-JP"/>
        </w:rPr>
        <w:t>may seem to necessarily arise from our uncertainty about an innovation’s consequences, it need not do so. And design</w:t>
      </w:r>
      <w:r w:rsidR="00A8277E">
        <w:rPr>
          <w:lang w:eastAsia="ja-JP"/>
        </w:rPr>
        <w:t>ing</w:t>
      </w:r>
      <w:r w:rsidR="00FD1576">
        <w:rPr>
          <w:lang w:eastAsia="ja-JP"/>
        </w:rPr>
        <w:t xml:space="preserve"> innovation incentives and regulations in this manner will lead to excessive production of antisocial innovations. </w:t>
      </w:r>
    </w:p>
    <w:p w14:paraId="01E1B341" w14:textId="4948CBC4" w:rsidR="00304DC8" w:rsidRDefault="00F17FE5" w:rsidP="001326C9">
      <w:pPr>
        <w:pStyle w:val="BodyText"/>
        <w:rPr>
          <w:lang w:eastAsia="ja-JP"/>
        </w:rPr>
      </w:pPr>
      <w:r>
        <w:rPr>
          <w:lang w:eastAsia="ja-JP"/>
        </w:rPr>
        <w:t>Our</w:t>
      </w:r>
      <w:r w:rsidR="00B01094">
        <w:rPr>
          <w:lang w:eastAsia="ja-JP"/>
        </w:rPr>
        <w:t xml:space="preserve"> most </w:t>
      </w:r>
      <w:r w:rsidR="00FD5F50">
        <w:rPr>
          <w:lang w:eastAsia="ja-JP"/>
        </w:rPr>
        <w:t>significant</w:t>
      </w:r>
      <w:r w:rsidR="00B01094">
        <w:rPr>
          <w:lang w:eastAsia="ja-JP"/>
        </w:rPr>
        <w:t xml:space="preserve"> mechanism for encouraging innovation—patent exclusivity</w:t>
      </w:r>
      <w:r w:rsidR="00FD5F50">
        <w:rPr>
          <w:lang w:eastAsia="ja-JP"/>
        </w:rPr>
        <w:t>—operates early in the innovative process. Innovators can obtain patents the moment they invent something novel and nonobvious. In fact, if they’re going to obtain patents, they must do so immediately.</w:t>
      </w:r>
      <w:r w:rsidR="00FD5F50">
        <w:rPr>
          <w:rStyle w:val="FootnoteReference"/>
          <w:lang w:eastAsia="ja-JP"/>
        </w:rPr>
        <w:footnoteReference w:id="324"/>
      </w:r>
      <w:r>
        <w:rPr>
          <w:lang w:eastAsia="ja-JP"/>
        </w:rPr>
        <w:t xml:space="preserve"> But patent law doesn’t care whether the invention will improve society or not. </w:t>
      </w:r>
      <w:r w:rsidR="00304DC8">
        <w:rPr>
          <w:lang w:eastAsia="ja-JP"/>
        </w:rPr>
        <w:t xml:space="preserve">For the most part, then, antisocial innovations will only be weeded out </w:t>
      </w:r>
      <w:proofErr w:type="gramStart"/>
      <w:r w:rsidR="00304DC8">
        <w:rPr>
          <w:lang w:eastAsia="ja-JP"/>
        </w:rPr>
        <w:t>later on</w:t>
      </w:r>
      <w:proofErr w:type="gramEnd"/>
      <w:r w:rsidR="00304DC8">
        <w:rPr>
          <w:lang w:eastAsia="ja-JP"/>
        </w:rPr>
        <w:t xml:space="preserve"> in the innovation process, once they have been commercialized. Although FDA regulation is meant to prevent antisocial drugs and medical devices from reaching consumers, </w:t>
      </w:r>
      <w:proofErr w:type="gramStart"/>
      <w:r w:rsidR="00304DC8">
        <w:rPr>
          <w:lang w:eastAsia="ja-JP"/>
        </w:rPr>
        <w:t>the vast majority of</w:t>
      </w:r>
      <w:proofErr w:type="gramEnd"/>
      <w:r w:rsidR="00304DC8">
        <w:rPr>
          <w:lang w:eastAsia="ja-JP"/>
        </w:rPr>
        <w:t xml:space="preserve"> innovations will not face any meaningful regulatory scrutiny until they reach the market.</w:t>
      </w:r>
      <w:r w:rsidR="00FC253E">
        <w:rPr>
          <w:rStyle w:val="FootnoteReference"/>
          <w:lang w:eastAsia="ja-JP"/>
        </w:rPr>
        <w:footnoteReference w:id="325"/>
      </w:r>
      <w:r w:rsidR="00E03991">
        <w:rPr>
          <w:lang w:eastAsia="ja-JP"/>
        </w:rPr>
        <w:t xml:space="preserve"> Virtually all of our means for limiting antisocial innovation </w:t>
      </w:r>
      <w:r w:rsidR="009C67E3">
        <w:rPr>
          <w:lang w:eastAsia="ja-JP"/>
        </w:rPr>
        <w:t>function</w:t>
      </w:r>
      <w:r w:rsidR="00E03991">
        <w:rPr>
          <w:lang w:eastAsia="ja-JP"/>
        </w:rPr>
        <w:t xml:space="preserve"> ex post. </w:t>
      </w:r>
    </w:p>
    <w:p w14:paraId="2C4155DE" w14:textId="7F642EAF" w:rsidR="00E03991" w:rsidRDefault="00E03991" w:rsidP="001326C9">
      <w:pPr>
        <w:pStyle w:val="BodyText"/>
        <w:rPr>
          <w:lang w:eastAsia="ja-JP"/>
        </w:rPr>
      </w:pPr>
      <w:r>
        <w:rPr>
          <w:lang w:eastAsia="ja-JP"/>
        </w:rPr>
        <w:t>The standard justification for this temporal gap between incentives and regulation is the initial uncertainty surrounding an innovation’s social effects.</w:t>
      </w:r>
      <w:r w:rsidR="00825506">
        <w:rPr>
          <w:rStyle w:val="FootnoteReference"/>
          <w:lang w:eastAsia="ja-JP"/>
        </w:rPr>
        <w:footnoteReference w:id="326"/>
      </w:r>
      <w:r>
        <w:rPr>
          <w:lang w:eastAsia="ja-JP"/>
        </w:rPr>
        <w:t xml:space="preserve"> </w:t>
      </w:r>
      <w:r w:rsidR="00E212C7">
        <w:rPr>
          <w:lang w:eastAsia="ja-JP"/>
        </w:rPr>
        <w:t xml:space="preserve">How could regulators know, at the time of patenting, whether an innovation is going to be pro- or antisocial? We don’t want to dispute this point. Far from it. Rather we wish to emphasize the </w:t>
      </w:r>
      <w:proofErr w:type="gramStart"/>
      <w:r w:rsidR="00E212C7">
        <w:rPr>
          <w:lang w:eastAsia="ja-JP"/>
        </w:rPr>
        <w:t>particular choice</w:t>
      </w:r>
      <w:proofErr w:type="gramEnd"/>
      <w:r w:rsidR="00E212C7">
        <w:rPr>
          <w:lang w:eastAsia="ja-JP"/>
        </w:rPr>
        <w:t xml:space="preserve"> that </w:t>
      </w:r>
      <w:r w:rsidR="005122E8">
        <w:rPr>
          <w:lang w:eastAsia="ja-JP"/>
        </w:rPr>
        <w:t>policymakers have made in light of this uncertainty. That choice is to reward all novel inventions with exclusive rights.</w:t>
      </w:r>
    </w:p>
    <w:p w14:paraId="1D8DC61F" w14:textId="4AE886C2" w:rsidR="005122E8" w:rsidRDefault="005122E8" w:rsidP="001326C9">
      <w:pPr>
        <w:pStyle w:val="BodyText"/>
        <w:rPr>
          <w:lang w:eastAsia="ja-JP"/>
        </w:rPr>
      </w:pPr>
      <w:r>
        <w:rPr>
          <w:lang w:eastAsia="ja-JP"/>
        </w:rPr>
        <w:t xml:space="preserve">Consider a plausible distribution of inventions based on the </w:t>
      </w:r>
      <w:r w:rsidR="00B26E5B">
        <w:rPr>
          <w:lang w:eastAsia="ja-JP"/>
        </w:rPr>
        <w:t>foregoing</w:t>
      </w:r>
      <w:r>
        <w:rPr>
          <w:lang w:eastAsia="ja-JP"/>
        </w:rPr>
        <w:t xml:space="preserve"> analysis.</w:t>
      </w:r>
      <w:r>
        <w:rPr>
          <w:rStyle w:val="FootnoteReference"/>
          <w:lang w:eastAsia="ja-JP"/>
        </w:rPr>
        <w:footnoteReference w:id="327"/>
      </w:r>
      <w:r>
        <w:rPr>
          <w:lang w:eastAsia="ja-JP"/>
        </w:rPr>
        <w:t xml:space="preserve"> </w:t>
      </w:r>
      <w:r w:rsidR="009C67E3">
        <w:rPr>
          <w:lang w:eastAsia="ja-JP"/>
        </w:rPr>
        <w:t>A</w:t>
      </w:r>
      <w:r>
        <w:rPr>
          <w:lang w:eastAsia="ja-JP"/>
        </w:rPr>
        <w:t xml:space="preserve">ssume that out of one hundred inventions, 25% generate net improvements in social welfare, 25% produce net diminutions in social welfare, and 50% don’t really change social welfare one way or the other. And assume that the benefits created by the successful </w:t>
      </w:r>
      <w:r w:rsidR="0035577C">
        <w:rPr>
          <w:lang w:eastAsia="ja-JP"/>
        </w:rPr>
        <w:t>inventions</w:t>
      </w:r>
      <w:r>
        <w:rPr>
          <w:lang w:eastAsia="ja-JP"/>
        </w:rPr>
        <w:t xml:space="preserve"> are equal </w:t>
      </w:r>
      <w:r w:rsidR="00B26E5B">
        <w:rPr>
          <w:lang w:eastAsia="ja-JP"/>
        </w:rPr>
        <w:t xml:space="preserve">in magnitude </w:t>
      </w:r>
      <w:r>
        <w:rPr>
          <w:lang w:eastAsia="ja-JP"/>
        </w:rPr>
        <w:t xml:space="preserve">to the losses created by the harmful ones. </w:t>
      </w:r>
      <w:r w:rsidR="00B26E5B">
        <w:rPr>
          <w:lang w:eastAsia="ja-JP"/>
        </w:rPr>
        <w:t xml:space="preserve">Finally, assume that at the time of </w:t>
      </w:r>
      <w:r w:rsidR="00B26E5B">
        <w:rPr>
          <w:lang w:eastAsia="ja-JP"/>
        </w:rPr>
        <w:lastRenderedPageBreak/>
        <w:t xml:space="preserve">patenting, it’s impossible to know which inventions will fall into which buckets. </w:t>
      </w:r>
    </w:p>
    <w:p w14:paraId="026E43E5" w14:textId="7674577A" w:rsidR="00B26E5B" w:rsidRDefault="00B26E5B" w:rsidP="001326C9">
      <w:pPr>
        <w:pStyle w:val="BodyText"/>
        <w:rPr>
          <w:lang w:eastAsia="ja-JP"/>
        </w:rPr>
      </w:pPr>
      <w:r>
        <w:rPr>
          <w:lang w:eastAsia="ja-JP"/>
        </w:rPr>
        <w:t xml:space="preserve">Patent law’s response to this uncertainty </w:t>
      </w:r>
      <w:r w:rsidR="001967D3">
        <w:rPr>
          <w:lang w:eastAsia="ja-JP"/>
        </w:rPr>
        <w:t>is to give every invention an exclusive right.</w:t>
      </w:r>
      <w:r w:rsidR="001C7970">
        <w:rPr>
          <w:rStyle w:val="FootnoteReference"/>
          <w:lang w:eastAsia="ja-JP"/>
        </w:rPr>
        <w:footnoteReference w:id="328"/>
      </w:r>
      <w:r w:rsidR="001967D3">
        <w:rPr>
          <w:lang w:eastAsia="ja-JP"/>
        </w:rPr>
        <w:t xml:space="preserve"> </w:t>
      </w:r>
      <w:r w:rsidR="00182257">
        <w:rPr>
          <w:lang w:eastAsia="ja-JP"/>
        </w:rPr>
        <w:t xml:space="preserve">All of these excess patents aren’t costless. </w:t>
      </w:r>
      <w:r w:rsidR="00A8277E">
        <w:rPr>
          <w:lang w:eastAsia="ja-JP"/>
        </w:rPr>
        <w:t xml:space="preserve">First, many of these inventions might have been produced without the additional patent incentive, because they were already cost-justified from an R&amp;D perspective (Boxes 1 and 2). These excess patents increase search and design-around costs for competitors, and they create administrative costs for the PTO. Second, and perhaps even worse, patent incentives might be encouraging antisocial inventions. </w:t>
      </w:r>
      <w:r w:rsidR="00182257">
        <w:rPr>
          <w:lang w:eastAsia="ja-JP"/>
        </w:rPr>
        <w:t xml:space="preserve">As we explained in Part </w:t>
      </w:r>
      <w:r w:rsidR="00861BD2">
        <w:rPr>
          <w:lang w:eastAsia="ja-JP"/>
        </w:rPr>
        <w:t>III</w:t>
      </w:r>
      <w:r w:rsidR="00182257">
        <w:rPr>
          <w:lang w:eastAsia="ja-JP"/>
        </w:rPr>
        <w:t>, the exclusivity conferred by a patent might be sufficient to motivate firms to develop otherwise privately costly inventions</w:t>
      </w:r>
      <w:r w:rsidR="00D3075C">
        <w:rPr>
          <w:lang w:eastAsia="ja-JP"/>
        </w:rPr>
        <w:t xml:space="preserve"> that are socially harmful</w:t>
      </w:r>
      <w:r w:rsidR="00182257">
        <w:rPr>
          <w:lang w:eastAsia="ja-JP"/>
        </w:rPr>
        <w:t>. That is, the patent moves the innovation from Box 3 (Negative Private/Negative Social) to Box 1 (Positive Private/Negative Social).</w:t>
      </w:r>
      <w:r w:rsidR="00182257">
        <w:rPr>
          <w:rStyle w:val="FootnoteReference"/>
          <w:lang w:eastAsia="ja-JP"/>
        </w:rPr>
        <w:footnoteReference w:id="329"/>
      </w:r>
      <w:r w:rsidR="00182257">
        <w:rPr>
          <w:lang w:eastAsia="ja-JP"/>
        </w:rPr>
        <w:t xml:space="preserve"> </w:t>
      </w:r>
    </w:p>
    <w:p w14:paraId="1DA25544" w14:textId="2D511E9F" w:rsidR="00B01094" w:rsidRDefault="001A1A60" w:rsidP="001326C9">
      <w:pPr>
        <w:pStyle w:val="BodyText"/>
        <w:rPr>
          <w:lang w:eastAsia="ja-JP"/>
        </w:rPr>
      </w:pPr>
      <w:r>
        <w:rPr>
          <w:lang w:eastAsia="ja-JP"/>
        </w:rPr>
        <w:t xml:space="preserve">Thus, while ex ante uncertainty about an innovation’s welfare effects may be unavoidable, the government’s response to that uncertainty isn’t obvious. Patent law assumes that most innovations fall into Box 4 (Negative Private/Positive Social) and thus need the benefits of exclusivity to be brought into existence. </w:t>
      </w:r>
      <w:r w:rsidR="001C7970">
        <w:rPr>
          <w:lang w:eastAsia="ja-JP"/>
        </w:rPr>
        <w:t>We believe that the foregoing analysis should cause policymakers to question that assumption. A substantial share of potentially patentable innovations may make society worse off (or at least no better off). Even if we can’t tell which ones are which, the appropriate response need not be exclusive rights for all. Rather, we might be better off with a regime that confronted ex ante uncertainty with exclusive rights for none.</w:t>
      </w:r>
    </w:p>
    <w:p w14:paraId="60F6816F" w14:textId="77777777" w:rsidR="00B01094" w:rsidRPr="00187E43" w:rsidRDefault="00B01094" w:rsidP="000A501B">
      <w:pPr>
        <w:pStyle w:val="BodyText"/>
      </w:pPr>
    </w:p>
    <w:p w14:paraId="493613FC" w14:textId="7947F110" w:rsidR="00E95462" w:rsidRDefault="00161574" w:rsidP="00E61D05">
      <w:pPr>
        <w:pStyle w:val="Heading2"/>
      </w:pPr>
      <w:bookmarkStart w:id="90" w:name="_Toc126854789"/>
      <w:r>
        <w:t>Adapting Innovation Policy</w:t>
      </w:r>
      <w:bookmarkEnd w:id="90"/>
    </w:p>
    <w:p w14:paraId="3E8736A6" w14:textId="30E6C3D7" w:rsidR="00161574" w:rsidRDefault="00161574" w:rsidP="001326C9">
      <w:pPr>
        <w:pStyle w:val="BodyText"/>
        <w:rPr>
          <w:lang w:eastAsia="ja-JP"/>
        </w:rPr>
      </w:pPr>
      <w:r>
        <w:rPr>
          <w:lang w:eastAsia="ja-JP"/>
        </w:rPr>
        <w:t xml:space="preserve">The scale of antisocial innovation should cause us to rethink our commitments to promoting innovation, seemingly at all costs. Innovation incentives are necessarily expensive, and policymakers should attempt to </w:t>
      </w:r>
      <w:r w:rsidR="00181A74">
        <w:rPr>
          <w:lang w:eastAsia="ja-JP"/>
        </w:rPr>
        <w:t xml:space="preserve">get their money’s worth. Here, we offer some suggestions that will better align innovation law with social welfare. </w:t>
      </w:r>
      <w:r w:rsidR="00A8277E">
        <w:rPr>
          <w:lang w:eastAsia="ja-JP"/>
        </w:rPr>
        <w:t xml:space="preserve">These proposals are necessarily preliminary, because the empirical data on innovation’s costs and benefits is far from complete. Accordingly, </w:t>
      </w:r>
      <w:r w:rsidR="00464324">
        <w:rPr>
          <w:lang w:eastAsia="ja-JP"/>
        </w:rPr>
        <w:t>we might begin by adopting Stuart Benjamin and Arti Rai’s proposal for the creation of a federal Office for Innovation Policy that oversees the various aspects of innovation governance.</w:t>
      </w:r>
      <w:r w:rsidR="00464324">
        <w:rPr>
          <w:rStyle w:val="FootnoteReference"/>
          <w:lang w:eastAsia="ja-JP"/>
        </w:rPr>
        <w:footnoteReference w:id="330"/>
      </w:r>
      <w:r w:rsidR="00464324">
        <w:rPr>
          <w:lang w:eastAsia="ja-JP"/>
        </w:rPr>
        <w:t xml:space="preserve"> Such an office could </w:t>
      </w:r>
      <w:r w:rsidR="00464324">
        <w:rPr>
          <w:lang w:eastAsia="ja-JP"/>
        </w:rPr>
        <w:lastRenderedPageBreak/>
        <w:t>provide research and offer expert guidance on coordinating mechanisms that promote beneficial innovation and discourage antisocial innovation.</w:t>
      </w:r>
      <w:r w:rsidR="005D207A">
        <w:rPr>
          <w:rStyle w:val="FootnoteReference"/>
          <w:lang w:eastAsia="ja-JP"/>
        </w:rPr>
        <w:footnoteReference w:id="331"/>
      </w:r>
    </w:p>
    <w:p w14:paraId="62285EC7" w14:textId="77777777" w:rsidR="00181A74" w:rsidRPr="00187E43" w:rsidRDefault="00181A74" w:rsidP="000A501B">
      <w:pPr>
        <w:pStyle w:val="BodyText"/>
      </w:pPr>
    </w:p>
    <w:p w14:paraId="48D098EC" w14:textId="72F03391" w:rsidR="00E95462" w:rsidRDefault="00E03991" w:rsidP="00E95462">
      <w:pPr>
        <w:pStyle w:val="Heading3"/>
      </w:pPr>
      <w:bookmarkStart w:id="91" w:name="_Toc126854790"/>
      <w:r>
        <w:t>Modifying Innovation Incentives</w:t>
      </w:r>
      <w:bookmarkEnd w:id="91"/>
    </w:p>
    <w:p w14:paraId="48FA2B58" w14:textId="67F9E696" w:rsidR="00181A74" w:rsidRDefault="00181A74" w:rsidP="001326C9">
      <w:pPr>
        <w:pStyle w:val="BodyText"/>
        <w:rPr>
          <w:lang w:eastAsia="ja-JP"/>
        </w:rPr>
      </w:pPr>
      <w:r>
        <w:rPr>
          <w:lang w:eastAsia="ja-JP"/>
        </w:rPr>
        <w:t xml:space="preserve">Patent law </w:t>
      </w:r>
      <w:r w:rsidR="005D06AA">
        <w:rPr>
          <w:lang w:eastAsia="ja-JP"/>
        </w:rPr>
        <w:t>is</w:t>
      </w:r>
      <w:r>
        <w:rPr>
          <w:lang w:eastAsia="ja-JP"/>
        </w:rPr>
        <w:t xml:space="preserve"> </w:t>
      </w:r>
      <w:r w:rsidR="00A8277E">
        <w:rPr>
          <w:lang w:eastAsia="ja-JP"/>
        </w:rPr>
        <w:t>one of</w:t>
      </w:r>
      <w:r>
        <w:rPr>
          <w:lang w:eastAsia="ja-JP"/>
        </w:rPr>
        <w:t xml:space="preserve"> our biggest expenditure</w:t>
      </w:r>
      <w:r w:rsidR="00A8277E">
        <w:rPr>
          <w:lang w:eastAsia="ja-JP"/>
        </w:rPr>
        <w:t>s</w:t>
      </w:r>
      <w:r>
        <w:rPr>
          <w:lang w:eastAsia="ja-JP"/>
        </w:rPr>
        <w:t xml:space="preserve"> on innovation incentives, even though its costs are borne by consumers and competitors rather than by governments.</w:t>
      </w:r>
      <w:r w:rsidR="00D53689">
        <w:rPr>
          <w:rStyle w:val="FootnoteReference"/>
          <w:lang w:eastAsia="ja-JP"/>
        </w:rPr>
        <w:footnoteReference w:id="332"/>
      </w:r>
      <w:r>
        <w:rPr>
          <w:lang w:eastAsia="ja-JP"/>
        </w:rPr>
        <w:t xml:space="preserve"> </w:t>
      </w:r>
      <w:r w:rsidR="00C14113">
        <w:rPr>
          <w:lang w:eastAsia="ja-JP"/>
        </w:rPr>
        <w:t xml:space="preserve">What are we getting from this enormous contribution to innovative activity? The data are decidedly mixed. At least some of the blame for patent law’s uneven record should be placed on its refusal to screen out harmful inventions. </w:t>
      </w:r>
      <w:r w:rsidR="00EA1F6E">
        <w:rPr>
          <w:lang w:eastAsia="ja-JP"/>
        </w:rPr>
        <w:t xml:space="preserve">As discussed, patent law does virtually nothing to </w:t>
      </w:r>
      <w:r w:rsidR="00244731">
        <w:rPr>
          <w:lang w:eastAsia="ja-JP"/>
        </w:rPr>
        <w:t>prevent</w:t>
      </w:r>
      <w:r w:rsidR="00EA1F6E">
        <w:rPr>
          <w:lang w:eastAsia="ja-JP"/>
        </w:rPr>
        <w:t xml:space="preserve"> antisocial inventions if they are otherwise novel and nonobvious.</w:t>
      </w:r>
      <w:r w:rsidR="006A068D">
        <w:rPr>
          <w:rStyle w:val="FootnoteReference"/>
          <w:lang w:eastAsia="ja-JP"/>
        </w:rPr>
        <w:footnoteReference w:id="333"/>
      </w:r>
      <w:r w:rsidR="00EA1F6E">
        <w:rPr>
          <w:lang w:eastAsia="ja-JP"/>
        </w:rPr>
        <w:t xml:space="preserve"> The law’s utility doctrine is largely meaningless. </w:t>
      </w:r>
    </w:p>
    <w:p w14:paraId="44F6447B" w14:textId="1D4B6F5D" w:rsidR="00244731" w:rsidRDefault="00244731" w:rsidP="001326C9">
      <w:pPr>
        <w:pStyle w:val="BodyText"/>
        <w:rPr>
          <w:lang w:eastAsia="ja-JP"/>
        </w:rPr>
      </w:pPr>
      <w:r>
        <w:rPr>
          <w:lang w:eastAsia="ja-JP"/>
        </w:rPr>
        <w:t>But the story is even worse than that, because patent exclusivity may be affirmatively encouraging antisocial innovations. Return to Figure X above. Innovation is privately costly to firms, and they won’t engage in it unless the expected returns exceed their expected costs. In theory, then, we need not worry about potential innovations in Box 3 that have both negative private value and negative social value. The possibility of patent exclusivity and its concomitant monopoly prices could, however, turn Box 3 innovations into Box 1 innovations, because they are now privately beneficial</w:t>
      </w:r>
      <w:r w:rsidR="006B1B11">
        <w:rPr>
          <w:lang w:eastAsia="ja-JP"/>
        </w:rPr>
        <w:t xml:space="preserve"> but still socially harmful.</w:t>
      </w:r>
    </w:p>
    <w:p w14:paraId="548F5DB4" w14:textId="0758C1C0" w:rsidR="00C14113" w:rsidRDefault="006B1B11" w:rsidP="001326C9">
      <w:pPr>
        <w:pStyle w:val="BodyText"/>
        <w:rPr>
          <w:lang w:eastAsia="ja-JP"/>
        </w:rPr>
      </w:pPr>
      <w:r>
        <w:rPr>
          <w:lang w:eastAsia="ja-JP"/>
        </w:rPr>
        <w:t xml:space="preserve">Consider, for example, e-cigarette devices. In the absence of patent law, a firm might be unwilling to develop an e-cigarette device, knowing that if it produces a successful product, its competitors will quickly and cheaply copy it. </w:t>
      </w:r>
      <w:r w:rsidR="00762E38">
        <w:rPr>
          <w:lang w:eastAsia="ja-JP"/>
        </w:rPr>
        <w:t>But the promise of a patent and the ability to limit copying and competition now make the investment in R&amp;D worthwhile. Now the firm has sufficient incentives to develop and market the device, potentially harming thousands of children.</w:t>
      </w:r>
      <w:r w:rsidR="00762E38">
        <w:rPr>
          <w:rStyle w:val="FootnoteReference"/>
          <w:lang w:eastAsia="ja-JP"/>
        </w:rPr>
        <w:footnoteReference w:id="334"/>
      </w:r>
    </w:p>
    <w:p w14:paraId="730DA249" w14:textId="055AB1B5" w:rsidR="00984CFB" w:rsidRDefault="00984CFB" w:rsidP="001326C9">
      <w:pPr>
        <w:pStyle w:val="BodyText"/>
        <w:rPr>
          <w:lang w:eastAsia="ja-JP"/>
        </w:rPr>
      </w:pPr>
      <w:r>
        <w:rPr>
          <w:lang w:eastAsia="ja-JP"/>
        </w:rPr>
        <w:t xml:space="preserve">Curtailing patent law’s promotion of antisocial innovation is not easy. As we explained above, at the time a patent is granted, the PTO has highly limited information about the patent’s likely effects on human welfare. Moreover, most products—whether harmful or beneficial—involve dozens or even hundreds of patents. Pharmaceuticals tend to have many fewer patents than do other products, and there are likely opportunities for </w:t>
      </w:r>
      <w:r w:rsidR="006D1F48">
        <w:rPr>
          <w:lang w:eastAsia="ja-JP"/>
        </w:rPr>
        <w:t xml:space="preserve">the </w:t>
      </w:r>
      <w:r>
        <w:rPr>
          <w:lang w:eastAsia="ja-JP"/>
        </w:rPr>
        <w:t xml:space="preserve">PTO to work with </w:t>
      </w:r>
      <w:r w:rsidR="006D1F48">
        <w:rPr>
          <w:lang w:eastAsia="ja-JP"/>
        </w:rPr>
        <w:t xml:space="preserve">the </w:t>
      </w:r>
      <w:r>
        <w:rPr>
          <w:lang w:eastAsia="ja-JP"/>
        </w:rPr>
        <w:t>FDA</w:t>
      </w:r>
      <w:r w:rsidR="0070523C">
        <w:rPr>
          <w:lang w:eastAsia="ja-JP"/>
        </w:rPr>
        <w:t xml:space="preserve"> to minimize harmful drugs.</w:t>
      </w:r>
      <w:r w:rsidR="0070523C">
        <w:rPr>
          <w:rStyle w:val="FootnoteReference"/>
          <w:lang w:eastAsia="ja-JP"/>
        </w:rPr>
        <w:footnoteReference w:id="335"/>
      </w:r>
      <w:r w:rsidR="0070523C">
        <w:rPr>
          <w:lang w:eastAsia="ja-JP"/>
        </w:rPr>
        <w:t xml:space="preserve"> But invigorating the utility doctrine to </w:t>
      </w:r>
      <w:r w:rsidR="0070523C">
        <w:rPr>
          <w:lang w:eastAsia="ja-JP"/>
        </w:rPr>
        <w:lastRenderedPageBreak/>
        <w:t xml:space="preserve">screen out potentially harmful patents in other industries is </w:t>
      </w:r>
      <w:r w:rsidR="00627017">
        <w:rPr>
          <w:lang w:eastAsia="ja-JP"/>
        </w:rPr>
        <w:t xml:space="preserve">almost certainly </w:t>
      </w:r>
      <w:r w:rsidR="0070523C">
        <w:rPr>
          <w:lang w:eastAsia="ja-JP"/>
        </w:rPr>
        <w:t xml:space="preserve">futile. </w:t>
      </w:r>
    </w:p>
    <w:p w14:paraId="5E17CD52" w14:textId="65710938" w:rsidR="008D2AA9" w:rsidRDefault="00627017" w:rsidP="001326C9">
      <w:pPr>
        <w:pStyle w:val="BodyText"/>
        <w:rPr>
          <w:lang w:eastAsia="ja-JP"/>
        </w:rPr>
      </w:pPr>
      <w:r>
        <w:rPr>
          <w:lang w:eastAsia="ja-JP"/>
        </w:rPr>
        <w:t>One possible response to patent law’s inability to screen out antisocial innovation is for the government to rely less on patents as incentives and</w:t>
      </w:r>
      <w:r w:rsidR="000D6F89">
        <w:rPr>
          <w:lang w:eastAsia="ja-JP"/>
        </w:rPr>
        <w:t>, instead,</w:t>
      </w:r>
      <w:r>
        <w:rPr>
          <w:lang w:eastAsia="ja-JP"/>
        </w:rPr>
        <w:t xml:space="preserve"> to favor more targeted interventions.</w:t>
      </w:r>
      <w:r w:rsidR="00DA413F">
        <w:rPr>
          <w:lang w:eastAsia="ja-JP"/>
        </w:rPr>
        <w:t xml:space="preserve"> In other words, the prevalence of antisocial innovation should inform</w:t>
      </w:r>
      <w:r w:rsidR="00742B04">
        <w:rPr>
          <w:lang w:eastAsia="ja-JP"/>
        </w:rPr>
        <w:t xml:space="preserve"> both</w:t>
      </w:r>
      <w:r w:rsidR="00DA413F">
        <w:rPr>
          <w:lang w:eastAsia="ja-JP"/>
        </w:rPr>
        <w:t xml:space="preserve"> the “who decides” </w:t>
      </w:r>
      <w:r w:rsidR="00742B04">
        <w:rPr>
          <w:lang w:eastAsia="ja-JP"/>
        </w:rPr>
        <w:t xml:space="preserve">and “who pays” </w:t>
      </w:r>
      <w:r w:rsidR="00DA413F">
        <w:rPr>
          <w:lang w:eastAsia="ja-JP"/>
        </w:rPr>
        <w:t>debate</w:t>
      </w:r>
      <w:r w:rsidR="00742B04">
        <w:rPr>
          <w:lang w:eastAsia="ja-JP"/>
        </w:rPr>
        <w:t>s</w:t>
      </w:r>
      <w:r w:rsidR="00DA413F">
        <w:rPr>
          <w:lang w:eastAsia="ja-JP"/>
        </w:rPr>
        <w:t xml:space="preserve"> regarding allocation of innovation funding.</w:t>
      </w:r>
      <w:r>
        <w:rPr>
          <w:lang w:eastAsia="ja-JP"/>
        </w:rPr>
        <w:t xml:space="preserve"> </w:t>
      </w:r>
      <w:r w:rsidR="00F44FDF">
        <w:rPr>
          <w:lang w:eastAsia="ja-JP"/>
        </w:rPr>
        <w:t>As we outlined above, policymakers have a range of different mechanisms for encouraging innovation, including</w:t>
      </w:r>
      <w:r w:rsidR="0035577C">
        <w:rPr>
          <w:lang w:eastAsia="ja-JP"/>
        </w:rPr>
        <w:t>—</w:t>
      </w:r>
      <w:r w:rsidR="00F44FDF">
        <w:rPr>
          <w:lang w:eastAsia="ja-JP"/>
        </w:rPr>
        <w:t>in addition to patents</w:t>
      </w:r>
      <w:r w:rsidR="0035577C">
        <w:rPr>
          <w:lang w:eastAsia="ja-JP"/>
        </w:rPr>
        <w:t>—</w:t>
      </w:r>
      <w:r w:rsidR="00F44FDF">
        <w:rPr>
          <w:lang w:eastAsia="ja-JP"/>
        </w:rPr>
        <w:t>grants and prizes.</w:t>
      </w:r>
      <w:r w:rsidR="00202947">
        <w:rPr>
          <w:rStyle w:val="FootnoteReference"/>
          <w:lang w:eastAsia="ja-JP"/>
        </w:rPr>
        <w:footnoteReference w:id="336"/>
      </w:r>
      <w:r w:rsidR="00F44FDF">
        <w:rPr>
          <w:lang w:eastAsia="ja-JP"/>
        </w:rPr>
        <w:t xml:space="preserve"> </w:t>
      </w:r>
      <w:r w:rsidR="006A068D">
        <w:rPr>
          <w:lang w:eastAsia="ja-JP"/>
        </w:rPr>
        <w:t>Recent consensus</w:t>
      </w:r>
      <w:r w:rsidR="00F44FDF">
        <w:rPr>
          <w:lang w:eastAsia="ja-JP"/>
        </w:rPr>
        <w:t xml:space="preserve"> </w:t>
      </w:r>
      <w:r w:rsidR="006A068D">
        <w:rPr>
          <w:lang w:eastAsia="ja-JP"/>
        </w:rPr>
        <w:t xml:space="preserve">has </w:t>
      </w:r>
      <w:r w:rsidR="00F44FDF">
        <w:rPr>
          <w:lang w:eastAsia="ja-JP"/>
        </w:rPr>
        <w:t>tended to prefer patents to grants and prizes, because the latter have increased informational demands for the government.</w:t>
      </w:r>
      <w:r w:rsidR="00202947">
        <w:rPr>
          <w:rStyle w:val="FootnoteReference"/>
          <w:lang w:eastAsia="ja-JP"/>
        </w:rPr>
        <w:footnoteReference w:id="337"/>
      </w:r>
      <w:r w:rsidR="00F44FDF">
        <w:rPr>
          <w:lang w:eastAsia="ja-JP"/>
        </w:rPr>
        <w:t xml:space="preserve"> The government must have a sense of which innovations will be most valuable, how much motivation is needed to pursue them, and, in the case of grants, which innovators are most likely to succeed. Patents, in theory, solve these informational problems by relying on consumers and markets to pick winners and motivate innovation. </w:t>
      </w:r>
    </w:p>
    <w:p w14:paraId="50544CE9" w14:textId="505C7F76" w:rsidR="006A068D" w:rsidRDefault="00F44FDF" w:rsidP="001326C9">
      <w:pPr>
        <w:pStyle w:val="BodyText"/>
        <w:rPr>
          <w:lang w:eastAsia="ja-JP"/>
        </w:rPr>
      </w:pPr>
      <w:r>
        <w:rPr>
          <w:lang w:eastAsia="ja-JP"/>
        </w:rPr>
        <w:t>Th</w:t>
      </w:r>
      <w:r w:rsidR="005A0814">
        <w:rPr>
          <w:lang w:eastAsia="ja-JP"/>
        </w:rPr>
        <w:t>is</w:t>
      </w:r>
      <w:r>
        <w:rPr>
          <w:lang w:eastAsia="ja-JP"/>
        </w:rPr>
        <w:t xml:space="preserve"> Article has shown, however, that our faith in innovation markets—and thus in patents—is overblown. </w:t>
      </w:r>
      <w:r w:rsidR="006A068D">
        <w:rPr>
          <w:lang w:eastAsia="ja-JP"/>
        </w:rPr>
        <w:t xml:space="preserve">Many markets are far from perfect and will tend to generate products that do not make people better off in the net. And </w:t>
      </w:r>
      <w:r w:rsidR="00EE24EF">
        <w:rPr>
          <w:lang w:eastAsia="ja-JP"/>
        </w:rPr>
        <w:t>due</w:t>
      </w:r>
      <w:r w:rsidR="006A068D">
        <w:rPr>
          <w:lang w:eastAsia="ja-JP"/>
        </w:rPr>
        <w:t xml:space="preserve"> to cognitive biases or addiction, consumers may repeatedly purchase products that harm them. Finally, markets will often fail to internalize innovation’s costs to the environment, privacy, and distributional outcomes. </w:t>
      </w:r>
      <w:r w:rsidR="00A30236">
        <w:rPr>
          <w:lang w:eastAsia="ja-JP"/>
        </w:rPr>
        <w:t xml:space="preserve">To the extent that this is correct, policymakers should, all else equal, tend to prefer more directed innovation incentives like grants and prizes. </w:t>
      </w:r>
    </w:p>
    <w:p w14:paraId="51F52936" w14:textId="38C8678E" w:rsidR="006A068D" w:rsidRDefault="006A068D" w:rsidP="001326C9">
      <w:pPr>
        <w:pStyle w:val="BodyText"/>
        <w:rPr>
          <w:lang w:eastAsia="ja-JP"/>
        </w:rPr>
      </w:pPr>
      <w:r>
        <w:rPr>
          <w:lang w:eastAsia="ja-JP"/>
        </w:rPr>
        <w:t xml:space="preserve">Assume, for example, that a government is currently spending $1 trillion on innovation incentives, spread equally between patents and grants. If it wanted to keep the overall incentive level the same while boosting the share of grants, two things would have to happen. First, it would have to reduce the patent incentive by shortening patent duration, making patents harder to obtain, or reducing patent scope. Second, </w:t>
      </w:r>
      <w:r w:rsidR="00742B04">
        <w:rPr>
          <w:lang w:eastAsia="ja-JP"/>
        </w:rPr>
        <w:t xml:space="preserve">the government would have to increase the amount of public funding for innovation. While the latter move might appear politically unpopular, this is only because consumers often fail to recognize the extent to which they are already paying for the innovation incentives of the patent system. Increased education about the costs as well as the benefits of patents would be valuable. </w:t>
      </w:r>
    </w:p>
    <w:p w14:paraId="7731460D" w14:textId="51EE0FB4" w:rsidR="00C7030C" w:rsidRDefault="00A30236" w:rsidP="001326C9">
      <w:pPr>
        <w:pStyle w:val="BodyText"/>
        <w:rPr>
          <w:lang w:eastAsia="ja-JP"/>
        </w:rPr>
      </w:pPr>
      <w:r>
        <w:rPr>
          <w:lang w:eastAsia="ja-JP"/>
        </w:rPr>
        <w:t xml:space="preserve">Policymakers may have imperfect knowledge about which innovations are likely to contribute the most to social welfare, but, we hope, they are less likely than the utility-blind patent system to favor innovations that are affirmatively harmful to society. </w:t>
      </w:r>
      <w:r w:rsidR="00C7030C">
        <w:rPr>
          <w:lang w:eastAsia="ja-JP"/>
        </w:rPr>
        <w:t xml:space="preserve">We do not intend to </w:t>
      </w:r>
      <w:r w:rsidR="00886027">
        <w:rPr>
          <w:lang w:eastAsia="ja-JP"/>
        </w:rPr>
        <w:t>seem</w:t>
      </w:r>
      <w:r w:rsidR="00C7030C">
        <w:rPr>
          <w:lang w:eastAsia="ja-JP"/>
        </w:rPr>
        <w:t xml:space="preserve"> overly sanguine about the state’s ability to direct innovation. Certainly, research grants have supported the development of drugs </w:t>
      </w:r>
      <w:r w:rsidR="00886027">
        <w:rPr>
          <w:lang w:eastAsia="ja-JP"/>
        </w:rPr>
        <w:t>and</w:t>
      </w:r>
      <w:r w:rsidR="00C7030C">
        <w:rPr>
          <w:lang w:eastAsia="ja-JP"/>
        </w:rPr>
        <w:t xml:space="preserve"> chemicals that turned out to cause grave social </w:t>
      </w:r>
      <w:r w:rsidR="00C7030C">
        <w:rPr>
          <w:lang w:eastAsia="ja-JP"/>
        </w:rPr>
        <w:lastRenderedPageBreak/>
        <w:t>harms.</w:t>
      </w:r>
      <w:r w:rsidR="005A0814">
        <w:rPr>
          <w:rStyle w:val="FootnoteReference"/>
          <w:lang w:eastAsia="ja-JP"/>
        </w:rPr>
        <w:footnoteReference w:id="338"/>
      </w:r>
      <w:r w:rsidR="00C7030C">
        <w:rPr>
          <w:lang w:eastAsia="ja-JP"/>
        </w:rPr>
        <w:t xml:space="preserve"> </w:t>
      </w:r>
      <w:r w:rsidR="00886027">
        <w:rPr>
          <w:lang w:eastAsia="ja-JP"/>
        </w:rPr>
        <w:t xml:space="preserve">Our claim is more modest. Once we recognize the existence and scale of antisocial innovation, our confidence in the patent system should decrease. </w:t>
      </w:r>
    </w:p>
    <w:p w14:paraId="035A1B1D" w14:textId="77777777" w:rsidR="00C14113" w:rsidRPr="00187E43" w:rsidRDefault="00C14113" w:rsidP="000A216B">
      <w:pPr>
        <w:ind w:firstLine="360"/>
      </w:pPr>
    </w:p>
    <w:p w14:paraId="0A21445A" w14:textId="35330E41" w:rsidR="005409B2" w:rsidRDefault="005409B2" w:rsidP="00604B15">
      <w:pPr>
        <w:pStyle w:val="Heading3"/>
      </w:pPr>
      <w:bookmarkStart w:id="92" w:name="_Toc126854791"/>
      <w:r>
        <w:t>Intensifying Ex Ante Scrutiny</w:t>
      </w:r>
      <w:bookmarkEnd w:id="92"/>
    </w:p>
    <w:p w14:paraId="02B6B1E1" w14:textId="515818F1" w:rsidR="005409B2" w:rsidRDefault="005409B2" w:rsidP="005409B2">
      <w:pPr>
        <w:pStyle w:val="BodyText"/>
        <w:rPr>
          <w:lang w:eastAsia="ja-JP"/>
        </w:rPr>
      </w:pPr>
    </w:p>
    <w:p w14:paraId="10CC7858" w14:textId="460C1305" w:rsidR="005409B2" w:rsidRDefault="005409B2" w:rsidP="005409B2">
      <w:pPr>
        <w:ind w:firstLine="720"/>
        <w:rPr>
          <w:lang w:eastAsia="ja-JP"/>
        </w:rPr>
      </w:pPr>
      <w:r>
        <w:rPr>
          <w:lang w:eastAsia="ja-JP"/>
        </w:rPr>
        <w:t>The incidence of antisocial innovation also should affect our thinking about the relative merits of ex ante and ex post regulation of harmful products. Currently only a small set of new products—mostly pharmaceuticals and pesticides—require governmental pre-approval before firms can market them.</w:t>
      </w:r>
      <w:r w:rsidR="002D669E">
        <w:rPr>
          <w:rStyle w:val="FootnoteReference"/>
          <w:lang w:eastAsia="ja-JP"/>
        </w:rPr>
        <w:footnoteReference w:id="339"/>
      </w:r>
      <w:r>
        <w:rPr>
          <w:lang w:eastAsia="ja-JP"/>
        </w:rPr>
        <w:t xml:space="preserve"> The vast majority of new products enter the market without any governmental scrutiny.</w:t>
      </w:r>
      <w:r w:rsidR="00464D8C">
        <w:rPr>
          <w:rStyle w:val="FootnoteReference"/>
          <w:lang w:eastAsia="ja-JP"/>
        </w:rPr>
        <w:footnoteReference w:id="340"/>
      </w:r>
      <w:r>
        <w:rPr>
          <w:lang w:eastAsia="ja-JP"/>
        </w:rPr>
        <w:t xml:space="preserve"> If these products ultimately harm consumers, those harms eventually might be addressed by regulation, though that is likely to take some time. Victims also might be able to seek redress through tort litigation. </w:t>
      </w:r>
      <w:r w:rsidR="00137D1F">
        <w:rPr>
          <w:lang w:eastAsia="ja-JP"/>
        </w:rPr>
        <w:t xml:space="preserve">The regulatory strategy is, effectively, “innocent until proven guilty,” or, as we have termed it, the Inverse Precautionary Principle. </w:t>
      </w:r>
    </w:p>
    <w:p w14:paraId="1A8A40FD" w14:textId="3C440F0D" w:rsidR="005409B2" w:rsidRDefault="00137D1F" w:rsidP="00137D1F">
      <w:pPr>
        <w:ind w:firstLine="720"/>
        <w:rPr>
          <w:lang w:eastAsia="ja-JP"/>
        </w:rPr>
      </w:pPr>
      <w:r>
        <w:rPr>
          <w:lang w:eastAsia="ja-JP"/>
        </w:rPr>
        <w:t xml:space="preserve">Given the scale of antisocial innovation discussed in this Article, that approach begins to look less justifiable. </w:t>
      </w:r>
      <w:r w:rsidR="005409B2">
        <w:rPr>
          <w:lang w:eastAsia="ja-JP"/>
        </w:rPr>
        <w:t xml:space="preserve">A better approach might be to increase the number of new products subject to ex ante review. Products with the potential to harm large numbers of people are particularly good candidates. Financial products that pose a systemic risk or that might cause widespread consumer harm are an example. Algorithms that might increase invidious forms of discrimination or shift wealth from consumers to sellers are another. </w:t>
      </w:r>
    </w:p>
    <w:p w14:paraId="3BC1AC3F" w14:textId="79AEEF9C" w:rsidR="005409B2" w:rsidRDefault="00137D1F" w:rsidP="00D537D3">
      <w:pPr>
        <w:pStyle w:val="BodyText"/>
      </w:pPr>
      <w:r>
        <w:t>For example, t</w:t>
      </w:r>
      <w:r w:rsidR="005409B2" w:rsidRPr="00737CF7">
        <w:t xml:space="preserve">o address the threat of harmful innovation in financial products, </w:t>
      </w:r>
      <w:r w:rsidR="005409B2">
        <w:t xml:space="preserve">for instance, </w:t>
      </w:r>
      <w:r w:rsidR="005409B2" w:rsidRPr="00737CF7">
        <w:t xml:space="preserve">Eric Posner and Glen Weyl have proposed creating a regulatory agency for the financial sector akin to the </w:t>
      </w:r>
      <w:r w:rsidR="00C93C6B">
        <w:t>FDA</w:t>
      </w:r>
      <w:r w:rsidR="005409B2" w:rsidRPr="00737CF7">
        <w:t>.</w:t>
      </w:r>
      <w:r w:rsidR="005409B2" w:rsidRPr="00737CF7">
        <w:rPr>
          <w:rStyle w:val="FootnoteReference"/>
        </w:rPr>
        <w:footnoteReference w:id="341"/>
      </w:r>
      <w:r w:rsidR="005409B2" w:rsidRPr="00737CF7">
        <w:t xml:space="preserve"> Firms would be required to seek approval from this agency before marketing new financial products.</w:t>
      </w:r>
      <w:r w:rsidR="005409B2" w:rsidRPr="00737CF7">
        <w:rPr>
          <w:rStyle w:val="FootnoteReference"/>
        </w:rPr>
        <w:footnoteReference w:id="342"/>
      </w:r>
      <w:r w:rsidR="005409B2" w:rsidRPr="00737CF7">
        <w:t xml:space="preserve"> </w:t>
      </w:r>
      <w:r>
        <w:t>Because</w:t>
      </w:r>
      <w:r w:rsidR="005409B2" w:rsidRPr="00737CF7">
        <w:t xml:space="preserve"> financial innovations can be beneficial or harmful</w:t>
      </w:r>
      <w:r>
        <w:t>,</w:t>
      </w:r>
      <w:r w:rsidR="005409B2" w:rsidRPr="00737CF7">
        <w:t xml:space="preserve"> this agency would be tasked with preventing harmful innovations from reaching the market.</w:t>
      </w:r>
      <w:r w:rsidR="005409B2" w:rsidRPr="00737CF7">
        <w:rPr>
          <w:rStyle w:val="FootnoteReference"/>
        </w:rPr>
        <w:footnoteReference w:id="343"/>
      </w:r>
    </w:p>
    <w:p w14:paraId="70D79820" w14:textId="7AFC442D" w:rsidR="004E193F" w:rsidRDefault="004E193F" w:rsidP="00D537D3">
      <w:pPr>
        <w:pStyle w:val="BodyText"/>
      </w:pPr>
      <w:r>
        <w:t xml:space="preserve">We could also imagine a federal agency tasked with evaluating the privacy implications of new products and services before they hit the market. Such an agency, while perhaps not given the broad regulatory authority of the FDA, </w:t>
      </w:r>
      <w:r>
        <w:lastRenderedPageBreak/>
        <w:t>could still issue guidance or consumer warnings about potentially dangerous product</w:t>
      </w:r>
      <w:r w:rsidR="00D64F6F">
        <w:t>s, much like the EPA does for pesticides and other new chemicals. Similarly, the Department of Labor could be given regulatory oversight for innovations that surveil workers.</w:t>
      </w:r>
    </w:p>
    <w:p w14:paraId="3AD05C86" w14:textId="437C0BA0" w:rsidR="009F4115" w:rsidRPr="000A216B" w:rsidRDefault="009F4115" w:rsidP="00D537D3">
      <w:pPr>
        <w:pStyle w:val="BodyText"/>
        <w:rPr>
          <w:lang w:eastAsia="ja-JP"/>
        </w:rPr>
      </w:pPr>
      <w:r>
        <w:t xml:space="preserve">None of these interventions is costless. Agencies are expensive to run, </w:t>
      </w:r>
      <w:r w:rsidR="00596C4D">
        <w:t xml:space="preserve">and regulation may cause us to miss out on net beneficial products. We are not </w:t>
      </w:r>
      <w:r w:rsidR="00C93C6B">
        <w:t xml:space="preserve">proposing </w:t>
      </w:r>
      <w:r w:rsidR="00596C4D">
        <w:t>a wholesale adoption of “guilty until proven innocent” for new products. Rather, based on a more wholistic understanding of the range of pro- and antisocial innovations, we embrace a risk-risk framework that acknowledges both the risks of foregone innovation benefits and the risks of human, environmental, social, and distributional costs.</w:t>
      </w:r>
      <w:r w:rsidR="00596C4D">
        <w:rPr>
          <w:rStyle w:val="FootnoteReference"/>
        </w:rPr>
        <w:footnoteReference w:id="344"/>
      </w:r>
      <w:r w:rsidR="00596C4D">
        <w:t xml:space="preserve"> </w:t>
      </w:r>
    </w:p>
    <w:p w14:paraId="05C02E8C" w14:textId="1DE84FE8" w:rsidR="005409B2" w:rsidRDefault="005409B2" w:rsidP="005409B2">
      <w:pPr>
        <w:pStyle w:val="Heading3"/>
      </w:pPr>
      <w:bookmarkStart w:id="93" w:name="_Toc126854792"/>
      <w:r>
        <w:t xml:space="preserve">Adapting </w:t>
      </w:r>
      <w:r w:rsidR="00902508">
        <w:t>Antitrust</w:t>
      </w:r>
      <w:r>
        <w:t xml:space="preserve"> Law</w:t>
      </w:r>
      <w:bookmarkEnd w:id="93"/>
    </w:p>
    <w:p w14:paraId="23C34342" w14:textId="77777777" w:rsidR="005409B2" w:rsidRPr="000A216B" w:rsidRDefault="005409B2" w:rsidP="005409B2">
      <w:pPr>
        <w:pStyle w:val="BodyText"/>
        <w:rPr>
          <w:lang w:eastAsia="ja-JP"/>
        </w:rPr>
      </w:pPr>
    </w:p>
    <w:p w14:paraId="5DD41207" w14:textId="7FAB3DA0" w:rsidR="00C62623" w:rsidRDefault="00151476" w:rsidP="006F1067">
      <w:pPr>
        <w:ind w:firstLine="360"/>
      </w:pPr>
      <w:r>
        <w:t>Finally, t</w:t>
      </w:r>
      <w:r w:rsidR="00C62623">
        <w:t xml:space="preserve">he prevalence of antisocial innovation </w:t>
      </w:r>
      <w:proofErr w:type="gramStart"/>
      <w:r w:rsidR="00C62623">
        <w:t>counsels</w:t>
      </w:r>
      <w:proofErr w:type="gramEnd"/>
      <w:r w:rsidR="00C62623">
        <w:t xml:space="preserve"> changes to antitrust doctrine. The changes we propose need not be radical departures from bedrock antitrust principles. Indeed, they are consistent with the consumer welfare standard. Our proposals all follow the same basic admonition: Antitrust law should abandon the Inverse Precautionary Principle when evaluating liability, and should actively weigh the costs and benefits of challenged conduct rather than uncritically accepting innovation as beneficial. We propose that antitrust courts and enforcers take into account the quality of innovation in four scenarios: when a monopolist’s product changes harm downstream competitors; when merging parties assert enhanced innovation as a procompetitive justification for a deal; when defendants in conduct cases point to increased output of new products in an attempt to defeat claims of anticompetitive effects; and when competitors agree to measures that would limit antisocial innovation or promote beneficial innovation.</w:t>
      </w:r>
    </w:p>
    <w:p w14:paraId="2BC47AB9" w14:textId="62FDC953" w:rsidR="00C62623" w:rsidRDefault="00C62623" w:rsidP="00C62623">
      <w:pPr>
        <w:ind w:firstLine="720"/>
      </w:pPr>
      <w:r>
        <w:t xml:space="preserve">First, in product design cases, </w:t>
      </w:r>
      <w:r w:rsidR="00304DD0">
        <w:t>courts</w:t>
      </w:r>
      <w:r>
        <w:t xml:space="preserve"> should more thoroughly evaluate the relative costs and benefits of an allegedly innovative new product design that has the effect of harming rivals. To be clear, this is not a call for a full-blown cost-benefit analysis. Nor do we mean to stack the deck in favor of static rivals who are outpaced by more innovative competitors. Rather, we propose simple changes to the standard for anticompetitive product design, including requiring defendants to demonstrate more than trivial product improvements. When a monopolist’s tweaks to its dominant product harm competition and reduce the prospects for more significant innovations, either by the monopolist or its competitors, the quality of those tweaks should matter.</w:t>
      </w:r>
    </w:p>
    <w:p w14:paraId="2BA4DF6E" w14:textId="718C1F24" w:rsidR="00C62623" w:rsidRDefault="00C62623" w:rsidP="00C62623">
      <w:pPr>
        <w:ind w:firstLine="720"/>
      </w:pPr>
      <w:r>
        <w:t xml:space="preserve">Precedent </w:t>
      </w:r>
      <w:r w:rsidR="00B0796E">
        <w:t xml:space="preserve">exists for this approach. </w:t>
      </w:r>
      <w:r>
        <w:t xml:space="preserve">In a 2015 </w:t>
      </w:r>
      <w:r w:rsidR="001114FE">
        <w:t>opinion</w:t>
      </w:r>
      <w:r>
        <w:t xml:space="preserve">, </w:t>
      </w:r>
      <w:r w:rsidRPr="00A947DF">
        <w:rPr>
          <w:i/>
          <w:iCs/>
        </w:rPr>
        <w:t>New York v. Actavis</w:t>
      </w:r>
      <w:r>
        <w:t xml:space="preserve">, the Second Circuit suggested that the quality of an innovation should matter in determining antitrust liability in a </w:t>
      </w:r>
      <w:r w:rsidR="008E5F27">
        <w:t xml:space="preserve">pharmaceutical </w:t>
      </w:r>
      <w:r w:rsidR="00834678">
        <w:t>“</w:t>
      </w:r>
      <w:r>
        <w:t>product-hopping</w:t>
      </w:r>
      <w:r w:rsidR="00834678">
        <w:t>”</w:t>
      </w:r>
      <w:r>
        <w:t xml:space="preserve"> </w:t>
      </w:r>
      <w:r>
        <w:lastRenderedPageBreak/>
        <w:t>case.</w:t>
      </w:r>
      <w:r w:rsidR="001114FE">
        <w:rPr>
          <w:rStyle w:val="FootnoteReference"/>
        </w:rPr>
        <w:footnoteReference w:id="345"/>
      </w:r>
      <w:r>
        <w:t xml:space="preserve"> </w:t>
      </w:r>
      <w:r w:rsidR="004953F1">
        <w:t>In this case, t</w:t>
      </w:r>
      <w:r>
        <w:t>he patent on a lucrative Actavis drug</w:t>
      </w:r>
      <w:r w:rsidR="00264B3E">
        <w:t xml:space="preserve"> </w:t>
      </w:r>
      <w:r w:rsidR="003736E4">
        <w:t xml:space="preserve">for treating Alzheimer’s </w:t>
      </w:r>
      <w:r w:rsidR="005B0B6E">
        <w:t xml:space="preserve">disease </w:t>
      </w:r>
      <w:r>
        <w:t>was expiring.</w:t>
      </w:r>
      <w:r w:rsidR="00125E9B">
        <w:rPr>
          <w:rStyle w:val="FootnoteReference"/>
        </w:rPr>
        <w:footnoteReference w:id="346"/>
      </w:r>
      <w:r>
        <w:t xml:space="preserve"> In response, Actavis developed a new version of the drug that was “extended release” (XR)</w:t>
      </w:r>
      <w:r w:rsidR="00341687">
        <w:t>,</w:t>
      </w:r>
      <w:r>
        <w:t xml:space="preserve"> </w:t>
      </w:r>
      <w:r w:rsidR="00BB3FEE">
        <w:t>which</w:t>
      </w:r>
      <w:r>
        <w:t xml:space="preserve"> a patient took once a day, rather than “immediate release” (IR), which a patient took twice a day.</w:t>
      </w:r>
      <w:r w:rsidR="00125E9B">
        <w:rPr>
          <w:rStyle w:val="FootnoteReference"/>
        </w:rPr>
        <w:footnoteReference w:id="347"/>
      </w:r>
      <w:r>
        <w:t xml:space="preserve"> At the same time, Actavis tried to move patients away from the old version of its drug to the new version.</w:t>
      </w:r>
      <w:r w:rsidR="00F10E12">
        <w:rPr>
          <w:rStyle w:val="FootnoteReference"/>
        </w:rPr>
        <w:footnoteReference w:id="348"/>
      </w:r>
      <w:r>
        <w:t xml:space="preserve"> Ultimately Actavis discontinued the old version, creating a barrier to entry for generic equivalents poised to enter the market.</w:t>
      </w:r>
      <w:r w:rsidR="00125E9B">
        <w:rPr>
          <w:rStyle w:val="FootnoteReference"/>
        </w:rPr>
        <w:footnoteReference w:id="349"/>
      </w:r>
      <w:r>
        <w:t xml:space="preserve"> </w:t>
      </w:r>
    </w:p>
    <w:p w14:paraId="6F1C38BA" w14:textId="3DEC7934" w:rsidR="00C62623" w:rsidRDefault="00C62623" w:rsidP="006F1067">
      <w:pPr>
        <w:ind w:firstLine="360"/>
      </w:pPr>
      <w:r>
        <w:t xml:space="preserve">New York State sued Actavis, asserting that by introducing </w:t>
      </w:r>
      <w:r w:rsidR="00936A2C">
        <w:t xml:space="preserve">its </w:t>
      </w:r>
      <w:r>
        <w:t xml:space="preserve">XR </w:t>
      </w:r>
      <w:r w:rsidR="00936A2C">
        <w:t xml:space="preserve">version </w:t>
      </w:r>
      <w:r>
        <w:t xml:space="preserve">as </w:t>
      </w:r>
      <w:r w:rsidR="00936A2C">
        <w:t xml:space="preserve">the </w:t>
      </w:r>
      <w:r>
        <w:t xml:space="preserve">IR </w:t>
      </w:r>
      <w:r w:rsidR="00936A2C">
        <w:t>version n</w:t>
      </w:r>
      <w:r>
        <w:t xml:space="preserve">eared the end of its patent exclusivity, and </w:t>
      </w:r>
      <w:r w:rsidR="008E5F27">
        <w:t>withdrawing IR from the market</w:t>
      </w:r>
      <w:r>
        <w:t xml:space="preserve"> before generic IR was available, Actavis attempted to forestall generic competition and maintain its monopoly in the market for </w:t>
      </w:r>
      <w:r w:rsidR="008060C0">
        <w:t>certain Alzheimer</w:t>
      </w:r>
      <w:r w:rsidR="006C62E4">
        <w:t>’</w:t>
      </w:r>
      <w:r w:rsidR="008060C0">
        <w:t xml:space="preserve">s </w:t>
      </w:r>
      <w:r>
        <w:t>drugs.</w:t>
      </w:r>
      <w:r w:rsidR="00152AAF">
        <w:rPr>
          <w:rStyle w:val="FootnoteReference"/>
        </w:rPr>
        <w:footnoteReference w:id="350"/>
      </w:r>
      <w:r>
        <w:t xml:space="preserve"> The district court granted New York’s request for a preliminary injunction</w:t>
      </w:r>
      <w:r w:rsidR="005E5185">
        <w:t>.</w:t>
      </w:r>
      <w:r w:rsidR="005E5185">
        <w:rPr>
          <w:rStyle w:val="FootnoteReference"/>
        </w:rPr>
        <w:footnoteReference w:id="351"/>
      </w:r>
    </w:p>
    <w:p w14:paraId="64DF95C6" w14:textId="0B48A4D2" w:rsidR="00C62623" w:rsidRDefault="00C62623" w:rsidP="006F1067">
      <w:pPr>
        <w:ind w:firstLine="360"/>
      </w:pPr>
      <w:r>
        <w:t>On appeal, the Second Circuit upheld the preliminary injunction, situating New</w:t>
      </w:r>
      <w:r w:rsidR="002E2E0A">
        <w:t xml:space="preserve"> </w:t>
      </w:r>
      <w:r>
        <w:t xml:space="preserve">York’s product-hopping claim in the </w:t>
      </w:r>
      <w:r w:rsidR="00C93C6B">
        <w:t>S</w:t>
      </w:r>
      <w:r>
        <w:t xml:space="preserve">ection 2 case law on product </w:t>
      </w:r>
      <w:r w:rsidR="00960A9E">
        <w:t>redesign</w:t>
      </w:r>
      <w:r>
        <w:t>.</w:t>
      </w:r>
      <w:r>
        <w:rPr>
          <w:rStyle w:val="FootnoteReference"/>
        </w:rPr>
        <w:footnoteReference w:id="352"/>
      </w:r>
      <w:r w:rsidR="00F26878">
        <w:t xml:space="preserve"> The</w:t>
      </w:r>
      <w:r>
        <w:t xml:space="preserve"> </w:t>
      </w:r>
      <w:r w:rsidR="00F26878">
        <w:t>court</w:t>
      </w:r>
      <w:r>
        <w:t xml:space="preserve"> held that “product redesign is anticompetitive when it coerces consumers and impedes competition.”</w:t>
      </w:r>
      <w:r>
        <w:rPr>
          <w:rStyle w:val="FootnoteReference"/>
        </w:rPr>
        <w:footnoteReference w:id="353"/>
      </w:r>
      <w:r>
        <w:t xml:space="preserve"> Further, </w:t>
      </w:r>
      <w:r w:rsidR="00F54C4A">
        <w:t>it</w:t>
      </w:r>
      <w:r>
        <w:t xml:space="preserve"> observed, that while “neither product withdrawal nor product improvement alone is anticompetitive,” if a “monopolist </w:t>
      </w:r>
      <w:r>
        <w:rPr>
          <w:i/>
          <w:iCs/>
        </w:rPr>
        <w:t xml:space="preserve">combines </w:t>
      </w:r>
      <w:r>
        <w:t>product withdrawal with some other conduct” which coerces consumers rather than attracting them “on the merits,” it has violated the Sherman Act.</w:t>
      </w:r>
      <w:r w:rsidR="00DD6B1C">
        <w:rPr>
          <w:rStyle w:val="FootnoteReference"/>
        </w:rPr>
        <w:footnoteReference w:id="354"/>
      </w:r>
      <w:r>
        <w:t xml:space="preserve"> </w:t>
      </w:r>
    </w:p>
    <w:p w14:paraId="7081C88F" w14:textId="2F789F64" w:rsidR="00C62623" w:rsidRDefault="00C62623" w:rsidP="006F1067">
      <w:pPr>
        <w:ind w:firstLine="360"/>
      </w:pPr>
      <w:r>
        <w:t xml:space="preserve">The Second Circuit’s conclusion in </w:t>
      </w:r>
      <w:r>
        <w:rPr>
          <w:i/>
          <w:iCs/>
        </w:rPr>
        <w:t xml:space="preserve">Actavis </w:t>
      </w:r>
      <w:r>
        <w:t>had more to do with defendant’s marketing conduct than with its product change. But the court arguably considered the quality of Actavis’s alleged innovation too. Defendant argued that antitrust intervention in the pharmaceutical sector would chill innovation.</w:t>
      </w:r>
      <w:r w:rsidR="00691AFA">
        <w:rPr>
          <w:rStyle w:val="FootnoteReference"/>
        </w:rPr>
        <w:footnoteReference w:id="355"/>
      </w:r>
      <w:r>
        <w:t xml:space="preserve"> The court rejected this assertion and found that the opposite might well be true: “immunizing product hopping from antitrust scrutiny may deter significant innovation by encouraging manufacturers to focus on” creating “trivial or minor product reformulations rather than investing in the research and </w:t>
      </w:r>
      <w:r>
        <w:lastRenderedPageBreak/>
        <w:t>development necessary to develop riskier, but medically significant innovations.”</w:t>
      </w:r>
      <w:r>
        <w:rPr>
          <w:rStyle w:val="FootnoteReference"/>
        </w:rPr>
        <w:footnoteReference w:id="356"/>
      </w:r>
      <w:r w:rsidR="00905307">
        <w:t xml:space="preserve"> </w:t>
      </w:r>
    </w:p>
    <w:p w14:paraId="6FC77B50" w14:textId="20A7952E" w:rsidR="00C62623" w:rsidRDefault="00C62623" w:rsidP="000A216B">
      <w:pPr>
        <w:ind w:firstLine="360"/>
      </w:pPr>
      <w:r>
        <w:t>Th</w:t>
      </w:r>
      <w:r w:rsidR="00EF44FB">
        <w:t>is</w:t>
      </w:r>
      <w:r>
        <w:t xml:space="preserve"> </w:t>
      </w:r>
      <w:r w:rsidR="00E70684">
        <w:t>analysis,</w:t>
      </w:r>
      <w:r>
        <w:t xml:space="preserve"> contrasting “significant innovation” with “trivial or minor product reformulations</w:t>
      </w:r>
      <w:r w:rsidR="00E70684">
        <w:t>,</w:t>
      </w:r>
      <w:r>
        <w:t xml:space="preserve">” is a step in the right direction. Similar language can be found in an early Ninth Circuit predatory product design case, </w:t>
      </w:r>
      <w:r w:rsidRPr="00E32F9F">
        <w:rPr>
          <w:i/>
          <w:iCs/>
        </w:rPr>
        <w:t>In re IBM Peripheral EDP Devices Antitrust Litigation</w:t>
      </w:r>
      <w:r>
        <w:t>.</w:t>
      </w:r>
      <w:r w:rsidR="00C91F31">
        <w:rPr>
          <w:rStyle w:val="FootnoteReference"/>
        </w:rPr>
        <w:footnoteReference w:id="357"/>
      </w:r>
      <w:r>
        <w:t xml:space="preserve"> The Ninth Circuit </w:t>
      </w:r>
      <w:r w:rsidR="008E5F27">
        <w:t>held</w:t>
      </w:r>
      <w:r>
        <w:t xml:space="preserve"> </w:t>
      </w:r>
      <w:r w:rsidR="008E5F27">
        <w:t xml:space="preserve">that to determine if a monopolist’s product change is predatory, </w:t>
      </w:r>
      <w:r w:rsidRPr="00E32F9F">
        <w:t xml:space="preserve">the fact finder </w:t>
      </w:r>
      <w:r w:rsidR="008E5F27">
        <w:t>sho</w:t>
      </w:r>
      <w:r w:rsidRPr="00E32F9F">
        <w:t>uld consider the effect of the design on competitors and consumers, “the degree to which the design was the product of desirable technological creativity,” and “the monopolist’s intent.”</w:t>
      </w:r>
      <w:r w:rsidRPr="00E32F9F">
        <w:rPr>
          <w:rStyle w:val="FootnoteReference"/>
          <w:rFonts w:eastAsia="MS Gothic"/>
        </w:rPr>
        <w:footnoteReference w:id="358"/>
      </w:r>
      <w:r w:rsidRPr="00E32F9F">
        <w:t xml:space="preserve"> </w:t>
      </w:r>
      <w:r>
        <w:t xml:space="preserve">We agree that “desirable technological creativity” should be the standard. When a monopolist’s tweaks to its dominant product harm competition and reduce the prospects for more significant innovations, either by the monopolist or its competitors, the quality of those tweaks should matter. </w:t>
      </w:r>
    </w:p>
    <w:p w14:paraId="2B126B19" w14:textId="2C1E48F2" w:rsidR="00184247" w:rsidRPr="00184247" w:rsidRDefault="00C62623" w:rsidP="002C5C1F">
      <w:r>
        <w:tab/>
        <w:t>In merger challenges and litigation involving alleged anticompetitive conduct, defendants can attempt to overcome plaintiffs’ prima facie showing of competitive harm with evidence of procompetitive effects.</w:t>
      </w:r>
      <w:r w:rsidR="004F5207">
        <w:rPr>
          <w:rStyle w:val="FootnoteReference"/>
        </w:rPr>
        <w:footnoteReference w:id="359"/>
      </w:r>
      <w:r>
        <w:t xml:space="preserve"> Under the generally accepted consumer welfare standard, such procompetitive justifications typically rely on assertions that a merger or suspect conduct will lower price or increase output, thereby benefiting consumers. Increased output is considered </w:t>
      </w:r>
      <w:r w:rsidR="00F84616">
        <w:t>equivalent to an increase in</w:t>
      </w:r>
      <w:r>
        <w:t xml:space="preserve"> consumer welfare.</w:t>
      </w:r>
      <w:r w:rsidR="004F5207">
        <w:rPr>
          <w:rStyle w:val="FootnoteReference"/>
        </w:rPr>
        <w:footnoteReference w:id="360"/>
      </w:r>
      <w:r>
        <w:t xml:space="preserve"> But this approach </w:t>
      </w:r>
      <w:proofErr w:type="gramStart"/>
      <w:r>
        <w:t>is based on the assumption</w:t>
      </w:r>
      <w:proofErr w:type="gramEnd"/>
      <w:r>
        <w:t xml:space="preserve"> that the good or service in question benefits consumers. For antisocial innovations, that assumption might not apply.</w:t>
      </w:r>
      <w:r w:rsidR="00F84616">
        <w:rPr>
          <w:rStyle w:val="FootnoteReference"/>
        </w:rPr>
        <w:footnoteReference w:id="361"/>
      </w:r>
      <w:r>
        <w:t xml:space="preserve"> Indeed, increased output of antisocial innovations could harm consumers and innocent third parties. In these circumstances, courts should </w:t>
      </w:r>
      <w:r w:rsidR="00B30D46">
        <w:t>consider</w:t>
      </w:r>
      <w:r>
        <w:t xml:space="preserve"> the quality of an innovation or new product. A defense based merely on an assertion of increased output should fail if that output would be harmful.</w:t>
      </w:r>
      <w:r w:rsidR="007B3F25">
        <w:rPr>
          <w:rStyle w:val="FootnoteReference"/>
        </w:rPr>
        <w:footnoteReference w:id="362"/>
      </w:r>
      <w:r>
        <w:t xml:space="preserve"> </w:t>
      </w:r>
    </w:p>
    <w:p w14:paraId="247C9CDE" w14:textId="77777777" w:rsidR="0054518F" w:rsidRPr="00E8791F" w:rsidRDefault="0054518F" w:rsidP="0054518F">
      <w:pPr>
        <w:pStyle w:val="BodyText"/>
        <w:rPr>
          <w:lang w:eastAsia="ja-JP"/>
        </w:rPr>
      </w:pPr>
    </w:p>
    <w:p w14:paraId="58ACED22" w14:textId="1FDC9957" w:rsidR="004B6350" w:rsidRPr="00E8791F" w:rsidRDefault="004B6350" w:rsidP="004B6350">
      <w:pPr>
        <w:pStyle w:val="Heading1NoNumbering"/>
      </w:pPr>
      <w:bookmarkStart w:id="94" w:name="_Toc126854793"/>
      <w:r w:rsidRPr="00E8791F">
        <w:lastRenderedPageBreak/>
        <w:t>Conclusion</w:t>
      </w:r>
      <w:bookmarkEnd w:id="94"/>
    </w:p>
    <w:p w14:paraId="7D1210BB" w14:textId="77777777" w:rsidR="00ED28F6" w:rsidRDefault="00ED28F6" w:rsidP="00ED28F6">
      <w:r>
        <w:tab/>
        <w:t>America’s infatuation with innovation is costly. We pour billions of dollars into promoting and protecting innovation, but, we have argued, much of what we get is actively bad for humanity. It hurts us directly, and it also undermines our privacy, autonomy, environment, and democracy. These problems may get worse as next generation innovations like artificial intelligence and the metaverse enter everyday use. This realization should spur a thorough rethinking of our approach to innovation governance.</w:t>
      </w:r>
    </w:p>
    <w:p w14:paraId="3918DEE7" w14:textId="77777777" w:rsidR="00ED28F6" w:rsidRDefault="00ED28F6" w:rsidP="00ED28F6">
      <w:r>
        <w:tab/>
        <w:t>The nature of this new approach is still far from apparent. We are the first to admit that we do not have all the answers. In part, this is because innovation fetishization has prevented government agencies from collecting the necessary data to weigh the risks of promoting innovation. The first step forward is to invest in more rigorous interagency analysis of innovation’s costs and its benefits. How much is the patent system costing consumers and competitors, and are those costs worth the benefits they are generating? Can we begin to understand the kinds of innovations that most benefit and most harm society, in order to more precisely encourage the former and discourage the latter?</w:t>
      </w:r>
    </w:p>
    <w:p w14:paraId="0A2C1F42" w14:textId="77777777" w:rsidR="00ED28F6" w:rsidRDefault="00ED28F6" w:rsidP="00ED28F6">
      <w:r>
        <w:tab/>
        <w:t xml:space="preserve">We hope this is the beginning of a wholesale reanalysis of innovation policy. And we look forward to developing this agenda in an interdisciplinary fashion that </w:t>
      </w:r>
      <w:proofErr w:type="gramStart"/>
      <w:r>
        <w:t>takes into account</w:t>
      </w:r>
      <w:proofErr w:type="gramEnd"/>
      <w:r>
        <w:t xml:space="preserve"> numerous stakeholders, not just private-sector tech companies and their investors, but also government regulators, environmental, labor, and privacy advocates, and community groups that represent marginalized populations. Too often, these latter organizations have been excluded from consideration of innovation’s effects, or they have only been consulted once harms have manifested. The future requires a more holistic and egalitarian innovation governance regime where we include diverse concerns earlier in the process, and we are guided by the principle that new is not necessarily better. </w:t>
      </w:r>
    </w:p>
    <w:p w14:paraId="089C1FB4" w14:textId="59B7EA90" w:rsidR="004B6350" w:rsidRPr="00E8791F" w:rsidRDefault="004B6350" w:rsidP="004B6350">
      <w:pPr>
        <w:pStyle w:val="BodyText"/>
        <w:rPr>
          <w:lang w:eastAsia="ja-JP"/>
        </w:rPr>
      </w:pPr>
    </w:p>
    <w:p w14:paraId="73691040" w14:textId="77777777" w:rsidR="004B6350" w:rsidRPr="00E8791F" w:rsidRDefault="004B6350" w:rsidP="004B6350">
      <w:pPr>
        <w:pStyle w:val="BodyText"/>
      </w:pPr>
    </w:p>
    <w:p w14:paraId="212F418E" w14:textId="78516B88" w:rsidR="003E0C13" w:rsidRPr="00E8791F" w:rsidRDefault="004B6350" w:rsidP="00F04424">
      <w:pPr>
        <w:pStyle w:val="BodyText"/>
        <w:ind w:firstLine="0"/>
      </w:pPr>
      <w:r w:rsidRPr="00E8791F">
        <w:t xml:space="preserve"> </w:t>
      </w:r>
    </w:p>
    <w:sectPr w:rsidR="003E0C13" w:rsidRPr="00E8791F" w:rsidSect="00CA6BC7">
      <w:footerReference w:type="default" r:id="rId12"/>
      <w:pgSz w:w="12240" w:h="15840" w:code="1"/>
      <w:pgMar w:top="1800" w:right="2520" w:bottom="1800" w:left="2520" w:header="1080" w:footer="1080" w:gutter="0"/>
      <w:pgNumType w:start="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A593C" w14:textId="77777777" w:rsidR="00C37AC2" w:rsidRDefault="00C37AC2">
      <w:r>
        <w:separator/>
      </w:r>
    </w:p>
    <w:p w14:paraId="3C5DFE55" w14:textId="77777777" w:rsidR="00C37AC2" w:rsidRDefault="00C37AC2"/>
  </w:endnote>
  <w:endnote w:type="continuationSeparator" w:id="0">
    <w:p w14:paraId="095B5AE4" w14:textId="77777777" w:rsidR="00C37AC2" w:rsidRDefault="00C37AC2">
      <w:r>
        <w:continuationSeparator/>
      </w:r>
    </w:p>
    <w:p w14:paraId="10BAA1B1" w14:textId="77777777" w:rsidR="00C37AC2" w:rsidRDefault="00C37AC2"/>
  </w:endnote>
  <w:endnote w:type="continuationNotice" w:id="1">
    <w:p w14:paraId="54DB66C0" w14:textId="77777777" w:rsidR="00C37AC2" w:rsidRDefault="00C37A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ldStyle 7">
    <w:altName w:val="Cambria"/>
    <w:panose1 w:val="020B0604020202020204"/>
    <w:charset w:val="00"/>
    <w:family w:val="roman"/>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entury Schoolbook BT">
    <w:altName w:val="Cambria"/>
    <w:panose1 w:val="020B0604020202020204"/>
    <w:charset w:val="00"/>
    <w:family w:val="auto"/>
    <w:notTrueType/>
    <w:pitch w:val="variable"/>
    <w:sig w:usb0="00000003" w:usb1="00000000" w:usb2="00000000" w:usb3="00000000" w:csb0="00000001" w:csb1="00000000"/>
  </w:font>
  <w:font w:name="Old Style 7">
    <w:altName w:val="Times New Roman"/>
    <w:panose1 w:val="020B0604020202020204"/>
    <w:charset w:val="00"/>
    <w:family w:val="auto"/>
    <w:pitch w:val="variable"/>
    <w:sig w:usb0="800000AF" w:usb1="40000048" w:usb2="00000000" w:usb3="00000000" w:csb0="00000001"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TimesTen-Roman">
    <w:altName w:val="Times New Roman"/>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C1494" w14:textId="77777777" w:rsidR="00A74CC9" w:rsidRDefault="00A74C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BC6ED" w14:textId="71D645D9" w:rsidR="000C4FFA" w:rsidRPr="0097559D" w:rsidRDefault="000C4FFA" w:rsidP="00CA6BC7">
    <w:pPr>
      <w:pStyle w:val="Footer"/>
      <w:jc w:val="center"/>
      <w:rPr>
        <w:rFonts w:ascii="OldStyle 7" w:hAnsi="OldStyle 7"/>
      </w:rPr>
    </w:pPr>
    <w:r w:rsidRPr="0097559D">
      <w:rPr>
        <w:rStyle w:val="PageNumber"/>
        <w:rFonts w:ascii="OldStyle 7" w:hAnsi="OldStyle 7"/>
        <w:sz w:val="20"/>
      </w:rPr>
      <w:fldChar w:fldCharType="begin"/>
    </w:r>
    <w:r w:rsidRPr="0097559D">
      <w:rPr>
        <w:rStyle w:val="PageNumber"/>
        <w:rFonts w:ascii="OldStyle 7" w:hAnsi="OldStyle 7"/>
        <w:sz w:val="20"/>
      </w:rPr>
      <w:instrText xml:space="preserve"> PAGE </w:instrText>
    </w:r>
    <w:r w:rsidRPr="0097559D">
      <w:rPr>
        <w:rStyle w:val="PageNumber"/>
        <w:rFonts w:ascii="OldStyle 7" w:hAnsi="OldStyle 7"/>
        <w:sz w:val="20"/>
      </w:rPr>
      <w:fldChar w:fldCharType="separate"/>
    </w:r>
    <w:r w:rsidR="009105E0">
      <w:rPr>
        <w:rStyle w:val="PageNumber"/>
        <w:rFonts w:ascii="OldStyle 7" w:hAnsi="OldStyle 7"/>
        <w:noProof/>
        <w:sz w:val="20"/>
      </w:rPr>
      <w:t>2</w:t>
    </w:r>
    <w:r w:rsidRPr="0097559D">
      <w:rPr>
        <w:rStyle w:val="PageNumber"/>
        <w:rFonts w:ascii="OldStyle 7" w:hAnsi="OldStyle 7"/>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41F14" w14:textId="77777777" w:rsidR="00C37AC2" w:rsidRDefault="00C37AC2">
      <w:r>
        <w:separator/>
      </w:r>
    </w:p>
    <w:p w14:paraId="645909F8" w14:textId="77777777" w:rsidR="00C37AC2" w:rsidRDefault="00C37AC2"/>
  </w:footnote>
  <w:footnote w:type="continuationSeparator" w:id="0">
    <w:p w14:paraId="2A207389" w14:textId="77777777" w:rsidR="00C37AC2" w:rsidRDefault="00C37AC2">
      <w:r>
        <w:continuationSeparator/>
      </w:r>
    </w:p>
    <w:p w14:paraId="39FD0F0F" w14:textId="77777777" w:rsidR="00C37AC2" w:rsidRDefault="00C37AC2"/>
  </w:footnote>
  <w:footnote w:type="continuationNotice" w:id="1">
    <w:p w14:paraId="392D8EA5" w14:textId="77777777" w:rsidR="00C37AC2" w:rsidRDefault="00C37AC2"/>
  </w:footnote>
  <w:footnote w:id="2">
    <w:p w14:paraId="2649368C" w14:textId="3210E2DA" w:rsidR="00E31F11" w:rsidRDefault="00E31F11">
      <w:pPr>
        <w:pStyle w:val="FootnoteText"/>
      </w:pPr>
      <w:r w:rsidRPr="00E31F11">
        <w:rPr>
          <w:rStyle w:val="FootnoteReference"/>
          <w:rFonts w:ascii="Symbol" w:eastAsia="Symbol" w:hAnsi="Symbol" w:cs="Symbol"/>
        </w:rPr>
        <w:t>§</w:t>
      </w:r>
      <w:r>
        <w:t xml:space="preserve"> </w:t>
      </w:r>
      <w:r w:rsidR="007246EF">
        <w:t>Edward &amp; Ellen Schwarzman Distinguished Professor, Duke University School of Law.</w:t>
      </w:r>
    </w:p>
  </w:footnote>
  <w:footnote w:id="3">
    <w:p w14:paraId="74917C94" w14:textId="0B595EB1" w:rsidR="000C4FFA" w:rsidRPr="00B10A3C" w:rsidRDefault="000C4FFA" w:rsidP="00B5618D">
      <w:pPr>
        <w:pStyle w:val="FootnoteText"/>
        <w:rPr>
          <w:szCs w:val="20"/>
        </w:rPr>
      </w:pPr>
      <w:r w:rsidRPr="00B10A3C">
        <w:rPr>
          <w:rStyle w:val="FootnoteReference"/>
          <w:szCs w:val="20"/>
        </w:rPr>
        <w:t>*</w:t>
      </w:r>
      <w:r w:rsidRPr="00B10A3C">
        <w:rPr>
          <w:szCs w:val="20"/>
        </w:rPr>
        <w:t xml:space="preserve"> </w:t>
      </w:r>
      <w:r w:rsidR="00657329">
        <w:rPr>
          <w:szCs w:val="20"/>
        </w:rPr>
        <w:t xml:space="preserve">Professor, Co-Director of the Heyman Center on Corporate Law and Governance, Benjamin N. Cardozo School of Law, Yeshiva University. </w:t>
      </w:r>
      <w:r w:rsidR="00D5317C">
        <w:rPr>
          <w:szCs w:val="20"/>
        </w:rPr>
        <w:t xml:space="preserve">We </w:t>
      </w:r>
      <w:r w:rsidR="00DE7D04">
        <w:rPr>
          <w:szCs w:val="20"/>
        </w:rPr>
        <w:t xml:space="preserve">have </w:t>
      </w:r>
      <w:r w:rsidR="00A42CD8">
        <w:rPr>
          <w:szCs w:val="20"/>
        </w:rPr>
        <w:t xml:space="preserve">been incredibly fortunate to have the </w:t>
      </w:r>
      <w:r w:rsidR="0072144F">
        <w:rPr>
          <w:szCs w:val="20"/>
        </w:rPr>
        <w:t>bri</w:t>
      </w:r>
      <w:r w:rsidR="002B3390">
        <w:rPr>
          <w:szCs w:val="20"/>
        </w:rPr>
        <w:t xml:space="preserve">lliant research assistance of </w:t>
      </w:r>
      <w:r w:rsidR="007D585A">
        <w:rPr>
          <w:szCs w:val="20"/>
        </w:rPr>
        <w:t>Patrick Ellis, Kristin Oakley, and Shelby Saunders</w:t>
      </w:r>
      <w:r w:rsidR="00B962A0">
        <w:rPr>
          <w:szCs w:val="20"/>
        </w:rPr>
        <w:t xml:space="preserve"> as we have </w:t>
      </w:r>
      <w:r w:rsidR="00FB3D4B">
        <w:rPr>
          <w:szCs w:val="20"/>
        </w:rPr>
        <w:t xml:space="preserve">worked on this article. We are enormously grateful to them. We have also benefited from discussions of this work </w:t>
      </w:r>
      <w:r w:rsidR="00927181">
        <w:rPr>
          <w:szCs w:val="20"/>
        </w:rPr>
        <w:t>with</w:t>
      </w:r>
      <w:r w:rsidR="00B86FB8">
        <w:rPr>
          <w:szCs w:val="20"/>
        </w:rPr>
        <w:t xml:space="preserve"> Stuart Benjamin,</w:t>
      </w:r>
      <w:r w:rsidR="00927181">
        <w:rPr>
          <w:szCs w:val="20"/>
        </w:rPr>
        <w:t xml:space="preserve"> </w:t>
      </w:r>
      <w:r w:rsidR="00B86FB8">
        <w:rPr>
          <w:szCs w:val="20"/>
        </w:rPr>
        <w:t xml:space="preserve">Joseph Blocher, </w:t>
      </w:r>
      <w:r w:rsidR="00F47F2F">
        <w:rPr>
          <w:szCs w:val="20"/>
        </w:rPr>
        <w:t xml:space="preserve">Jamie Boyle, </w:t>
      </w:r>
      <w:r w:rsidR="00726F96">
        <w:rPr>
          <w:szCs w:val="20"/>
        </w:rPr>
        <w:t xml:space="preserve">Wendy Epstein, </w:t>
      </w:r>
      <w:r w:rsidR="00383B3E">
        <w:rPr>
          <w:szCs w:val="20"/>
        </w:rPr>
        <w:t xml:space="preserve">Myriam Gilles, </w:t>
      </w:r>
      <w:r w:rsidR="00752F68">
        <w:rPr>
          <w:szCs w:val="20"/>
        </w:rPr>
        <w:t xml:space="preserve">Daniel Hemel, </w:t>
      </w:r>
      <w:r w:rsidR="00726F96">
        <w:rPr>
          <w:szCs w:val="20"/>
        </w:rPr>
        <w:t xml:space="preserve">Michael Herz, </w:t>
      </w:r>
      <w:r w:rsidR="00752F68">
        <w:rPr>
          <w:szCs w:val="20"/>
        </w:rPr>
        <w:t xml:space="preserve">Lisa Ouellette, </w:t>
      </w:r>
      <w:r w:rsidR="0076435B">
        <w:rPr>
          <w:szCs w:val="20"/>
        </w:rPr>
        <w:t xml:space="preserve">Jonathan Masur, </w:t>
      </w:r>
      <w:r w:rsidR="002857DD">
        <w:rPr>
          <w:szCs w:val="20"/>
        </w:rPr>
        <w:t>Darrell Miller,</w:t>
      </w:r>
      <w:r w:rsidR="00F81DC1">
        <w:rPr>
          <w:szCs w:val="20"/>
        </w:rPr>
        <w:t xml:space="preserve"> Arti Rai, Kate Shaw,</w:t>
      </w:r>
      <w:r w:rsidR="002857DD">
        <w:rPr>
          <w:szCs w:val="20"/>
        </w:rPr>
        <w:t xml:space="preserve"> </w:t>
      </w:r>
      <w:r w:rsidR="000C15A0">
        <w:rPr>
          <w:szCs w:val="20"/>
        </w:rPr>
        <w:t xml:space="preserve">and </w:t>
      </w:r>
      <w:r w:rsidR="0076435B">
        <w:rPr>
          <w:szCs w:val="20"/>
        </w:rPr>
        <w:t>Jonathan Weiner.</w:t>
      </w:r>
      <w:r w:rsidR="000B5475">
        <w:rPr>
          <w:szCs w:val="20"/>
        </w:rPr>
        <w:t xml:space="preserve"> We </w:t>
      </w:r>
      <w:r w:rsidR="00E35FAE">
        <w:rPr>
          <w:szCs w:val="20"/>
        </w:rPr>
        <w:t>are thankful to be surrounded by such a wonderful community of scholars.</w:t>
      </w:r>
    </w:p>
  </w:footnote>
  <w:footnote w:id="4">
    <w:p w14:paraId="5DF8355B" w14:textId="2D0C5980" w:rsidR="00861BD2" w:rsidRPr="00B10A3C" w:rsidRDefault="00861BD2" w:rsidP="00861BD2">
      <w:pPr>
        <w:pStyle w:val="FootnoteText"/>
        <w:rPr>
          <w:szCs w:val="20"/>
        </w:rPr>
      </w:pPr>
      <w:r w:rsidRPr="00B10A3C">
        <w:rPr>
          <w:rStyle w:val="FootnoteReference"/>
          <w:szCs w:val="20"/>
        </w:rPr>
        <w:footnoteRef/>
      </w:r>
      <w:r w:rsidRPr="00B10A3C">
        <w:rPr>
          <w:szCs w:val="20"/>
        </w:rPr>
        <w:t xml:space="preserve"> Barack Obama, Remarks of President Barack Obama in State of Union Address—As Prepared for Delivery (Jan. 25, 2011)</w:t>
      </w:r>
      <w:r w:rsidR="0045170F">
        <w:rPr>
          <w:szCs w:val="20"/>
        </w:rPr>
        <w:t>.</w:t>
      </w:r>
      <w:r w:rsidRPr="00B10A3C">
        <w:rPr>
          <w:szCs w:val="20"/>
        </w:rPr>
        <w:t xml:space="preserve"> </w:t>
      </w:r>
    </w:p>
  </w:footnote>
  <w:footnote w:id="5">
    <w:p w14:paraId="1623C385" w14:textId="2B391FA7" w:rsidR="00861BD2" w:rsidRPr="00B10A3C" w:rsidRDefault="00861BD2" w:rsidP="00861BD2">
      <w:pPr>
        <w:pStyle w:val="FootnoteText"/>
        <w:rPr>
          <w:szCs w:val="20"/>
        </w:rPr>
      </w:pPr>
      <w:r w:rsidRPr="00B10A3C">
        <w:rPr>
          <w:rStyle w:val="FootnoteReference"/>
          <w:szCs w:val="20"/>
        </w:rPr>
        <w:footnoteRef/>
      </w:r>
      <w:r w:rsidRPr="00B10A3C">
        <w:rPr>
          <w:szCs w:val="20"/>
        </w:rPr>
        <w:t xml:space="preserve"> Tessa Berenson, </w:t>
      </w:r>
      <w:r w:rsidRPr="00B10A3C">
        <w:rPr>
          <w:i/>
          <w:iCs/>
          <w:szCs w:val="20"/>
        </w:rPr>
        <w:t>Read Donald Trump’s Speech on Jobs and the Economy</w:t>
      </w:r>
      <w:r w:rsidRPr="00B10A3C">
        <w:rPr>
          <w:szCs w:val="20"/>
        </w:rPr>
        <w:t xml:space="preserve">, </w:t>
      </w:r>
      <w:r w:rsidRPr="00B10A3C">
        <w:rPr>
          <w:smallCaps/>
          <w:szCs w:val="20"/>
        </w:rPr>
        <w:t xml:space="preserve">Time </w:t>
      </w:r>
      <w:r w:rsidRPr="00B10A3C">
        <w:rPr>
          <w:szCs w:val="20"/>
        </w:rPr>
        <w:t>(</w:t>
      </w:r>
      <w:r w:rsidR="004F7BE8" w:rsidRPr="00B10A3C">
        <w:rPr>
          <w:szCs w:val="20"/>
        </w:rPr>
        <w:t>Sept</w:t>
      </w:r>
      <w:r w:rsidR="004F7BE8">
        <w:rPr>
          <w:szCs w:val="20"/>
        </w:rPr>
        <w:t>.</w:t>
      </w:r>
      <w:r w:rsidR="004F7BE8" w:rsidRPr="00B10A3C">
        <w:rPr>
          <w:szCs w:val="20"/>
        </w:rPr>
        <w:t xml:space="preserve"> </w:t>
      </w:r>
      <w:r w:rsidRPr="00B10A3C">
        <w:rPr>
          <w:szCs w:val="20"/>
        </w:rPr>
        <w:t xml:space="preserve">15, 2016), </w:t>
      </w:r>
      <w:r w:rsidRPr="00810643">
        <w:t>https://time.com/4495507/donald-trump-economy-speech-transcript</w:t>
      </w:r>
      <w:r w:rsidR="00E758B0">
        <w:rPr>
          <w:szCs w:val="20"/>
        </w:rPr>
        <w:t xml:space="preserve">. </w:t>
      </w:r>
    </w:p>
  </w:footnote>
  <w:footnote w:id="6">
    <w:p w14:paraId="75108886" w14:textId="785D480F" w:rsidR="00861BD2" w:rsidRPr="00B10A3C" w:rsidRDefault="00861BD2" w:rsidP="00861BD2">
      <w:pPr>
        <w:pStyle w:val="FootnoteText"/>
        <w:rPr>
          <w:szCs w:val="20"/>
        </w:rPr>
      </w:pPr>
      <w:r w:rsidRPr="00B10A3C">
        <w:rPr>
          <w:rStyle w:val="FootnoteReference"/>
          <w:szCs w:val="20"/>
        </w:rPr>
        <w:footnoteRef/>
      </w:r>
      <w:r w:rsidRPr="00B10A3C">
        <w:rPr>
          <w:szCs w:val="20"/>
        </w:rPr>
        <w:t xml:space="preserve"> President Donald J. Trump Announces the White House Office of American Innovation (OAI) (Mar</w:t>
      </w:r>
      <w:r w:rsidR="00D1261A">
        <w:rPr>
          <w:szCs w:val="20"/>
        </w:rPr>
        <w:t>.</w:t>
      </w:r>
      <w:r w:rsidRPr="00B10A3C">
        <w:rPr>
          <w:szCs w:val="20"/>
        </w:rPr>
        <w:t xml:space="preserve"> 27, 2017), </w:t>
      </w:r>
      <w:r w:rsidR="0080343B" w:rsidRPr="00810643">
        <w:t>https://trumpwhitehouse.archives.gov/briefings-statements/president-donald-j-trump-announces-white-house-office-american-innovation-oai</w:t>
      </w:r>
      <w:r w:rsidR="00797B98">
        <w:rPr>
          <w:szCs w:val="20"/>
        </w:rPr>
        <w:t xml:space="preserve">. </w:t>
      </w:r>
    </w:p>
  </w:footnote>
  <w:footnote w:id="7">
    <w:p w14:paraId="16527A43" w14:textId="21BA143B" w:rsidR="00861BD2" w:rsidRPr="00B10A3C" w:rsidRDefault="00861BD2" w:rsidP="00861BD2">
      <w:pPr>
        <w:pStyle w:val="FootnoteText"/>
        <w:rPr>
          <w:szCs w:val="20"/>
        </w:rPr>
      </w:pPr>
      <w:r w:rsidRPr="00B10A3C">
        <w:rPr>
          <w:rStyle w:val="FootnoteReference"/>
          <w:szCs w:val="20"/>
        </w:rPr>
        <w:footnoteRef/>
      </w:r>
      <w:r w:rsidRPr="00B10A3C">
        <w:rPr>
          <w:szCs w:val="20"/>
        </w:rPr>
        <w:t xml:space="preserve"> </w:t>
      </w:r>
      <w:r>
        <w:rPr>
          <w:szCs w:val="20"/>
        </w:rPr>
        <w:t xml:space="preserve">Indeed, more than 60% of Presidential State of the Union speeches have mentioned innovation since the beginning of President Reagan’s first term, and </w:t>
      </w:r>
      <w:r w:rsidR="006E1F0F">
        <w:rPr>
          <w:szCs w:val="20"/>
        </w:rPr>
        <w:t>seventeen</w:t>
      </w:r>
      <w:r w:rsidR="006E1F0F" w:rsidRPr="006C0B26">
        <w:rPr>
          <w:szCs w:val="20"/>
        </w:rPr>
        <w:t xml:space="preserve"> </w:t>
      </w:r>
      <w:r>
        <w:rPr>
          <w:szCs w:val="20"/>
        </w:rPr>
        <w:t>of the last twenty</w:t>
      </w:r>
      <w:r w:rsidR="006E1F0F">
        <w:rPr>
          <w:szCs w:val="20"/>
        </w:rPr>
        <w:t>-one</w:t>
      </w:r>
      <w:r>
        <w:rPr>
          <w:szCs w:val="20"/>
        </w:rPr>
        <w:t xml:space="preserve"> have done so. </w:t>
      </w:r>
      <w:r w:rsidRPr="00712BAC">
        <w:rPr>
          <w:i/>
        </w:rPr>
        <w:t>See</w:t>
      </w:r>
      <w:r>
        <w:rPr>
          <w:szCs w:val="20"/>
        </w:rPr>
        <w:t xml:space="preserve"> </w:t>
      </w:r>
      <w:r w:rsidRPr="00FF0EE7">
        <w:rPr>
          <w:szCs w:val="20"/>
        </w:rPr>
        <w:t>Annual Messages to Congress on the State of the Union (Washington 1790 - the present)</w:t>
      </w:r>
      <w:r>
        <w:rPr>
          <w:szCs w:val="20"/>
        </w:rPr>
        <w:t xml:space="preserve">, The American Presidency Project, at </w:t>
      </w:r>
      <w:r w:rsidR="00D1261A" w:rsidRPr="00B77253">
        <w:t>https://www.presidency.ucsb.edu/documents/presidential-documents-archive-guidebook/annual-messages-congress-the-state-the-union#Table%20of%20SOTU</w:t>
      </w:r>
      <w:r>
        <w:rPr>
          <w:szCs w:val="20"/>
        </w:rPr>
        <w:t xml:space="preserve">. President Obama’s 2011 address holds the record with eleven mentions of innovation. </w:t>
      </w:r>
      <w:r w:rsidRPr="00B10A3C">
        <w:rPr>
          <w:i/>
          <w:iCs/>
          <w:szCs w:val="20"/>
        </w:rPr>
        <w:t>See</w:t>
      </w:r>
      <w:r>
        <w:rPr>
          <w:i/>
          <w:iCs/>
          <w:szCs w:val="20"/>
        </w:rPr>
        <w:t xml:space="preserve"> also</w:t>
      </w:r>
      <w:r w:rsidRPr="00B10A3C">
        <w:rPr>
          <w:i/>
          <w:iCs/>
          <w:szCs w:val="20"/>
        </w:rPr>
        <w:t xml:space="preserve"> </w:t>
      </w:r>
      <w:r w:rsidRPr="00B10A3C">
        <w:rPr>
          <w:szCs w:val="20"/>
        </w:rPr>
        <w:t xml:space="preserve">Adam Thierer &amp; Connor Haaland, </w:t>
      </w:r>
      <w:r w:rsidRPr="00B10A3C">
        <w:rPr>
          <w:i/>
          <w:iCs/>
          <w:szCs w:val="20"/>
        </w:rPr>
        <w:t>The Clinton-Bush-Obama-Trump Innovation Vision</w:t>
      </w:r>
      <w:r w:rsidRPr="00B10A3C">
        <w:rPr>
          <w:szCs w:val="20"/>
        </w:rPr>
        <w:t xml:space="preserve">, </w:t>
      </w:r>
      <w:r w:rsidRPr="00B10A3C">
        <w:rPr>
          <w:smallCaps/>
          <w:szCs w:val="20"/>
        </w:rPr>
        <w:t xml:space="preserve">Mercatus </w:t>
      </w:r>
      <w:r w:rsidRPr="006C0B26">
        <w:rPr>
          <w:smallCaps/>
          <w:szCs w:val="20"/>
        </w:rPr>
        <w:t>Pol</w:t>
      </w:r>
      <w:r w:rsidR="0016557A">
        <w:rPr>
          <w:smallCaps/>
          <w:szCs w:val="20"/>
        </w:rPr>
        <w:t>’</w:t>
      </w:r>
      <w:r w:rsidRPr="006C0B26">
        <w:rPr>
          <w:smallCaps/>
          <w:szCs w:val="20"/>
        </w:rPr>
        <w:t>y</w:t>
      </w:r>
      <w:r w:rsidR="000D01B0">
        <w:rPr>
          <w:smallCaps/>
          <w:szCs w:val="20"/>
        </w:rPr>
        <w:t xml:space="preserve"> Dig.</w:t>
      </w:r>
      <w:r w:rsidR="00D1261A">
        <w:rPr>
          <w:smallCaps/>
          <w:szCs w:val="20"/>
        </w:rPr>
        <w:t xml:space="preserve"> </w:t>
      </w:r>
      <w:r w:rsidRPr="00B10A3C">
        <w:rPr>
          <w:szCs w:val="20"/>
        </w:rPr>
        <w:t>(Nov. 21, 2019), https://www.mercatus.org/bridge/commentary/clinton-bush-obama-trump-innovation-vision</w:t>
      </w:r>
      <w:r w:rsidR="004F7BE8">
        <w:rPr>
          <w:szCs w:val="20"/>
        </w:rPr>
        <w:t>.</w:t>
      </w:r>
    </w:p>
  </w:footnote>
  <w:footnote w:id="8">
    <w:p w14:paraId="7529204C" w14:textId="77777777" w:rsidR="00861BD2" w:rsidRPr="00B10A3C" w:rsidRDefault="00861BD2" w:rsidP="00861BD2">
      <w:pPr>
        <w:pStyle w:val="FootnoteText"/>
        <w:rPr>
          <w:szCs w:val="20"/>
        </w:rPr>
      </w:pPr>
      <w:r w:rsidRPr="00B10A3C">
        <w:rPr>
          <w:rStyle w:val="FootnoteReference"/>
          <w:szCs w:val="20"/>
        </w:rPr>
        <w:footnoteRef/>
      </w:r>
      <w:r w:rsidRPr="00B10A3C">
        <w:rPr>
          <w:szCs w:val="20"/>
        </w:rPr>
        <w:t xml:space="preserve"> </w:t>
      </w:r>
      <w:r w:rsidRPr="00B10A3C">
        <w:rPr>
          <w:i/>
          <w:iCs/>
          <w:szCs w:val="20"/>
        </w:rPr>
        <w:t>See, e.g.</w:t>
      </w:r>
      <w:r w:rsidRPr="00B10A3C">
        <w:rPr>
          <w:szCs w:val="20"/>
        </w:rPr>
        <w:t xml:space="preserve">, Roberta B. Ness, </w:t>
      </w:r>
      <w:r w:rsidRPr="00B10A3C">
        <w:rPr>
          <w:i/>
          <w:iCs/>
          <w:szCs w:val="20"/>
        </w:rPr>
        <w:t>Promoting Innovative Thinking</w:t>
      </w:r>
      <w:r w:rsidRPr="00B10A3C">
        <w:rPr>
          <w:szCs w:val="20"/>
        </w:rPr>
        <w:t xml:space="preserve">, 105 </w:t>
      </w:r>
      <w:r w:rsidRPr="00B77253">
        <w:rPr>
          <w:smallCaps/>
          <w:szCs w:val="20"/>
        </w:rPr>
        <w:t>Am. J. of Pub. Health</w:t>
      </w:r>
      <w:r w:rsidRPr="00B10A3C">
        <w:rPr>
          <w:szCs w:val="20"/>
        </w:rPr>
        <w:t xml:space="preserve"> s114, s114 (2015) (“Americans love innovation.”).</w:t>
      </w:r>
    </w:p>
  </w:footnote>
  <w:footnote w:id="9">
    <w:p w14:paraId="45C8FA25" w14:textId="3EBF43D7" w:rsidR="00861BD2" w:rsidRPr="00B10A3C" w:rsidRDefault="00861BD2" w:rsidP="00861BD2">
      <w:pPr>
        <w:pStyle w:val="FootnoteText"/>
        <w:rPr>
          <w:szCs w:val="20"/>
        </w:rPr>
      </w:pPr>
      <w:r w:rsidRPr="00B10A3C">
        <w:rPr>
          <w:rStyle w:val="FootnoteReference"/>
          <w:szCs w:val="20"/>
        </w:rPr>
        <w:footnoteRef/>
      </w:r>
      <w:r w:rsidRPr="00B10A3C">
        <w:rPr>
          <w:szCs w:val="20"/>
        </w:rPr>
        <w:t xml:space="preserve"> </w:t>
      </w:r>
      <w:r w:rsidRPr="00B10A3C">
        <w:rPr>
          <w:i/>
          <w:iCs/>
          <w:szCs w:val="20"/>
        </w:rPr>
        <w:t xml:space="preserve">See </w:t>
      </w:r>
      <w:r w:rsidRPr="00B10A3C">
        <w:rPr>
          <w:szCs w:val="20"/>
        </w:rPr>
        <w:t>Ipsos</w:t>
      </w:r>
      <w:r w:rsidRPr="00B10A3C">
        <w:rPr>
          <w:i/>
          <w:iCs/>
          <w:szCs w:val="20"/>
        </w:rPr>
        <w:t>, Americans Report Positive Attitudes and Optimism Toward Technology</w:t>
      </w:r>
      <w:r w:rsidRPr="00B10A3C">
        <w:rPr>
          <w:szCs w:val="20"/>
        </w:rPr>
        <w:t xml:space="preserve"> (</w:t>
      </w:r>
      <w:r w:rsidR="00EC4E20" w:rsidRPr="00B10A3C">
        <w:rPr>
          <w:szCs w:val="20"/>
        </w:rPr>
        <w:t>Mar</w:t>
      </w:r>
      <w:r w:rsidR="00EC4E20">
        <w:rPr>
          <w:szCs w:val="20"/>
        </w:rPr>
        <w:t>.</w:t>
      </w:r>
      <w:r w:rsidR="00EC4E20" w:rsidRPr="00B10A3C">
        <w:rPr>
          <w:szCs w:val="20"/>
        </w:rPr>
        <w:t xml:space="preserve"> </w:t>
      </w:r>
      <w:r w:rsidRPr="00B10A3C">
        <w:rPr>
          <w:szCs w:val="20"/>
        </w:rPr>
        <w:t>1, 2019), https://www.ipsos.com/en-us/news-polls/americans-report-positive-attitudes-and-optimism-toward-technology.</w:t>
      </w:r>
    </w:p>
  </w:footnote>
  <w:footnote w:id="10">
    <w:p w14:paraId="4A314511" w14:textId="22D1F2FD" w:rsidR="00861BD2" w:rsidRPr="00B10A3C" w:rsidRDefault="00861BD2" w:rsidP="00861BD2">
      <w:pPr>
        <w:pStyle w:val="FootnoteText"/>
        <w:rPr>
          <w:szCs w:val="20"/>
        </w:rPr>
      </w:pPr>
      <w:r w:rsidRPr="00B10A3C">
        <w:rPr>
          <w:rStyle w:val="FootnoteReference"/>
          <w:szCs w:val="20"/>
        </w:rPr>
        <w:footnoteRef/>
      </w:r>
      <w:r w:rsidRPr="00B10A3C">
        <w:rPr>
          <w:szCs w:val="20"/>
        </w:rPr>
        <w:t xml:space="preserve"> Mark Strauss, </w:t>
      </w:r>
      <w:r w:rsidRPr="00B10A3C">
        <w:rPr>
          <w:i/>
          <w:iCs/>
          <w:szCs w:val="20"/>
        </w:rPr>
        <w:t>Four-in-Ten Americans Credit Technology with Improving Life Most in the Past 50 Years</w:t>
      </w:r>
      <w:r w:rsidRPr="00B10A3C">
        <w:rPr>
          <w:smallCaps/>
          <w:szCs w:val="20"/>
        </w:rPr>
        <w:t xml:space="preserve">, Pew </w:t>
      </w:r>
      <w:r w:rsidR="004F7BE8" w:rsidRPr="00B10A3C">
        <w:rPr>
          <w:smallCaps/>
          <w:szCs w:val="20"/>
        </w:rPr>
        <w:t>R</w:t>
      </w:r>
      <w:r w:rsidR="004F7BE8">
        <w:rPr>
          <w:smallCaps/>
          <w:szCs w:val="20"/>
        </w:rPr>
        <w:t>sch.</w:t>
      </w:r>
      <w:r w:rsidR="004F7BE8" w:rsidRPr="00B10A3C">
        <w:rPr>
          <w:smallCaps/>
          <w:szCs w:val="20"/>
        </w:rPr>
        <w:t xml:space="preserve"> </w:t>
      </w:r>
      <w:r w:rsidRPr="00B10A3C">
        <w:rPr>
          <w:smallCaps/>
          <w:szCs w:val="20"/>
        </w:rPr>
        <w:t>Ctr</w:t>
      </w:r>
      <w:r w:rsidR="004F7BE8">
        <w:rPr>
          <w:smallCaps/>
          <w:szCs w:val="20"/>
        </w:rPr>
        <w:t>.</w:t>
      </w:r>
      <w:r w:rsidRPr="00B10A3C">
        <w:rPr>
          <w:szCs w:val="20"/>
        </w:rPr>
        <w:t xml:space="preserve"> (Oct. 12, 2017), https://www.pewresearch.org/fact-tank/2017/10/12/four-in-ten-americans-credit-technology-with-improving-life-most-in-the-past-50-years.</w:t>
      </w:r>
    </w:p>
  </w:footnote>
  <w:footnote w:id="11">
    <w:p w14:paraId="5F337F08" w14:textId="790A6FB4" w:rsidR="00861BD2" w:rsidRDefault="00861BD2" w:rsidP="00861BD2">
      <w:pPr>
        <w:pStyle w:val="FootnoteText"/>
      </w:pPr>
      <w:r>
        <w:rPr>
          <w:rStyle w:val="FootnoteReference"/>
        </w:rPr>
        <w:footnoteRef/>
      </w:r>
      <w:r>
        <w:t xml:space="preserve"> Although reverence for innovation also extends to the non-profit sector. </w:t>
      </w:r>
      <w:r w:rsidRPr="00165ADF">
        <w:rPr>
          <w:i/>
        </w:rPr>
        <w:t xml:space="preserve">See </w:t>
      </w:r>
      <w:r w:rsidRPr="00B10A3C">
        <w:rPr>
          <w:szCs w:val="20"/>
        </w:rPr>
        <w:t xml:space="preserve">Judith Rodin, </w:t>
      </w:r>
      <w:r w:rsidRPr="00B10A3C">
        <w:rPr>
          <w:i/>
          <w:iCs/>
          <w:szCs w:val="20"/>
        </w:rPr>
        <w:t>The Power of Innovation</w:t>
      </w:r>
      <w:r w:rsidR="000E674E">
        <w:rPr>
          <w:szCs w:val="20"/>
        </w:rPr>
        <w:t xml:space="preserve">, </w:t>
      </w:r>
      <w:r w:rsidR="000E674E" w:rsidRPr="00001C31">
        <w:rPr>
          <w:smallCaps/>
          <w:szCs w:val="20"/>
        </w:rPr>
        <w:t>Rockefeller Found.</w:t>
      </w:r>
      <w:r w:rsidR="000E674E">
        <w:rPr>
          <w:szCs w:val="20"/>
        </w:rPr>
        <w:t xml:space="preserve"> </w:t>
      </w:r>
      <w:r w:rsidRPr="00B10A3C">
        <w:rPr>
          <w:szCs w:val="20"/>
        </w:rPr>
        <w:t xml:space="preserve">(Oct. 4, 2013), </w:t>
      </w:r>
      <w:r w:rsidR="000E674E" w:rsidRPr="000E674E">
        <w:rPr>
          <w:szCs w:val="20"/>
        </w:rPr>
        <w:t>https://www.rockefellerfoundation.org/blog/the-power-of-innovation</w:t>
      </w:r>
      <w:r w:rsidRPr="00B10A3C">
        <w:rPr>
          <w:szCs w:val="20"/>
        </w:rPr>
        <w:t>.</w:t>
      </w:r>
    </w:p>
  </w:footnote>
  <w:footnote w:id="12">
    <w:p w14:paraId="559D3849" w14:textId="17ABF28A" w:rsidR="00861BD2" w:rsidRPr="00B10A3C" w:rsidRDefault="00861BD2" w:rsidP="00861BD2">
      <w:pPr>
        <w:pStyle w:val="FootnoteText"/>
        <w:rPr>
          <w:szCs w:val="20"/>
        </w:rPr>
      </w:pPr>
      <w:r w:rsidRPr="00B10A3C">
        <w:rPr>
          <w:rStyle w:val="FootnoteReference"/>
          <w:szCs w:val="20"/>
        </w:rPr>
        <w:footnoteRef/>
      </w:r>
      <w:r w:rsidRPr="00B10A3C">
        <w:rPr>
          <w:szCs w:val="20"/>
        </w:rPr>
        <w:t xml:space="preserve"> </w:t>
      </w:r>
      <w:r w:rsidRPr="00B10A3C">
        <w:rPr>
          <w:i/>
          <w:iCs/>
          <w:szCs w:val="20"/>
        </w:rPr>
        <w:t>Growth and Innovation</w:t>
      </w:r>
      <w:r w:rsidRPr="00B10A3C">
        <w:rPr>
          <w:szCs w:val="20"/>
        </w:rPr>
        <w:t xml:space="preserve">, </w:t>
      </w:r>
      <w:r w:rsidR="001101E3" w:rsidRPr="00D97BA8">
        <w:rPr>
          <w:smallCaps/>
          <w:szCs w:val="20"/>
        </w:rPr>
        <w:t>McKinsey &amp; Co.</w:t>
      </w:r>
      <w:r w:rsidR="001101E3">
        <w:rPr>
          <w:szCs w:val="20"/>
        </w:rPr>
        <w:t>,</w:t>
      </w:r>
      <w:r w:rsidR="001101E3" w:rsidRPr="00B10A3C">
        <w:rPr>
          <w:szCs w:val="20"/>
        </w:rPr>
        <w:t xml:space="preserve"> </w:t>
      </w:r>
      <w:r w:rsidRPr="00B10A3C">
        <w:rPr>
          <w:szCs w:val="20"/>
        </w:rPr>
        <w:t>https://www.mckinsey.com/business-functions/strategy-and-corporate-finance/how-we-help-clients/growth-and-innovation</w:t>
      </w:r>
      <w:r w:rsidR="00EC4E20">
        <w:rPr>
          <w:szCs w:val="20"/>
        </w:rPr>
        <w:t>.</w:t>
      </w:r>
    </w:p>
  </w:footnote>
  <w:footnote w:id="13">
    <w:p w14:paraId="0B853552" w14:textId="5618E0CF" w:rsidR="00861BD2" w:rsidRPr="00B10A3C" w:rsidRDefault="00861BD2" w:rsidP="00861BD2">
      <w:pPr>
        <w:pStyle w:val="FootnoteText"/>
        <w:rPr>
          <w:szCs w:val="20"/>
        </w:rPr>
      </w:pPr>
      <w:r w:rsidRPr="00B10A3C">
        <w:rPr>
          <w:rStyle w:val="FootnoteReference"/>
          <w:szCs w:val="20"/>
        </w:rPr>
        <w:footnoteRef/>
      </w:r>
      <w:r w:rsidRPr="00B10A3C">
        <w:rPr>
          <w:szCs w:val="20"/>
        </w:rPr>
        <w:t xml:space="preserve"> Marc de Jong, Nathan Martson, </w:t>
      </w:r>
      <w:r w:rsidR="0091669A">
        <w:rPr>
          <w:szCs w:val="20"/>
        </w:rPr>
        <w:t>&amp;</w:t>
      </w:r>
      <w:r w:rsidRPr="00B10A3C">
        <w:rPr>
          <w:szCs w:val="20"/>
        </w:rPr>
        <w:t xml:space="preserve"> Erik Roth,</w:t>
      </w:r>
      <w:r w:rsidRPr="00B10A3C">
        <w:rPr>
          <w:i/>
          <w:iCs/>
          <w:szCs w:val="20"/>
        </w:rPr>
        <w:t xml:space="preserve"> The Eight Essentials of Innovation</w:t>
      </w:r>
      <w:r w:rsidRPr="00B10A3C">
        <w:rPr>
          <w:szCs w:val="20"/>
        </w:rPr>
        <w:t xml:space="preserve">, </w:t>
      </w:r>
      <w:r w:rsidRPr="00B10A3C">
        <w:rPr>
          <w:smallCaps/>
          <w:szCs w:val="20"/>
        </w:rPr>
        <w:t xml:space="preserve">McKinsey &amp; Co., </w:t>
      </w:r>
      <w:r w:rsidRPr="00B10A3C">
        <w:rPr>
          <w:szCs w:val="20"/>
        </w:rPr>
        <w:t>https://www.mckinsey.com/business-functions/strategy-and-corporate-finance/our-insights/the-eight-essentials-of-innovation</w:t>
      </w:r>
      <w:r w:rsidRPr="00B10A3C">
        <w:rPr>
          <w:smallCaps/>
          <w:szCs w:val="20"/>
        </w:rPr>
        <w:t>.</w:t>
      </w:r>
    </w:p>
  </w:footnote>
  <w:footnote w:id="14">
    <w:p w14:paraId="105B3461" w14:textId="6501F738" w:rsidR="00861BD2" w:rsidRPr="00B10A3C" w:rsidRDefault="00861BD2" w:rsidP="00861BD2">
      <w:pPr>
        <w:pStyle w:val="FootnoteText"/>
        <w:rPr>
          <w:szCs w:val="20"/>
        </w:rPr>
      </w:pPr>
      <w:r w:rsidRPr="00B10A3C">
        <w:rPr>
          <w:rStyle w:val="FootnoteReference"/>
          <w:szCs w:val="20"/>
        </w:rPr>
        <w:footnoteRef/>
      </w:r>
      <w:r w:rsidRPr="00B10A3C">
        <w:rPr>
          <w:szCs w:val="20"/>
        </w:rPr>
        <w:t xml:space="preserve"> 43 Best-Selling Business Books of All Time,</w:t>
      </w:r>
      <w:r w:rsidRPr="00B10A3C">
        <w:rPr>
          <w:smallCaps/>
          <w:szCs w:val="20"/>
        </w:rPr>
        <w:t xml:space="preserve"> Bookauthority, </w:t>
      </w:r>
      <w:r w:rsidR="00EC4E20" w:rsidRPr="00810643">
        <w:t>https://bookauthority.org/books/best-selling-business-books</w:t>
      </w:r>
      <w:r w:rsidRPr="00B10A3C">
        <w:rPr>
          <w:szCs w:val="20"/>
        </w:rPr>
        <w:t xml:space="preserve">. </w:t>
      </w:r>
      <w:r w:rsidRPr="00B10A3C">
        <w:rPr>
          <w:i/>
          <w:iCs/>
          <w:szCs w:val="20"/>
        </w:rPr>
        <w:t>See also</w:t>
      </w:r>
      <w:r w:rsidRPr="00B10A3C">
        <w:rPr>
          <w:szCs w:val="20"/>
        </w:rPr>
        <w:t xml:space="preserve">, Dan Dzombak, </w:t>
      </w:r>
      <w:r w:rsidRPr="00B10A3C">
        <w:rPr>
          <w:i/>
          <w:iCs/>
          <w:szCs w:val="20"/>
        </w:rPr>
        <w:t>The 12 Best Business Books of All Time</w:t>
      </w:r>
      <w:r w:rsidRPr="00B10A3C">
        <w:rPr>
          <w:szCs w:val="20"/>
        </w:rPr>
        <w:t xml:space="preserve">, </w:t>
      </w:r>
      <w:r w:rsidRPr="00B10A3C">
        <w:rPr>
          <w:smallCaps/>
          <w:szCs w:val="20"/>
        </w:rPr>
        <w:t>USA Today (</w:t>
      </w:r>
      <w:r w:rsidRPr="00B10A3C">
        <w:rPr>
          <w:szCs w:val="20"/>
        </w:rPr>
        <w:t xml:space="preserve">Nov. 8, 2014), </w:t>
      </w:r>
      <w:r w:rsidR="00EC4E20" w:rsidRPr="00810643">
        <w:t>https://www.usatoday.com/story/money/business/2014/11/08/the-12-best-business-books-of-all-time/18659453</w:t>
      </w:r>
      <w:r w:rsidRPr="00B10A3C">
        <w:rPr>
          <w:szCs w:val="20"/>
        </w:rPr>
        <w:t xml:space="preserve">. Two of the twelve books on this list focus on innovation: </w:t>
      </w:r>
      <w:r w:rsidRPr="00B10A3C">
        <w:rPr>
          <w:i/>
          <w:iCs/>
          <w:szCs w:val="20"/>
        </w:rPr>
        <w:t xml:space="preserve">The Innovator’s Dilemma </w:t>
      </w:r>
      <w:r w:rsidRPr="00B10A3C">
        <w:rPr>
          <w:szCs w:val="20"/>
        </w:rPr>
        <w:t xml:space="preserve">and </w:t>
      </w:r>
      <w:r w:rsidRPr="00B10A3C">
        <w:rPr>
          <w:i/>
          <w:iCs/>
          <w:szCs w:val="20"/>
        </w:rPr>
        <w:t xml:space="preserve">Zero to One </w:t>
      </w:r>
      <w:r w:rsidRPr="00B10A3C">
        <w:rPr>
          <w:szCs w:val="20"/>
        </w:rPr>
        <w:t>by Peter Thiel and Blake Masters.</w:t>
      </w:r>
    </w:p>
  </w:footnote>
  <w:footnote w:id="15">
    <w:p w14:paraId="15F51973" w14:textId="0C26EE45" w:rsidR="00861BD2" w:rsidRPr="00B10A3C" w:rsidRDefault="00861BD2" w:rsidP="00861BD2">
      <w:pPr>
        <w:pStyle w:val="FootnoteText"/>
        <w:rPr>
          <w:szCs w:val="20"/>
        </w:rPr>
      </w:pPr>
      <w:r w:rsidRPr="00B10A3C">
        <w:rPr>
          <w:rStyle w:val="FootnoteReference"/>
          <w:szCs w:val="20"/>
        </w:rPr>
        <w:footnoteRef/>
      </w:r>
      <w:r w:rsidRPr="00B10A3C">
        <w:rPr>
          <w:szCs w:val="20"/>
        </w:rPr>
        <w:t xml:space="preserve"> </w:t>
      </w:r>
      <w:r w:rsidRPr="00B10A3C">
        <w:rPr>
          <w:i/>
          <w:iCs/>
          <w:szCs w:val="20"/>
        </w:rPr>
        <w:t>See, e.g.</w:t>
      </w:r>
      <w:r w:rsidRPr="00B10A3C">
        <w:rPr>
          <w:szCs w:val="20"/>
        </w:rPr>
        <w:t xml:space="preserve">, </w:t>
      </w:r>
      <w:r w:rsidRPr="00B10A3C">
        <w:rPr>
          <w:i/>
          <w:iCs/>
          <w:szCs w:val="20"/>
        </w:rPr>
        <w:t>America’s Most Innovative Leaders</w:t>
      </w:r>
      <w:r w:rsidRPr="00B10A3C">
        <w:rPr>
          <w:szCs w:val="20"/>
        </w:rPr>
        <w:t xml:space="preserve">, </w:t>
      </w:r>
      <w:r w:rsidR="008E098D" w:rsidRPr="00DC1D83">
        <w:rPr>
          <w:smallCaps/>
          <w:szCs w:val="20"/>
        </w:rPr>
        <w:t>Forbes</w:t>
      </w:r>
      <w:r w:rsidR="00E6257D">
        <w:rPr>
          <w:szCs w:val="20"/>
        </w:rPr>
        <w:t xml:space="preserve"> (2019)</w:t>
      </w:r>
      <w:r w:rsidR="00EC4E20">
        <w:rPr>
          <w:szCs w:val="20"/>
        </w:rPr>
        <w:t xml:space="preserve">, </w:t>
      </w:r>
      <w:r w:rsidRPr="00B10A3C">
        <w:rPr>
          <w:szCs w:val="20"/>
        </w:rPr>
        <w:t xml:space="preserve">https://www.forbes.com/lists/innovative-leaders/#7f48730126aa; Melissa Stanger &amp; Melia Robinson, </w:t>
      </w:r>
      <w:r w:rsidRPr="00B10A3C">
        <w:rPr>
          <w:i/>
          <w:iCs/>
          <w:szCs w:val="20"/>
        </w:rPr>
        <w:t>The Most Innovative People under 40</w:t>
      </w:r>
      <w:r w:rsidRPr="00B10A3C">
        <w:rPr>
          <w:szCs w:val="20"/>
        </w:rPr>
        <w:t xml:space="preserve">, </w:t>
      </w:r>
      <w:r w:rsidR="003C5921" w:rsidRPr="00DC1D83">
        <w:rPr>
          <w:smallCaps/>
          <w:szCs w:val="20"/>
        </w:rPr>
        <w:t>Bus.</w:t>
      </w:r>
      <w:r w:rsidR="003C5921">
        <w:rPr>
          <w:szCs w:val="20"/>
        </w:rPr>
        <w:t xml:space="preserve"> </w:t>
      </w:r>
      <w:r w:rsidRPr="00DC1D83">
        <w:rPr>
          <w:smallCaps/>
          <w:szCs w:val="20"/>
        </w:rPr>
        <w:t>Insider</w:t>
      </w:r>
      <w:r w:rsidRPr="00B10A3C">
        <w:rPr>
          <w:szCs w:val="20"/>
        </w:rPr>
        <w:t xml:space="preserve"> (Nov. 7, 2013), https://www.businessinsider.com/most-innovative-people-under-40-2013-10.</w:t>
      </w:r>
    </w:p>
  </w:footnote>
  <w:footnote w:id="16">
    <w:p w14:paraId="76DE0AB2" w14:textId="75815FDD" w:rsidR="00861BD2" w:rsidRPr="00B10A3C" w:rsidRDefault="00861BD2" w:rsidP="00861BD2">
      <w:pPr>
        <w:pStyle w:val="FootnoteText"/>
        <w:rPr>
          <w:szCs w:val="20"/>
        </w:rPr>
      </w:pPr>
      <w:r w:rsidRPr="00B10A3C">
        <w:rPr>
          <w:rStyle w:val="FootnoteReference"/>
          <w:szCs w:val="20"/>
        </w:rPr>
        <w:footnoteRef/>
      </w:r>
      <w:r w:rsidRPr="00B10A3C">
        <w:rPr>
          <w:szCs w:val="20"/>
        </w:rPr>
        <w:t xml:space="preserve"> </w:t>
      </w:r>
      <w:r w:rsidRPr="00B10A3C">
        <w:rPr>
          <w:i/>
          <w:iCs/>
          <w:szCs w:val="20"/>
        </w:rPr>
        <w:t>See, e.g.</w:t>
      </w:r>
      <w:r w:rsidRPr="00B10A3C">
        <w:rPr>
          <w:szCs w:val="20"/>
        </w:rPr>
        <w:t xml:space="preserve">, </w:t>
      </w:r>
      <w:r w:rsidRPr="00B10A3C">
        <w:rPr>
          <w:i/>
          <w:iCs/>
          <w:szCs w:val="20"/>
        </w:rPr>
        <w:t xml:space="preserve">Corporate Innovation: Strategies for Leveraging </w:t>
      </w:r>
      <w:r w:rsidRPr="006525D2">
        <w:rPr>
          <w:i/>
          <w:iCs/>
          <w:szCs w:val="20"/>
        </w:rPr>
        <w:t>Ecosystems</w:t>
      </w:r>
      <w:r w:rsidRPr="00B10A3C">
        <w:rPr>
          <w:szCs w:val="20"/>
        </w:rPr>
        <w:t xml:space="preserve">, </w:t>
      </w:r>
      <w:r w:rsidR="00BB7D83" w:rsidRPr="00DC1D83">
        <w:rPr>
          <w:smallCaps/>
          <w:szCs w:val="20"/>
        </w:rPr>
        <w:t xml:space="preserve">MIT Mgmt. Exec. Educ. </w:t>
      </w:r>
      <w:r w:rsidRPr="00DC1D83">
        <w:rPr>
          <w:smallCaps/>
          <w:szCs w:val="20"/>
        </w:rPr>
        <w:t xml:space="preserve"> </w:t>
      </w:r>
      <w:r w:rsidR="00E74E85" w:rsidRPr="00E74E85">
        <w:rPr>
          <w:szCs w:val="20"/>
        </w:rPr>
        <w:t>https://www.getsmarter.com/products/mit-sloan-corporate-innovation-strategies-for-leveraging-ecosystems-online-program</w:t>
      </w:r>
      <w:r w:rsidR="00E74E85" w:rsidRPr="00E74E85" w:rsidDel="00E74E85">
        <w:rPr>
          <w:szCs w:val="20"/>
        </w:rPr>
        <w:t xml:space="preserve"> </w:t>
      </w:r>
      <w:r w:rsidRPr="00B10A3C">
        <w:rPr>
          <w:szCs w:val="20"/>
        </w:rPr>
        <w:t>(stating that students will “walk away with</w:t>
      </w:r>
      <w:r w:rsidRPr="00B10A3C" w:rsidDel="00864893">
        <w:rPr>
          <w:szCs w:val="20"/>
        </w:rPr>
        <w:t xml:space="preserve"> </w:t>
      </w:r>
      <w:r w:rsidRPr="00B10A3C">
        <w:rPr>
          <w:szCs w:val="20"/>
        </w:rPr>
        <w:t xml:space="preserve">. . . an action plan to maximize entrepreneurship and foster a culture of innovation”); Executive Education, </w:t>
      </w:r>
      <w:r w:rsidRPr="00B10A3C">
        <w:rPr>
          <w:i/>
          <w:iCs/>
          <w:szCs w:val="20"/>
        </w:rPr>
        <w:t>Innovative Product Leadership: The Emerging Chief Product Officer</w:t>
      </w:r>
      <w:r w:rsidRPr="00B10A3C">
        <w:rPr>
          <w:szCs w:val="20"/>
        </w:rPr>
        <w:t xml:space="preserve">, </w:t>
      </w:r>
      <w:r w:rsidR="008F4351" w:rsidRPr="00DC1D83">
        <w:rPr>
          <w:smallCaps/>
          <w:szCs w:val="20"/>
        </w:rPr>
        <w:t>Stanford Graduate Sch. of Bus.,</w:t>
      </w:r>
      <w:r w:rsidR="008F4351" w:rsidDel="00CB3869">
        <w:rPr>
          <w:szCs w:val="20"/>
        </w:rPr>
        <w:t xml:space="preserve"> </w:t>
      </w:r>
      <w:r w:rsidR="00CB3869" w:rsidRPr="00CB3869">
        <w:rPr>
          <w:szCs w:val="20"/>
        </w:rPr>
        <w:t>https://www.gsb.stanford.edu/exec-ed/programs/innovative-product-leadership</w:t>
      </w:r>
      <w:r w:rsidRPr="00B10A3C">
        <w:rPr>
          <w:szCs w:val="20"/>
        </w:rPr>
        <w:t xml:space="preserve"> (promising to help students “develop leadership skills that motivate cross-functional teams to drive product innovation.”)</w:t>
      </w:r>
      <w:r w:rsidR="003526B1">
        <w:rPr>
          <w:szCs w:val="20"/>
        </w:rPr>
        <w:t>.</w:t>
      </w:r>
    </w:p>
  </w:footnote>
  <w:footnote w:id="17">
    <w:p w14:paraId="3F4D382A" w14:textId="1018D9C1" w:rsidR="00861BD2" w:rsidRPr="00B10A3C" w:rsidRDefault="00861BD2" w:rsidP="00861BD2">
      <w:pPr>
        <w:pStyle w:val="FootnoteText"/>
        <w:rPr>
          <w:szCs w:val="20"/>
        </w:rPr>
      </w:pPr>
      <w:r w:rsidRPr="00B10A3C">
        <w:rPr>
          <w:rStyle w:val="FootnoteReference"/>
          <w:szCs w:val="20"/>
        </w:rPr>
        <w:footnoteRef/>
      </w:r>
      <w:r w:rsidRPr="00B10A3C">
        <w:rPr>
          <w:szCs w:val="20"/>
        </w:rPr>
        <w:t xml:space="preserve"> </w:t>
      </w:r>
      <w:r w:rsidRPr="00B10A3C">
        <w:rPr>
          <w:i/>
          <w:iCs/>
          <w:szCs w:val="20"/>
        </w:rPr>
        <w:t xml:space="preserve">See </w:t>
      </w:r>
      <w:r w:rsidRPr="00B10A3C">
        <w:rPr>
          <w:szCs w:val="20"/>
        </w:rPr>
        <w:t xml:space="preserve">Gianluca Biggi &amp; Elisa Giuliani, </w:t>
      </w:r>
      <w:r w:rsidRPr="00B10A3C">
        <w:rPr>
          <w:i/>
          <w:iCs/>
          <w:szCs w:val="20"/>
        </w:rPr>
        <w:t>The Noxious Consequences of Innovation: What Do We Know?</w:t>
      </w:r>
      <w:r w:rsidRPr="00B10A3C">
        <w:rPr>
          <w:szCs w:val="20"/>
        </w:rPr>
        <w:t xml:space="preserve">, 28 </w:t>
      </w:r>
      <w:r w:rsidRPr="00322FD3">
        <w:rPr>
          <w:smallCaps/>
          <w:szCs w:val="20"/>
        </w:rPr>
        <w:t>Indus</w:t>
      </w:r>
      <w:r w:rsidR="00FE6511" w:rsidRPr="00322FD3">
        <w:rPr>
          <w:smallCaps/>
          <w:szCs w:val="20"/>
        </w:rPr>
        <w:t>.</w:t>
      </w:r>
      <w:r w:rsidRPr="00322FD3">
        <w:rPr>
          <w:smallCaps/>
        </w:rPr>
        <w:t xml:space="preserve"> &amp; Innovation</w:t>
      </w:r>
      <w:r w:rsidRPr="00B10A3C">
        <w:rPr>
          <w:szCs w:val="20"/>
        </w:rPr>
        <w:t xml:space="preserve"> 19, 19 (2021).</w:t>
      </w:r>
    </w:p>
  </w:footnote>
  <w:footnote w:id="18">
    <w:p w14:paraId="10707382" w14:textId="330C9D7B" w:rsidR="00861BD2" w:rsidRPr="00B10A3C" w:rsidRDefault="00861BD2" w:rsidP="00861BD2">
      <w:pPr>
        <w:pStyle w:val="FootnoteText"/>
        <w:rPr>
          <w:szCs w:val="20"/>
        </w:rPr>
      </w:pPr>
      <w:r w:rsidRPr="00B10A3C">
        <w:rPr>
          <w:rStyle w:val="FootnoteReference"/>
          <w:szCs w:val="20"/>
        </w:rPr>
        <w:footnoteRef/>
      </w:r>
      <w:r w:rsidRPr="00B10A3C">
        <w:rPr>
          <w:szCs w:val="20"/>
        </w:rPr>
        <w:t xml:space="preserve"> </w:t>
      </w:r>
      <w:r w:rsidRPr="00B10A3C">
        <w:rPr>
          <w:i/>
          <w:iCs/>
          <w:szCs w:val="20"/>
        </w:rPr>
        <w:t>See, e.g.</w:t>
      </w:r>
      <w:r w:rsidRPr="00B10A3C">
        <w:rPr>
          <w:szCs w:val="20"/>
        </w:rPr>
        <w:t>, Daniela Adreini, Cristina Bettinelli, Nicolai J. Foss,</w:t>
      </w:r>
      <w:r w:rsidR="006D50B0">
        <w:rPr>
          <w:szCs w:val="20"/>
        </w:rPr>
        <w:t xml:space="preserve"> &amp;</w:t>
      </w:r>
      <w:r w:rsidRPr="00B10A3C">
        <w:rPr>
          <w:szCs w:val="20"/>
        </w:rPr>
        <w:t xml:space="preserve"> Marco Mismetti, </w:t>
      </w:r>
      <w:r w:rsidRPr="00B10A3C">
        <w:rPr>
          <w:i/>
          <w:iCs/>
          <w:szCs w:val="20"/>
        </w:rPr>
        <w:t>Business Model Innovation: A Review of the Process-Based Literature</w:t>
      </w:r>
      <w:r w:rsidRPr="00B10A3C">
        <w:rPr>
          <w:szCs w:val="20"/>
        </w:rPr>
        <w:t xml:space="preserve">, </w:t>
      </w:r>
      <w:r w:rsidRPr="00B10A3C">
        <w:rPr>
          <w:smallCaps/>
          <w:szCs w:val="20"/>
        </w:rPr>
        <w:t xml:space="preserve">J. </w:t>
      </w:r>
      <w:r w:rsidR="00895F46">
        <w:rPr>
          <w:smallCaps/>
          <w:szCs w:val="20"/>
        </w:rPr>
        <w:t>M</w:t>
      </w:r>
      <w:r w:rsidR="00277CDC">
        <w:rPr>
          <w:smallCaps/>
          <w:szCs w:val="20"/>
        </w:rPr>
        <w:t>gmt.</w:t>
      </w:r>
      <w:r w:rsidRPr="00B10A3C">
        <w:rPr>
          <w:smallCaps/>
          <w:szCs w:val="20"/>
        </w:rPr>
        <w:t xml:space="preserve"> &amp; Governance</w:t>
      </w:r>
      <w:r w:rsidRPr="00B10A3C">
        <w:rPr>
          <w:szCs w:val="20"/>
        </w:rPr>
        <w:t xml:space="preserve"> (2021), </w:t>
      </w:r>
      <w:r w:rsidR="003526B1" w:rsidRPr="00CA6310">
        <w:t>https://www.ncbi.nlm.nih.gov/pmc/articles/PMC8364311/pdf/10997_2021_Article_9590.pdf</w:t>
      </w:r>
      <w:r w:rsidRPr="00B10A3C">
        <w:rPr>
          <w:szCs w:val="20"/>
        </w:rPr>
        <w:t xml:space="preserve">; Michael Boyles, </w:t>
      </w:r>
      <w:r w:rsidRPr="00B10A3C">
        <w:rPr>
          <w:i/>
          <w:iCs/>
          <w:szCs w:val="20"/>
        </w:rPr>
        <w:t xml:space="preserve">Innovation in Business: What It Is and Why It’s So </w:t>
      </w:r>
      <w:r w:rsidRPr="00B10A3C">
        <w:rPr>
          <w:szCs w:val="20"/>
        </w:rPr>
        <w:t xml:space="preserve">Important, </w:t>
      </w:r>
      <w:r w:rsidRPr="00B10A3C">
        <w:rPr>
          <w:smallCaps/>
          <w:szCs w:val="20"/>
        </w:rPr>
        <w:t xml:space="preserve">Harv. Bus. </w:t>
      </w:r>
      <w:r w:rsidR="00B33C70">
        <w:rPr>
          <w:smallCaps/>
          <w:szCs w:val="20"/>
        </w:rPr>
        <w:t xml:space="preserve">Sch. </w:t>
      </w:r>
      <w:r w:rsidRPr="00B10A3C">
        <w:rPr>
          <w:smallCaps/>
          <w:szCs w:val="20"/>
        </w:rPr>
        <w:t xml:space="preserve"> Online</w:t>
      </w:r>
      <w:r w:rsidRPr="00B10A3C">
        <w:rPr>
          <w:szCs w:val="20"/>
        </w:rPr>
        <w:t xml:space="preserve"> (Mar</w:t>
      </w:r>
      <w:r w:rsidR="003526B1">
        <w:rPr>
          <w:szCs w:val="20"/>
        </w:rPr>
        <w:t>.</w:t>
      </w:r>
      <w:r w:rsidRPr="00B10A3C">
        <w:rPr>
          <w:szCs w:val="20"/>
        </w:rPr>
        <w:t xml:space="preserve"> 8, 2022), </w:t>
      </w:r>
      <w:r w:rsidR="003526B1" w:rsidRPr="00810643">
        <w:t>https://online.hbs.edu/blog/post/importance-of-innovation-in-business</w:t>
      </w:r>
      <w:r w:rsidRPr="00B10A3C">
        <w:rPr>
          <w:szCs w:val="20"/>
        </w:rPr>
        <w:t xml:space="preserve">; Gary P. Pisano, </w:t>
      </w:r>
      <w:r w:rsidRPr="00B10A3C">
        <w:rPr>
          <w:i/>
          <w:iCs/>
          <w:szCs w:val="20"/>
        </w:rPr>
        <w:t>The Hard Truth about Innovative Cultures</w:t>
      </w:r>
      <w:r w:rsidRPr="00B10A3C">
        <w:rPr>
          <w:szCs w:val="20"/>
        </w:rPr>
        <w:t xml:space="preserve">, </w:t>
      </w:r>
      <w:r w:rsidRPr="00B10A3C">
        <w:rPr>
          <w:smallCaps/>
          <w:szCs w:val="20"/>
        </w:rPr>
        <w:t>Harvard Bus. Rev.</w:t>
      </w:r>
      <w:r w:rsidRPr="00B10A3C">
        <w:rPr>
          <w:szCs w:val="20"/>
        </w:rPr>
        <w:t xml:space="preserve"> (2019), </w:t>
      </w:r>
      <w:r w:rsidR="003526B1" w:rsidRPr="00CA6310">
        <w:t>https://hbr.org/2019/01/the-hard-truth-about-innovative-cultures</w:t>
      </w:r>
      <w:r w:rsidR="003526B1">
        <w:rPr>
          <w:szCs w:val="20"/>
        </w:rPr>
        <w:t>.</w:t>
      </w:r>
    </w:p>
  </w:footnote>
  <w:footnote w:id="19">
    <w:p w14:paraId="450C0A4F" w14:textId="3F220211" w:rsidR="00861BD2" w:rsidRPr="00B10A3C" w:rsidRDefault="00861BD2" w:rsidP="00861BD2">
      <w:pPr>
        <w:pStyle w:val="FootnoteText"/>
        <w:rPr>
          <w:szCs w:val="20"/>
        </w:rPr>
      </w:pPr>
      <w:r w:rsidRPr="00B10A3C">
        <w:rPr>
          <w:rStyle w:val="FootnoteReference"/>
          <w:szCs w:val="20"/>
        </w:rPr>
        <w:footnoteRef/>
      </w:r>
      <w:r w:rsidRPr="00B10A3C">
        <w:rPr>
          <w:szCs w:val="20"/>
        </w:rPr>
        <w:t xml:space="preserve"> </w:t>
      </w:r>
      <w:r w:rsidRPr="00B10A3C">
        <w:rPr>
          <w:i/>
          <w:iCs/>
          <w:szCs w:val="20"/>
        </w:rPr>
        <w:t>See, e.g.</w:t>
      </w:r>
      <w:r w:rsidRPr="00B10A3C">
        <w:rPr>
          <w:szCs w:val="20"/>
        </w:rPr>
        <w:t xml:space="preserve">, Jan Fagerberg &amp; Bart Verspagen, </w:t>
      </w:r>
      <w:r w:rsidRPr="00B10A3C">
        <w:rPr>
          <w:i/>
          <w:iCs/>
          <w:szCs w:val="20"/>
        </w:rPr>
        <w:t>Innovation Studies—the Emerging Structure of a New Scientific Field</w:t>
      </w:r>
      <w:r w:rsidRPr="00B10A3C">
        <w:rPr>
          <w:szCs w:val="20"/>
        </w:rPr>
        <w:t xml:space="preserve">, 38 </w:t>
      </w:r>
      <w:r w:rsidR="008857C1" w:rsidRPr="00810643">
        <w:rPr>
          <w:smallCaps/>
          <w:szCs w:val="20"/>
        </w:rPr>
        <w:t xml:space="preserve">Rsch. </w:t>
      </w:r>
      <w:r w:rsidR="00B6276C" w:rsidRPr="00810643">
        <w:rPr>
          <w:smallCaps/>
          <w:szCs w:val="20"/>
        </w:rPr>
        <w:t>Pol’y</w:t>
      </w:r>
      <w:r w:rsidRPr="00B10A3C">
        <w:rPr>
          <w:szCs w:val="20"/>
        </w:rPr>
        <w:t xml:space="preserve"> 218, 221</w:t>
      </w:r>
      <w:r w:rsidR="00A7643C">
        <w:rPr>
          <w:szCs w:val="20"/>
        </w:rPr>
        <w:t>–</w:t>
      </w:r>
      <w:r w:rsidRPr="00B10A3C">
        <w:rPr>
          <w:szCs w:val="20"/>
        </w:rPr>
        <w:t>222 (2009) (describing the subject matter of innovation studies).</w:t>
      </w:r>
    </w:p>
  </w:footnote>
  <w:footnote w:id="20">
    <w:p w14:paraId="79F4487F" w14:textId="7ECCD8C9" w:rsidR="00861BD2" w:rsidRPr="00B10A3C" w:rsidRDefault="00861BD2" w:rsidP="00861BD2">
      <w:pPr>
        <w:pStyle w:val="FootnoteText"/>
        <w:rPr>
          <w:szCs w:val="20"/>
        </w:rPr>
      </w:pPr>
      <w:r w:rsidRPr="00B10A3C">
        <w:rPr>
          <w:rStyle w:val="FootnoteReference"/>
          <w:szCs w:val="20"/>
        </w:rPr>
        <w:footnoteRef/>
      </w:r>
      <w:r w:rsidRPr="00B10A3C">
        <w:rPr>
          <w:szCs w:val="20"/>
        </w:rPr>
        <w:t xml:space="preserve"> Joseph Schumpeter, </w:t>
      </w:r>
      <w:r w:rsidRPr="00B10A3C">
        <w:rPr>
          <w:smallCaps/>
          <w:szCs w:val="20"/>
        </w:rPr>
        <w:t>Capitalism, Socialism, and Democracy 82 (</w:t>
      </w:r>
      <w:r w:rsidRPr="00B10A3C">
        <w:rPr>
          <w:szCs w:val="20"/>
        </w:rPr>
        <w:t>3d ed. 1950</w:t>
      </w:r>
      <w:r w:rsidRPr="00B10A3C">
        <w:rPr>
          <w:smallCaps/>
          <w:szCs w:val="20"/>
        </w:rPr>
        <w:t>) (</w:t>
      </w:r>
      <w:r w:rsidRPr="00B10A3C">
        <w:rPr>
          <w:szCs w:val="20"/>
        </w:rPr>
        <w:t xml:space="preserve">discussing the “process of industrial mutation . . . that incessantly revolutionizes the economic structure </w:t>
      </w:r>
      <w:r w:rsidRPr="00B10A3C">
        <w:rPr>
          <w:i/>
          <w:iCs/>
          <w:szCs w:val="20"/>
        </w:rPr>
        <w:t>from within</w:t>
      </w:r>
      <w:r w:rsidRPr="00B10A3C">
        <w:rPr>
          <w:szCs w:val="20"/>
        </w:rPr>
        <w:t>, incessantly destroying the old one, incessantly creating a new one. This process of Creative Destruction is the essential fact about capitalism.”)</w:t>
      </w:r>
      <w:r w:rsidR="00EB33A4">
        <w:rPr>
          <w:szCs w:val="20"/>
        </w:rPr>
        <w:t xml:space="preserve">. </w:t>
      </w:r>
    </w:p>
  </w:footnote>
  <w:footnote w:id="21">
    <w:p w14:paraId="2B8E1B23" w14:textId="2AEA0842" w:rsidR="00861BD2" w:rsidRPr="00B10A3C" w:rsidRDefault="00861BD2" w:rsidP="00861BD2">
      <w:pPr>
        <w:pStyle w:val="FootnoteText"/>
        <w:rPr>
          <w:szCs w:val="20"/>
        </w:rPr>
      </w:pPr>
      <w:r w:rsidRPr="00B10A3C">
        <w:rPr>
          <w:rStyle w:val="FootnoteReference"/>
          <w:szCs w:val="20"/>
        </w:rPr>
        <w:footnoteRef/>
      </w:r>
      <w:r w:rsidRPr="00B10A3C">
        <w:rPr>
          <w:szCs w:val="20"/>
        </w:rPr>
        <w:t xml:space="preserve"> </w:t>
      </w:r>
      <w:r w:rsidRPr="00B10A3C">
        <w:rPr>
          <w:i/>
          <w:iCs/>
          <w:szCs w:val="20"/>
        </w:rPr>
        <w:t>See, e.g.</w:t>
      </w:r>
      <w:r w:rsidRPr="00B10A3C">
        <w:rPr>
          <w:szCs w:val="20"/>
        </w:rPr>
        <w:t xml:space="preserve">, Kenneth J. Arrow, </w:t>
      </w:r>
      <w:r w:rsidRPr="00B10A3C">
        <w:rPr>
          <w:i/>
          <w:iCs/>
          <w:szCs w:val="20"/>
        </w:rPr>
        <w:t>Economic Welfare and the Allocation of Resources for Invention</w:t>
      </w:r>
      <w:r w:rsidRPr="00B10A3C">
        <w:rPr>
          <w:szCs w:val="20"/>
        </w:rPr>
        <w:t xml:space="preserve">, in </w:t>
      </w:r>
      <w:r w:rsidRPr="00B10A3C">
        <w:rPr>
          <w:smallCaps/>
          <w:szCs w:val="20"/>
        </w:rPr>
        <w:t>The Rate And Direction Of Economic Activities: Economic And Social Factors</w:t>
      </w:r>
      <w:r w:rsidRPr="00B10A3C">
        <w:rPr>
          <w:szCs w:val="20"/>
        </w:rPr>
        <w:t xml:space="preserve"> 609 (Richard Nelson ed., 1962); Kenneth J. Arrow, </w:t>
      </w:r>
      <w:r w:rsidRPr="00B10A3C">
        <w:rPr>
          <w:i/>
          <w:iCs/>
          <w:szCs w:val="20"/>
        </w:rPr>
        <w:t>Innovation in Large and Small Firms</w:t>
      </w:r>
      <w:r w:rsidRPr="00B10A3C">
        <w:rPr>
          <w:szCs w:val="20"/>
        </w:rPr>
        <w:t xml:space="preserve">, </w:t>
      </w:r>
      <w:r w:rsidRPr="00B10A3C">
        <w:rPr>
          <w:smallCaps/>
          <w:szCs w:val="20"/>
        </w:rPr>
        <w:t>2 J. Entrepreneurial Fin. 111</w:t>
      </w:r>
      <w:r w:rsidRPr="00B10A3C">
        <w:rPr>
          <w:szCs w:val="20"/>
        </w:rPr>
        <w:t xml:space="preserve"> (1993). </w:t>
      </w:r>
      <w:r w:rsidRPr="00B10A3C">
        <w:rPr>
          <w:i/>
          <w:iCs/>
          <w:szCs w:val="20"/>
        </w:rPr>
        <w:t>See also</w:t>
      </w:r>
      <w:r w:rsidRPr="00B10A3C">
        <w:rPr>
          <w:szCs w:val="20"/>
        </w:rPr>
        <w:t xml:space="preserve">, Jonathan B. Baker, </w:t>
      </w:r>
      <w:r w:rsidRPr="00B10A3C">
        <w:rPr>
          <w:i/>
          <w:iCs/>
          <w:szCs w:val="20"/>
        </w:rPr>
        <w:t>Beyond Schumpeter vs. Arrow: How Antitrust Fosters Innovation</w:t>
      </w:r>
      <w:r w:rsidRPr="00B10A3C">
        <w:rPr>
          <w:szCs w:val="20"/>
        </w:rPr>
        <w:t xml:space="preserve">, </w:t>
      </w:r>
      <w:r w:rsidRPr="00B10A3C">
        <w:rPr>
          <w:smallCaps/>
          <w:szCs w:val="20"/>
        </w:rPr>
        <w:t>74 Antitrust L.J</w:t>
      </w:r>
      <w:r w:rsidRPr="00B10A3C">
        <w:rPr>
          <w:szCs w:val="20"/>
        </w:rPr>
        <w:t xml:space="preserve">. 575, 576 (2007) (analyzing Schumpeter’s and Arrow’s approaches </w:t>
      </w:r>
      <w:r w:rsidR="006E4F3E">
        <w:rPr>
          <w:szCs w:val="20"/>
        </w:rPr>
        <w:t>on</w:t>
      </w:r>
      <w:r w:rsidRPr="00B10A3C">
        <w:rPr>
          <w:szCs w:val="20"/>
        </w:rPr>
        <w:t xml:space="preserve"> how best to encourage innovation and concluding that “antitrust rules and enforcement today are appropriately focused to promote innovation”).</w:t>
      </w:r>
    </w:p>
  </w:footnote>
  <w:footnote w:id="22">
    <w:p w14:paraId="05B3CFE1" w14:textId="2527D36A" w:rsidR="00861BD2" w:rsidRDefault="00861BD2" w:rsidP="00861BD2">
      <w:pPr>
        <w:pStyle w:val="FootnoteText"/>
      </w:pPr>
      <w:r>
        <w:rPr>
          <w:rStyle w:val="FootnoteReference"/>
        </w:rPr>
        <w:footnoteRef/>
      </w:r>
      <w:r>
        <w:t xml:space="preserve"> This literature is far too vast to canvas, but see, for example, </w:t>
      </w:r>
      <w:r w:rsidRPr="006840EF">
        <w:rPr>
          <w:smallCaps/>
        </w:rPr>
        <w:t xml:space="preserve">William Baumol, The Free-Market Innovation Machine </w:t>
      </w:r>
      <w:r>
        <w:t>(</w:t>
      </w:r>
      <w:r w:rsidR="00372DC3">
        <w:t>2002</w:t>
      </w:r>
      <w:r>
        <w:t xml:space="preserve">); </w:t>
      </w:r>
      <w:r w:rsidRPr="006840EF">
        <w:rPr>
          <w:smallCaps/>
        </w:rPr>
        <w:t>Suzanne Scotchmer, Innovation and Incentives</w:t>
      </w:r>
      <w:r>
        <w:t xml:space="preserve"> (2006).</w:t>
      </w:r>
    </w:p>
  </w:footnote>
  <w:footnote w:id="23">
    <w:p w14:paraId="40831312" w14:textId="0B7A9888" w:rsidR="004D5EDB" w:rsidRDefault="004D5EDB">
      <w:pPr>
        <w:pStyle w:val="FootnoteText"/>
      </w:pPr>
      <w:r>
        <w:rPr>
          <w:rStyle w:val="FootnoteReference"/>
        </w:rPr>
        <w:footnoteRef/>
      </w:r>
      <w:r w:rsidR="0042150F" w:rsidDel="008F1EE9">
        <w:t xml:space="preserve"> </w:t>
      </w:r>
      <w:r w:rsidR="001B340C">
        <w:t xml:space="preserve">In 2020, </w:t>
      </w:r>
      <w:r w:rsidR="00275E9B">
        <w:t xml:space="preserve">the United States spent over 720 billion dollars on efforts to </w:t>
      </w:r>
      <w:r w:rsidR="002C2101">
        <w:t xml:space="preserve">spur innovation. </w:t>
      </w:r>
      <w:r w:rsidR="006C68C1" w:rsidRPr="00FA03EB">
        <w:t>John F. Sargent Jr.,</w:t>
      </w:r>
      <w:r w:rsidR="006C68C1" w:rsidRPr="006840EF">
        <w:rPr>
          <w:smallCaps/>
        </w:rPr>
        <w:t xml:space="preserve"> </w:t>
      </w:r>
      <w:r w:rsidR="00B36C59" w:rsidRPr="006840EF">
        <w:rPr>
          <w:smallCaps/>
        </w:rPr>
        <w:t xml:space="preserve">Cong. </w:t>
      </w:r>
      <w:r w:rsidR="00912B7A" w:rsidRPr="006840EF">
        <w:rPr>
          <w:smallCaps/>
        </w:rPr>
        <w:t>Rsch. Serv.</w:t>
      </w:r>
      <w:r w:rsidR="008C2BA4" w:rsidRPr="006840EF">
        <w:rPr>
          <w:smallCaps/>
        </w:rPr>
        <w:t xml:space="preserve">, </w:t>
      </w:r>
      <w:r w:rsidR="008C2BA4">
        <w:t>R</w:t>
      </w:r>
      <w:r w:rsidR="00864423">
        <w:t>44283</w:t>
      </w:r>
      <w:r w:rsidR="00DE1974" w:rsidRPr="00FA03EB">
        <w:t xml:space="preserve">, </w:t>
      </w:r>
      <w:r w:rsidR="00C60CEF" w:rsidRPr="006840EF">
        <w:rPr>
          <w:smallCaps/>
        </w:rPr>
        <w:t xml:space="preserve">Global </w:t>
      </w:r>
      <w:r w:rsidR="005E39D4" w:rsidRPr="006840EF">
        <w:rPr>
          <w:smallCaps/>
        </w:rPr>
        <w:t>Research and Development Expenditures: Fact Sheet</w:t>
      </w:r>
      <w:r w:rsidR="001A2CC2" w:rsidRPr="006840EF">
        <w:rPr>
          <w:smallCaps/>
        </w:rPr>
        <w:t xml:space="preserve"> </w:t>
      </w:r>
      <w:r w:rsidR="00FA03EB" w:rsidRPr="00FA03EB">
        <w:rPr>
          <w:smallCaps/>
        </w:rPr>
        <w:t xml:space="preserve"> 2</w:t>
      </w:r>
      <w:r w:rsidR="00FA03EB">
        <w:rPr>
          <w:smallCaps/>
        </w:rPr>
        <w:t xml:space="preserve"> </w:t>
      </w:r>
      <w:r w:rsidR="001A2CC2" w:rsidRPr="006840EF">
        <w:rPr>
          <w:smallCaps/>
        </w:rPr>
        <w:t>(20</w:t>
      </w:r>
      <w:r w:rsidR="005A21E8">
        <w:rPr>
          <w:smallCaps/>
        </w:rPr>
        <w:t>22</w:t>
      </w:r>
      <w:r w:rsidR="001A2CC2" w:rsidRPr="006840EF">
        <w:rPr>
          <w:smallCaps/>
        </w:rPr>
        <w:t>).</w:t>
      </w:r>
      <w:r w:rsidR="001A2CC2">
        <w:t xml:space="preserve"> </w:t>
      </w:r>
      <w:r w:rsidR="008E648A">
        <w:t xml:space="preserve">$2.352 trillion dollars </w:t>
      </w:r>
      <w:r w:rsidR="00A55D92">
        <w:t>were spent globally</w:t>
      </w:r>
      <w:r w:rsidR="002F0855">
        <w:t xml:space="preserve">. </w:t>
      </w:r>
      <w:r w:rsidR="002F0855">
        <w:rPr>
          <w:i/>
          <w:iCs/>
        </w:rPr>
        <w:t xml:space="preserve">Id. </w:t>
      </w:r>
    </w:p>
  </w:footnote>
  <w:footnote w:id="24">
    <w:p w14:paraId="03313F68" w14:textId="264AF51E" w:rsidR="00EC0C25" w:rsidRDefault="00EC0C25">
      <w:pPr>
        <w:pStyle w:val="FootnoteText"/>
      </w:pPr>
      <w:r>
        <w:rPr>
          <w:rStyle w:val="FootnoteReference"/>
        </w:rPr>
        <w:footnoteRef/>
      </w:r>
      <w:r>
        <w:t xml:space="preserve"> </w:t>
      </w:r>
      <w:r w:rsidR="00A32747" w:rsidRPr="000A216B">
        <w:t xml:space="preserve">Daniel J. Hemel &amp; Lisa Larrimore Ouellette, </w:t>
      </w:r>
      <w:r w:rsidR="00A32747" w:rsidRPr="000A216B">
        <w:rPr>
          <w:i/>
          <w:iCs/>
        </w:rPr>
        <w:t>Innovation Policy Pluralism</w:t>
      </w:r>
      <w:r w:rsidR="00A32747" w:rsidRPr="000A216B">
        <w:t xml:space="preserve">, 128 </w:t>
      </w:r>
      <w:r w:rsidR="00A32747" w:rsidRPr="000A216B">
        <w:rPr>
          <w:smallCaps/>
        </w:rPr>
        <w:t>Yale L.J.</w:t>
      </w:r>
      <w:r w:rsidR="00A32747" w:rsidRPr="000A216B">
        <w:t xml:space="preserve"> 544, 55</w:t>
      </w:r>
      <w:r w:rsidR="009C5C9F">
        <w:t>1</w:t>
      </w:r>
      <w:r w:rsidR="00A32747" w:rsidRPr="000A216B">
        <w:t xml:space="preserve"> (2019)</w:t>
      </w:r>
      <w:r w:rsidR="009C5C9F">
        <w:t xml:space="preserve"> (“I</w:t>
      </w:r>
      <w:r w:rsidR="009C5C9F" w:rsidRPr="009C5C9F">
        <w:t>n the United States, direct funding from the federal government through grants and national laboratories accounts for nearly one-quarter of the five hundred billion dollars spent on research and development (R&amp;D) each year.</w:t>
      </w:r>
      <w:r w:rsidR="009C5C9F">
        <w:t xml:space="preserve">”). </w:t>
      </w:r>
    </w:p>
  </w:footnote>
  <w:footnote w:id="25">
    <w:p w14:paraId="2AC18922" w14:textId="2A036265" w:rsidR="00EC0C25" w:rsidRDefault="00EC0C25">
      <w:pPr>
        <w:pStyle w:val="FootnoteText"/>
      </w:pPr>
      <w:r>
        <w:rPr>
          <w:rStyle w:val="FootnoteReference"/>
        </w:rPr>
        <w:footnoteRef/>
      </w:r>
      <w:r>
        <w:t xml:space="preserve"> </w:t>
      </w:r>
      <w:r w:rsidR="005E21EC">
        <w:rPr>
          <w:i/>
          <w:iCs/>
        </w:rPr>
        <w:t xml:space="preserve">Id. </w:t>
      </w:r>
      <w:r w:rsidR="005E21EC">
        <w:t xml:space="preserve">at </w:t>
      </w:r>
      <w:r w:rsidR="00C34C99">
        <w:t>551–</w:t>
      </w:r>
      <w:r w:rsidR="005E21EC">
        <w:t>52</w:t>
      </w:r>
      <w:r w:rsidR="000C4A30">
        <w:t xml:space="preserve"> (</w:t>
      </w:r>
      <w:r w:rsidR="00402F1A">
        <w:t xml:space="preserve">stating </w:t>
      </w:r>
      <w:r w:rsidR="00AD41A1">
        <w:t>that</w:t>
      </w:r>
      <w:r w:rsidR="00A67ACA">
        <w:t xml:space="preserve"> tax incentives </w:t>
      </w:r>
      <w:r w:rsidR="00994544">
        <w:t xml:space="preserve">meant to promote innovation cost the federal government over </w:t>
      </w:r>
      <w:r w:rsidR="00C34C99">
        <w:t xml:space="preserve">$20 billion annually). </w:t>
      </w:r>
    </w:p>
  </w:footnote>
  <w:footnote w:id="26">
    <w:p w14:paraId="073074D4" w14:textId="01177EC4" w:rsidR="00EC0C25" w:rsidRDefault="00EC0C25">
      <w:pPr>
        <w:pStyle w:val="FootnoteText"/>
      </w:pPr>
      <w:r>
        <w:rPr>
          <w:rStyle w:val="FootnoteReference"/>
        </w:rPr>
        <w:footnoteRef/>
      </w:r>
      <w:r>
        <w:t xml:space="preserve"> </w:t>
      </w:r>
      <w:r w:rsidR="00D61B8B" w:rsidRPr="002F4BF2">
        <w:rPr>
          <w:szCs w:val="20"/>
        </w:rPr>
        <w:t xml:space="preserve">Dan L. Burk &amp; Mark A. Lemley, </w:t>
      </w:r>
      <w:r w:rsidR="00430A08" w:rsidRPr="002F4BF2">
        <w:rPr>
          <w:i/>
          <w:iCs/>
          <w:szCs w:val="20"/>
        </w:rPr>
        <w:t>Policy Levers in Patent Law</w:t>
      </w:r>
      <w:r w:rsidR="00430A08" w:rsidRPr="002F4BF2">
        <w:rPr>
          <w:szCs w:val="20"/>
        </w:rPr>
        <w:t xml:space="preserve">, </w:t>
      </w:r>
      <w:r w:rsidR="00AE695E" w:rsidRPr="002F4BF2">
        <w:rPr>
          <w:szCs w:val="20"/>
        </w:rPr>
        <w:t xml:space="preserve">89 </w:t>
      </w:r>
      <w:r w:rsidR="00561FC1" w:rsidRPr="000736D6">
        <w:rPr>
          <w:smallCaps/>
          <w:szCs w:val="20"/>
        </w:rPr>
        <w:t>Va. L. Rev.</w:t>
      </w:r>
      <w:r w:rsidR="00527BE5" w:rsidRPr="002F4BF2">
        <w:rPr>
          <w:szCs w:val="20"/>
        </w:rPr>
        <w:t xml:space="preserve"> 1575, 1581</w:t>
      </w:r>
      <w:r w:rsidR="002F4BF2" w:rsidRPr="002F4BF2">
        <w:rPr>
          <w:szCs w:val="20"/>
        </w:rPr>
        <w:t xml:space="preserve"> </w:t>
      </w:r>
      <w:r w:rsidR="00527BE5" w:rsidRPr="002F4BF2">
        <w:rPr>
          <w:szCs w:val="20"/>
        </w:rPr>
        <w:t>(</w:t>
      </w:r>
      <w:r w:rsidR="006C00EC" w:rsidRPr="002F4BF2">
        <w:rPr>
          <w:szCs w:val="20"/>
        </w:rPr>
        <w:t>2003)</w:t>
      </w:r>
      <w:r w:rsidR="008C2ACA">
        <w:rPr>
          <w:szCs w:val="20"/>
        </w:rPr>
        <w:t xml:space="preserve">. </w:t>
      </w:r>
    </w:p>
  </w:footnote>
  <w:footnote w:id="27">
    <w:p w14:paraId="0CB6DAED" w14:textId="133EC786" w:rsidR="004E4814" w:rsidRDefault="004E4814">
      <w:pPr>
        <w:pStyle w:val="FootnoteText"/>
      </w:pPr>
      <w:r>
        <w:rPr>
          <w:rStyle w:val="FootnoteReference"/>
        </w:rPr>
        <w:footnoteRef/>
      </w:r>
      <w:r>
        <w:t xml:space="preserve"> </w:t>
      </w:r>
      <w:r w:rsidR="00494744">
        <w:t xml:space="preserve">Julie </w:t>
      </w:r>
      <w:r w:rsidR="00131C67">
        <w:t xml:space="preserve">Vitkovskaya &amp; Alex Horton, </w:t>
      </w:r>
      <w:r w:rsidR="00131C67">
        <w:rPr>
          <w:i/>
          <w:iCs/>
        </w:rPr>
        <w:t>Trump Recommended Outlawing Bump Stocks. Here’s What They Are</w:t>
      </w:r>
      <w:r w:rsidR="00131C67">
        <w:t xml:space="preserve">, </w:t>
      </w:r>
      <w:r w:rsidR="00131C67" w:rsidRPr="000736D6">
        <w:rPr>
          <w:smallCaps/>
        </w:rPr>
        <w:t>Washington Post,</w:t>
      </w:r>
      <w:r w:rsidR="00131C67">
        <w:t xml:space="preserve"> (Feb. 20, </w:t>
      </w:r>
      <w:r w:rsidR="00B6502A">
        <w:t>2018, 5:12 PM)</w:t>
      </w:r>
      <w:r w:rsidR="00E10DE3">
        <w:t xml:space="preserve">, </w:t>
      </w:r>
      <w:r w:rsidR="005344AE" w:rsidRPr="000149D6">
        <w:t>https://www.washingtonpost.com/news/checkpoint/wp/2017/10/05/what-are-bump-stocks</w:t>
      </w:r>
      <w:r w:rsidR="00586B45">
        <w:t xml:space="preserve"> (noting that </w:t>
      </w:r>
      <w:r w:rsidR="00BC5970">
        <w:t xml:space="preserve">bump stocks </w:t>
      </w:r>
      <w:r w:rsidR="009F005F">
        <w:t>enable</w:t>
      </w:r>
      <w:r w:rsidR="001D288B">
        <w:t xml:space="preserve"> rapid gunfire but can hinder a weapon’s accuracy); </w:t>
      </w:r>
      <w:r w:rsidR="00331D31">
        <w:rPr>
          <w:i/>
          <w:iCs/>
        </w:rPr>
        <w:t>s</w:t>
      </w:r>
      <w:r w:rsidR="00153346">
        <w:rPr>
          <w:i/>
          <w:iCs/>
        </w:rPr>
        <w:t xml:space="preserve">ee also </w:t>
      </w:r>
      <w:r w:rsidR="008C152E">
        <w:rPr>
          <w:i/>
          <w:iCs/>
        </w:rPr>
        <w:t xml:space="preserve">A U.S. Appeals Court Blocks A Ban on </w:t>
      </w:r>
      <w:r w:rsidR="00196148">
        <w:rPr>
          <w:i/>
          <w:iCs/>
        </w:rPr>
        <w:t>Rapid-Fire ‘Bump Stocks</w:t>
      </w:r>
      <w:r w:rsidR="00D976DE">
        <w:t>,</w:t>
      </w:r>
      <w:r w:rsidR="00196148">
        <w:rPr>
          <w:i/>
          <w:iCs/>
        </w:rPr>
        <w:t>’</w:t>
      </w:r>
      <w:r w:rsidR="00196148">
        <w:t xml:space="preserve"> </w:t>
      </w:r>
      <w:r w:rsidR="00196148" w:rsidRPr="000736D6">
        <w:rPr>
          <w:smallCaps/>
        </w:rPr>
        <w:t>Associated Press</w:t>
      </w:r>
      <w:r w:rsidR="00491A53">
        <w:rPr>
          <w:smallCaps/>
        </w:rPr>
        <w:t xml:space="preserve">, </w:t>
      </w:r>
      <w:r w:rsidR="00061655">
        <w:rPr>
          <w:smallCaps/>
        </w:rPr>
        <w:t>(</w:t>
      </w:r>
      <w:r w:rsidR="00C1262C">
        <w:t>Jan. 7</w:t>
      </w:r>
      <w:r w:rsidR="001B5345">
        <w:t>, 2023</w:t>
      </w:r>
      <w:r w:rsidR="00061655">
        <w:t xml:space="preserve">), </w:t>
      </w:r>
      <w:r w:rsidR="00E370B9" w:rsidRPr="000149D6">
        <w:t>https://www.npr.org/2023/01/07/1147698112/bump-stocks-ban-struck-down-court</w:t>
      </w:r>
      <w:r w:rsidR="00C45407">
        <w:t xml:space="preserve"> (</w:t>
      </w:r>
      <w:r w:rsidR="00C858F1">
        <w:t xml:space="preserve">detailing </w:t>
      </w:r>
      <w:r w:rsidR="00DE5053">
        <w:t xml:space="preserve">how bump stocks operate and </w:t>
      </w:r>
      <w:r w:rsidR="00015CCF">
        <w:t xml:space="preserve">the Fifth Circuit’s holding </w:t>
      </w:r>
      <w:r w:rsidR="00A25CB2">
        <w:t xml:space="preserve">that </w:t>
      </w:r>
      <w:r w:rsidR="00927859">
        <w:t>“</w:t>
      </w:r>
      <w:r w:rsidR="00927859" w:rsidRPr="00927859">
        <w:t>bump stock weapons do not qualify as machine guns under federal law</w:t>
      </w:r>
      <w:r w:rsidR="009B5283">
        <w:t xml:space="preserve">”). </w:t>
      </w:r>
    </w:p>
  </w:footnote>
  <w:footnote w:id="28">
    <w:p w14:paraId="54A4D4E1" w14:textId="679EF354" w:rsidR="0061221D" w:rsidRDefault="0061221D">
      <w:pPr>
        <w:pStyle w:val="FootnoteText"/>
      </w:pPr>
      <w:r>
        <w:rPr>
          <w:rStyle w:val="FootnoteReference"/>
        </w:rPr>
        <w:footnoteRef/>
      </w:r>
      <w:r>
        <w:t xml:space="preserve"> </w:t>
      </w:r>
      <w:r w:rsidRPr="0061221D">
        <w:t xml:space="preserve">Christina Jewett </w:t>
      </w:r>
      <w:r w:rsidR="004A3314">
        <w:t>&amp;</w:t>
      </w:r>
      <w:r w:rsidR="004A3314" w:rsidRPr="0061221D">
        <w:t xml:space="preserve"> </w:t>
      </w:r>
      <w:r w:rsidRPr="0061221D">
        <w:t>Emily Baumgaertner</w:t>
      </w:r>
      <w:r>
        <w:t xml:space="preserve">, </w:t>
      </w:r>
      <w:r w:rsidRPr="0078338D">
        <w:rPr>
          <w:i/>
        </w:rPr>
        <w:t>R.J. Reynolds Pivots to New Cigarette Pitches as Flavor Ban Takes Effect</w:t>
      </w:r>
      <w:r>
        <w:t xml:space="preserve">, </w:t>
      </w:r>
      <w:r w:rsidRPr="00810643">
        <w:rPr>
          <w:smallCaps/>
        </w:rPr>
        <w:t>N</w:t>
      </w:r>
      <w:r w:rsidR="00D40FF8">
        <w:rPr>
          <w:smallCaps/>
        </w:rPr>
        <w:t>.</w:t>
      </w:r>
      <w:r w:rsidRPr="000736D6">
        <w:rPr>
          <w:smallCaps/>
        </w:rPr>
        <w:t>Y</w:t>
      </w:r>
      <w:r w:rsidR="00D40FF8">
        <w:rPr>
          <w:smallCaps/>
        </w:rPr>
        <w:t>.</w:t>
      </w:r>
      <w:r w:rsidRPr="000736D6">
        <w:rPr>
          <w:smallCaps/>
        </w:rPr>
        <w:t xml:space="preserve"> Times</w:t>
      </w:r>
      <w:r>
        <w:t xml:space="preserve"> (Jan. 11, 2023), </w:t>
      </w:r>
      <w:r w:rsidRPr="0061221D">
        <w:t>https://www.nytimes.com/2023/01/11/health/cigarettes-flavor-ban-california.html</w:t>
      </w:r>
      <w:r>
        <w:t>.</w:t>
      </w:r>
    </w:p>
  </w:footnote>
  <w:footnote w:id="29">
    <w:p w14:paraId="313BE918" w14:textId="098C4E8D" w:rsidR="0061221D" w:rsidRDefault="0061221D">
      <w:pPr>
        <w:pStyle w:val="FootnoteText"/>
      </w:pPr>
      <w:r>
        <w:rPr>
          <w:rStyle w:val="FootnoteReference"/>
        </w:rPr>
        <w:footnoteRef/>
      </w:r>
      <w:r>
        <w:t xml:space="preserve"> For an extensive discussion of whether smokers make rational or irrational decisions to smoke</w:t>
      </w:r>
      <w:r w:rsidR="00F752AA">
        <w:t>,</w:t>
      </w:r>
      <w:r>
        <w:t xml:space="preserve"> see </w:t>
      </w:r>
      <w:r w:rsidRPr="00A56F4C">
        <w:rPr>
          <w:smallCaps/>
        </w:rPr>
        <w:t>W. Kip Viscusi, Smoking: Making the Risky Decision (1992).</w:t>
      </w:r>
      <w:r>
        <w:t xml:space="preserve"> </w:t>
      </w:r>
    </w:p>
  </w:footnote>
  <w:footnote w:id="30">
    <w:p w14:paraId="33DA6C76" w14:textId="3C6CC146" w:rsidR="007512E7" w:rsidRDefault="007512E7">
      <w:pPr>
        <w:pStyle w:val="FootnoteText"/>
      </w:pPr>
      <w:r>
        <w:rPr>
          <w:rStyle w:val="FootnoteReference"/>
        </w:rPr>
        <w:footnoteRef/>
      </w:r>
      <w:r>
        <w:t xml:space="preserve"> </w:t>
      </w:r>
      <w:r w:rsidR="006219E7">
        <w:t xml:space="preserve">Alexander MacKay &amp; Samuel N. Weinstein, </w:t>
      </w:r>
      <w:r w:rsidR="006219E7">
        <w:rPr>
          <w:i/>
          <w:iCs/>
        </w:rPr>
        <w:t>Dynamic Pricing Algorithms, Consumer Harm, and Regulatory Response</w:t>
      </w:r>
      <w:r w:rsidR="006219E7">
        <w:t xml:space="preserve">, 100 </w:t>
      </w:r>
      <w:r w:rsidR="006219E7" w:rsidRPr="006F69DD">
        <w:rPr>
          <w:smallCaps/>
        </w:rPr>
        <w:t>Wash. U. L. Rev.</w:t>
      </w:r>
      <w:r w:rsidR="006219E7">
        <w:t xml:space="preserve"> 111, 125-26 (2022)</w:t>
      </w:r>
      <w:r w:rsidR="0009113F">
        <w:t xml:space="preserve">. </w:t>
      </w:r>
    </w:p>
  </w:footnote>
  <w:footnote w:id="31">
    <w:p w14:paraId="6A487629" w14:textId="6BE2420B" w:rsidR="007512E7" w:rsidRDefault="007512E7" w:rsidP="00A56F4C">
      <w:pPr>
        <w:pStyle w:val="FootnoteText"/>
        <w:spacing w:after="0"/>
      </w:pPr>
      <w:r>
        <w:rPr>
          <w:rStyle w:val="FootnoteReference"/>
        </w:rPr>
        <w:footnoteRef/>
      </w:r>
      <w:r w:rsidR="00593521">
        <w:t xml:space="preserve"> </w:t>
      </w:r>
      <w:proofErr w:type="gramStart"/>
      <w:r w:rsidR="00593521">
        <w:rPr>
          <w:i/>
          <w:iCs/>
        </w:rPr>
        <w:t>Id.</w:t>
      </w:r>
      <w:r w:rsidR="00593521" w:rsidRPr="0078338D">
        <w:t>;</w:t>
      </w:r>
      <w:proofErr w:type="gramEnd"/>
      <w:r w:rsidR="00593521" w:rsidRPr="00A56F4C">
        <w:t xml:space="preserve"> </w:t>
      </w:r>
      <w:r w:rsidR="00593521" w:rsidRPr="005F3DDC">
        <w:rPr>
          <w:i/>
          <w:iCs/>
        </w:rPr>
        <w:t>see also</w:t>
      </w:r>
      <w:r w:rsidR="00073A47">
        <w:rPr>
          <w:i/>
          <w:iCs/>
        </w:rPr>
        <w:t xml:space="preserve"> </w:t>
      </w:r>
      <w:r w:rsidR="00FE7E2F" w:rsidRPr="00A56F4C">
        <w:t>Oren Bar-Gill, </w:t>
      </w:r>
      <w:r w:rsidR="00A56F4C" w:rsidRPr="00431B36">
        <w:rPr>
          <w:i/>
          <w:iCs/>
        </w:rPr>
        <w:t>Algorithmic Price Discrimination When Demand Is a Function of Both Preferences and (Mis)perceptions</w:t>
      </w:r>
      <w:r w:rsidR="00A56F4C" w:rsidRPr="00431B36">
        <w:t>,</w:t>
      </w:r>
      <w:r w:rsidR="00A56F4C" w:rsidRPr="00431B36">
        <w:rPr>
          <w:smallCaps/>
        </w:rPr>
        <w:t> 86 U. Chi. L. Rev</w:t>
      </w:r>
      <w:r w:rsidR="00A56F4C" w:rsidRPr="00431B36">
        <w:t>. 217, 217 (2019)</w:t>
      </w:r>
      <w:r w:rsidR="00593521" w:rsidRPr="00A56F4C">
        <w:t xml:space="preserve"> </w:t>
      </w:r>
      <w:r w:rsidR="00DC0CDD">
        <w:t>(</w:t>
      </w:r>
      <w:r w:rsidR="00F67D79">
        <w:t xml:space="preserve">noting </w:t>
      </w:r>
      <w:r w:rsidR="005F3DDC">
        <w:t xml:space="preserve">that </w:t>
      </w:r>
      <w:r w:rsidR="00F67D79">
        <w:t>big data</w:t>
      </w:r>
      <w:r w:rsidR="005F3DDC">
        <w:t xml:space="preserve"> allow</w:t>
      </w:r>
      <w:r w:rsidR="002A0AC4">
        <w:t xml:space="preserve">s </w:t>
      </w:r>
      <w:r w:rsidR="005F3DDC">
        <w:t>firms to</w:t>
      </w:r>
      <w:r w:rsidR="00DC0CDD">
        <w:t xml:space="preserve"> </w:t>
      </w:r>
      <w:r w:rsidR="005F3DDC">
        <w:t>“</w:t>
      </w:r>
      <w:r w:rsidR="00F67D79" w:rsidRPr="00A56F4C">
        <w:t>set personalized pricing, marching down the demand curve and setting a different price for each consumer</w:t>
      </w:r>
      <w:r w:rsidR="005F3DDC">
        <w:t xml:space="preserve">”). </w:t>
      </w:r>
    </w:p>
  </w:footnote>
  <w:footnote w:id="32">
    <w:p w14:paraId="22D45184" w14:textId="1B6B1651" w:rsidR="003D1128" w:rsidRDefault="003D1128" w:rsidP="00A56F4C">
      <w:pPr>
        <w:pStyle w:val="FootnoteText"/>
        <w:spacing w:after="0"/>
      </w:pPr>
      <w:r>
        <w:rPr>
          <w:rStyle w:val="FootnoteReference"/>
        </w:rPr>
        <w:footnoteRef/>
      </w:r>
      <w:r>
        <w:t xml:space="preserve"> </w:t>
      </w:r>
      <w:r w:rsidR="000A3123">
        <w:rPr>
          <w:i/>
          <w:iCs/>
        </w:rPr>
        <w:t xml:space="preserve">See </w:t>
      </w:r>
      <w:r w:rsidR="003337F5">
        <w:t xml:space="preserve">Brown &amp; MacKay, </w:t>
      </w:r>
      <w:r w:rsidR="003337F5">
        <w:rPr>
          <w:i/>
          <w:iCs/>
        </w:rPr>
        <w:t xml:space="preserve">supra </w:t>
      </w:r>
      <w:r w:rsidR="003337F5">
        <w:t xml:space="preserve">note </w:t>
      </w:r>
      <w:r w:rsidR="003337F5">
        <w:fldChar w:fldCharType="begin"/>
      </w:r>
      <w:r w:rsidR="003337F5">
        <w:instrText xml:space="preserve"> NOTEREF _Ref126698226 \h </w:instrText>
      </w:r>
      <w:r w:rsidR="003337F5">
        <w:fldChar w:fldCharType="separate"/>
      </w:r>
      <w:r w:rsidR="00995C7E">
        <w:t>27</w:t>
      </w:r>
      <w:r w:rsidR="003337F5">
        <w:fldChar w:fldCharType="end"/>
      </w:r>
      <w:r w:rsidR="003337F5">
        <w:t xml:space="preserve"> </w:t>
      </w:r>
      <w:r w:rsidR="00C778E9">
        <w:t>(</w:t>
      </w:r>
      <w:r w:rsidR="00B83F97">
        <w:t xml:space="preserve">suggesting that </w:t>
      </w:r>
      <w:r w:rsidR="00190EA6">
        <w:t>pricing algorithms enable firms to charge higher prices</w:t>
      </w:r>
      <w:r w:rsidR="00B8150A">
        <w:t xml:space="preserve">). </w:t>
      </w:r>
    </w:p>
  </w:footnote>
  <w:footnote w:id="33">
    <w:p w14:paraId="0BEA2F37" w14:textId="17F87D74" w:rsidR="006E2BCB" w:rsidRDefault="006E2BCB">
      <w:pPr>
        <w:pStyle w:val="FootnoteText"/>
      </w:pPr>
      <w:r>
        <w:rPr>
          <w:rStyle w:val="FootnoteReference"/>
        </w:rPr>
        <w:footnoteRef/>
      </w:r>
      <w:r>
        <w:t xml:space="preserve"> We discuss these technologies</w:t>
      </w:r>
      <w:r w:rsidDel="00AB4617">
        <w:t xml:space="preserve"> </w:t>
      </w:r>
      <w:r w:rsidR="00AB4617">
        <w:t xml:space="preserve">below. </w:t>
      </w:r>
      <w:r w:rsidR="00AB4617" w:rsidRPr="00576E1D">
        <w:rPr>
          <w:i/>
        </w:rPr>
        <w:t>See</w:t>
      </w:r>
      <w:r w:rsidR="00AB4617">
        <w:t xml:space="preserve"> </w:t>
      </w:r>
      <w:r w:rsidR="00AB4617" w:rsidRPr="00576E1D">
        <w:rPr>
          <w:i/>
        </w:rPr>
        <w:t>infra</w:t>
      </w:r>
      <w:r w:rsidR="00AB4617">
        <w:t xml:space="preserve"> Part III.B.4.</w:t>
      </w:r>
    </w:p>
  </w:footnote>
  <w:footnote w:id="34">
    <w:p w14:paraId="399687DB" w14:textId="503968D7" w:rsidR="006B5C62" w:rsidRDefault="006B5C62">
      <w:pPr>
        <w:pStyle w:val="FootnoteText"/>
      </w:pPr>
      <w:r>
        <w:rPr>
          <w:rStyle w:val="FootnoteReference"/>
        </w:rPr>
        <w:footnoteRef/>
      </w:r>
      <w:r>
        <w:t xml:space="preserve"> </w:t>
      </w:r>
      <w:r w:rsidR="00D35F3A">
        <w:rPr>
          <w:i/>
          <w:iCs/>
        </w:rPr>
        <w:t xml:space="preserve">See generally </w:t>
      </w:r>
      <w:r w:rsidR="00BE36CD">
        <w:t xml:space="preserve">Adam Davidson, </w:t>
      </w:r>
      <w:r w:rsidR="00BE36CD">
        <w:rPr>
          <w:i/>
          <w:iCs/>
        </w:rPr>
        <w:t>How AIG Fell Apart</w:t>
      </w:r>
      <w:r w:rsidR="00BE36CD">
        <w:t xml:space="preserve">, </w:t>
      </w:r>
      <w:r w:rsidR="00BE36CD" w:rsidRPr="008E3A90">
        <w:rPr>
          <w:smallCaps/>
        </w:rPr>
        <w:t>Reuters</w:t>
      </w:r>
      <w:r w:rsidR="00BE36CD">
        <w:t>, (</w:t>
      </w:r>
      <w:r w:rsidR="00603C17">
        <w:t xml:space="preserve">Sept. 18, 2008 11:49 AM), </w:t>
      </w:r>
      <w:r w:rsidR="00AB4617" w:rsidRPr="000149D6">
        <w:t>https://www.reuters.com/article/us-how-aig-fell-apart/how-aig-fell-apartidUSMAR8 5972720080918</w:t>
      </w:r>
      <w:r w:rsidR="00A25934">
        <w:t xml:space="preserve">. </w:t>
      </w:r>
    </w:p>
  </w:footnote>
  <w:footnote w:id="35">
    <w:p w14:paraId="3AC5238F" w14:textId="447D4183" w:rsidR="003F1B57" w:rsidRDefault="003F1B57">
      <w:pPr>
        <w:pStyle w:val="FootnoteText"/>
      </w:pPr>
      <w:r>
        <w:rPr>
          <w:rStyle w:val="FootnoteReference"/>
        </w:rPr>
        <w:footnoteRef/>
      </w:r>
      <w:r>
        <w:t xml:space="preserve"> </w:t>
      </w:r>
      <w:r w:rsidR="008B6D93" w:rsidRPr="00ED72D5">
        <w:rPr>
          <w:i/>
          <w:iCs/>
          <w:szCs w:val="20"/>
        </w:rPr>
        <w:t xml:space="preserve">See </w:t>
      </w:r>
      <w:r w:rsidR="008B6D93" w:rsidRPr="00ED72D5">
        <w:rPr>
          <w:szCs w:val="20"/>
        </w:rPr>
        <w:t xml:space="preserve">Pascale </w:t>
      </w:r>
      <w:r w:rsidR="00C36F83" w:rsidRPr="00ED72D5">
        <w:rPr>
          <w:szCs w:val="20"/>
        </w:rPr>
        <w:t xml:space="preserve">Chapdelaine, </w:t>
      </w:r>
      <w:r w:rsidR="00C36F83" w:rsidRPr="00ED72D5">
        <w:rPr>
          <w:i/>
          <w:iCs/>
          <w:szCs w:val="20"/>
        </w:rPr>
        <w:t>Algorithmic Personalized Pricing</w:t>
      </w:r>
      <w:r w:rsidR="00C36F83" w:rsidRPr="00ED72D5">
        <w:rPr>
          <w:szCs w:val="20"/>
        </w:rPr>
        <w:t xml:space="preserve">, </w:t>
      </w:r>
      <w:r w:rsidR="00E661BB" w:rsidRPr="008E3A90">
        <w:rPr>
          <w:smallCaps/>
          <w:szCs w:val="20"/>
        </w:rPr>
        <w:t xml:space="preserve">17 </w:t>
      </w:r>
      <w:r w:rsidR="00D902DE" w:rsidRPr="008E3A90">
        <w:rPr>
          <w:smallCaps/>
          <w:szCs w:val="20"/>
        </w:rPr>
        <w:t>N.Y.U. J.L. &amp; Bus</w:t>
      </w:r>
      <w:r w:rsidR="00230A30">
        <w:rPr>
          <w:smallCaps/>
          <w:szCs w:val="20"/>
        </w:rPr>
        <w:t>.</w:t>
      </w:r>
      <w:r w:rsidR="00D902DE" w:rsidRPr="008E3A90">
        <w:rPr>
          <w:smallCaps/>
          <w:szCs w:val="20"/>
        </w:rPr>
        <w:t xml:space="preserve"> 1</w:t>
      </w:r>
      <w:r w:rsidR="00D902DE" w:rsidRPr="00ED72D5">
        <w:rPr>
          <w:szCs w:val="20"/>
        </w:rPr>
        <w:t xml:space="preserve">, </w:t>
      </w:r>
      <w:r w:rsidR="00C22BE8" w:rsidRPr="00ED72D5">
        <w:rPr>
          <w:szCs w:val="20"/>
        </w:rPr>
        <w:t>5–8 (202</w:t>
      </w:r>
      <w:r w:rsidR="001B6DB5" w:rsidRPr="00ED72D5">
        <w:rPr>
          <w:szCs w:val="20"/>
        </w:rPr>
        <w:t>0) (</w:t>
      </w:r>
      <w:r w:rsidR="00DE5A3F" w:rsidRPr="00ED72D5">
        <w:rPr>
          <w:szCs w:val="20"/>
        </w:rPr>
        <w:t xml:space="preserve">contending algorithmic pricing </w:t>
      </w:r>
      <w:r w:rsidR="003A3C45" w:rsidRPr="00ED72D5">
        <w:rPr>
          <w:szCs w:val="20"/>
        </w:rPr>
        <w:t>strives towards perfect price discrimination</w:t>
      </w:r>
      <w:r w:rsidR="00ED72D5" w:rsidRPr="00ED72D5">
        <w:rPr>
          <w:szCs w:val="20"/>
        </w:rPr>
        <w:t xml:space="preserve"> and “</w:t>
      </w:r>
      <w:r w:rsidR="00ED72D5" w:rsidRPr="008E3A90">
        <w:rPr>
          <w:color w:val="3D3D3D"/>
          <w:szCs w:val="20"/>
          <w:shd w:val="clear" w:color="auto" w:fill="FFFFFF"/>
        </w:rPr>
        <w:t>maximizes suppliers' profits by reaching each consumer's maximum willingness to pay</w:t>
      </w:r>
      <w:r w:rsidR="00ED72D5">
        <w:rPr>
          <w:color w:val="3D3D3D"/>
          <w:szCs w:val="20"/>
          <w:shd w:val="clear" w:color="auto" w:fill="FFFFFF"/>
        </w:rPr>
        <w:t xml:space="preserve">”). </w:t>
      </w:r>
    </w:p>
  </w:footnote>
  <w:footnote w:id="36">
    <w:p w14:paraId="0DC77E78" w14:textId="09BADDEE" w:rsidR="003F1B57" w:rsidRDefault="003F1B57">
      <w:pPr>
        <w:pStyle w:val="FootnoteText"/>
      </w:pPr>
      <w:r>
        <w:rPr>
          <w:rStyle w:val="FootnoteReference"/>
        </w:rPr>
        <w:footnoteRef/>
      </w:r>
      <w:r w:rsidR="00317A24" w:rsidDel="006A38C0">
        <w:t xml:space="preserve"> </w:t>
      </w:r>
      <w:r w:rsidR="00317A24">
        <w:rPr>
          <w:i/>
          <w:iCs/>
        </w:rPr>
        <w:t>See, e.g.</w:t>
      </w:r>
      <w:r w:rsidR="0070456E">
        <w:t xml:space="preserve">, Michael Grunwald, </w:t>
      </w:r>
      <w:r w:rsidR="0070456E">
        <w:rPr>
          <w:i/>
          <w:iCs/>
        </w:rPr>
        <w:t>Monsanto Hid Decades of Pollution</w:t>
      </w:r>
      <w:r w:rsidR="0070456E">
        <w:t xml:space="preserve">, </w:t>
      </w:r>
      <w:r w:rsidR="00045CD5" w:rsidRPr="008E3A90">
        <w:rPr>
          <w:smallCaps/>
        </w:rPr>
        <w:t>Wash</w:t>
      </w:r>
      <w:r w:rsidR="00045CD5">
        <w:rPr>
          <w:smallCaps/>
        </w:rPr>
        <w:t>.</w:t>
      </w:r>
      <w:r w:rsidR="00045CD5" w:rsidRPr="008E3A90">
        <w:rPr>
          <w:smallCaps/>
        </w:rPr>
        <w:t xml:space="preserve"> </w:t>
      </w:r>
      <w:r w:rsidR="0070456E" w:rsidRPr="008E3A90">
        <w:rPr>
          <w:smallCaps/>
        </w:rPr>
        <w:t>Post</w:t>
      </w:r>
      <w:r w:rsidR="0070456E">
        <w:t>, (Jan. 1, 2002),</w:t>
      </w:r>
      <w:r w:rsidR="00317A24" w:rsidDel="0070456E">
        <w:t xml:space="preserve"> </w:t>
      </w:r>
      <w:r w:rsidR="00AB4617" w:rsidRPr="000149D6">
        <w:t>https://www.washingtonpost.com/archive/politics/2002/01/01/monsanto-hid-decades-of-pollution/244d1820-d49d-4145-9913-35644a734936</w:t>
      </w:r>
      <w:r w:rsidR="00F51A0A">
        <w:t xml:space="preserve"> (</w:t>
      </w:r>
      <w:r w:rsidR="00320072">
        <w:t>charting Mon</w:t>
      </w:r>
      <w:r w:rsidR="00B128FD">
        <w:t>santo’s pursuit of profits</w:t>
      </w:r>
      <w:r w:rsidR="00C515A0">
        <w:t xml:space="preserve"> </w:t>
      </w:r>
      <w:r w:rsidR="00426C84">
        <w:t>from PCB</w:t>
      </w:r>
      <w:r w:rsidR="001F2B41">
        <w:t>s</w:t>
      </w:r>
      <w:r w:rsidR="00426C84">
        <w:t xml:space="preserve"> despite its knowledge of </w:t>
      </w:r>
      <w:r w:rsidR="001F2B41">
        <w:t xml:space="preserve">the </w:t>
      </w:r>
      <w:r w:rsidR="003D0C75">
        <w:t xml:space="preserve">environmental consequences). </w:t>
      </w:r>
    </w:p>
  </w:footnote>
  <w:footnote w:id="37">
    <w:p w14:paraId="1389643F" w14:textId="549238A5" w:rsidR="00A63772" w:rsidRDefault="00A63772">
      <w:pPr>
        <w:pStyle w:val="FootnoteText"/>
      </w:pPr>
      <w:r>
        <w:rPr>
          <w:rStyle w:val="FootnoteReference"/>
        </w:rPr>
        <w:footnoteRef/>
      </w:r>
      <w:r>
        <w:t xml:space="preserve"> </w:t>
      </w:r>
      <w:r w:rsidR="00F575E5">
        <w:rPr>
          <w:i/>
          <w:iCs/>
        </w:rPr>
        <w:t xml:space="preserve">See </w:t>
      </w:r>
      <w:r w:rsidR="006D1485">
        <w:t xml:space="preserve">Peter Lee, </w:t>
      </w:r>
      <w:r w:rsidR="006D1485">
        <w:rPr>
          <w:i/>
          <w:iCs/>
        </w:rPr>
        <w:t>Churn</w:t>
      </w:r>
      <w:r w:rsidR="006D1485">
        <w:t xml:space="preserve">, </w:t>
      </w:r>
      <w:r w:rsidR="006D1485" w:rsidRPr="008E3A90">
        <w:rPr>
          <w:smallCaps/>
        </w:rPr>
        <w:t>99 Wash. U. L. Rev. 1, 5</w:t>
      </w:r>
      <w:r w:rsidR="00771ED5" w:rsidRPr="008E3A90">
        <w:rPr>
          <w:smallCaps/>
        </w:rPr>
        <w:t xml:space="preserve"> </w:t>
      </w:r>
      <w:r w:rsidR="005B7B62">
        <w:t>(2021) (acknowledging the role of patent law in generating an environment</w:t>
      </w:r>
      <w:r w:rsidR="002C7EEE">
        <w:t xml:space="preserve"> that provides firms </w:t>
      </w:r>
      <w:r w:rsidR="00F575E5">
        <w:t>“maximal incentives to innovate”);</w:t>
      </w:r>
      <w:r w:rsidR="00411EEF">
        <w:t xml:space="preserve"> Herbert Hovenkamp, </w:t>
      </w:r>
      <w:r w:rsidR="00411EEF" w:rsidRPr="00D7463C">
        <w:rPr>
          <w:i/>
          <w:iCs/>
        </w:rPr>
        <w:t>Antitrust and Innovation: Where We are And Where We Should Be Going</w:t>
      </w:r>
      <w:r w:rsidR="00411EEF">
        <w:t xml:space="preserve">,  </w:t>
      </w:r>
      <w:r w:rsidR="00411EEF" w:rsidRPr="00D7463C">
        <w:rPr>
          <w:smallCaps/>
        </w:rPr>
        <w:t>77 Antitrust L.J. 749</w:t>
      </w:r>
      <w:r w:rsidR="00411EEF">
        <w:t>, 751 (2011) (contending promoting innovation over competition is a proper objective of antitrust policy in some markets); s</w:t>
      </w:r>
      <w:r w:rsidR="00411EEF">
        <w:rPr>
          <w:i/>
          <w:iCs/>
        </w:rPr>
        <w:t xml:space="preserve">ee also </w:t>
      </w:r>
      <w:r w:rsidR="00411EEF">
        <w:t xml:space="preserve">Herbert Hovenkamp, </w:t>
      </w:r>
      <w:r w:rsidR="00411EEF">
        <w:rPr>
          <w:i/>
          <w:iCs/>
        </w:rPr>
        <w:t>Restraints on Innovation</w:t>
      </w:r>
      <w:r w:rsidR="00411EEF">
        <w:t xml:space="preserve">, 29 </w:t>
      </w:r>
      <w:r w:rsidR="00411EEF" w:rsidRPr="00D7463C">
        <w:rPr>
          <w:smallCaps/>
        </w:rPr>
        <w:t>Cardozo L. Rev.</w:t>
      </w:r>
      <w:r w:rsidR="00411EEF">
        <w:t xml:space="preserve"> 247, 248 (2007) (identifying antitrust and intellectual property law’s shared objective of promoting innovation).</w:t>
      </w:r>
    </w:p>
  </w:footnote>
  <w:footnote w:id="38">
    <w:p w14:paraId="6E494A15" w14:textId="4A65D8F0" w:rsidR="00A63772" w:rsidRDefault="00A63772">
      <w:pPr>
        <w:pStyle w:val="FootnoteText"/>
      </w:pPr>
      <w:r>
        <w:rPr>
          <w:rStyle w:val="FootnoteReference"/>
        </w:rPr>
        <w:footnoteRef/>
      </w:r>
      <w:r>
        <w:t xml:space="preserve"> </w:t>
      </w:r>
      <w:r w:rsidR="00933D6E">
        <w:rPr>
          <w:i/>
          <w:iCs/>
        </w:rPr>
        <w:t>See infra</w:t>
      </w:r>
      <w:r w:rsidR="00933D6E">
        <w:t xml:space="preserve"> Part IV</w:t>
      </w:r>
      <w:r w:rsidR="00D825B7">
        <w:t xml:space="preserve">.A. </w:t>
      </w:r>
    </w:p>
  </w:footnote>
  <w:footnote w:id="39">
    <w:p w14:paraId="4CBBFD94" w14:textId="17E06848" w:rsidR="00383F9E" w:rsidRPr="008808A2" w:rsidRDefault="00383F9E">
      <w:pPr>
        <w:pStyle w:val="FootnoteText"/>
      </w:pPr>
      <w:r>
        <w:rPr>
          <w:rStyle w:val="FootnoteReference"/>
        </w:rPr>
        <w:footnoteRef/>
      </w:r>
      <w:r>
        <w:t xml:space="preserve"> </w:t>
      </w:r>
      <w:r w:rsidR="008808A2">
        <w:t xml:space="preserve">Steven L. Schwarcz, </w:t>
      </w:r>
      <w:r w:rsidR="008808A2">
        <w:rPr>
          <w:i/>
          <w:iCs/>
        </w:rPr>
        <w:t>System Risk</w:t>
      </w:r>
      <w:r w:rsidR="008808A2">
        <w:t xml:space="preserve">, </w:t>
      </w:r>
      <w:r w:rsidR="008808A2" w:rsidRPr="008E3A90">
        <w:rPr>
          <w:smallCaps/>
        </w:rPr>
        <w:t xml:space="preserve">97 Geo. L. J. </w:t>
      </w:r>
      <w:r w:rsidR="003D1E33">
        <w:t>193, 234–35 (2</w:t>
      </w:r>
      <w:r w:rsidR="00BA4C03">
        <w:t xml:space="preserve">008). </w:t>
      </w:r>
    </w:p>
  </w:footnote>
  <w:footnote w:id="40">
    <w:p w14:paraId="526159BE" w14:textId="5A86B1B2" w:rsidR="006B339E" w:rsidRDefault="006B339E">
      <w:pPr>
        <w:pStyle w:val="FootnoteText"/>
      </w:pPr>
      <w:r>
        <w:rPr>
          <w:rStyle w:val="FootnoteReference"/>
        </w:rPr>
        <w:footnoteRef/>
      </w:r>
      <w:r>
        <w:t xml:space="preserve"> </w:t>
      </w:r>
      <w:r w:rsidR="00B55EC6">
        <w:rPr>
          <w:i/>
          <w:iCs/>
        </w:rPr>
        <w:t>See infra</w:t>
      </w:r>
      <w:r w:rsidR="00B55EC6">
        <w:t xml:space="preserve"> Part IV.A</w:t>
      </w:r>
    </w:p>
  </w:footnote>
  <w:footnote w:id="41">
    <w:p w14:paraId="07002AE7" w14:textId="73ED6C1C" w:rsidR="00BC3149" w:rsidRDefault="00BC3149">
      <w:pPr>
        <w:pStyle w:val="FootnoteText"/>
      </w:pPr>
      <w:r>
        <w:rPr>
          <w:rStyle w:val="FootnoteReference"/>
        </w:rPr>
        <w:footnoteRef/>
      </w:r>
      <w:r>
        <w:t xml:space="preserve"> </w:t>
      </w:r>
      <w:r w:rsidR="00C02483" w:rsidRPr="006067D2">
        <w:rPr>
          <w:szCs w:val="20"/>
        </w:rPr>
        <w:t xml:space="preserve">Sean B. Seymore, </w:t>
      </w:r>
      <w:r w:rsidR="00C02483" w:rsidRPr="006067D2">
        <w:rPr>
          <w:i/>
          <w:iCs/>
          <w:szCs w:val="20"/>
        </w:rPr>
        <w:t>Making Patents Useful</w:t>
      </w:r>
      <w:r w:rsidR="00C02483" w:rsidRPr="006067D2">
        <w:rPr>
          <w:szCs w:val="20"/>
        </w:rPr>
        <w:t xml:space="preserve">, 98 </w:t>
      </w:r>
      <w:r w:rsidR="00C02483" w:rsidRPr="006067D2">
        <w:rPr>
          <w:smallCaps/>
          <w:szCs w:val="20"/>
        </w:rPr>
        <w:t>Minn. L. Rev</w:t>
      </w:r>
      <w:r w:rsidR="00C02483" w:rsidRPr="006067D2">
        <w:rPr>
          <w:szCs w:val="20"/>
        </w:rPr>
        <w:t xml:space="preserve">. 1046 (2014); </w:t>
      </w:r>
      <w:r w:rsidR="00CC2559" w:rsidRPr="006067D2">
        <w:rPr>
          <w:szCs w:val="20"/>
        </w:rPr>
        <w:t xml:space="preserve">Michael Risch, </w:t>
      </w:r>
      <w:r w:rsidR="00CC2559" w:rsidRPr="006067D2">
        <w:rPr>
          <w:i/>
          <w:iCs/>
          <w:szCs w:val="20"/>
        </w:rPr>
        <w:t>Reinventing Usefulness</w:t>
      </w:r>
      <w:r w:rsidR="00CC2559" w:rsidRPr="006067D2">
        <w:rPr>
          <w:szCs w:val="20"/>
        </w:rPr>
        <w:t xml:space="preserve">, 2010 </w:t>
      </w:r>
      <w:r w:rsidR="00CC2559" w:rsidRPr="006067D2">
        <w:rPr>
          <w:smallCaps/>
          <w:szCs w:val="20"/>
        </w:rPr>
        <w:t>BYU L. Rev</w:t>
      </w:r>
      <w:r w:rsidR="00CC2559" w:rsidRPr="006067D2">
        <w:rPr>
          <w:szCs w:val="20"/>
        </w:rPr>
        <w:t>. 1195, 1205 (2010)</w:t>
      </w:r>
      <w:r w:rsidR="00EC0E7C">
        <w:t>.</w:t>
      </w:r>
    </w:p>
  </w:footnote>
  <w:footnote w:id="42">
    <w:p w14:paraId="08240A7E" w14:textId="2564FB68" w:rsidR="00BC3149" w:rsidRDefault="00BC3149">
      <w:pPr>
        <w:pStyle w:val="FootnoteText"/>
      </w:pPr>
      <w:r>
        <w:rPr>
          <w:rStyle w:val="FootnoteReference"/>
        </w:rPr>
        <w:footnoteRef/>
      </w:r>
      <w:r w:rsidR="005C036A" w:rsidDel="00920C20">
        <w:t xml:space="preserve"> </w:t>
      </w:r>
      <w:r w:rsidR="00C611BB">
        <w:t>Hemel &amp; Ouellette</w:t>
      </w:r>
      <w:r w:rsidR="00C00349">
        <w:t xml:space="preserve">, </w:t>
      </w:r>
      <w:r w:rsidR="00C00349" w:rsidRPr="000A216B">
        <w:rPr>
          <w:i/>
          <w:iCs/>
        </w:rPr>
        <w:t>Innovation Policy Pluralism</w:t>
      </w:r>
      <w:r w:rsidR="00C611BB">
        <w:t xml:space="preserve">, </w:t>
      </w:r>
      <w:r w:rsidR="00C611BB">
        <w:rPr>
          <w:i/>
          <w:iCs/>
        </w:rPr>
        <w:t xml:space="preserve">supra </w:t>
      </w:r>
      <w:r w:rsidR="00C611BB">
        <w:t xml:space="preserve">note </w:t>
      </w:r>
      <w:r w:rsidR="00C611BB">
        <w:fldChar w:fldCharType="begin"/>
      </w:r>
      <w:r w:rsidR="00C611BB">
        <w:instrText xml:space="preserve"> NOTEREF _Ref126774259 \h </w:instrText>
      </w:r>
      <w:r w:rsidR="00C611BB">
        <w:fldChar w:fldCharType="separate"/>
      </w:r>
      <w:r w:rsidR="00995C7E">
        <w:t>21</w:t>
      </w:r>
      <w:r w:rsidR="00C611BB">
        <w:fldChar w:fldCharType="end"/>
      </w:r>
      <w:r w:rsidR="00C611BB">
        <w:t xml:space="preserve">, at </w:t>
      </w:r>
      <w:r w:rsidR="00C5305E">
        <w:t>560.</w:t>
      </w:r>
      <w:r w:rsidR="00C611BB">
        <w:t xml:space="preserve"> </w:t>
      </w:r>
    </w:p>
  </w:footnote>
  <w:footnote w:id="43">
    <w:p w14:paraId="45D6A959" w14:textId="5AFB51E6" w:rsidR="002C4388" w:rsidRDefault="002C4388">
      <w:pPr>
        <w:pStyle w:val="FootnoteText"/>
      </w:pPr>
      <w:r>
        <w:rPr>
          <w:rStyle w:val="FootnoteReference"/>
        </w:rPr>
        <w:footnoteRef/>
      </w:r>
      <w:r>
        <w:t xml:space="preserve"> </w:t>
      </w:r>
      <w:r w:rsidR="00520A3B">
        <w:rPr>
          <w:i/>
          <w:iCs/>
        </w:rPr>
        <w:t xml:space="preserve">See </w:t>
      </w:r>
      <w:r w:rsidR="001F2838">
        <w:t xml:space="preserve">Jon D. Hanson &amp; Douglas A. Kysar, </w:t>
      </w:r>
      <w:r w:rsidR="001F2838">
        <w:rPr>
          <w:i/>
          <w:iCs/>
        </w:rPr>
        <w:t>Taking Behavioralism Seriously: The Problem of Market Manipulation</w:t>
      </w:r>
      <w:r w:rsidR="001F2838">
        <w:t xml:space="preserve">, </w:t>
      </w:r>
      <w:r w:rsidR="00B454B0">
        <w:t>74 N.</w:t>
      </w:r>
      <w:r w:rsidR="00A8106D">
        <w:t xml:space="preserve">Y.U. L. Rev. </w:t>
      </w:r>
      <w:r w:rsidR="00886EFC">
        <w:t xml:space="preserve">630, </w:t>
      </w:r>
      <w:r w:rsidR="00A764B6">
        <w:t xml:space="preserve">633–40, </w:t>
      </w:r>
      <w:r w:rsidR="00C30D5F">
        <w:t>745</w:t>
      </w:r>
      <w:r w:rsidR="000322EC">
        <w:t xml:space="preserve"> (</w:t>
      </w:r>
      <w:r w:rsidR="00E6702A">
        <w:t>1999)</w:t>
      </w:r>
      <w:r w:rsidR="00C30D5F">
        <w:t xml:space="preserve"> (arguing that irrationality and externalities </w:t>
      </w:r>
      <w:r w:rsidR="00B560CE">
        <w:t>contribute to market failures);</w:t>
      </w:r>
      <w:r w:rsidR="00A65D2D" w:rsidDel="00B560CE">
        <w:t xml:space="preserve"> </w:t>
      </w:r>
      <w:r w:rsidR="00A65D2D" w:rsidRPr="00D7463C">
        <w:t>Oren Bar-Gill, </w:t>
      </w:r>
      <w:r w:rsidR="00A65D2D">
        <w:rPr>
          <w:i/>
          <w:iCs/>
        </w:rPr>
        <w:t xml:space="preserve">supra </w:t>
      </w:r>
      <w:r w:rsidR="00A65D2D">
        <w:t xml:space="preserve">note </w:t>
      </w:r>
      <w:r w:rsidR="00D836DD">
        <w:fldChar w:fldCharType="begin"/>
      </w:r>
      <w:r w:rsidR="00D836DD">
        <w:instrText xml:space="preserve"> NOTEREF _Ref126700792 \h </w:instrText>
      </w:r>
      <w:r w:rsidR="00D836DD">
        <w:fldChar w:fldCharType="separate"/>
      </w:r>
      <w:r w:rsidR="00995C7E">
        <w:t>28</w:t>
      </w:r>
      <w:r w:rsidR="00D836DD">
        <w:fldChar w:fldCharType="end"/>
      </w:r>
      <w:r w:rsidR="00A65D2D">
        <w:t xml:space="preserve">, at </w:t>
      </w:r>
      <w:r w:rsidR="00CD5C96">
        <w:t>219–</w:t>
      </w:r>
      <w:r w:rsidR="00053CD2">
        <w:t>23 (</w:t>
      </w:r>
      <w:r w:rsidR="00025EFA">
        <w:t xml:space="preserve">contending </w:t>
      </w:r>
      <w:r w:rsidR="00053CD2">
        <w:t xml:space="preserve">that misperceptions and bias can inflate a consumer’s demand for a product). </w:t>
      </w:r>
    </w:p>
  </w:footnote>
  <w:footnote w:id="44">
    <w:p w14:paraId="0EA8EBB0" w14:textId="105440A9" w:rsidR="002C4388" w:rsidRDefault="002C4388">
      <w:pPr>
        <w:pStyle w:val="FootnoteText"/>
      </w:pPr>
      <w:r>
        <w:rPr>
          <w:rStyle w:val="FootnoteReference"/>
        </w:rPr>
        <w:footnoteRef/>
      </w:r>
      <w:r>
        <w:t xml:space="preserve"> </w:t>
      </w:r>
      <w:r w:rsidR="00267C73">
        <w:rPr>
          <w:i/>
          <w:iCs/>
        </w:rPr>
        <w:t xml:space="preserve">See </w:t>
      </w:r>
      <w:r w:rsidR="00267C73">
        <w:t xml:space="preserve">discussion </w:t>
      </w:r>
      <w:r w:rsidR="00267C73">
        <w:rPr>
          <w:i/>
          <w:iCs/>
        </w:rPr>
        <w:t xml:space="preserve">infra </w:t>
      </w:r>
      <w:r w:rsidR="00267C73">
        <w:t xml:space="preserve">Part II.B.1. </w:t>
      </w:r>
    </w:p>
  </w:footnote>
  <w:footnote w:id="45">
    <w:p w14:paraId="0AE868B3" w14:textId="79B52796" w:rsidR="002C4388" w:rsidRDefault="002C4388">
      <w:pPr>
        <w:pStyle w:val="FootnoteText"/>
      </w:pPr>
      <w:r>
        <w:rPr>
          <w:rStyle w:val="FootnoteReference"/>
        </w:rPr>
        <w:footnoteRef/>
      </w:r>
      <w:r>
        <w:t xml:space="preserve"> </w:t>
      </w:r>
      <w:r w:rsidR="0012445D">
        <w:rPr>
          <w:i/>
          <w:iCs/>
        </w:rPr>
        <w:t xml:space="preserve">See </w:t>
      </w:r>
      <w:r w:rsidR="0012445D">
        <w:t xml:space="preserve">discussion </w:t>
      </w:r>
      <w:r w:rsidR="0012445D">
        <w:rPr>
          <w:i/>
          <w:iCs/>
        </w:rPr>
        <w:t xml:space="preserve">infra </w:t>
      </w:r>
      <w:r w:rsidR="0012445D">
        <w:t>Part II.B.</w:t>
      </w:r>
      <w:r w:rsidR="00E46306">
        <w:t xml:space="preserve">2. </w:t>
      </w:r>
    </w:p>
  </w:footnote>
  <w:footnote w:id="46">
    <w:p w14:paraId="1AC2FCDC" w14:textId="6E44B987" w:rsidR="00EA2123" w:rsidRDefault="00EA2123">
      <w:pPr>
        <w:pStyle w:val="FootnoteText"/>
      </w:pPr>
      <w:r>
        <w:rPr>
          <w:rStyle w:val="FootnoteReference"/>
        </w:rPr>
        <w:footnoteRef/>
      </w:r>
      <w:r>
        <w:t xml:space="preserve"> </w:t>
      </w:r>
      <w:r w:rsidR="009C618A">
        <w:rPr>
          <w:i/>
          <w:iCs/>
        </w:rPr>
        <w:t xml:space="preserve">See </w:t>
      </w:r>
      <w:r w:rsidR="009C618A">
        <w:t xml:space="preserve">discussion </w:t>
      </w:r>
      <w:r w:rsidR="009C618A">
        <w:rPr>
          <w:i/>
          <w:iCs/>
        </w:rPr>
        <w:t xml:space="preserve">infra </w:t>
      </w:r>
      <w:r w:rsidR="009C618A">
        <w:t xml:space="preserve">Part III.B.3. </w:t>
      </w:r>
    </w:p>
  </w:footnote>
  <w:footnote w:id="47">
    <w:p w14:paraId="71F10CAC" w14:textId="0B9340B4" w:rsidR="00A54A80" w:rsidRDefault="00A54A80">
      <w:pPr>
        <w:pStyle w:val="FootnoteText"/>
      </w:pPr>
      <w:r>
        <w:rPr>
          <w:rStyle w:val="FootnoteReference"/>
        </w:rPr>
        <w:footnoteRef/>
      </w:r>
      <w:r>
        <w:t xml:space="preserve"> </w:t>
      </w:r>
      <w:r w:rsidR="00987146" w:rsidDel="006A3CB5">
        <w:rPr>
          <w:i/>
        </w:rPr>
        <w:t xml:space="preserve">See supra </w:t>
      </w:r>
      <w:r w:rsidR="00591FF8">
        <w:t>note</w:t>
      </w:r>
      <w:r w:rsidR="008E3A90">
        <w:t>s</w:t>
      </w:r>
      <w:r w:rsidR="00610CD6">
        <w:t xml:space="preserve"> </w:t>
      </w:r>
      <w:r w:rsidR="0048749B">
        <w:fldChar w:fldCharType="begin"/>
      </w:r>
      <w:r w:rsidR="0048749B">
        <w:instrText xml:space="preserve"> NOTEREF _Ref126773473 \h </w:instrText>
      </w:r>
      <w:r w:rsidR="0048749B">
        <w:fldChar w:fldCharType="separate"/>
      </w:r>
      <w:r w:rsidR="00995C7E">
        <w:t>8</w:t>
      </w:r>
      <w:r w:rsidR="0048749B">
        <w:fldChar w:fldCharType="end"/>
      </w:r>
      <w:r w:rsidR="00FD4DE1">
        <w:t>–</w:t>
      </w:r>
      <w:r w:rsidR="0048749B">
        <w:fldChar w:fldCharType="begin"/>
      </w:r>
      <w:r w:rsidR="0048749B">
        <w:instrText xml:space="preserve"> NOTEREF _Ref126773488 \h </w:instrText>
      </w:r>
      <w:r w:rsidR="0048749B">
        <w:fldChar w:fldCharType="separate"/>
      </w:r>
      <w:r w:rsidR="00995C7E">
        <w:t>13</w:t>
      </w:r>
      <w:r w:rsidR="0048749B">
        <w:fldChar w:fldCharType="end"/>
      </w:r>
      <w:r w:rsidR="000D099C">
        <w:t xml:space="preserve">. </w:t>
      </w:r>
    </w:p>
  </w:footnote>
  <w:footnote w:id="48">
    <w:p w14:paraId="1B72F6D3" w14:textId="551CF9D1" w:rsidR="00A54A80" w:rsidRDefault="00A54A80" w:rsidP="006A3CB5">
      <w:pPr>
        <w:pStyle w:val="FootnoteText"/>
      </w:pPr>
      <w:r>
        <w:rPr>
          <w:rStyle w:val="FootnoteReference"/>
        </w:rPr>
        <w:footnoteRef/>
      </w:r>
      <w:r w:rsidR="00817CB4" w:rsidDel="006A3CB5">
        <w:t xml:space="preserve"> </w:t>
      </w:r>
      <w:r w:rsidR="0068690F" w:rsidRPr="008E3A90">
        <w:rPr>
          <w:smallCaps/>
        </w:rPr>
        <w:t xml:space="preserve">OECD, </w:t>
      </w:r>
      <w:r w:rsidR="00DE1FFC" w:rsidRPr="008E3A90">
        <w:rPr>
          <w:smallCaps/>
        </w:rPr>
        <w:t>Main Science and Tech</w:t>
      </w:r>
      <w:r w:rsidR="00EC4BDC" w:rsidRPr="008E3A90">
        <w:rPr>
          <w:smallCaps/>
        </w:rPr>
        <w:t xml:space="preserve">nology Indicators </w:t>
      </w:r>
      <w:r w:rsidR="00020207" w:rsidRPr="008E3A90">
        <w:rPr>
          <w:smallCaps/>
        </w:rPr>
        <w:t>11</w:t>
      </w:r>
      <w:r w:rsidR="00161860" w:rsidRPr="008E3A90">
        <w:rPr>
          <w:smallCaps/>
        </w:rPr>
        <w:t xml:space="preserve"> (2022)</w:t>
      </w:r>
      <w:r w:rsidR="00161860">
        <w:rPr>
          <w:smallCaps/>
        </w:rPr>
        <w:t xml:space="preserve"> </w:t>
      </w:r>
      <w:r w:rsidR="00AA3E24">
        <w:rPr>
          <w:smallCaps/>
        </w:rPr>
        <w:t>(</w:t>
      </w:r>
      <w:r w:rsidR="00161860">
        <w:t xml:space="preserve">estimating countries’ spending on research as a share of GDP). </w:t>
      </w:r>
    </w:p>
  </w:footnote>
  <w:footnote w:id="49">
    <w:p w14:paraId="171E7080" w14:textId="66B88DA7" w:rsidR="000059BC" w:rsidRDefault="000059BC">
      <w:pPr>
        <w:pStyle w:val="FootnoteText"/>
      </w:pPr>
      <w:r>
        <w:rPr>
          <w:rStyle w:val="FootnoteReference"/>
        </w:rPr>
        <w:footnoteRef/>
      </w:r>
      <w:r>
        <w:t xml:space="preserve"> </w:t>
      </w:r>
      <w:r w:rsidR="002F39AC">
        <w:t xml:space="preserve">Robert P Merges &amp; Richard R. Nelson, </w:t>
      </w:r>
      <w:r w:rsidR="002F39AC" w:rsidRPr="008E3A90">
        <w:rPr>
          <w:i/>
        </w:rPr>
        <w:t>On the Complex Economics of Patent Scope</w:t>
      </w:r>
      <w:r w:rsidR="002F39AC">
        <w:t xml:space="preserve">, </w:t>
      </w:r>
      <w:r w:rsidR="002F39AC" w:rsidRPr="008E3A90">
        <w:rPr>
          <w:smallCaps/>
        </w:rPr>
        <w:t>90 Colum. L. Rev.</w:t>
      </w:r>
      <w:r w:rsidR="002F39AC">
        <w:t xml:space="preserve"> 839 (1990)</w:t>
      </w:r>
      <w:r>
        <w:t>.</w:t>
      </w:r>
    </w:p>
  </w:footnote>
  <w:footnote w:id="50">
    <w:p w14:paraId="116EC28D" w14:textId="43A48CE0" w:rsidR="00CC7A03" w:rsidRDefault="00CC7A03" w:rsidP="006A3CB5">
      <w:pPr>
        <w:pStyle w:val="FootnoteText"/>
      </w:pPr>
      <w:r>
        <w:rPr>
          <w:rStyle w:val="FootnoteReference"/>
        </w:rPr>
        <w:footnoteRef/>
      </w:r>
      <w:r>
        <w:t xml:space="preserve"> </w:t>
      </w:r>
      <w:r w:rsidR="00901745">
        <w:t xml:space="preserve">Christopher Buccafusco, </w:t>
      </w:r>
      <w:r w:rsidR="00901745">
        <w:rPr>
          <w:i/>
          <w:iCs/>
        </w:rPr>
        <w:t>Disability &amp; Design</w:t>
      </w:r>
      <w:r w:rsidR="00901745">
        <w:t xml:space="preserve">, </w:t>
      </w:r>
      <w:r w:rsidR="00A228F6">
        <w:t xml:space="preserve">95 </w:t>
      </w:r>
      <w:r w:rsidR="007C4BB6">
        <w:t xml:space="preserve">N.Y.U. L. Rev. 952, 961–63 (2020). </w:t>
      </w:r>
    </w:p>
  </w:footnote>
  <w:footnote w:id="51">
    <w:p w14:paraId="3AEE663F" w14:textId="4FB8983E" w:rsidR="00CC7A03" w:rsidRPr="000238CC" w:rsidRDefault="00CC7A03" w:rsidP="001640F6">
      <w:pPr>
        <w:pStyle w:val="FootnoteText"/>
      </w:pPr>
      <w:r>
        <w:rPr>
          <w:rStyle w:val="FootnoteReference"/>
        </w:rPr>
        <w:footnoteRef/>
      </w:r>
      <w:r>
        <w:t xml:space="preserve"> National Science Board, </w:t>
      </w:r>
      <w:r>
        <w:rPr>
          <w:i/>
          <w:iCs/>
        </w:rPr>
        <w:t>2022 Science and Engineering Indicators</w:t>
      </w:r>
      <w:r>
        <w:t xml:space="preserve">, </w:t>
      </w:r>
      <w:r w:rsidRPr="00737CF7">
        <w:rPr>
          <w:smallCaps/>
        </w:rPr>
        <w:t xml:space="preserve">Nat’l Science </w:t>
      </w:r>
      <w:r>
        <w:rPr>
          <w:smallCaps/>
        </w:rPr>
        <w:t>Found</w:t>
      </w:r>
      <w:r>
        <w:t>. 19 (2022)</w:t>
      </w:r>
      <w:r w:rsidR="0056451F">
        <w:t>.</w:t>
      </w:r>
    </w:p>
  </w:footnote>
  <w:footnote w:id="52">
    <w:p w14:paraId="66D55FD8" w14:textId="67536575" w:rsidR="00CC7A03" w:rsidRPr="002A75F1" w:rsidRDefault="00CC7A03" w:rsidP="001640F6">
      <w:pPr>
        <w:pStyle w:val="FootnoteText"/>
      </w:pPr>
      <w:r>
        <w:rPr>
          <w:rStyle w:val="FootnoteReference"/>
        </w:rPr>
        <w:footnoteRef/>
      </w:r>
      <w:r>
        <w:t xml:space="preserve"> </w:t>
      </w:r>
      <w:r w:rsidR="00E40B45">
        <w:t xml:space="preserve">Sargent, </w:t>
      </w:r>
      <w:r w:rsidR="00E40B45">
        <w:rPr>
          <w:i/>
          <w:iCs/>
        </w:rPr>
        <w:t xml:space="preserve">supra </w:t>
      </w:r>
      <w:r w:rsidR="00E40B45">
        <w:t xml:space="preserve">note </w:t>
      </w:r>
      <w:r w:rsidR="00E40B45">
        <w:fldChar w:fldCharType="begin"/>
      </w:r>
      <w:r w:rsidR="00E40B45">
        <w:instrText xml:space="preserve"> NOTEREF _Ref126700955 \h </w:instrText>
      </w:r>
      <w:r w:rsidR="00E40B45">
        <w:fldChar w:fldCharType="separate"/>
      </w:r>
      <w:r w:rsidR="00995C7E">
        <w:t>20</w:t>
      </w:r>
      <w:r w:rsidR="00E40B45">
        <w:fldChar w:fldCharType="end"/>
      </w:r>
      <w:r w:rsidR="00E40B45">
        <w:t>, at 2.</w:t>
      </w:r>
      <w:r>
        <w:t xml:space="preserve"> </w:t>
      </w:r>
    </w:p>
  </w:footnote>
  <w:footnote w:id="53">
    <w:p w14:paraId="22CABCF5" w14:textId="09D3EDEE" w:rsidR="00CC7A03" w:rsidRPr="007E7928" w:rsidRDefault="00CC7A03" w:rsidP="001640F6">
      <w:pPr>
        <w:pStyle w:val="FootnoteText"/>
      </w:pPr>
      <w:r>
        <w:rPr>
          <w:rStyle w:val="FootnoteReference"/>
        </w:rPr>
        <w:footnoteRef/>
      </w:r>
      <w:r>
        <w:t xml:space="preserve"> Nat’l Sci. Bd</w:t>
      </w:r>
      <w:r>
        <w:rPr>
          <w:i/>
          <w:iCs/>
        </w:rPr>
        <w:t>.</w:t>
      </w:r>
      <w:r>
        <w:t xml:space="preserve">, </w:t>
      </w:r>
      <w:r>
        <w:rPr>
          <w:i/>
          <w:iCs/>
        </w:rPr>
        <w:t xml:space="preserve">supra </w:t>
      </w:r>
      <w:r>
        <w:t xml:space="preserve">note </w:t>
      </w:r>
      <w:r w:rsidR="00015C86">
        <w:fldChar w:fldCharType="begin"/>
      </w:r>
      <w:r w:rsidR="00015C86">
        <w:instrText xml:space="preserve"> NOTEREF _Ref126784564 \h </w:instrText>
      </w:r>
      <w:r w:rsidR="00015C86">
        <w:fldChar w:fldCharType="separate"/>
      </w:r>
      <w:r w:rsidR="00995C7E">
        <w:t>48</w:t>
      </w:r>
      <w:r w:rsidR="00015C86">
        <w:fldChar w:fldCharType="end"/>
      </w:r>
      <w:r w:rsidR="00C942A6">
        <w:t>,</w:t>
      </w:r>
      <w:r w:rsidDel="00C23483">
        <w:t xml:space="preserve"> </w:t>
      </w:r>
      <w:r>
        <w:t>at 19.</w:t>
      </w:r>
    </w:p>
  </w:footnote>
  <w:footnote w:id="54">
    <w:p w14:paraId="56BFD486" w14:textId="2B309860" w:rsidR="00CC7A03" w:rsidRPr="00AB6DD7" w:rsidRDefault="00CC7A03" w:rsidP="001640F6">
      <w:pPr>
        <w:pStyle w:val="FootnoteText"/>
      </w:pPr>
      <w:r>
        <w:rPr>
          <w:rStyle w:val="FootnoteReference"/>
        </w:rPr>
        <w:footnoteRef/>
      </w:r>
      <w:r>
        <w:t xml:space="preserve"> Sargent, </w:t>
      </w:r>
      <w:r>
        <w:rPr>
          <w:i/>
          <w:iCs/>
        </w:rPr>
        <w:t xml:space="preserve">supra </w:t>
      </w:r>
      <w:r>
        <w:t xml:space="preserve">note </w:t>
      </w:r>
      <w:r w:rsidR="00015C86">
        <w:fldChar w:fldCharType="begin"/>
      </w:r>
      <w:r w:rsidR="00015C86">
        <w:instrText xml:space="preserve"> NOTEREF _Ref126700955 \h </w:instrText>
      </w:r>
      <w:r w:rsidR="00015C86">
        <w:fldChar w:fldCharType="separate"/>
      </w:r>
      <w:r w:rsidR="00995C7E">
        <w:t>20</w:t>
      </w:r>
      <w:r w:rsidR="00015C86">
        <w:fldChar w:fldCharType="end"/>
      </w:r>
      <w:r w:rsidR="00C23483">
        <w:t>,</w:t>
      </w:r>
      <w:r w:rsidR="00015C86" w:rsidDel="00C23483">
        <w:t xml:space="preserve"> </w:t>
      </w:r>
      <w:r>
        <w:t>at 4.</w:t>
      </w:r>
    </w:p>
  </w:footnote>
  <w:footnote w:id="55">
    <w:p w14:paraId="18490A80" w14:textId="4B3EADB7" w:rsidR="00CC7A03" w:rsidRPr="00351DD5" w:rsidRDefault="00CC7A03" w:rsidP="001640F6">
      <w:pPr>
        <w:pStyle w:val="FootnoteText"/>
      </w:pPr>
      <w:r>
        <w:rPr>
          <w:rStyle w:val="FootnoteReference"/>
        </w:rPr>
        <w:footnoteRef/>
      </w:r>
      <w:r>
        <w:t xml:space="preserve"> Nat’l Sci. Bd</w:t>
      </w:r>
      <w:r>
        <w:rPr>
          <w:i/>
          <w:iCs/>
        </w:rPr>
        <w:t>.</w:t>
      </w:r>
      <w:r>
        <w:t xml:space="preserve">, </w:t>
      </w:r>
      <w:r>
        <w:rPr>
          <w:i/>
          <w:iCs/>
        </w:rPr>
        <w:t xml:space="preserve">supra </w:t>
      </w:r>
      <w:r>
        <w:t xml:space="preserve">note </w:t>
      </w:r>
      <w:r w:rsidR="00695A60">
        <w:fldChar w:fldCharType="begin"/>
      </w:r>
      <w:r w:rsidR="00695A60">
        <w:instrText xml:space="preserve"> NOTEREF _Ref126784564 \h </w:instrText>
      </w:r>
      <w:r w:rsidR="00695A60">
        <w:fldChar w:fldCharType="separate"/>
      </w:r>
      <w:r w:rsidR="00995C7E">
        <w:t>48</w:t>
      </w:r>
      <w:r w:rsidR="00695A60">
        <w:fldChar w:fldCharType="end"/>
      </w:r>
      <w:r w:rsidR="004A74EE">
        <w:t>,</w:t>
      </w:r>
      <w:r>
        <w:t xml:space="preserve"> at 19 (federal government provided 41% of funding for basic research and 50% of funding for research by the higher education sector in 2019); Sargent, </w:t>
      </w:r>
      <w:r>
        <w:rPr>
          <w:i/>
          <w:iCs/>
        </w:rPr>
        <w:t xml:space="preserve">supra </w:t>
      </w:r>
      <w:r>
        <w:t xml:space="preserve">note </w:t>
      </w:r>
      <w:r w:rsidR="00A75B28">
        <w:fldChar w:fldCharType="begin"/>
      </w:r>
      <w:r w:rsidR="00A75B28">
        <w:instrText xml:space="preserve"> NOTEREF _Ref126700955 \h </w:instrText>
      </w:r>
      <w:r w:rsidR="00A75B28">
        <w:fldChar w:fldCharType="separate"/>
      </w:r>
      <w:r w:rsidR="00995C7E">
        <w:t>20</w:t>
      </w:r>
      <w:r w:rsidR="00A75B28">
        <w:fldChar w:fldCharType="end"/>
      </w:r>
      <w:r w:rsidR="00D54621">
        <w:t>,</w:t>
      </w:r>
      <w:r w:rsidR="00A75B28" w:rsidDel="00A75B28">
        <w:t xml:space="preserve"> </w:t>
      </w:r>
      <w:r>
        <w:t>at 4 (federal government provided 40.6% of funds for basic research in 2020).</w:t>
      </w:r>
    </w:p>
  </w:footnote>
  <w:footnote w:id="56">
    <w:p w14:paraId="4524809B" w14:textId="6271A2EA" w:rsidR="00CC7A03" w:rsidRPr="000C585E" w:rsidRDefault="00CC7A03" w:rsidP="001640F6">
      <w:pPr>
        <w:pStyle w:val="FootnoteText"/>
      </w:pPr>
      <w:r>
        <w:rPr>
          <w:rStyle w:val="FootnoteReference"/>
        </w:rPr>
        <w:footnoteRef/>
      </w:r>
      <w:r>
        <w:t xml:space="preserve"> </w:t>
      </w:r>
      <w:r w:rsidR="00395831">
        <w:t xml:space="preserve">Sargent, </w:t>
      </w:r>
      <w:r w:rsidR="00395831">
        <w:rPr>
          <w:i/>
          <w:iCs/>
        </w:rPr>
        <w:t xml:space="preserve">supra </w:t>
      </w:r>
      <w:r w:rsidR="00395831">
        <w:t xml:space="preserve">note </w:t>
      </w:r>
      <w:r w:rsidR="00395831">
        <w:fldChar w:fldCharType="begin"/>
      </w:r>
      <w:r w:rsidR="00395831">
        <w:instrText xml:space="preserve"> NOTEREF _Ref126700955 \h </w:instrText>
      </w:r>
      <w:r w:rsidR="00395831">
        <w:fldChar w:fldCharType="separate"/>
      </w:r>
      <w:r w:rsidR="00995C7E">
        <w:t>20</w:t>
      </w:r>
      <w:r w:rsidR="00395831">
        <w:fldChar w:fldCharType="end"/>
      </w:r>
      <w:r w:rsidR="00395831">
        <w:t xml:space="preserve">, at 3. </w:t>
      </w:r>
    </w:p>
  </w:footnote>
  <w:footnote w:id="57">
    <w:p w14:paraId="21A3065C" w14:textId="62B32C5D" w:rsidR="00CC7A03" w:rsidRPr="00E540A7" w:rsidRDefault="00CC7A03" w:rsidP="001640F6">
      <w:pPr>
        <w:pStyle w:val="FootnoteText"/>
      </w:pPr>
      <w:r>
        <w:rPr>
          <w:rStyle w:val="FootnoteReference"/>
        </w:rPr>
        <w:footnoteRef/>
      </w:r>
      <w:r>
        <w:t xml:space="preserve"> </w:t>
      </w:r>
      <w:r>
        <w:rPr>
          <w:i/>
          <w:iCs/>
        </w:rPr>
        <w:t xml:space="preserve">See </w:t>
      </w:r>
      <w:r w:rsidR="00265F53">
        <w:rPr>
          <w:i/>
          <w:iCs/>
        </w:rPr>
        <w:t>i</w:t>
      </w:r>
      <w:r w:rsidR="003C5058">
        <w:rPr>
          <w:i/>
          <w:iCs/>
        </w:rPr>
        <w:t xml:space="preserve">d. </w:t>
      </w:r>
      <w:r>
        <w:t>at 4</w:t>
      </w:r>
      <w:r w:rsidR="00265F53">
        <w:t xml:space="preserve"> </w:t>
      </w:r>
      <w:r>
        <w:t>(total nonfederal government funding for R&amp;D in 2020 was $5 billion</w:t>
      </w:r>
      <w:r w:rsidR="00CF105F">
        <w:t>).</w:t>
      </w:r>
    </w:p>
  </w:footnote>
  <w:footnote w:id="58">
    <w:p w14:paraId="200E2D33" w14:textId="52E591DD" w:rsidR="00355C77" w:rsidRDefault="00355C77">
      <w:pPr>
        <w:pStyle w:val="FootnoteText"/>
      </w:pPr>
      <w:r>
        <w:rPr>
          <w:rStyle w:val="FootnoteReference"/>
        </w:rPr>
        <w:footnoteRef/>
      </w:r>
      <w:r>
        <w:t xml:space="preserve"> </w:t>
      </w:r>
      <w:r w:rsidR="00B3663C">
        <w:t xml:space="preserve">Michael Burstein &amp; Fiona Murray, </w:t>
      </w:r>
      <w:r w:rsidR="00B3663C" w:rsidRPr="008E3A90">
        <w:rPr>
          <w:i/>
        </w:rPr>
        <w:t>Innovation Prizes in Practice and Theory</w:t>
      </w:r>
      <w:r w:rsidR="00B3663C">
        <w:t xml:space="preserve">, </w:t>
      </w:r>
      <w:r w:rsidR="00B3663C" w:rsidRPr="008E3A90">
        <w:rPr>
          <w:smallCaps/>
        </w:rPr>
        <w:t>29 Harv. J.L. Tech.</w:t>
      </w:r>
      <w:r w:rsidR="00B3663C">
        <w:t xml:space="preserve"> 401</w:t>
      </w:r>
      <w:r w:rsidR="0065453D">
        <w:t>, 402</w:t>
      </w:r>
      <w:r w:rsidR="00B3663C">
        <w:t xml:space="preserve"> (2016)</w:t>
      </w:r>
      <w:r>
        <w:t>.</w:t>
      </w:r>
    </w:p>
  </w:footnote>
  <w:footnote w:id="59">
    <w:p w14:paraId="0637C833" w14:textId="43C3E40E" w:rsidR="00CC7A03" w:rsidRPr="00A17069" w:rsidRDefault="00CC7A03" w:rsidP="001640F6">
      <w:pPr>
        <w:pStyle w:val="FootnoteText"/>
      </w:pPr>
      <w:r>
        <w:rPr>
          <w:rStyle w:val="FootnoteReference"/>
        </w:rPr>
        <w:footnoteRef/>
      </w:r>
      <w:r>
        <w:t xml:space="preserve"> While this is the most famous longitude prize, other European governments had offered similar prizes before 1714. </w:t>
      </w:r>
      <w:r>
        <w:rPr>
          <w:i/>
          <w:iCs/>
        </w:rPr>
        <w:t xml:space="preserve">See </w:t>
      </w:r>
      <w:r>
        <w:t xml:space="preserve">B. Zorina Khan, </w:t>
      </w:r>
      <w:r>
        <w:rPr>
          <w:i/>
          <w:iCs/>
        </w:rPr>
        <w:t>Inventing Prizes: A Historical Perspective on Innovation Awards and Technology Policy</w:t>
      </w:r>
      <w:r>
        <w:t xml:space="preserve">, 89 </w:t>
      </w:r>
      <w:r w:rsidRPr="00737CF7">
        <w:rPr>
          <w:smallCaps/>
        </w:rPr>
        <w:t>Bus. Hist</w:t>
      </w:r>
      <w:r w:rsidR="00E763E8">
        <w:rPr>
          <w:smallCaps/>
        </w:rPr>
        <w:t>.</w:t>
      </w:r>
      <w:r w:rsidRPr="00737CF7">
        <w:rPr>
          <w:smallCaps/>
        </w:rPr>
        <w:t xml:space="preserve"> Rev.</w:t>
      </w:r>
      <w:r>
        <w:rPr>
          <w:smallCaps/>
        </w:rPr>
        <w:t xml:space="preserve"> 631, 635 (2015).</w:t>
      </w:r>
    </w:p>
  </w:footnote>
  <w:footnote w:id="60">
    <w:p w14:paraId="2507F8A9" w14:textId="760668CA" w:rsidR="00CC7A03" w:rsidRPr="004A35E3" w:rsidRDefault="00CC7A03" w:rsidP="001640F6">
      <w:pPr>
        <w:pStyle w:val="FootnoteText"/>
      </w:pPr>
      <w:r>
        <w:rPr>
          <w:rStyle w:val="FootnoteReference"/>
        </w:rPr>
        <w:footnoteRef/>
      </w:r>
      <w:r>
        <w:t xml:space="preserve"> This revitalization can be traced in large part to high-profile private prizes, such as the X Prize Foundation’s offer of $10 million to a private sector organization that could build “a reliable, reusable, privately financed, manned spaceship” that was able to carry three people, 100 kilometers above the earth’s surface, twice within two weeks. X Prize, </w:t>
      </w:r>
      <w:r>
        <w:rPr>
          <w:i/>
          <w:iCs/>
        </w:rPr>
        <w:t>Launching a New Space Industry</w:t>
      </w:r>
      <w:r>
        <w:t xml:space="preserve">, </w:t>
      </w:r>
      <w:r w:rsidRPr="00737CF7">
        <w:t>https://www.xprize.org/prizes/ansari</w:t>
      </w:r>
      <w:r>
        <w:t xml:space="preserve">; </w:t>
      </w:r>
      <w:r w:rsidR="00CB3765" w:rsidRPr="000A216B">
        <w:t>Daniel J. Hemel &amp; Lisa Larrimore Ouellette</w:t>
      </w:r>
      <w:r w:rsidR="00CB3765" w:rsidRPr="000A216B">
        <w:rPr>
          <w:i/>
          <w:iCs/>
        </w:rPr>
        <w:t>,</w:t>
      </w:r>
      <w:r w:rsidR="00CB3765" w:rsidRPr="000A216B">
        <w:t xml:space="preserve"> </w:t>
      </w:r>
      <w:r w:rsidR="00CB3765" w:rsidRPr="000A216B">
        <w:rPr>
          <w:i/>
          <w:iCs/>
        </w:rPr>
        <w:t xml:space="preserve">Beyond the Patents-Prizes </w:t>
      </w:r>
      <w:r w:rsidR="00CB3765" w:rsidRPr="009D345E">
        <w:rPr>
          <w:i/>
          <w:iCs/>
        </w:rPr>
        <w:t>Debate</w:t>
      </w:r>
      <w:r w:rsidR="00CB3765" w:rsidRPr="000A216B">
        <w:t xml:space="preserve">, 92 </w:t>
      </w:r>
      <w:r w:rsidR="00CB3765" w:rsidRPr="000A216B">
        <w:rPr>
          <w:smallCaps/>
        </w:rPr>
        <w:t>Tex. L. Rev</w:t>
      </w:r>
      <w:r w:rsidR="00CB3765" w:rsidRPr="000A216B">
        <w:t>. 303, 317 (2013)</w:t>
      </w:r>
      <w:r w:rsidR="00CB3765" w:rsidRPr="00CB3765">
        <w:t xml:space="preserve"> </w:t>
      </w:r>
      <w:r>
        <w:t>(</w:t>
      </w:r>
      <w:r w:rsidR="00092C65">
        <w:t xml:space="preserve">explaining </w:t>
      </w:r>
      <w:r>
        <w:t>“recent private competitions have generated renewed interest” in innovation prizes</w:t>
      </w:r>
      <w:r w:rsidR="00092C65">
        <w:t>)</w:t>
      </w:r>
      <w:r>
        <w:t>.</w:t>
      </w:r>
    </w:p>
  </w:footnote>
  <w:footnote w:id="61">
    <w:p w14:paraId="3DDB44B6" w14:textId="10C43AFA" w:rsidR="00CC7A03" w:rsidRDefault="00CC7A03" w:rsidP="001640F6">
      <w:pPr>
        <w:pStyle w:val="FootnoteText"/>
      </w:pPr>
      <w:r>
        <w:rPr>
          <w:rStyle w:val="FootnoteReference"/>
        </w:rPr>
        <w:footnoteRef/>
      </w:r>
      <w:r>
        <w:t xml:space="preserve"> 15 U</w:t>
      </w:r>
      <w:r w:rsidR="00C61B55">
        <w:t>.</w:t>
      </w:r>
      <w:r>
        <w:t>S</w:t>
      </w:r>
      <w:r w:rsidR="00C61B55">
        <w:t>.</w:t>
      </w:r>
      <w:r>
        <w:t>C</w:t>
      </w:r>
      <w:r w:rsidR="00C61B55">
        <w:t>.</w:t>
      </w:r>
      <w:r>
        <w:t xml:space="preserve"> </w:t>
      </w:r>
      <w:r w:rsidR="00C61B55">
        <w:t xml:space="preserve">§ </w:t>
      </w:r>
      <w:r>
        <w:t>3719(c).</w:t>
      </w:r>
    </w:p>
  </w:footnote>
  <w:footnote w:id="62">
    <w:p w14:paraId="1FE7C160" w14:textId="71A165B0" w:rsidR="00CC7A03" w:rsidRPr="001425BD" w:rsidRDefault="00CC7A03" w:rsidP="001640F6">
      <w:pPr>
        <w:pStyle w:val="FootnoteText"/>
      </w:pPr>
      <w:r>
        <w:rPr>
          <w:rStyle w:val="FootnoteReference"/>
        </w:rPr>
        <w:footnoteRef/>
      </w:r>
      <w:r>
        <w:t xml:space="preserve"> </w:t>
      </w:r>
      <w:r>
        <w:rPr>
          <w:i/>
          <w:iCs/>
        </w:rPr>
        <w:t xml:space="preserve">See </w:t>
      </w:r>
      <w:r>
        <w:t xml:space="preserve">Ali Crawford &amp; Ido Wulkan, </w:t>
      </w:r>
      <w:r>
        <w:rPr>
          <w:i/>
          <w:iCs/>
        </w:rPr>
        <w:t>Federal Prize Competitions: Using Competitions to Promote Innovation in Artificial Intelligence</w:t>
      </w:r>
      <w:r>
        <w:t xml:space="preserve">, </w:t>
      </w:r>
      <w:r w:rsidRPr="00737CF7">
        <w:rPr>
          <w:smallCaps/>
        </w:rPr>
        <w:t>Ctr</w:t>
      </w:r>
      <w:r w:rsidR="001239EF">
        <w:rPr>
          <w:smallCaps/>
        </w:rPr>
        <w:t>.</w:t>
      </w:r>
      <w:r w:rsidRPr="00737CF7">
        <w:rPr>
          <w:smallCaps/>
        </w:rPr>
        <w:t xml:space="preserve"> for </w:t>
      </w:r>
      <w:r w:rsidR="00F96623" w:rsidRPr="00737CF7">
        <w:rPr>
          <w:smallCaps/>
        </w:rPr>
        <w:t>Sec</w:t>
      </w:r>
      <w:r w:rsidR="00F96623">
        <w:rPr>
          <w:smallCaps/>
        </w:rPr>
        <w:t>.</w:t>
      </w:r>
      <w:r w:rsidR="00F96623" w:rsidRPr="00737CF7">
        <w:rPr>
          <w:smallCaps/>
        </w:rPr>
        <w:t xml:space="preserve"> </w:t>
      </w:r>
      <w:r w:rsidRPr="00737CF7">
        <w:rPr>
          <w:smallCaps/>
        </w:rPr>
        <w:t>&amp; Emerging Tech</w:t>
      </w:r>
      <w:r>
        <w:t>.</w:t>
      </w:r>
      <w:r>
        <w:rPr>
          <w:i/>
          <w:iCs/>
        </w:rPr>
        <w:t xml:space="preserve"> </w:t>
      </w:r>
      <w:r>
        <w:t>8 (2021) (identifying 814 federal prize competitions between 2010 and 2020 offering a total of around $243 million).</w:t>
      </w:r>
    </w:p>
  </w:footnote>
  <w:footnote w:id="63">
    <w:p w14:paraId="18F24FC0" w14:textId="26C1A365" w:rsidR="00CC7A03" w:rsidRDefault="00CC7A03" w:rsidP="001640F6">
      <w:pPr>
        <w:pStyle w:val="FootnoteText"/>
      </w:pPr>
      <w:r>
        <w:rPr>
          <w:rStyle w:val="FootnoteReference"/>
        </w:rPr>
        <w:footnoteRef/>
      </w:r>
      <w:r>
        <w:t xml:space="preserve"> Hemel &amp; Ouellette</w:t>
      </w:r>
      <w:r w:rsidR="004174F3">
        <w:t xml:space="preserve">, </w:t>
      </w:r>
      <w:r w:rsidR="004174F3" w:rsidRPr="000A216B">
        <w:rPr>
          <w:i/>
          <w:iCs/>
        </w:rPr>
        <w:t xml:space="preserve">Beyond the Patents-Prizes </w:t>
      </w:r>
      <w:r w:rsidR="004174F3" w:rsidRPr="003D46E5">
        <w:rPr>
          <w:i/>
          <w:iCs/>
        </w:rPr>
        <w:t>Debate</w:t>
      </w:r>
      <w:r>
        <w:t xml:space="preserve">, </w:t>
      </w:r>
      <w:r w:rsidRPr="0066408A">
        <w:rPr>
          <w:i/>
        </w:rPr>
        <w:t>supra</w:t>
      </w:r>
      <w:r>
        <w:t xml:space="preserve"> note </w:t>
      </w:r>
      <w:r w:rsidR="0000537E">
        <w:fldChar w:fldCharType="begin"/>
      </w:r>
      <w:r w:rsidR="0000537E">
        <w:instrText xml:space="preserve"> NOTEREF _Ref126705196 \h </w:instrText>
      </w:r>
      <w:r w:rsidR="0000537E">
        <w:fldChar w:fldCharType="separate"/>
      </w:r>
      <w:r w:rsidR="00995C7E">
        <w:t>57</w:t>
      </w:r>
      <w:r w:rsidR="0000537E">
        <w:fldChar w:fldCharType="end"/>
      </w:r>
      <w:r>
        <w:t>, at 322</w:t>
      </w:r>
      <w:r w:rsidR="00DF10E9">
        <w:t>–</w:t>
      </w:r>
      <w:r>
        <w:t xml:space="preserve">25. </w:t>
      </w:r>
    </w:p>
  </w:footnote>
  <w:footnote w:id="64">
    <w:p w14:paraId="22EA445B" w14:textId="77777777" w:rsidR="00CC7A03" w:rsidRDefault="00CC7A03" w:rsidP="001640F6">
      <w:pPr>
        <w:pStyle w:val="FootnoteText"/>
      </w:pPr>
      <w:r>
        <w:rPr>
          <w:rStyle w:val="FootnoteReference"/>
        </w:rPr>
        <w:footnoteRef/>
      </w:r>
      <w:r>
        <w:t xml:space="preserve"> </w:t>
      </w:r>
      <w:r w:rsidRPr="00D9372F">
        <w:t>I.R.C.</w:t>
      </w:r>
      <w:r>
        <w:t xml:space="preserve"> §</w:t>
      </w:r>
      <w:r w:rsidRPr="00D9372F">
        <w:t xml:space="preserve"> 174(a) (2006).</w:t>
      </w:r>
    </w:p>
  </w:footnote>
  <w:footnote w:id="65">
    <w:p w14:paraId="104D151A" w14:textId="77777777" w:rsidR="00CC7A03" w:rsidRDefault="00CC7A03" w:rsidP="001640F6">
      <w:pPr>
        <w:pStyle w:val="FootnoteText"/>
      </w:pPr>
      <w:r>
        <w:rPr>
          <w:rStyle w:val="FootnoteReference"/>
        </w:rPr>
        <w:footnoteRef/>
      </w:r>
      <w:r>
        <w:t xml:space="preserve"> </w:t>
      </w:r>
      <w:r w:rsidRPr="00D9372F">
        <w:t>I.R.C.</w:t>
      </w:r>
      <w:r>
        <w:t xml:space="preserve"> §</w:t>
      </w:r>
      <w:r w:rsidRPr="00D9372F">
        <w:t xml:space="preserve"> 41(d).</w:t>
      </w:r>
    </w:p>
  </w:footnote>
  <w:footnote w:id="66">
    <w:p w14:paraId="1ACEA133" w14:textId="16C9D6FE" w:rsidR="00B277C1" w:rsidRDefault="00B277C1">
      <w:pPr>
        <w:pStyle w:val="FootnoteText"/>
      </w:pPr>
      <w:r>
        <w:rPr>
          <w:rStyle w:val="FootnoteReference"/>
        </w:rPr>
        <w:footnoteRef/>
      </w:r>
      <w:r>
        <w:t xml:space="preserve"> </w:t>
      </w:r>
      <w:r w:rsidR="00B3663C">
        <w:t>Hemel &amp; Ouellette</w:t>
      </w:r>
      <w:r w:rsidR="004174F3">
        <w:t xml:space="preserve">, </w:t>
      </w:r>
      <w:r w:rsidR="004174F3" w:rsidRPr="000A216B">
        <w:rPr>
          <w:i/>
          <w:iCs/>
        </w:rPr>
        <w:t xml:space="preserve">Beyond the Patents-Prizes </w:t>
      </w:r>
      <w:r w:rsidR="004174F3" w:rsidRPr="003D46E5">
        <w:rPr>
          <w:i/>
          <w:iCs/>
        </w:rPr>
        <w:t>Debate</w:t>
      </w:r>
      <w:r w:rsidR="00B3663C">
        <w:t xml:space="preserve">, </w:t>
      </w:r>
      <w:r w:rsidR="00B3663C" w:rsidRPr="0066408A">
        <w:rPr>
          <w:i/>
        </w:rPr>
        <w:t>supra</w:t>
      </w:r>
      <w:r w:rsidR="00B3663C">
        <w:t xml:space="preserve"> note </w:t>
      </w:r>
      <w:r w:rsidR="0000537E">
        <w:fldChar w:fldCharType="begin"/>
      </w:r>
      <w:r w:rsidR="0000537E">
        <w:instrText xml:space="preserve"> NOTEREF _Ref126705196 \h </w:instrText>
      </w:r>
      <w:r w:rsidR="0000537E">
        <w:fldChar w:fldCharType="separate"/>
      </w:r>
      <w:r w:rsidR="00995C7E">
        <w:t>57</w:t>
      </w:r>
      <w:r w:rsidR="0000537E">
        <w:fldChar w:fldCharType="end"/>
      </w:r>
      <w:r w:rsidR="00B3663C">
        <w:t>, at 322</w:t>
      </w:r>
      <w:r w:rsidR="00DF10E9">
        <w:t>–</w:t>
      </w:r>
      <w:r w:rsidR="00B3663C">
        <w:t>25</w:t>
      </w:r>
      <w:r>
        <w:t>.</w:t>
      </w:r>
    </w:p>
  </w:footnote>
  <w:footnote w:id="67">
    <w:p w14:paraId="782F4934" w14:textId="4927B76D" w:rsidR="00CC7A03" w:rsidRDefault="00CC7A03" w:rsidP="001640F6">
      <w:pPr>
        <w:pStyle w:val="FootnoteText"/>
      </w:pPr>
      <w:r>
        <w:rPr>
          <w:rStyle w:val="FootnoteReference"/>
        </w:rPr>
        <w:footnoteRef/>
      </w:r>
      <w:r>
        <w:t xml:space="preserve"> </w:t>
      </w:r>
      <w:r w:rsidRPr="00EB7396">
        <w:rPr>
          <w:i/>
        </w:rPr>
        <w:t>See</w:t>
      </w:r>
      <w:r>
        <w:t xml:space="preserve"> </w:t>
      </w:r>
      <w:r w:rsidR="00864C97" w:rsidRPr="00EB7396">
        <w:rPr>
          <w:smallCaps/>
        </w:rPr>
        <w:t xml:space="preserve">Staff </w:t>
      </w:r>
      <w:r w:rsidR="00864C97">
        <w:rPr>
          <w:smallCaps/>
        </w:rPr>
        <w:t>o</w:t>
      </w:r>
      <w:r w:rsidR="00864C97" w:rsidRPr="00EB7396">
        <w:rPr>
          <w:smallCaps/>
        </w:rPr>
        <w:t xml:space="preserve">f </w:t>
      </w:r>
      <w:r w:rsidR="00864C97">
        <w:rPr>
          <w:smallCaps/>
        </w:rPr>
        <w:t>t</w:t>
      </w:r>
      <w:r w:rsidR="00864C97" w:rsidRPr="00EB7396">
        <w:rPr>
          <w:smallCaps/>
        </w:rPr>
        <w:t xml:space="preserve">he Joint Comm. </w:t>
      </w:r>
      <w:r w:rsidR="00864C97">
        <w:rPr>
          <w:smallCaps/>
        </w:rPr>
        <w:t>o</w:t>
      </w:r>
      <w:r w:rsidR="00864C97" w:rsidRPr="00EB7396">
        <w:rPr>
          <w:smallCaps/>
        </w:rPr>
        <w:t xml:space="preserve">n Taxation, Estimates </w:t>
      </w:r>
      <w:r w:rsidR="00864C97">
        <w:rPr>
          <w:smallCaps/>
        </w:rPr>
        <w:t>o</w:t>
      </w:r>
      <w:r w:rsidR="00864C97" w:rsidRPr="00EB7396">
        <w:rPr>
          <w:smallCaps/>
        </w:rPr>
        <w:t xml:space="preserve">f Federal Tax Expenditures </w:t>
      </w:r>
      <w:r w:rsidR="00864C97">
        <w:rPr>
          <w:smallCaps/>
        </w:rPr>
        <w:t>f</w:t>
      </w:r>
      <w:r w:rsidR="00864C97" w:rsidRPr="003824AE">
        <w:rPr>
          <w:smallCaps/>
        </w:rPr>
        <w:t xml:space="preserve">or Fiscal Years </w:t>
      </w:r>
      <w:r>
        <w:t>2020-2024, at tbl.1 (Comm. Print 2020)</w:t>
      </w:r>
      <w:r w:rsidR="00864C97">
        <w:t>.</w:t>
      </w:r>
    </w:p>
  </w:footnote>
  <w:footnote w:id="68">
    <w:p w14:paraId="15A20748" w14:textId="1A61CDA0" w:rsidR="00C0465F" w:rsidRDefault="00C0465F">
      <w:pPr>
        <w:pStyle w:val="FootnoteText"/>
      </w:pPr>
      <w:r>
        <w:rPr>
          <w:rStyle w:val="FootnoteReference"/>
        </w:rPr>
        <w:footnoteRef/>
      </w:r>
      <w:r>
        <w:t xml:space="preserve"> </w:t>
      </w:r>
      <w:r w:rsidR="00B3663C" w:rsidRPr="00431B36">
        <w:rPr>
          <w:i/>
        </w:rPr>
        <w:t>See e.g.</w:t>
      </w:r>
      <w:r w:rsidR="00C61B55">
        <w:t>,</w:t>
      </w:r>
      <w:r w:rsidR="00B3663C">
        <w:t xml:space="preserve"> </w:t>
      </w:r>
      <w:proofErr w:type="spellStart"/>
      <w:r w:rsidR="00B3663C" w:rsidRPr="0066408A">
        <w:rPr>
          <w:smallCaps/>
        </w:rPr>
        <w:t>Scotchmer</w:t>
      </w:r>
      <w:proofErr w:type="spellEnd"/>
      <w:r w:rsidR="00B3663C">
        <w:t xml:space="preserve">, </w:t>
      </w:r>
      <w:r w:rsidR="00B3663C" w:rsidRPr="0066408A">
        <w:rPr>
          <w:i/>
        </w:rPr>
        <w:t>supra</w:t>
      </w:r>
      <w:r w:rsidR="00B3663C">
        <w:t xml:space="preserve"> note </w:t>
      </w:r>
      <w:r w:rsidR="00B24A47">
        <w:fldChar w:fldCharType="begin"/>
      </w:r>
      <w:r w:rsidR="00B24A47">
        <w:instrText xml:space="preserve"> NOTEREF _Ref126785324 \h </w:instrText>
      </w:r>
      <w:r w:rsidR="00B24A47">
        <w:fldChar w:fldCharType="separate"/>
      </w:r>
      <w:r w:rsidR="00995C7E">
        <w:t>19</w:t>
      </w:r>
      <w:r w:rsidR="00B24A47">
        <w:fldChar w:fldCharType="end"/>
      </w:r>
      <w:r w:rsidR="00B3663C">
        <w:t>, at 34</w:t>
      </w:r>
      <w:r w:rsidR="00C61B55">
        <w:t>–</w:t>
      </w:r>
      <w:r w:rsidR="00B3663C">
        <w:t>39</w:t>
      </w:r>
      <w:r w:rsidR="005B7144">
        <w:t>.</w:t>
      </w:r>
    </w:p>
  </w:footnote>
  <w:footnote w:id="69">
    <w:p w14:paraId="3A3DCE6B" w14:textId="3A771B97" w:rsidR="00C0465F" w:rsidRDefault="00C0465F">
      <w:pPr>
        <w:pStyle w:val="FootnoteText"/>
      </w:pPr>
      <w:r>
        <w:rPr>
          <w:rStyle w:val="FootnoteReference"/>
        </w:rPr>
        <w:footnoteRef/>
      </w:r>
      <w:r>
        <w:t xml:space="preserve"> </w:t>
      </w:r>
      <w:r w:rsidR="00B3663C" w:rsidRPr="006067D2">
        <w:t xml:space="preserve">Mark A. Lemley, </w:t>
      </w:r>
      <w:r w:rsidR="00B3663C" w:rsidRPr="006067D2">
        <w:rPr>
          <w:i/>
        </w:rPr>
        <w:t>Ex Ante Versus Ex Post Justifications for Intellectual Property</w:t>
      </w:r>
      <w:r w:rsidR="00B3663C" w:rsidRPr="006067D2">
        <w:t xml:space="preserve">, 71 </w:t>
      </w:r>
      <w:r w:rsidR="00B3663C" w:rsidRPr="006067D2">
        <w:rPr>
          <w:smallCaps/>
        </w:rPr>
        <w:t>U. Chi. L. Rev</w:t>
      </w:r>
      <w:r w:rsidR="00B3663C" w:rsidRPr="006067D2">
        <w:t>. 129, 129 (2004)</w:t>
      </w:r>
      <w:r w:rsidR="005B7144">
        <w:t>.</w:t>
      </w:r>
    </w:p>
  </w:footnote>
  <w:footnote w:id="70">
    <w:p w14:paraId="2FAD2CD7" w14:textId="73D59CF5" w:rsidR="00C0465F" w:rsidRDefault="00C0465F">
      <w:pPr>
        <w:pStyle w:val="FootnoteText"/>
      </w:pPr>
      <w:r>
        <w:rPr>
          <w:rStyle w:val="FootnoteReference"/>
        </w:rPr>
        <w:footnoteRef/>
      </w:r>
      <w:r>
        <w:t xml:space="preserve"> </w:t>
      </w:r>
      <w:r w:rsidR="00B3663C" w:rsidRPr="00875BD6">
        <w:rPr>
          <w:i/>
          <w:iCs/>
        </w:rPr>
        <w:t>Id</w:t>
      </w:r>
      <w:r w:rsidR="00B3663C" w:rsidRPr="0066408A">
        <w:rPr>
          <w:i/>
        </w:rPr>
        <w:t>.</w:t>
      </w:r>
    </w:p>
  </w:footnote>
  <w:footnote w:id="71">
    <w:p w14:paraId="043227F4" w14:textId="5EAB7AAA" w:rsidR="000329CB" w:rsidRDefault="000329CB">
      <w:pPr>
        <w:pStyle w:val="FootnoteText"/>
      </w:pPr>
      <w:r>
        <w:rPr>
          <w:rStyle w:val="FootnoteReference"/>
        </w:rPr>
        <w:footnoteRef/>
      </w:r>
      <w:r>
        <w:t xml:space="preserve"> </w:t>
      </w:r>
      <w:r w:rsidR="00134B04">
        <w:rPr>
          <w:i/>
          <w:iCs/>
        </w:rPr>
        <w:t>See</w:t>
      </w:r>
      <w:r>
        <w:t xml:space="preserve"> </w:t>
      </w:r>
      <w:r w:rsidR="00B3663C" w:rsidRPr="006067D2">
        <w:t>KSR Int’l. Co. v. Teleflex Inc., 550 U.S. 398 (2007) (explaining patent law’s obviousness doctrine)</w:t>
      </w:r>
      <w:r>
        <w:t>.</w:t>
      </w:r>
      <w:r w:rsidR="00680C30">
        <w:t xml:space="preserve"> </w:t>
      </w:r>
    </w:p>
  </w:footnote>
  <w:footnote w:id="72">
    <w:p w14:paraId="51F2B96A" w14:textId="4972BC49" w:rsidR="00CC7A03" w:rsidRDefault="00CC7A03">
      <w:pPr>
        <w:pStyle w:val="FootnoteText"/>
      </w:pPr>
      <w:r>
        <w:rPr>
          <w:rStyle w:val="FootnoteReference"/>
        </w:rPr>
        <w:footnoteRef/>
      </w:r>
      <w:r>
        <w:t xml:space="preserve"> We say “in theory” because, as we discuss below, patent law’s utility requirement is entirely toothless. </w:t>
      </w:r>
      <w:r w:rsidR="00B3663C" w:rsidRPr="0066408A">
        <w:rPr>
          <w:i/>
        </w:rPr>
        <w:t>See infra</w:t>
      </w:r>
      <w:r w:rsidR="00B3663C">
        <w:t xml:space="preserve"> notes </w:t>
      </w:r>
      <w:r w:rsidR="008F2950">
        <w:fldChar w:fldCharType="begin"/>
      </w:r>
      <w:r w:rsidR="008F2950">
        <w:instrText xml:space="preserve"> NOTEREF _Ref126785588 \h </w:instrText>
      </w:r>
      <w:r w:rsidR="008F2950">
        <w:fldChar w:fldCharType="separate"/>
      </w:r>
      <w:r w:rsidR="00995C7E">
        <w:t>285</w:t>
      </w:r>
      <w:r w:rsidR="008F2950">
        <w:fldChar w:fldCharType="end"/>
      </w:r>
      <w:r w:rsidR="004A7380">
        <w:t>–</w:t>
      </w:r>
      <w:r w:rsidR="00E315AF">
        <w:fldChar w:fldCharType="begin"/>
      </w:r>
      <w:r w:rsidR="00E315AF">
        <w:instrText xml:space="preserve"> NOTEREF _Ref126845301 \h </w:instrText>
      </w:r>
      <w:r w:rsidR="00E315AF">
        <w:fldChar w:fldCharType="separate"/>
      </w:r>
      <w:r w:rsidR="00995C7E">
        <w:t>287</w:t>
      </w:r>
      <w:r w:rsidR="00E315AF">
        <w:fldChar w:fldCharType="end"/>
      </w:r>
      <w:r w:rsidR="004A7380">
        <w:t xml:space="preserve">. </w:t>
      </w:r>
    </w:p>
  </w:footnote>
  <w:footnote w:id="73">
    <w:p w14:paraId="67BFF3AB" w14:textId="77777777" w:rsidR="00CC7A03" w:rsidRDefault="00CC7A03" w:rsidP="001640F6">
      <w:pPr>
        <w:pStyle w:val="FootnoteText"/>
      </w:pPr>
      <w:r>
        <w:rPr>
          <w:rStyle w:val="FootnoteReference"/>
        </w:rPr>
        <w:footnoteRef/>
      </w:r>
      <w:r>
        <w:t xml:space="preserve"> It must pay for the administrative costs of running the Patent Office. And, sometimes, the government will be a consumer of patented technology and be forced to pay supra-competitive prices like any other purchaser.</w:t>
      </w:r>
    </w:p>
  </w:footnote>
  <w:footnote w:id="74">
    <w:p w14:paraId="2B432BD6" w14:textId="5D60B716" w:rsidR="009D5208" w:rsidRDefault="009D5208">
      <w:pPr>
        <w:pStyle w:val="FootnoteText"/>
      </w:pPr>
      <w:r>
        <w:rPr>
          <w:rStyle w:val="FootnoteReference"/>
        </w:rPr>
        <w:footnoteRef/>
      </w:r>
      <w:r w:rsidR="005763E3">
        <w:t xml:space="preserve"> </w:t>
      </w:r>
      <w:r w:rsidR="00582191">
        <w:t>Hemel</w:t>
      </w:r>
      <w:r w:rsidR="00395637">
        <w:t xml:space="preserve"> &amp; Ouellette</w:t>
      </w:r>
      <w:r w:rsidR="004174F3">
        <w:t xml:space="preserve">, </w:t>
      </w:r>
      <w:r w:rsidR="004174F3" w:rsidRPr="000A216B">
        <w:rPr>
          <w:i/>
          <w:iCs/>
        </w:rPr>
        <w:t xml:space="preserve">Beyond the Patents-Prizes </w:t>
      </w:r>
      <w:r w:rsidR="004174F3" w:rsidRPr="003D46E5">
        <w:rPr>
          <w:i/>
          <w:iCs/>
        </w:rPr>
        <w:t>Debate</w:t>
      </w:r>
      <w:r w:rsidR="00395637">
        <w:t xml:space="preserve">, </w:t>
      </w:r>
      <w:r w:rsidR="00395637">
        <w:rPr>
          <w:i/>
          <w:iCs/>
        </w:rPr>
        <w:t xml:space="preserve">supra </w:t>
      </w:r>
      <w:r w:rsidR="00395637">
        <w:t>note</w:t>
      </w:r>
      <w:bookmarkStart w:id="29" w:name="_Hlk126786529"/>
      <w:r w:rsidR="00395637">
        <w:t xml:space="preserve"> </w:t>
      </w:r>
      <w:r w:rsidR="00395637">
        <w:fldChar w:fldCharType="begin"/>
      </w:r>
      <w:r w:rsidR="00395637">
        <w:instrText xml:space="preserve"> NOTEREF _Ref126705196 \h </w:instrText>
      </w:r>
      <w:r w:rsidR="00395637">
        <w:fldChar w:fldCharType="separate"/>
      </w:r>
      <w:r w:rsidR="00995C7E">
        <w:t>57</w:t>
      </w:r>
      <w:r w:rsidR="00395637">
        <w:fldChar w:fldCharType="end"/>
      </w:r>
      <w:bookmarkEnd w:id="29"/>
      <w:r w:rsidR="007E2B0F">
        <w:t>, at 312 (calling “the higher price of patented products</w:t>
      </w:r>
      <w:r w:rsidR="00121EA1">
        <w:t xml:space="preserve"> . . . a cost ultimately borne by consumers”). </w:t>
      </w:r>
    </w:p>
  </w:footnote>
  <w:footnote w:id="75">
    <w:p w14:paraId="49F3D0FF" w14:textId="33D75F35" w:rsidR="00CC7A03" w:rsidRDefault="00CC7A03" w:rsidP="001640F6">
      <w:pPr>
        <w:pStyle w:val="FootnoteText"/>
      </w:pPr>
      <w:r>
        <w:rPr>
          <w:rStyle w:val="FootnoteReference"/>
        </w:rPr>
        <w:footnoteRef/>
      </w:r>
      <w:r>
        <w:t xml:space="preserve"> </w:t>
      </w:r>
      <w:r w:rsidR="00C1593F" w:rsidRPr="000149D6">
        <w:rPr>
          <w:i/>
        </w:rPr>
        <w:t>Id.</w:t>
      </w:r>
      <w:r>
        <w:t xml:space="preserve"> at 371. </w:t>
      </w:r>
    </w:p>
  </w:footnote>
  <w:footnote w:id="76">
    <w:p w14:paraId="29A5935D" w14:textId="2F2C237D" w:rsidR="00CC7A03" w:rsidRDefault="00CC7A03" w:rsidP="001640F6">
      <w:pPr>
        <w:pStyle w:val="FootnoteText"/>
      </w:pPr>
      <w:r>
        <w:rPr>
          <w:rStyle w:val="FootnoteReference"/>
        </w:rPr>
        <w:footnoteRef/>
      </w:r>
      <w:r>
        <w:t xml:space="preserve"> Hemel and Ouellette refer to one study that estimated $18 million in patent-related spending in 1992. That would be more than $30 million in contemporary dollars, but there are also many more patents these days. </w:t>
      </w:r>
      <w:r w:rsidR="00C1593F" w:rsidRPr="000149D6">
        <w:rPr>
          <w:i/>
        </w:rPr>
        <w:t>Id.</w:t>
      </w:r>
      <w:r>
        <w:t xml:space="preserve"> at 320. </w:t>
      </w:r>
    </w:p>
  </w:footnote>
  <w:footnote w:id="77">
    <w:p w14:paraId="2D23F184" w14:textId="6878A88C" w:rsidR="0013109C" w:rsidRPr="005A3CF4" w:rsidRDefault="0013109C" w:rsidP="0013109C">
      <w:pPr>
        <w:pStyle w:val="FootnoteText"/>
      </w:pPr>
      <w:r>
        <w:rPr>
          <w:rStyle w:val="FootnoteReference"/>
        </w:rPr>
        <w:footnoteRef/>
      </w:r>
      <w:r>
        <w:t xml:space="preserve"> </w:t>
      </w:r>
      <w:r>
        <w:rPr>
          <w:i/>
          <w:iCs/>
        </w:rPr>
        <w:t xml:space="preserve">See </w:t>
      </w:r>
      <w:r>
        <w:t xml:space="preserve">Giulio Federico, Fiona Scott Morton, &amp; Carl Shapiro, </w:t>
      </w:r>
      <w:r>
        <w:rPr>
          <w:i/>
          <w:iCs/>
        </w:rPr>
        <w:t>Antitrust and Innovation: Welcoming and Protecting Disruption</w:t>
      </w:r>
      <w:r>
        <w:t xml:space="preserve">, in </w:t>
      </w:r>
      <w:r w:rsidRPr="009475E5">
        <w:rPr>
          <w:smallCaps/>
        </w:rPr>
        <w:t>Innovation Policy and the Economy</w:t>
      </w:r>
      <w:r>
        <w:rPr>
          <w:smallCaps/>
        </w:rPr>
        <w:t xml:space="preserve"> 125</w:t>
      </w:r>
      <w:r w:rsidR="004B6DD9">
        <w:rPr>
          <w:smallCaps/>
        </w:rPr>
        <w:t>–</w:t>
      </w:r>
      <w:r>
        <w:rPr>
          <w:smallCaps/>
        </w:rPr>
        <w:t>26 (</w:t>
      </w:r>
      <w:r w:rsidRPr="009475E5">
        <w:t>Josh Lerner &amp; Scott Ster</w:t>
      </w:r>
      <w:r>
        <w:t>n</w:t>
      </w:r>
      <w:r w:rsidRPr="009475E5">
        <w:t xml:space="preserve"> eds.</w:t>
      </w:r>
      <w:r>
        <w:rPr>
          <w:smallCaps/>
        </w:rPr>
        <w:t>)</w:t>
      </w:r>
      <w:r w:rsidR="00807779">
        <w:rPr>
          <w:smallCaps/>
        </w:rPr>
        <w:t>.</w:t>
      </w:r>
    </w:p>
  </w:footnote>
  <w:footnote w:id="78">
    <w:p w14:paraId="001D988B" w14:textId="1A8A75F9" w:rsidR="00A63CFE" w:rsidRPr="006D27D2" w:rsidRDefault="00A63CFE">
      <w:pPr>
        <w:pStyle w:val="FootnoteText"/>
      </w:pPr>
      <w:r>
        <w:rPr>
          <w:rStyle w:val="FootnoteReference"/>
        </w:rPr>
        <w:footnoteRef/>
      </w:r>
      <w:r>
        <w:t xml:space="preserve"> A longstanding</w:t>
      </w:r>
      <w:r w:rsidR="00694756">
        <w:t xml:space="preserve"> scholarly debate persists </w:t>
      </w:r>
      <w:r w:rsidR="00F05A16">
        <w:t>about</w:t>
      </w:r>
      <w:r w:rsidR="00694756">
        <w:t xml:space="preserve"> whether monopoli</w:t>
      </w:r>
      <w:r w:rsidR="00703588">
        <w:t>es</w:t>
      </w:r>
      <w:r w:rsidR="00694756">
        <w:t xml:space="preserve"> or</w:t>
      </w:r>
      <w:r w:rsidR="00317A54">
        <w:t xml:space="preserve"> </w:t>
      </w:r>
      <w:r w:rsidR="00694756">
        <w:t>competition</w:t>
      </w:r>
      <w:r w:rsidR="00317A54">
        <w:t xml:space="preserve"> </w:t>
      </w:r>
      <w:r w:rsidR="00367C92">
        <w:t>are</w:t>
      </w:r>
      <w:r w:rsidR="00317A54">
        <w:t xml:space="preserve"> more conducive to innovation, </w:t>
      </w:r>
      <w:r w:rsidR="00246CF7">
        <w:t>a debate reflected in the work of Josef Schumpeter and Kenneth Arrow</w:t>
      </w:r>
      <w:r w:rsidR="00703588">
        <w:t xml:space="preserve">. </w:t>
      </w:r>
      <w:r w:rsidR="00745B16">
        <w:rPr>
          <w:i/>
          <w:iCs/>
        </w:rPr>
        <w:t>See, e.g.</w:t>
      </w:r>
      <w:r w:rsidR="00745B16">
        <w:t xml:space="preserve">, </w:t>
      </w:r>
      <w:r w:rsidR="00745B16" w:rsidRPr="00B10A3C">
        <w:rPr>
          <w:szCs w:val="20"/>
        </w:rPr>
        <w:t xml:space="preserve">Jonathan B. Baker, </w:t>
      </w:r>
      <w:r w:rsidR="00745B16" w:rsidRPr="00B10A3C">
        <w:rPr>
          <w:i/>
          <w:iCs/>
          <w:szCs w:val="20"/>
        </w:rPr>
        <w:t>Beyond Schumpeter vs. Arrow: How Antitrust Fosters Innovation</w:t>
      </w:r>
      <w:r w:rsidR="00745B16" w:rsidRPr="00B10A3C">
        <w:rPr>
          <w:szCs w:val="20"/>
        </w:rPr>
        <w:t xml:space="preserve">, </w:t>
      </w:r>
      <w:r w:rsidR="00745B16" w:rsidRPr="00B10A3C">
        <w:rPr>
          <w:smallCaps/>
          <w:szCs w:val="20"/>
        </w:rPr>
        <w:t>74 Antitrust L.J</w:t>
      </w:r>
      <w:r w:rsidR="00745B16" w:rsidRPr="00B10A3C">
        <w:rPr>
          <w:szCs w:val="20"/>
        </w:rPr>
        <w:t xml:space="preserve">. </w:t>
      </w:r>
      <w:r w:rsidR="00EC2158">
        <w:rPr>
          <w:szCs w:val="20"/>
        </w:rPr>
        <w:t>575, 575</w:t>
      </w:r>
      <w:r w:rsidR="002F4103">
        <w:rPr>
          <w:szCs w:val="20"/>
        </w:rPr>
        <w:t xml:space="preserve"> </w:t>
      </w:r>
      <w:r w:rsidR="00745B16" w:rsidRPr="00B10A3C">
        <w:rPr>
          <w:szCs w:val="20"/>
        </w:rPr>
        <w:t>(2007)</w:t>
      </w:r>
      <w:r w:rsidR="00463A3F">
        <w:rPr>
          <w:szCs w:val="20"/>
        </w:rPr>
        <w:t xml:space="preserve"> (“[T]he relationship between competition and innovation is the subject of a familiar controversy in economics.</w:t>
      </w:r>
      <w:r w:rsidR="00EC2158">
        <w:rPr>
          <w:szCs w:val="20"/>
        </w:rPr>
        <w:t xml:space="preserve">”). </w:t>
      </w:r>
      <w:r w:rsidR="00BB1CAB">
        <w:rPr>
          <w:szCs w:val="20"/>
        </w:rPr>
        <w:t xml:space="preserve">We agree with Baker’s conclusion that </w:t>
      </w:r>
      <w:r w:rsidR="006D492F">
        <w:rPr>
          <w:szCs w:val="20"/>
        </w:rPr>
        <w:t>“</w:t>
      </w:r>
      <w:r w:rsidR="006D492F">
        <w:t>antitrust intervention can systematically promote innovation competition and pre-innovation product market competition, which will encourage innovation, without undermining those benefits by markedly increasing post-innovation product market competition and, thus, without tending to discourage innovation.</w:t>
      </w:r>
      <w:r w:rsidR="006D27D2">
        <w:t xml:space="preserve">” </w:t>
      </w:r>
      <w:r w:rsidR="006D27D2">
        <w:rPr>
          <w:i/>
          <w:iCs/>
        </w:rPr>
        <w:t xml:space="preserve">Id. </w:t>
      </w:r>
      <w:r w:rsidR="006D27D2">
        <w:t>at 576.</w:t>
      </w:r>
    </w:p>
  </w:footnote>
  <w:footnote w:id="79">
    <w:p w14:paraId="56F52BF2" w14:textId="1D55AAF4" w:rsidR="0013109C" w:rsidRPr="00B10A3C" w:rsidRDefault="0013109C" w:rsidP="0013109C">
      <w:pPr>
        <w:pStyle w:val="FootnoteText"/>
        <w:rPr>
          <w:szCs w:val="20"/>
        </w:rPr>
      </w:pPr>
      <w:r w:rsidRPr="00B10A3C">
        <w:rPr>
          <w:rStyle w:val="FootnoteReference"/>
          <w:szCs w:val="20"/>
        </w:rPr>
        <w:footnoteRef/>
      </w:r>
      <w:r w:rsidRPr="00B10A3C">
        <w:rPr>
          <w:szCs w:val="20"/>
        </w:rPr>
        <w:t xml:space="preserve"> </w:t>
      </w:r>
      <w:r w:rsidRPr="00B10A3C">
        <w:rPr>
          <w:i/>
          <w:iCs/>
          <w:szCs w:val="20"/>
        </w:rPr>
        <w:t xml:space="preserve">See </w:t>
      </w:r>
      <w:r w:rsidRPr="00B10A3C">
        <w:rPr>
          <w:smallCaps/>
          <w:szCs w:val="20"/>
        </w:rPr>
        <w:t>U.S. Dep’t of Just. &amp; Fed. Trade Comm’n</w:t>
      </w:r>
      <w:r w:rsidRPr="00B10A3C">
        <w:rPr>
          <w:szCs w:val="20"/>
        </w:rPr>
        <w:t xml:space="preserve">, </w:t>
      </w:r>
      <w:r w:rsidRPr="00B10A3C">
        <w:rPr>
          <w:smallCaps/>
          <w:szCs w:val="20"/>
        </w:rPr>
        <w:t>Horizontal Merger Guidelines</w:t>
      </w:r>
      <w:r w:rsidRPr="00B10A3C">
        <w:rPr>
          <w:szCs w:val="20"/>
        </w:rPr>
        <w:t xml:space="preserve"> 23 (Aug. 19, 2010), https://www.ftc.gov/sites/default/files/attachments/merger-review/100819hmg.pdf [https://perma.cc/6USH-LJ7Z] (“The [antitrust enforcement] Agencies may consider whether a merger is likely to diminish innovation competition. . . .”); Daniel F. Spulber, </w:t>
      </w:r>
      <w:r w:rsidRPr="00B10A3C">
        <w:rPr>
          <w:i/>
          <w:iCs/>
          <w:szCs w:val="20"/>
        </w:rPr>
        <w:t>Antitrust and Innovation Competition</w:t>
      </w:r>
      <w:r w:rsidRPr="00B10A3C">
        <w:rPr>
          <w:szCs w:val="20"/>
        </w:rPr>
        <w:t xml:space="preserve">, 2022 </w:t>
      </w:r>
      <w:r w:rsidRPr="00B10A3C">
        <w:rPr>
          <w:smallCaps/>
          <w:szCs w:val="20"/>
        </w:rPr>
        <w:t>J. Antitrust Enforcement</w:t>
      </w:r>
      <w:r w:rsidRPr="00B10A3C">
        <w:rPr>
          <w:szCs w:val="20"/>
        </w:rPr>
        <w:t xml:space="preserve"> 1, 2 (2022) (“Antitrust policy makers are placing greater emphasis on innovation in evaluating competitive conduct, licensing of intellectual property (IP), and mergers.”)</w:t>
      </w:r>
      <w:r w:rsidR="005B0ABA">
        <w:rPr>
          <w:szCs w:val="20"/>
        </w:rPr>
        <w:t xml:space="preserve">; </w:t>
      </w:r>
      <w:r w:rsidR="005B0ABA" w:rsidRPr="000A216B">
        <w:t>U.S. v. Microsoft, 253 F.3d 34, 79 (D.C. Cir. 2001)</w:t>
      </w:r>
      <w:r w:rsidR="00807779">
        <w:t>.</w:t>
      </w:r>
    </w:p>
  </w:footnote>
  <w:footnote w:id="80">
    <w:p w14:paraId="16A3B856" w14:textId="17E04E0D" w:rsidR="0013109C" w:rsidRPr="00B10A3C" w:rsidRDefault="0013109C" w:rsidP="0013109C">
      <w:pPr>
        <w:pStyle w:val="FootnoteText"/>
        <w:rPr>
          <w:szCs w:val="20"/>
        </w:rPr>
      </w:pPr>
      <w:r w:rsidRPr="00B10A3C">
        <w:rPr>
          <w:rStyle w:val="FootnoteReference"/>
          <w:szCs w:val="20"/>
        </w:rPr>
        <w:footnoteRef/>
      </w:r>
      <w:r w:rsidRPr="00B10A3C">
        <w:rPr>
          <w:szCs w:val="20"/>
        </w:rPr>
        <w:t xml:space="preserve"> </w:t>
      </w:r>
      <w:r w:rsidRPr="00B10A3C">
        <w:rPr>
          <w:i/>
          <w:iCs/>
          <w:szCs w:val="20"/>
        </w:rPr>
        <w:t>See, e.g.</w:t>
      </w:r>
      <w:r w:rsidRPr="00B10A3C">
        <w:rPr>
          <w:szCs w:val="20"/>
        </w:rPr>
        <w:t>,</w:t>
      </w:r>
      <w:r>
        <w:rPr>
          <w:szCs w:val="20"/>
        </w:rPr>
        <w:t xml:space="preserve"> Roger P. Alford, </w:t>
      </w:r>
      <w:r>
        <w:rPr>
          <w:i/>
          <w:iCs/>
          <w:szCs w:val="20"/>
        </w:rPr>
        <w:t>Antitrust and Harm to Innovation</w:t>
      </w:r>
      <w:r>
        <w:rPr>
          <w:szCs w:val="20"/>
        </w:rPr>
        <w:t xml:space="preserve">, Testimony before the Senate Judiciary Committee, Subcommittee on Competition Policy, Antitrust and Consumer Rights (Dec. 15, 2021), </w:t>
      </w:r>
      <w:r w:rsidR="005763E3" w:rsidRPr="00431B36">
        <w:t>https://www.judiciary.senate.gov/imo/media/doc/Alford%20Testimony1.pdf</w:t>
      </w:r>
      <w:r>
        <w:rPr>
          <w:szCs w:val="20"/>
        </w:rPr>
        <w:t xml:space="preserve"> (“[I]nnovation is of particular concern in the context of mergers.”);</w:t>
      </w:r>
      <w:r w:rsidRPr="00B10A3C">
        <w:rPr>
          <w:szCs w:val="20"/>
        </w:rPr>
        <w:t xml:space="preserve"> Robert Litan, </w:t>
      </w:r>
      <w:r w:rsidRPr="00B10A3C">
        <w:rPr>
          <w:i/>
          <w:iCs/>
          <w:szCs w:val="20"/>
        </w:rPr>
        <w:t>Entrepreneurship, Innovation, and Antitrust</w:t>
      </w:r>
      <w:r w:rsidRPr="00B10A3C">
        <w:rPr>
          <w:szCs w:val="20"/>
        </w:rPr>
        <w:t>, https://www.antitrustinstitute.org/wp-content/uploads/2018/08/EntrepreneurshipandInnovation.pdf (“[A]ntitrust merger enforcement can promote innovation in several ways.”)</w:t>
      </w:r>
      <w:r>
        <w:rPr>
          <w:szCs w:val="20"/>
        </w:rPr>
        <w:t xml:space="preserve">; Federico, Scott Morton, &amp; Shapiro, </w:t>
      </w:r>
      <w:r>
        <w:rPr>
          <w:i/>
          <w:iCs/>
          <w:szCs w:val="20"/>
        </w:rPr>
        <w:t xml:space="preserve">supra </w:t>
      </w:r>
      <w:r>
        <w:rPr>
          <w:szCs w:val="20"/>
        </w:rPr>
        <w:t xml:space="preserve">note </w:t>
      </w:r>
      <w:r w:rsidR="00EB38B8">
        <w:rPr>
          <w:szCs w:val="20"/>
        </w:rPr>
        <w:fldChar w:fldCharType="begin"/>
      </w:r>
      <w:r w:rsidR="00EB38B8">
        <w:rPr>
          <w:szCs w:val="20"/>
        </w:rPr>
        <w:instrText xml:space="preserve"> NOTEREF _Ref126785936 \h </w:instrText>
      </w:r>
      <w:r w:rsidR="00EB38B8">
        <w:rPr>
          <w:szCs w:val="20"/>
        </w:rPr>
      </w:r>
      <w:r w:rsidR="00EB38B8">
        <w:rPr>
          <w:szCs w:val="20"/>
        </w:rPr>
        <w:fldChar w:fldCharType="separate"/>
      </w:r>
      <w:r w:rsidR="00995C7E">
        <w:rPr>
          <w:szCs w:val="20"/>
        </w:rPr>
        <w:t>74</w:t>
      </w:r>
      <w:r w:rsidR="00EB38B8">
        <w:rPr>
          <w:szCs w:val="20"/>
        </w:rPr>
        <w:fldChar w:fldCharType="end"/>
      </w:r>
      <w:r>
        <w:rPr>
          <w:szCs w:val="20"/>
        </w:rPr>
        <w:t xml:space="preserve"> at 155</w:t>
      </w:r>
      <w:r w:rsidR="000B2C44">
        <w:rPr>
          <w:szCs w:val="20"/>
        </w:rPr>
        <w:t>.</w:t>
      </w:r>
    </w:p>
  </w:footnote>
  <w:footnote w:id="81">
    <w:p w14:paraId="21E3716B" w14:textId="29C61F48" w:rsidR="0013109C" w:rsidRPr="00B10A3C" w:rsidRDefault="0013109C" w:rsidP="0013109C">
      <w:pPr>
        <w:pStyle w:val="FootnoteText"/>
        <w:rPr>
          <w:szCs w:val="20"/>
        </w:rPr>
      </w:pPr>
      <w:r w:rsidRPr="00B10A3C">
        <w:rPr>
          <w:rStyle w:val="FootnoteReference"/>
          <w:szCs w:val="20"/>
        </w:rPr>
        <w:footnoteRef/>
      </w:r>
      <w:r w:rsidRPr="00B10A3C">
        <w:rPr>
          <w:szCs w:val="20"/>
        </w:rPr>
        <w:t xml:space="preserve"> </w:t>
      </w:r>
      <w:r w:rsidRPr="00B10A3C">
        <w:rPr>
          <w:smallCaps/>
          <w:szCs w:val="20"/>
        </w:rPr>
        <w:t xml:space="preserve">U.S. Dep’t of Just. &amp; Fed. Trade Comm’n, </w:t>
      </w:r>
      <w:r w:rsidRPr="00B10A3C">
        <w:rPr>
          <w:i/>
          <w:iCs/>
          <w:szCs w:val="20"/>
        </w:rPr>
        <w:t xml:space="preserve">supra </w:t>
      </w:r>
      <w:r w:rsidRPr="00B10A3C">
        <w:rPr>
          <w:szCs w:val="20"/>
        </w:rPr>
        <w:t>note</w:t>
      </w:r>
      <w:r w:rsidR="00287C24">
        <w:rPr>
          <w:szCs w:val="20"/>
        </w:rPr>
        <w:t xml:space="preserve"> </w:t>
      </w:r>
      <w:r w:rsidR="00287C24">
        <w:rPr>
          <w:szCs w:val="20"/>
        </w:rPr>
        <w:fldChar w:fldCharType="begin"/>
      </w:r>
      <w:r w:rsidR="00287C24">
        <w:rPr>
          <w:szCs w:val="20"/>
        </w:rPr>
        <w:instrText xml:space="preserve"> NOTEREF _Ref126785987 \h </w:instrText>
      </w:r>
      <w:r w:rsidR="00287C24">
        <w:rPr>
          <w:szCs w:val="20"/>
        </w:rPr>
      </w:r>
      <w:r w:rsidR="00287C24">
        <w:rPr>
          <w:szCs w:val="20"/>
        </w:rPr>
        <w:fldChar w:fldCharType="separate"/>
      </w:r>
      <w:r w:rsidR="00995C7E">
        <w:rPr>
          <w:szCs w:val="20"/>
        </w:rPr>
        <w:t>76</w:t>
      </w:r>
      <w:r w:rsidR="00287C24">
        <w:rPr>
          <w:szCs w:val="20"/>
        </w:rPr>
        <w:fldChar w:fldCharType="end"/>
      </w:r>
      <w:r w:rsidR="00384DFB">
        <w:rPr>
          <w:szCs w:val="20"/>
        </w:rPr>
        <w:t>,</w:t>
      </w:r>
      <w:r w:rsidR="00384DFB" w:rsidDel="00E226C8">
        <w:rPr>
          <w:szCs w:val="20"/>
        </w:rPr>
        <w:t xml:space="preserve"> </w:t>
      </w:r>
      <w:r w:rsidRPr="00B10A3C">
        <w:rPr>
          <w:szCs w:val="20"/>
        </w:rPr>
        <w:t>at 23</w:t>
      </w:r>
      <w:r w:rsidR="00E226C8">
        <w:rPr>
          <w:szCs w:val="20"/>
        </w:rPr>
        <w:t>.</w:t>
      </w:r>
    </w:p>
  </w:footnote>
  <w:footnote w:id="82">
    <w:p w14:paraId="2327191F" w14:textId="55D3F899" w:rsidR="00404F97" w:rsidRDefault="00404F97">
      <w:pPr>
        <w:pStyle w:val="FootnoteText"/>
      </w:pPr>
      <w:r>
        <w:rPr>
          <w:rStyle w:val="FootnoteReference"/>
        </w:rPr>
        <w:footnoteRef/>
      </w:r>
      <w:r>
        <w:t xml:space="preserve"> </w:t>
      </w:r>
      <w:r w:rsidR="005B0ABA">
        <w:rPr>
          <w:i/>
          <w:iCs/>
        </w:rPr>
        <w:t>Id</w:t>
      </w:r>
      <w:r w:rsidR="00AC3018">
        <w:t>.</w:t>
      </w:r>
      <w:r w:rsidR="001C3E06">
        <w:t xml:space="preserve"> </w:t>
      </w:r>
      <w:r w:rsidR="001C3E06" w:rsidRPr="00E32F9F">
        <w:t>This reduction in innovative activity “could take the form of reduced incentive to continue with an existing product-development effort or reduced incentive to initiate development of new products.”</w:t>
      </w:r>
      <w:r w:rsidR="001C3E06">
        <w:t xml:space="preserve"> </w:t>
      </w:r>
      <w:r w:rsidR="001C3E06" w:rsidRPr="00E429C0">
        <w:rPr>
          <w:i/>
        </w:rPr>
        <w:t>Id.</w:t>
      </w:r>
      <w:r w:rsidR="001C3E06">
        <w:t xml:space="preserve"> </w:t>
      </w:r>
    </w:p>
  </w:footnote>
  <w:footnote w:id="83">
    <w:p w14:paraId="06816C7F" w14:textId="3BE94B31" w:rsidR="0013109C" w:rsidRPr="002A7C5D" w:rsidRDefault="0013109C" w:rsidP="0013109C">
      <w:pPr>
        <w:pStyle w:val="FootnoteText"/>
      </w:pPr>
      <w:r>
        <w:rPr>
          <w:rStyle w:val="FootnoteReference"/>
        </w:rPr>
        <w:footnoteRef/>
      </w:r>
      <w:r>
        <w:t xml:space="preserve"> </w:t>
      </w:r>
      <w:r>
        <w:rPr>
          <w:i/>
          <w:iCs/>
        </w:rPr>
        <w:t xml:space="preserve">See </w:t>
      </w:r>
      <w:r>
        <w:t xml:space="preserve">John M. Newman, </w:t>
      </w:r>
      <w:r>
        <w:rPr>
          <w:i/>
          <w:iCs/>
        </w:rPr>
        <w:t>Anticompetitive Product Design in the New Economy</w:t>
      </w:r>
      <w:r>
        <w:t xml:space="preserve">, 39 </w:t>
      </w:r>
      <w:r w:rsidRPr="000A216B">
        <w:rPr>
          <w:smallCaps/>
        </w:rPr>
        <w:t>Fla. St. L. Rev.</w:t>
      </w:r>
      <w:r>
        <w:t xml:space="preserve"> 681, 714</w:t>
      </w:r>
      <w:r w:rsidR="0020378E">
        <w:t>–</w:t>
      </w:r>
      <w:r>
        <w:t>15</w:t>
      </w:r>
      <w:r w:rsidR="000179E9">
        <w:t>.</w:t>
      </w:r>
    </w:p>
  </w:footnote>
  <w:footnote w:id="84">
    <w:p w14:paraId="2E2C0434" w14:textId="1F302C0B" w:rsidR="0013109C" w:rsidRPr="004D45BE" w:rsidRDefault="0013109C" w:rsidP="0013109C">
      <w:pPr>
        <w:pStyle w:val="FootnoteText"/>
      </w:pPr>
      <w:r>
        <w:rPr>
          <w:rStyle w:val="FootnoteReference"/>
        </w:rPr>
        <w:footnoteRef/>
      </w:r>
      <w:r>
        <w:t xml:space="preserve"> </w:t>
      </w:r>
      <w:r>
        <w:rPr>
          <w:i/>
          <w:iCs/>
        </w:rPr>
        <w:t>See, e.g.</w:t>
      </w:r>
      <w:r>
        <w:t>, Allied Orthopedic Appliances, Inc. v. Tyco Health Care Group L.P., 592 F.3d 991, 998 (9th Cir. 2010)</w:t>
      </w:r>
      <w:r w:rsidR="00B375B5">
        <w:t xml:space="preserve"> </w:t>
      </w:r>
      <w:r>
        <w:t>(quoting Microsoft III, 253 F.3d 34, 65 (D.C. Cir. 2001) (“‘As a general rule, courts are properly very skeptical about claims that competition has been harmed by a dominant firm’s product design changes.’”)</w:t>
      </w:r>
      <w:r w:rsidR="00394AA9">
        <w:t>;</w:t>
      </w:r>
      <w:r>
        <w:t xml:space="preserve">  ILC Peripherals Leasing Corp. v. International Business Mach. Corp., 458 F. Supp. 423, 439 (N.D. Cal. 1978) (“</w:t>
      </w:r>
      <w:r w:rsidRPr="009475E5">
        <w:rPr>
          <w:color w:val="000000"/>
          <w:shd w:val="clear" w:color="auto" w:fill="FFFFFF"/>
        </w:rPr>
        <w:t>Where there is a difference of opinion as to the advantages of two alternatives which can both be defended from an engineering standpoint, the court will not allow itself to be enmeshed “</w:t>
      </w:r>
      <w:r>
        <w:rPr>
          <w:color w:val="000000"/>
          <w:shd w:val="clear" w:color="auto" w:fill="FFFFFF"/>
        </w:rPr>
        <w:t>‘</w:t>
      </w:r>
      <w:r w:rsidRPr="009475E5">
        <w:rPr>
          <w:color w:val="000000"/>
          <w:shd w:val="clear" w:color="auto" w:fill="FFFFFF"/>
        </w:rPr>
        <w:t>in a technical inquiry into the justifiability of product innovations.</w:t>
      </w:r>
      <w:r>
        <w:rPr>
          <w:color w:val="000000"/>
          <w:shd w:val="clear" w:color="auto" w:fill="FFFFFF"/>
        </w:rPr>
        <w:t>’</w:t>
      </w:r>
      <w:r w:rsidRPr="009475E5">
        <w:rPr>
          <w:color w:val="000000"/>
          <w:shd w:val="clear" w:color="auto" w:fill="FFFFFF"/>
        </w:rPr>
        <w:t>”</w:t>
      </w:r>
      <w:r>
        <w:rPr>
          <w:color w:val="000000"/>
          <w:shd w:val="clear" w:color="auto" w:fill="FFFFFF"/>
        </w:rPr>
        <w:t>).</w:t>
      </w:r>
      <w:r>
        <w:t xml:space="preserve"> </w:t>
      </w:r>
    </w:p>
  </w:footnote>
  <w:footnote w:id="85">
    <w:p w14:paraId="4EE45D4A" w14:textId="27559758" w:rsidR="00AE7E50" w:rsidRDefault="00AE7E50">
      <w:pPr>
        <w:pStyle w:val="FootnoteText"/>
      </w:pPr>
      <w:r>
        <w:rPr>
          <w:rStyle w:val="FootnoteReference"/>
        </w:rPr>
        <w:footnoteRef/>
      </w:r>
      <w:r>
        <w:t xml:space="preserve"> </w:t>
      </w:r>
      <w:r w:rsidR="001B6682" w:rsidRPr="00431B36">
        <w:rPr>
          <w:i/>
        </w:rPr>
        <w:t>See</w:t>
      </w:r>
      <w:r w:rsidR="00034756">
        <w:rPr>
          <w:i/>
          <w:iCs/>
        </w:rPr>
        <w:t>,</w:t>
      </w:r>
      <w:r w:rsidR="001B6682" w:rsidRPr="00E429C0">
        <w:rPr>
          <w:i/>
        </w:rPr>
        <w:t xml:space="preserve"> e.g</w:t>
      </w:r>
      <w:r w:rsidR="001B6682">
        <w:t>.</w:t>
      </w:r>
      <w:r w:rsidR="00034756">
        <w:t>,</w:t>
      </w:r>
      <w:r w:rsidR="001B6682">
        <w:t xml:space="preserve"> Hemel &amp; Ouellette, </w:t>
      </w:r>
      <w:r w:rsidR="004174F3" w:rsidRPr="000A216B">
        <w:rPr>
          <w:i/>
          <w:iCs/>
        </w:rPr>
        <w:t xml:space="preserve">Beyond the Patents-Prizes </w:t>
      </w:r>
      <w:r w:rsidR="004174F3" w:rsidRPr="003D46E5">
        <w:rPr>
          <w:i/>
          <w:iCs/>
        </w:rPr>
        <w:t>Debate</w:t>
      </w:r>
      <w:r w:rsidR="00E301FC">
        <w:t xml:space="preserve">, </w:t>
      </w:r>
      <w:r w:rsidR="001B6682" w:rsidRPr="00E429C0">
        <w:rPr>
          <w:i/>
        </w:rPr>
        <w:t>supra</w:t>
      </w:r>
      <w:r w:rsidR="001B6682">
        <w:t xml:space="preserve"> note</w:t>
      </w:r>
      <w:r w:rsidR="001B6682" w:rsidDel="00A61D5D">
        <w:t xml:space="preserve"> </w:t>
      </w:r>
      <w:r w:rsidR="00034756">
        <w:fldChar w:fldCharType="begin"/>
      </w:r>
      <w:r w:rsidR="00034756">
        <w:instrText xml:space="preserve"> NOTEREF _Ref126705196 \h </w:instrText>
      </w:r>
      <w:r w:rsidR="00034756">
        <w:fldChar w:fldCharType="separate"/>
      </w:r>
      <w:r w:rsidR="00995C7E">
        <w:t>57</w:t>
      </w:r>
      <w:r w:rsidR="00034756">
        <w:fldChar w:fldCharType="end"/>
      </w:r>
      <w:r w:rsidR="00A61D5D">
        <w:t xml:space="preserve">, at </w:t>
      </w:r>
      <w:r w:rsidR="0056758B">
        <w:t>325</w:t>
      </w:r>
      <w:r w:rsidR="001B6682">
        <w:t xml:space="preserve">; </w:t>
      </w:r>
      <w:r w:rsidR="00EA2DA5">
        <w:t xml:space="preserve">Bronwyn Hall &amp; John Van Reenen, </w:t>
      </w:r>
      <w:r w:rsidR="00EA2DA5" w:rsidRPr="00E429C0">
        <w:rPr>
          <w:i/>
        </w:rPr>
        <w:t>How</w:t>
      </w:r>
      <w:r w:rsidR="00665373" w:rsidRPr="00E429C0">
        <w:rPr>
          <w:i/>
        </w:rPr>
        <w:t xml:space="preserve"> </w:t>
      </w:r>
      <w:r w:rsidR="00EA2DA5" w:rsidRPr="00E429C0">
        <w:rPr>
          <w:i/>
        </w:rPr>
        <w:t>Effective Are Fiscal Incentives for R&amp;D? A Review of the Evidence</w:t>
      </w:r>
      <w:r w:rsidR="00EA2DA5">
        <w:t xml:space="preserve">, 29 </w:t>
      </w:r>
      <w:r w:rsidR="00EA2DA5" w:rsidRPr="00E429C0">
        <w:rPr>
          <w:smallCaps/>
        </w:rPr>
        <w:t>R</w:t>
      </w:r>
      <w:r w:rsidR="00A61D5D" w:rsidRPr="00E429C0">
        <w:rPr>
          <w:smallCaps/>
        </w:rPr>
        <w:t>es</w:t>
      </w:r>
      <w:r w:rsidR="00EA2DA5" w:rsidRPr="00E429C0">
        <w:rPr>
          <w:smallCaps/>
        </w:rPr>
        <w:t>. P</w:t>
      </w:r>
      <w:r w:rsidR="00A61D5D" w:rsidRPr="00E429C0">
        <w:rPr>
          <w:smallCaps/>
        </w:rPr>
        <w:t>ol</w:t>
      </w:r>
      <w:r w:rsidR="00EA2DA5" w:rsidRPr="00E429C0">
        <w:rPr>
          <w:smallCaps/>
        </w:rPr>
        <w:t>’</w:t>
      </w:r>
      <w:r w:rsidR="00A61D5D" w:rsidRPr="00E429C0">
        <w:rPr>
          <w:smallCaps/>
        </w:rPr>
        <w:t>y</w:t>
      </w:r>
      <w:r w:rsidR="00EA2DA5">
        <w:t xml:space="preserve"> 449 (2000)</w:t>
      </w:r>
      <w:r w:rsidR="00684552">
        <w:t xml:space="preserve">; </w:t>
      </w:r>
      <w:r w:rsidR="00665373">
        <w:t>Brett Frischmann</w:t>
      </w:r>
      <w:r w:rsidR="00665373" w:rsidRPr="00E429C0">
        <w:rPr>
          <w:i/>
        </w:rPr>
        <w:t>, Innovation and Institutions: Rethinking the Economics of U.S. Science and Technology Policy</w:t>
      </w:r>
      <w:r w:rsidR="00665373">
        <w:t xml:space="preserve">, 24 </w:t>
      </w:r>
      <w:r w:rsidR="00665373" w:rsidRPr="00E429C0">
        <w:rPr>
          <w:smallCaps/>
        </w:rPr>
        <w:t>V</w:t>
      </w:r>
      <w:r w:rsidR="00A61D5D" w:rsidRPr="00E429C0">
        <w:rPr>
          <w:smallCaps/>
        </w:rPr>
        <w:t>T</w:t>
      </w:r>
      <w:r w:rsidR="00665373" w:rsidRPr="00E429C0">
        <w:rPr>
          <w:smallCaps/>
        </w:rPr>
        <w:t>. L. R</w:t>
      </w:r>
      <w:r w:rsidR="00A61D5D" w:rsidRPr="00E429C0">
        <w:rPr>
          <w:smallCaps/>
        </w:rPr>
        <w:t>ev</w:t>
      </w:r>
      <w:r w:rsidR="00665373" w:rsidRPr="00E429C0">
        <w:rPr>
          <w:smallCaps/>
        </w:rPr>
        <w:t>.</w:t>
      </w:r>
      <w:r w:rsidR="00665373">
        <w:t xml:space="preserve"> 347 (2000); </w:t>
      </w:r>
      <w:r w:rsidR="009367E4">
        <w:t xml:space="preserve">Michael Abramowicz, </w:t>
      </w:r>
      <w:r w:rsidR="009367E4" w:rsidRPr="00E429C0">
        <w:rPr>
          <w:i/>
        </w:rPr>
        <w:t>Perfecting Patent Prizes</w:t>
      </w:r>
      <w:r w:rsidR="009367E4">
        <w:t xml:space="preserve">, 56 </w:t>
      </w:r>
      <w:r w:rsidR="009367E4" w:rsidRPr="007812B2">
        <w:rPr>
          <w:smallCaps/>
        </w:rPr>
        <w:t>V</w:t>
      </w:r>
      <w:r w:rsidR="00BD07F2" w:rsidRPr="007812B2">
        <w:rPr>
          <w:smallCaps/>
        </w:rPr>
        <w:t>and</w:t>
      </w:r>
      <w:r w:rsidR="009367E4" w:rsidRPr="007812B2">
        <w:rPr>
          <w:smallCaps/>
        </w:rPr>
        <w:t>. L. R</w:t>
      </w:r>
      <w:r w:rsidR="00BD07F2" w:rsidRPr="007812B2">
        <w:rPr>
          <w:smallCaps/>
        </w:rPr>
        <w:t>ev</w:t>
      </w:r>
      <w:r w:rsidR="009367E4" w:rsidRPr="007812B2">
        <w:rPr>
          <w:smallCaps/>
        </w:rPr>
        <w:t>.</w:t>
      </w:r>
      <w:r w:rsidR="009367E4">
        <w:t xml:space="preserve"> 115, 200–07 (2003) (examining the distortionary effects of taxation); Michael Kremer, </w:t>
      </w:r>
      <w:r w:rsidR="009367E4" w:rsidRPr="00E429C0">
        <w:rPr>
          <w:i/>
        </w:rPr>
        <w:t>Patent Buyouts: A Mechanism for Encouraging Innovation</w:t>
      </w:r>
      <w:r w:rsidR="009367E4">
        <w:t xml:space="preserve">, 113 </w:t>
      </w:r>
      <w:r w:rsidR="009367E4" w:rsidRPr="00E429C0">
        <w:rPr>
          <w:smallCaps/>
        </w:rPr>
        <w:t>Q.J. E</w:t>
      </w:r>
      <w:r w:rsidR="00A61D5D" w:rsidRPr="00E429C0">
        <w:rPr>
          <w:smallCaps/>
        </w:rPr>
        <w:t>con</w:t>
      </w:r>
      <w:r w:rsidR="009367E4" w:rsidRPr="00E429C0">
        <w:rPr>
          <w:smallCaps/>
        </w:rPr>
        <w:t>.</w:t>
      </w:r>
      <w:r w:rsidR="009367E4">
        <w:t xml:space="preserve"> 1137, 1146–48 (1998).</w:t>
      </w:r>
    </w:p>
  </w:footnote>
  <w:footnote w:id="86">
    <w:p w14:paraId="0CD8B9C8" w14:textId="0BC574F6" w:rsidR="009A728B" w:rsidRDefault="009A728B">
      <w:pPr>
        <w:pStyle w:val="FootnoteText"/>
      </w:pPr>
      <w:r>
        <w:rPr>
          <w:rStyle w:val="FootnoteReference"/>
        </w:rPr>
        <w:footnoteRef/>
      </w:r>
      <w:r>
        <w:t xml:space="preserve"> </w:t>
      </w:r>
      <w:r w:rsidR="001B5A5F">
        <w:t>Hemel &amp; Ouellette,</w:t>
      </w:r>
      <w:r w:rsidR="00BD07F2">
        <w:t xml:space="preserve"> </w:t>
      </w:r>
      <w:r w:rsidR="004166C2" w:rsidRPr="004166C2">
        <w:rPr>
          <w:i/>
        </w:rPr>
        <w:t>Beyond the Patents-Prizes Debate</w:t>
      </w:r>
      <w:r w:rsidR="00BD07F2">
        <w:t>,</w:t>
      </w:r>
      <w:r w:rsidR="001B5A5F">
        <w:t xml:space="preserve"> </w:t>
      </w:r>
      <w:r w:rsidR="001B5A5F" w:rsidRPr="007812B2">
        <w:rPr>
          <w:i/>
        </w:rPr>
        <w:t>supra</w:t>
      </w:r>
      <w:r w:rsidR="001B5A5F">
        <w:t xml:space="preserve"> note</w:t>
      </w:r>
      <w:r w:rsidR="001B5A5F" w:rsidDel="00F468A6">
        <w:t xml:space="preserve"> </w:t>
      </w:r>
      <w:r w:rsidR="006C205F">
        <w:fldChar w:fldCharType="begin"/>
      </w:r>
      <w:r w:rsidR="006C205F">
        <w:instrText xml:space="preserve"> NOTEREF _Ref126705196 \h </w:instrText>
      </w:r>
      <w:r w:rsidR="006C205F">
        <w:fldChar w:fldCharType="separate"/>
      </w:r>
      <w:r w:rsidR="00995C7E">
        <w:t>57</w:t>
      </w:r>
      <w:r w:rsidR="006C205F">
        <w:fldChar w:fldCharType="end"/>
      </w:r>
      <w:r w:rsidR="001B5A5F">
        <w:t xml:space="preserve">, at </w:t>
      </w:r>
      <w:r w:rsidR="003E11BC">
        <w:t>327</w:t>
      </w:r>
      <w:r w:rsidR="00F468A6">
        <w:t>–</w:t>
      </w:r>
      <w:r w:rsidR="00184186">
        <w:t>33</w:t>
      </w:r>
      <w:r>
        <w:t>.</w:t>
      </w:r>
    </w:p>
  </w:footnote>
  <w:footnote w:id="87">
    <w:p w14:paraId="57A10156" w14:textId="322BD63D" w:rsidR="009A728B" w:rsidRDefault="009A728B">
      <w:pPr>
        <w:pStyle w:val="FootnoteText"/>
      </w:pPr>
      <w:r>
        <w:rPr>
          <w:rStyle w:val="FootnoteReference"/>
        </w:rPr>
        <w:footnoteRef/>
      </w:r>
      <w:r>
        <w:t xml:space="preserve"> </w:t>
      </w:r>
      <w:r w:rsidR="00871A13" w:rsidRPr="00E429C0">
        <w:rPr>
          <w:i/>
        </w:rPr>
        <w:t>Id</w:t>
      </w:r>
      <w:r w:rsidR="00871A13">
        <w:t xml:space="preserve"> at 328</w:t>
      </w:r>
      <w:r>
        <w:t>.</w:t>
      </w:r>
    </w:p>
  </w:footnote>
  <w:footnote w:id="88">
    <w:p w14:paraId="36B5C273" w14:textId="03E419EB" w:rsidR="009D7026" w:rsidRDefault="009D7026">
      <w:pPr>
        <w:pStyle w:val="FootnoteText"/>
      </w:pPr>
      <w:r>
        <w:rPr>
          <w:rStyle w:val="FootnoteReference"/>
        </w:rPr>
        <w:footnoteRef/>
      </w:r>
      <w:r>
        <w:t xml:space="preserve"> </w:t>
      </w:r>
      <w:r w:rsidR="004352A6" w:rsidRPr="00E429C0">
        <w:rPr>
          <w:i/>
        </w:rPr>
        <w:t>Id.</w:t>
      </w:r>
      <w:r w:rsidR="004352A6">
        <w:t xml:space="preserve"> at 330</w:t>
      </w:r>
      <w:r>
        <w:t>.</w:t>
      </w:r>
    </w:p>
  </w:footnote>
  <w:footnote w:id="89">
    <w:p w14:paraId="5BD4A2E5" w14:textId="11B7CE3E" w:rsidR="006E44D6" w:rsidRDefault="006E44D6">
      <w:pPr>
        <w:pStyle w:val="FootnoteText"/>
      </w:pPr>
      <w:r>
        <w:rPr>
          <w:rStyle w:val="FootnoteReference"/>
        </w:rPr>
        <w:footnoteRef/>
      </w:r>
      <w:r>
        <w:t xml:space="preserve"> </w:t>
      </w:r>
      <w:r w:rsidR="00282323" w:rsidRPr="00E429C0">
        <w:rPr>
          <w:i/>
        </w:rPr>
        <w:t>Id.</w:t>
      </w:r>
      <w:r w:rsidR="00282323">
        <w:t xml:space="preserve"> at </w:t>
      </w:r>
      <w:r w:rsidR="00B07E8C">
        <w:t>334.</w:t>
      </w:r>
    </w:p>
  </w:footnote>
  <w:footnote w:id="90">
    <w:p w14:paraId="300A977A" w14:textId="0E1B9EDF" w:rsidR="006E44D6" w:rsidRDefault="006E44D6">
      <w:pPr>
        <w:pStyle w:val="FootnoteText"/>
      </w:pPr>
      <w:r>
        <w:rPr>
          <w:rStyle w:val="FootnoteReference"/>
        </w:rPr>
        <w:footnoteRef/>
      </w:r>
      <w:r>
        <w:t xml:space="preserve"> </w:t>
      </w:r>
      <w:r w:rsidR="00DD2BA0" w:rsidRPr="00E429C0">
        <w:rPr>
          <w:i/>
        </w:rPr>
        <w:t>Id</w:t>
      </w:r>
      <w:r w:rsidRPr="00E429C0">
        <w:rPr>
          <w:i/>
        </w:rPr>
        <w:t>.</w:t>
      </w:r>
    </w:p>
  </w:footnote>
  <w:footnote w:id="91">
    <w:p w14:paraId="3839E7B2" w14:textId="6A56FBD3" w:rsidR="00AA3C5A" w:rsidRDefault="00AA3C5A" w:rsidP="00AA3C5A">
      <w:pPr>
        <w:pStyle w:val="FootnoteText"/>
      </w:pPr>
      <w:r>
        <w:rPr>
          <w:rStyle w:val="FootnoteReference"/>
        </w:rPr>
        <w:footnoteRef/>
      </w:r>
      <w:r>
        <w:t xml:space="preserve"> </w:t>
      </w:r>
      <w:r w:rsidR="00551101" w:rsidRPr="007812B2">
        <w:rPr>
          <w:i/>
        </w:rPr>
        <w:t>See</w:t>
      </w:r>
      <w:r w:rsidR="00551101" w:rsidDel="006135C8">
        <w:t xml:space="preserve"> </w:t>
      </w:r>
      <w:r w:rsidR="00551101" w:rsidRPr="00E429C0">
        <w:rPr>
          <w:i/>
        </w:rPr>
        <w:t xml:space="preserve">supra </w:t>
      </w:r>
      <w:r w:rsidR="00551101">
        <w:t xml:space="preserve">note </w:t>
      </w:r>
      <w:r w:rsidR="008426C6">
        <w:fldChar w:fldCharType="begin"/>
      </w:r>
      <w:r w:rsidR="008426C6">
        <w:instrText xml:space="preserve"> NOTEREF _Ref126757135 \h </w:instrText>
      </w:r>
      <w:r w:rsidR="008426C6">
        <w:fldChar w:fldCharType="separate"/>
      </w:r>
      <w:r w:rsidR="00995C7E">
        <w:t>82</w:t>
      </w:r>
      <w:r w:rsidR="008426C6">
        <w:fldChar w:fldCharType="end"/>
      </w:r>
      <w:r w:rsidR="006135C8">
        <w:t xml:space="preserve"> and accompanying text</w:t>
      </w:r>
      <w:r w:rsidR="00551101" w:rsidDel="006135C8">
        <w:t>.</w:t>
      </w:r>
    </w:p>
  </w:footnote>
  <w:footnote w:id="92">
    <w:p w14:paraId="2DEA17AC" w14:textId="134069F1" w:rsidR="00F90BC5" w:rsidRPr="00FD3499" w:rsidRDefault="00F90BC5" w:rsidP="00F90BC5">
      <w:pPr>
        <w:pStyle w:val="FootnoteText"/>
      </w:pPr>
      <w:r>
        <w:rPr>
          <w:rStyle w:val="FootnoteReference"/>
        </w:rPr>
        <w:footnoteRef/>
      </w:r>
      <w:r>
        <w:t xml:space="preserve"> </w:t>
      </w:r>
      <w:r>
        <w:rPr>
          <w:i/>
          <w:iCs/>
        </w:rPr>
        <w:t>See e.g.</w:t>
      </w:r>
      <w:r>
        <w:t xml:space="preserve">, </w:t>
      </w:r>
      <w:r w:rsidR="005B0ABA" w:rsidRPr="000A216B">
        <w:t>Hemel &amp; Ouellette</w:t>
      </w:r>
      <w:r w:rsidR="004174F3">
        <w:t xml:space="preserve">, </w:t>
      </w:r>
      <w:r w:rsidR="004166C2" w:rsidRPr="009D345E">
        <w:rPr>
          <w:i/>
          <w:iCs/>
        </w:rPr>
        <w:t>Innovation Policy Pluralism</w:t>
      </w:r>
      <w:r w:rsidR="005B0ABA" w:rsidRPr="000A216B">
        <w:t xml:space="preserve">, </w:t>
      </w:r>
      <w:r w:rsidR="00033727">
        <w:rPr>
          <w:i/>
          <w:iCs/>
        </w:rPr>
        <w:t xml:space="preserve">supra </w:t>
      </w:r>
      <w:r w:rsidR="00033727">
        <w:t xml:space="preserve">note </w:t>
      </w:r>
      <w:r w:rsidR="00033727">
        <w:fldChar w:fldCharType="begin"/>
      </w:r>
      <w:r w:rsidR="00033727">
        <w:instrText xml:space="preserve"> NOTEREF _Ref126774259 \h </w:instrText>
      </w:r>
      <w:r w:rsidR="00033727">
        <w:fldChar w:fldCharType="separate"/>
      </w:r>
      <w:r w:rsidR="00995C7E">
        <w:t>21</w:t>
      </w:r>
      <w:r w:rsidR="00033727">
        <w:fldChar w:fldCharType="end"/>
      </w:r>
      <w:r w:rsidR="00033727">
        <w:t>, at 555.</w:t>
      </w:r>
      <w:r w:rsidR="005B0ABA" w:rsidRPr="000A216B">
        <w:t xml:space="preserve"> </w:t>
      </w:r>
      <w:r>
        <w:t xml:space="preserve">(“Government-set rewards entail an informational burden that bureaucrats may be ill equipped to handle, even with mechanisms like peer review and expert panels for consolidating information. Markets, by contrast, aggregate widely dispersed information regarding consumers’ willingness to pay for new knowledge goods.”); Brian D. Wright, </w:t>
      </w:r>
      <w:r>
        <w:rPr>
          <w:i/>
          <w:iCs/>
        </w:rPr>
        <w:t>The Economics of Invention Incentives: Patents, Prizes, and Research Contracts</w:t>
      </w:r>
      <w:r>
        <w:t xml:space="preserve">, 73 </w:t>
      </w:r>
      <w:r w:rsidRPr="00E429C0">
        <w:rPr>
          <w:smallCaps/>
        </w:rPr>
        <w:t xml:space="preserve">Am. Econ. Rev. </w:t>
      </w:r>
      <w:r>
        <w:t xml:space="preserve">691, 703 (1983) (“The special advantage of patents arises only from </w:t>
      </w:r>
      <w:r>
        <w:rPr>
          <w:i/>
          <w:iCs/>
        </w:rPr>
        <w:t xml:space="preserve">ex ante </w:t>
      </w:r>
      <w:r>
        <w:t xml:space="preserve">researcher information relating to the value of the invention.”).  </w:t>
      </w:r>
    </w:p>
  </w:footnote>
  <w:footnote w:id="93">
    <w:p w14:paraId="089AF7F5" w14:textId="3F0F2362" w:rsidR="00F90BC5" w:rsidRDefault="00F90BC5" w:rsidP="00F90BC5">
      <w:pPr>
        <w:pStyle w:val="FootnoteText"/>
      </w:pPr>
      <w:r>
        <w:rPr>
          <w:rStyle w:val="FootnoteReference"/>
        </w:rPr>
        <w:footnoteRef/>
      </w:r>
      <w:r>
        <w:t xml:space="preserve"> </w:t>
      </w:r>
      <w:r w:rsidR="005B0ABA" w:rsidRPr="000A216B">
        <w:t>Hemel &amp; Ouellette</w:t>
      </w:r>
      <w:r w:rsidR="006135C8">
        <w:t xml:space="preserve">, </w:t>
      </w:r>
      <w:r w:rsidR="004174F3" w:rsidRPr="000A216B">
        <w:rPr>
          <w:i/>
          <w:iCs/>
        </w:rPr>
        <w:t xml:space="preserve">Beyond the Patents-Prizes </w:t>
      </w:r>
      <w:r w:rsidR="004174F3" w:rsidRPr="003D46E5">
        <w:rPr>
          <w:i/>
          <w:iCs/>
        </w:rPr>
        <w:t>Debate</w:t>
      </w:r>
      <w:r w:rsidR="005B0ABA" w:rsidRPr="000A216B">
        <w:t xml:space="preserve">, </w:t>
      </w:r>
      <w:r w:rsidR="005B0ABA" w:rsidRPr="000A216B">
        <w:rPr>
          <w:i/>
          <w:iCs/>
        </w:rPr>
        <w:t xml:space="preserve">supra </w:t>
      </w:r>
      <w:r w:rsidR="005B0ABA" w:rsidRPr="000A216B">
        <w:t xml:space="preserve">note </w:t>
      </w:r>
      <w:r w:rsidR="00100D1A">
        <w:fldChar w:fldCharType="begin"/>
      </w:r>
      <w:r w:rsidR="00100D1A">
        <w:instrText xml:space="preserve"> NOTEREF _Ref126705196 \h </w:instrText>
      </w:r>
      <w:r w:rsidR="00100D1A">
        <w:fldChar w:fldCharType="separate"/>
      </w:r>
      <w:r w:rsidR="00995C7E">
        <w:t>57</w:t>
      </w:r>
      <w:r w:rsidR="00100D1A">
        <w:fldChar w:fldCharType="end"/>
      </w:r>
      <w:r w:rsidR="00100D1A">
        <w:t>,</w:t>
      </w:r>
      <w:r w:rsidR="00100D1A" w:rsidDel="00DF58B8">
        <w:t xml:space="preserve"> </w:t>
      </w:r>
      <w:r w:rsidR="005B0ABA" w:rsidRPr="000A216B">
        <w:t>at 327.</w:t>
      </w:r>
    </w:p>
  </w:footnote>
  <w:footnote w:id="94">
    <w:p w14:paraId="3C2716A5" w14:textId="5944A8AB" w:rsidR="00F90BC5" w:rsidRPr="00B74E54" w:rsidRDefault="00F90BC5" w:rsidP="00F90BC5">
      <w:pPr>
        <w:pStyle w:val="FootnoteText"/>
      </w:pPr>
      <w:r>
        <w:rPr>
          <w:rStyle w:val="FootnoteReference"/>
        </w:rPr>
        <w:footnoteRef/>
      </w:r>
      <w:r>
        <w:t xml:space="preserve"> </w:t>
      </w:r>
      <w:r>
        <w:rPr>
          <w:i/>
          <w:iCs/>
        </w:rPr>
        <w:t xml:space="preserve">See </w:t>
      </w:r>
      <w:r w:rsidR="005B0ABA">
        <w:rPr>
          <w:i/>
          <w:iCs/>
        </w:rPr>
        <w:t xml:space="preserve">id. </w:t>
      </w:r>
      <w:r>
        <w:t xml:space="preserve">at 328 (“Both patents and tax credits fare poorly when market signals are weak proxies for social value </w:t>
      </w:r>
      <w:proofErr w:type="gramStart"/>
      <w:r>
        <w:t>. . .</w:t>
      </w:r>
      <w:r w:rsidR="00DF58B8">
        <w:t xml:space="preserve"> </w:t>
      </w:r>
      <w:r>
        <w:t>.</w:t>
      </w:r>
      <w:proofErr w:type="gramEnd"/>
      <w:r>
        <w:t xml:space="preserve">”); Burstein &amp; Murray, </w:t>
      </w:r>
      <w:r w:rsidR="00541E37">
        <w:rPr>
          <w:i/>
          <w:iCs/>
        </w:rPr>
        <w:t xml:space="preserve">supra </w:t>
      </w:r>
      <w:r w:rsidR="00541E37">
        <w:t xml:space="preserve">note </w:t>
      </w:r>
      <w:r w:rsidR="00541E37">
        <w:fldChar w:fldCharType="begin"/>
      </w:r>
      <w:r w:rsidR="00541E37">
        <w:instrText xml:space="preserve"> NOTEREF _Ref126787116 \h </w:instrText>
      </w:r>
      <w:r w:rsidR="00541E37">
        <w:fldChar w:fldCharType="separate"/>
      </w:r>
      <w:r w:rsidR="00995C7E">
        <w:t>55</w:t>
      </w:r>
      <w:r w:rsidR="00541E37">
        <w:fldChar w:fldCharType="end"/>
      </w:r>
      <w:r w:rsidR="00541E37">
        <w:t>, at 416.</w:t>
      </w:r>
      <w:r>
        <w:t xml:space="preserve">  (“Patents may therefore perform particularly poorly as incentives in industries where the social value of innovation greatly exceeds the private value accessible in a market.”).  </w:t>
      </w:r>
    </w:p>
  </w:footnote>
  <w:footnote w:id="95">
    <w:p w14:paraId="13FA9671" w14:textId="0F818B5E" w:rsidR="00C02F1B" w:rsidRPr="00B33931" w:rsidRDefault="00C02F1B">
      <w:pPr>
        <w:pStyle w:val="FootnoteText"/>
      </w:pPr>
      <w:r>
        <w:rPr>
          <w:rStyle w:val="FootnoteReference"/>
        </w:rPr>
        <w:footnoteRef/>
      </w:r>
      <w:r>
        <w:t xml:space="preserve"> Certainly the Dowager Countess Grantham was no big fan of innovation. When being shown a telephone, she asked “Is this an instrument of communication or torture?” </w:t>
      </w:r>
      <w:r w:rsidR="00C34E97" w:rsidRPr="00431B36">
        <w:rPr>
          <w:i/>
        </w:rPr>
        <w:t>Downtown Abbey</w:t>
      </w:r>
      <w:r w:rsidR="00381A72">
        <w:t>:</w:t>
      </w:r>
      <w:r w:rsidR="00381A72">
        <w:rPr>
          <w:i/>
          <w:iCs/>
        </w:rPr>
        <w:t xml:space="preserve"> </w:t>
      </w:r>
      <w:r w:rsidR="00C34E97">
        <w:t>Season</w:t>
      </w:r>
      <w:r w:rsidR="000F5637">
        <w:t xml:space="preserve"> 2, Episode 5 (</w:t>
      </w:r>
      <w:r w:rsidR="00381A72">
        <w:t xml:space="preserve">ITV television broadcast </w:t>
      </w:r>
      <w:r w:rsidR="000F5637">
        <w:t>Oct</w:t>
      </w:r>
      <w:r w:rsidR="00713796">
        <w:t>.</w:t>
      </w:r>
      <w:r w:rsidR="000F5637">
        <w:t xml:space="preserve"> 16, 2011).</w:t>
      </w:r>
      <w:r w:rsidR="00DE3D2E">
        <w:t xml:space="preserve"> Gaia Bernstein has </w:t>
      </w:r>
      <w:r w:rsidR="00B33931">
        <w:t>argued</w:t>
      </w:r>
      <w:r w:rsidR="00DE3D2E">
        <w:t xml:space="preserve"> that “the contemporary celebration of innovation is a recent trend.” Gaia Bernstein, </w:t>
      </w:r>
      <w:r w:rsidR="00DE3D2E">
        <w:rPr>
          <w:i/>
          <w:iCs/>
        </w:rPr>
        <w:t>In the Shadow of Innovation</w:t>
      </w:r>
      <w:r w:rsidR="00DE3D2E">
        <w:t xml:space="preserve">, 31 </w:t>
      </w:r>
      <w:r w:rsidR="00DE3D2E" w:rsidRPr="00E429C0">
        <w:rPr>
          <w:smallCaps/>
        </w:rPr>
        <w:t>Cardozo L. Rev. 2257,</w:t>
      </w:r>
      <w:r w:rsidR="00DE3D2E">
        <w:t xml:space="preserve"> 2273 (2010).</w:t>
      </w:r>
      <w:r w:rsidR="00B33931">
        <w:t xml:space="preserve"> </w:t>
      </w:r>
    </w:p>
  </w:footnote>
  <w:footnote w:id="96">
    <w:p w14:paraId="7F3FAB82" w14:textId="7B8D6F76" w:rsidR="0027743D" w:rsidRPr="00B10A3C" w:rsidRDefault="0027743D" w:rsidP="0027743D">
      <w:pPr>
        <w:pStyle w:val="FootnoteText"/>
        <w:rPr>
          <w:szCs w:val="20"/>
        </w:rPr>
      </w:pPr>
      <w:r w:rsidRPr="00B10A3C">
        <w:rPr>
          <w:rStyle w:val="FootnoteReference"/>
          <w:szCs w:val="20"/>
        </w:rPr>
        <w:footnoteRef/>
      </w:r>
      <w:r w:rsidRPr="00B10A3C">
        <w:rPr>
          <w:szCs w:val="20"/>
        </w:rPr>
        <w:t xml:space="preserve"> </w:t>
      </w:r>
      <w:r w:rsidRPr="00B10A3C">
        <w:rPr>
          <w:i/>
          <w:iCs/>
          <w:szCs w:val="20"/>
        </w:rPr>
        <w:t>See, e.g.</w:t>
      </w:r>
      <w:r w:rsidRPr="00B10A3C">
        <w:rPr>
          <w:szCs w:val="20"/>
        </w:rPr>
        <w:t xml:space="preserve">, </w:t>
      </w:r>
      <w:r w:rsidR="00DA4619">
        <w:rPr>
          <w:szCs w:val="20"/>
        </w:rPr>
        <w:t xml:space="preserve">John Patrick Leary, </w:t>
      </w:r>
      <w:r w:rsidR="00A4621C">
        <w:rPr>
          <w:i/>
          <w:iCs/>
          <w:szCs w:val="20"/>
        </w:rPr>
        <w:t>The Innovation Cult</w:t>
      </w:r>
      <w:r w:rsidR="00A4621C">
        <w:rPr>
          <w:szCs w:val="20"/>
        </w:rPr>
        <w:t xml:space="preserve">, </w:t>
      </w:r>
      <w:r w:rsidR="00A4621C" w:rsidRPr="00EA04E5">
        <w:rPr>
          <w:smallCaps/>
          <w:szCs w:val="20"/>
        </w:rPr>
        <w:t>Jacobin</w:t>
      </w:r>
      <w:r w:rsidR="00A4621C">
        <w:rPr>
          <w:szCs w:val="20"/>
        </w:rPr>
        <w:t>, (Apr. 16, 2019)</w:t>
      </w:r>
      <w:r w:rsidR="00A8747B">
        <w:rPr>
          <w:szCs w:val="20"/>
        </w:rPr>
        <w:t>,</w:t>
      </w:r>
      <w:r w:rsidR="000C567F" w:rsidRPr="000C567F">
        <w:t xml:space="preserve"> </w:t>
      </w:r>
      <w:r w:rsidR="008F38CA" w:rsidRPr="000149D6">
        <w:t>https://jacobin.com/2019/04/innovation-language-of-capitalism-ideology-disruption</w:t>
      </w:r>
      <w:r w:rsidR="000C567F">
        <w:rPr>
          <w:szCs w:val="20"/>
        </w:rPr>
        <w:t xml:space="preserve">  </w:t>
      </w:r>
      <w:r w:rsidR="00A8747B">
        <w:rPr>
          <w:szCs w:val="20"/>
        </w:rPr>
        <w:t xml:space="preserve"> </w:t>
      </w:r>
      <w:r w:rsidRPr="00B10A3C">
        <w:rPr>
          <w:szCs w:val="20"/>
        </w:rPr>
        <w:t xml:space="preserve"> (“For most of its early life, the word ‘innovation’ was a pejorative, used to denounce false prophets and political dissidents.”); </w:t>
      </w:r>
      <w:r w:rsidR="00F54C46">
        <w:rPr>
          <w:szCs w:val="20"/>
        </w:rPr>
        <w:t xml:space="preserve">Jill Lepore, </w:t>
      </w:r>
      <w:r w:rsidR="00F54C46">
        <w:rPr>
          <w:i/>
          <w:iCs/>
          <w:szCs w:val="20"/>
        </w:rPr>
        <w:t>The Disruption Machine</w:t>
      </w:r>
      <w:r w:rsidR="00F54C46">
        <w:rPr>
          <w:szCs w:val="20"/>
        </w:rPr>
        <w:t xml:space="preserve">, </w:t>
      </w:r>
      <w:r w:rsidR="00F54C46" w:rsidRPr="00EA04E5">
        <w:rPr>
          <w:smallCaps/>
          <w:szCs w:val="20"/>
        </w:rPr>
        <w:t>New Yorker</w:t>
      </w:r>
      <w:r w:rsidR="00110380" w:rsidRPr="00EA04E5">
        <w:rPr>
          <w:smallCaps/>
          <w:szCs w:val="20"/>
        </w:rPr>
        <w:t>,</w:t>
      </w:r>
      <w:r w:rsidR="00110380">
        <w:rPr>
          <w:szCs w:val="20"/>
        </w:rPr>
        <w:t xml:space="preserve"> (June 23, 2014),</w:t>
      </w:r>
      <w:r w:rsidR="00110380">
        <w:t xml:space="preserve"> </w:t>
      </w:r>
      <w:r w:rsidR="00110380" w:rsidRPr="00110380">
        <w:rPr>
          <w:szCs w:val="20"/>
        </w:rPr>
        <w:t>https://www.newyorker.com/magazine/2014/06/23/the-disruption-machine</w:t>
      </w:r>
      <w:r w:rsidRPr="00B10A3C">
        <w:rPr>
          <w:szCs w:val="20"/>
        </w:rPr>
        <w:t xml:space="preserve"> (“Innovation historically as a word means progress without any concern for morality. Innovation in the </w:t>
      </w:r>
      <w:r w:rsidRPr="00B10A3C" w:rsidDel="009E0561">
        <w:rPr>
          <w:szCs w:val="20"/>
        </w:rPr>
        <w:t>18</w:t>
      </w:r>
      <w:r w:rsidDel="009E0561">
        <w:rPr>
          <w:szCs w:val="20"/>
        </w:rPr>
        <w:t>th</w:t>
      </w:r>
      <w:r w:rsidRPr="00B10A3C">
        <w:rPr>
          <w:szCs w:val="20"/>
        </w:rPr>
        <w:t xml:space="preserve"> century sense is bad.”).</w:t>
      </w:r>
    </w:p>
  </w:footnote>
  <w:footnote w:id="97">
    <w:p w14:paraId="5EDBC4D3" w14:textId="7BF9E9CA" w:rsidR="00A95A99" w:rsidRDefault="00A95A99">
      <w:pPr>
        <w:pStyle w:val="FootnoteText"/>
      </w:pPr>
      <w:r>
        <w:rPr>
          <w:rStyle w:val="FootnoteReference"/>
        </w:rPr>
        <w:footnoteRef/>
      </w:r>
      <w:r>
        <w:t xml:space="preserve"> </w:t>
      </w:r>
      <w:r w:rsidR="00D349A7" w:rsidRPr="00431B36">
        <w:rPr>
          <w:smallCaps/>
        </w:rPr>
        <w:t>Robert J.</w:t>
      </w:r>
      <w:r w:rsidRPr="00431B36">
        <w:rPr>
          <w:smallCaps/>
        </w:rPr>
        <w:t xml:space="preserve"> Gordon, </w:t>
      </w:r>
      <w:r w:rsidR="00D349A7" w:rsidRPr="00431B36">
        <w:rPr>
          <w:smallCaps/>
        </w:rPr>
        <w:t>The Rise and Fall of American Growth</w:t>
      </w:r>
      <w:r>
        <w:t xml:space="preserve"> 25</w:t>
      </w:r>
      <w:r w:rsidR="00D349A7">
        <w:t xml:space="preserve"> (2016)</w:t>
      </w:r>
      <w:r>
        <w:t xml:space="preserve">. </w:t>
      </w:r>
    </w:p>
  </w:footnote>
  <w:footnote w:id="98">
    <w:p w14:paraId="56034261" w14:textId="47D1FC08" w:rsidR="00AC449C" w:rsidRDefault="00AC449C">
      <w:pPr>
        <w:pStyle w:val="FootnoteText"/>
      </w:pPr>
      <w:r>
        <w:rPr>
          <w:rStyle w:val="FootnoteReference"/>
        </w:rPr>
        <w:footnoteRef/>
      </w:r>
      <w:r>
        <w:t xml:space="preserve"> </w:t>
      </w:r>
      <w:r w:rsidR="00EE6228" w:rsidRPr="00EA04E5">
        <w:rPr>
          <w:i/>
        </w:rPr>
        <w:t>Id</w:t>
      </w:r>
      <w:r w:rsidRPr="00EA04E5">
        <w:rPr>
          <w:i/>
        </w:rPr>
        <w:t>.</w:t>
      </w:r>
    </w:p>
  </w:footnote>
  <w:footnote w:id="99">
    <w:p w14:paraId="30E17F02" w14:textId="604F256E" w:rsidR="00AC449C" w:rsidRDefault="00AC449C">
      <w:pPr>
        <w:pStyle w:val="FootnoteText"/>
      </w:pPr>
      <w:r>
        <w:rPr>
          <w:rStyle w:val="FootnoteReference"/>
        </w:rPr>
        <w:footnoteRef/>
      </w:r>
      <w:r>
        <w:t xml:space="preserve"> </w:t>
      </w:r>
      <w:r w:rsidR="00D349A7" w:rsidRPr="00EA04E5">
        <w:rPr>
          <w:i/>
        </w:rPr>
        <w:t>Id.</w:t>
      </w:r>
      <w:r w:rsidR="00D349A7">
        <w:t xml:space="preserve"> at 566 (“The slower rate of measured productivity since 1970 constitutes an important piece of evidence that Third Industrial Revolution (IR #3) associated with computers and digitization has been less important that IR #2”)</w:t>
      </w:r>
      <w:r>
        <w:t>.</w:t>
      </w:r>
      <w:r w:rsidR="0081632C">
        <w:t xml:space="preserve"> </w:t>
      </w:r>
    </w:p>
  </w:footnote>
  <w:footnote w:id="100">
    <w:p w14:paraId="79E0598E" w14:textId="6B27793A" w:rsidR="0008703A" w:rsidRDefault="0008703A" w:rsidP="0008703A">
      <w:pPr>
        <w:pStyle w:val="FootnoteText"/>
      </w:pPr>
      <w:r>
        <w:rPr>
          <w:rStyle w:val="FootnoteReference"/>
        </w:rPr>
        <w:footnoteRef/>
      </w:r>
      <w:r>
        <w:t xml:space="preserve"> Paul A. David, </w:t>
      </w:r>
      <w:r w:rsidR="001F6752" w:rsidRPr="00EA04E5">
        <w:rPr>
          <w:i/>
          <w:iCs/>
        </w:rPr>
        <w:t>T</w:t>
      </w:r>
      <w:r w:rsidRPr="00EA04E5">
        <w:rPr>
          <w:i/>
          <w:iCs/>
        </w:rPr>
        <w:t>he</w:t>
      </w:r>
      <w:r w:rsidRPr="00EA04E5">
        <w:rPr>
          <w:i/>
        </w:rPr>
        <w:t xml:space="preserve"> Innovation Fetish </w:t>
      </w:r>
      <w:r w:rsidR="001F6752" w:rsidRPr="00EA04E5">
        <w:rPr>
          <w:i/>
          <w:iCs/>
        </w:rPr>
        <w:t>A</w:t>
      </w:r>
      <w:r w:rsidRPr="00EA04E5">
        <w:rPr>
          <w:i/>
        </w:rPr>
        <w:t>mong the Economoi: Introduction to the Panel on Innovation Incentives, Institutions, and Economic Growth</w:t>
      </w:r>
      <w:r>
        <w:t xml:space="preserve">, </w:t>
      </w:r>
      <w:r w:rsidRPr="007812B2">
        <w:rPr>
          <w:i/>
        </w:rPr>
        <w:t>in</w:t>
      </w:r>
      <w:r w:rsidRPr="00EA04E5">
        <w:rPr>
          <w:smallCaps/>
        </w:rPr>
        <w:t xml:space="preserve"> The Rate and Direction of Inventive Activity Revisited</w:t>
      </w:r>
      <w:r>
        <w:t xml:space="preserve"> 509, 509 (Josh Lerner &amp; Scott Stern, eds. 2012).</w:t>
      </w:r>
    </w:p>
  </w:footnote>
  <w:footnote w:id="101">
    <w:p w14:paraId="48A3A285" w14:textId="698931B4" w:rsidR="0027743D" w:rsidRPr="00B10A3C" w:rsidRDefault="0027743D" w:rsidP="0027743D">
      <w:pPr>
        <w:pStyle w:val="FootnoteText"/>
        <w:rPr>
          <w:szCs w:val="20"/>
        </w:rPr>
      </w:pPr>
      <w:r w:rsidRPr="00B10A3C">
        <w:rPr>
          <w:rStyle w:val="FootnoteReference"/>
          <w:szCs w:val="20"/>
        </w:rPr>
        <w:footnoteRef/>
      </w:r>
      <w:r w:rsidRPr="00B10A3C">
        <w:rPr>
          <w:szCs w:val="20"/>
        </w:rPr>
        <w:t xml:space="preserve"> </w:t>
      </w:r>
      <w:r w:rsidR="002E3176">
        <w:rPr>
          <w:szCs w:val="20"/>
        </w:rPr>
        <w:t xml:space="preserve">Alex Coad, Paul Nightingale, Jack Stilgoe, &amp; </w:t>
      </w:r>
      <w:r w:rsidR="00DF3A5E">
        <w:rPr>
          <w:szCs w:val="20"/>
        </w:rPr>
        <w:t xml:space="preserve">Antonio Vezzani, </w:t>
      </w:r>
      <w:r w:rsidR="00DF3A5E">
        <w:rPr>
          <w:i/>
          <w:iCs/>
          <w:szCs w:val="20"/>
        </w:rPr>
        <w:t>Editorial: The Dark Side of Innovation</w:t>
      </w:r>
      <w:r w:rsidR="00DF3A5E">
        <w:rPr>
          <w:szCs w:val="20"/>
        </w:rPr>
        <w:t xml:space="preserve">, </w:t>
      </w:r>
      <w:r w:rsidR="00535113">
        <w:rPr>
          <w:szCs w:val="20"/>
        </w:rPr>
        <w:t xml:space="preserve">28 </w:t>
      </w:r>
      <w:r w:rsidR="00DF3A5E" w:rsidRPr="00EA04E5">
        <w:rPr>
          <w:smallCaps/>
          <w:szCs w:val="20"/>
        </w:rPr>
        <w:t>Indus</w:t>
      </w:r>
      <w:r w:rsidR="00535113" w:rsidRPr="00EA04E5">
        <w:rPr>
          <w:smallCaps/>
          <w:szCs w:val="20"/>
        </w:rPr>
        <w:t>.</w:t>
      </w:r>
      <w:r w:rsidR="00DF3A5E" w:rsidRPr="00EA04E5">
        <w:rPr>
          <w:smallCaps/>
          <w:szCs w:val="20"/>
        </w:rPr>
        <w:t xml:space="preserve"> &amp; Innovation</w:t>
      </w:r>
      <w:r w:rsidR="00E230CA">
        <w:rPr>
          <w:szCs w:val="20"/>
        </w:rPr>
        <w:t xml:space="preserve"> 102, 10</w:t>
      </w:r>
      <w:r w:rsidR="00D0142B">
        <w:rPr>
          <w:szCs w:val="20"/>
        </w:rPr>
        <w:t>3</w:t>
      </w:r>
      <w:r w:rsidR="00E230CA">
        <w:rPr>
          <w:szCs w:val="20"/>
        </w:rPr>
        <w:t xml:space="preserve"> (2020).</w:t>
      </w:r>
    </w:p>
  </w:footnote>
  <w:footnote w:id="102">
    <w:p w14:paraId="489EB1BE" w14:textId="1EDBC61B" w:rsidR="0027743D" w:rsidRPr="00B10A3C" w:rsidRDefault="0027743D" w:rsidP="0027743D">
      <w:pPr>
        <w:pStyle w:val="FootnoteText"/>
        <w:rPr>
          <w:szCs w:val="20"/>
        </w:rPr>
      </w:pPr>
      <w:r w:rsidRPr="00B10A3C">
        <w:rPr>
          <w:rStyle w:val="FootnoteReference"/>
          <w:szCs w:val="20"/>
        </w:rPr>
        <w:footnoteRef/>
      </w:r>
      <w:r w:rsidRPr="00B10A3C">
        <w:rPr>
          <w:szCs w:val="20"/>
        </w:rPr>
        <w:t xml:space="preserve"> </w:t>
      </w:r>
      <w:r w:rsidRPr="00B10A3C">
        <w:rPr>
          <w:i/>
          <w:iCs/>
          <w:szCs w:val="20"/>
        </w:rPr>
        <w:t>Id</w:t>
      </w:r>
      <w:r w:rsidR="008E7B08">
        <w:rPr>
          <w:i/>
          <w:iCs/>
          <w:szCs w:val="20"/>
        </w:rPr>
        <w:t>.</w:t>
      </w:r>
      <w:r w:rsidR="008E7B08" w:rsidRPr="00B10A3C">
        <w:rPr>
          <w:i/>
          <w:iCs/>
          <w:szCs w:val="20"/>
        </w:rPr>
        <w:t xml:space="preserve"> </w:t>
      </w:r>
      <w:r w:rsidRPr="00B10A3C">
        <w:rPr>
          <w:szCs w:val="20"/>
        </w:rPr>
        <w:t>at 103</w:t>
      </w:r>
      <w:r w:rsidR="00A72560">
        <w:rPr>
          <w:szCs w:val="20"/>
        </w:rPr>
        <w:t>–</w:t>
      </w:r>
      <w:r w:rsidRPr="00B10A3C">
        <w:rPr>
          <w:szCs w:val="20"/>
        </w:rPr>
        <w:t>06.</w:t>
      </w:r>
    </w:p>
  </w:footnote>
  <w:footnote w:id="103">
    <w:p w14:paraId="4ED62B2A" w14:textId="27A57B09" w:rsidR="0025040B" w:rsidRPr="00991923" w:rsidRDefault="0025040B" w:rsidP="009D345E">
      <w:pPr>
        <w:pStyle w:val="FootnoteText"/>
      </w:pPr>
      <w:r w:rsidRPr="009D345E">
        <w:rPr>
          <w:rStyle w:val="FootnoteReference"/>
        </w:rPr>
        <w:footnoteRef/>
      </w:r>
      <w:r w:rsidRPr="009D345E">
        <w:t xml:space="preserve"> </w:t>
      </w:r>
      <w:r w:rsidR="009D345E" w:rsidRPr="009D345E">
        <w:rPr>
          <w:i/>
          <w:iCs/>
        </w:rPr>
        <w:t>See</w:t>
      </w:r>
      <w:r w:rsidR="009D345E" w:rsidRPr="009D345E">
        <w:t xml:space="preserve"> </w:t>
      </w:r>
      <w:r w:rsidR="009D345E" w:rsidRPr="009D345E">
        <w:rPr>
          <w:smallCaps/>
        </w:rPr>
        <w:t>Ariel Ezrachi &amp; Maurice E. Stucke, Virtual Competition: The Promise And Perils Of The Algorithm-Driven Economy</w:t>
      </w:r>
      <w:r w:rsidR="009D345E" w:rsidRPr="009D345E">
        <w:t xml:space="preserve"> 52-53 (2016)</w:t>
      </w:r>
      <w:r w:rsidR="009D345E" w:rsidRPr="009D345E" w:rsidDel="009D345E">
        <w:t xml:space="preserve"> </w:t>
      </w:r>
      <w:r w:rsidR="009D345E" w:rsidRPr="009D345E">
        <w:t>(</w:t>
      </w:r>
      <w:r w:rsidR="005169A2" w:rsidRPr="009D345E">
        <w:t xml:space="preserve">arguing that innovation “is not an end </w:t>
      </w:r>
      <w:r w:rsidR="00A210C4" w:rsidRPr="009D345E">
        <w:t>by</w:t>
      </w:r>
      <w:r w:rsidR="005169A2" w:rsidRPr="009D345E">
        <w:t xml:space="preserve"> itself</w:t>
      </w:r>
      <w:r w:rsidR="009A65E7" w:rsidRPr="009D345E">
        <w:t>” but is an “independent variable, which . . . can lead to positive or negative outcomes</w:t>
      </w:r>
      <w:r w:rsidR="009D345E" w:rsidRPr="009D345E">
        <w:t>”</w:t>
      </w:r>
      <w:r w:rsidR="009A65E7" w:rsidRPr="009D345E">
        <w:t>).</w:t>
      </w:r>
    </w:p>
  </w:footnote>
  <w:footnote w:id="104">
    <w:p w14:paraId="182205BB" w14:textId="69BC85ED" w:rsidR="00B26F80" w:rsidRPr="00B26F80" w:rsidRDefault="00B26F80">
      <w:pPr>
        <w:pStyle w:val="FootnoteText"/>
      </w:pPr>
      <w:r>
        <w:rPr>
          <w:rStyle w:val="FootnoteReference"/>
        </w:rPr>
        <w:footnoteRef/>
      </w:r>
      <w:r>
        <w:t xml:space="preserve"> </w:t>
      </w:r>
      <w:r>
        <w:rPr>
          <w:i/>
          <w:iCs/>
        </w:rPr>
        <w:t xml:space="preserve">Id. </w:t>
      </w:r>
      <w:r>
        <w:t>at 53.</w:t>
      </w:r>
    </w:p>
  </w:footnote>
  <w:footnote w:id="105">
    <w:p w14:paraId="45FA48AA" w14:textId="35E64861" w:rsidR="00F643E0" w:rsidRPr="00F643E0" w:rsidRDefault="00F643E0">
      <w:pPr>
        <w:pStyle w:val="FootnoteText"/>
      </w:pPr>
      <w:r>
        <w:rPr>
          <w:rStyle w:val="FootnoteReference"/>
        </w:rPr>
        <w:footnoteRef/>
      </w:r>
      <w:r>
        <w:t xml:space="preserve"> </w:t>
      </w:r>
      <w:r w:rsidR="00333B7D">
        <w:t xml:space="preserve"> </w:t>
      </w:r>
      <w:r w:rsidR="00333B7D" w:rsidRPr="00EA04E5">
        <w:rPr>
          <w:smallCaps/>
        </w:rPr>
        <w:t>Ned Snow, Intellectual Property and Immorality: Against Protecting Harmful Creations of the Mind 1</w:t>
      </w:r>
      <w:r w:rsidR="00333B7D">
        <w:t xml:space="preserve"> (</w:t>
      </w:r>
      <w:r w:rsidR="00C44A52">
        <w:t xml:space="preserve">2022). </w:t>
      </w:r>
    </w:p>
  </w:footnote>
  <w:footnote w:id="106">
    <w:p w14:paraId="39DC2D56" w14:textId="3BF96B42" w:rsidR="00574C3B" w:rsidRPr="009161FD" w:rsidRDefault="00574C3B">
      <w:pPr>
        <w:pStyle w:val="FootnoteText"/>
      </w:pPr>
      <w:r>
        <w:rPr>
          <w:rStyle w:val="FootnoteReference"/>
        </w:rPr>
        <w:footnoteRef/>
      </w:r>
      <w:r>
        <w:t xml:space="preserve"> </w:t>
      </w:r>
      <w:r>
        <w:rPr>
          <w:i/>
          <w:iCs/>
        </w:rPr>
        <w:t xml:space="preserve">Id. </w:t>
      </w:r>
      <w:r w:rsidR="009161FD">
        <w:t>at 318.</w:t>
      </w:r>
    </w:p>
  </w:footnote>
  <w:footnote w:id="107">
    <w:p w14:paraId="0B158F4F" w14:textId="4D1D0B85" w:rsidR="0027743D" w:rsidRPr="00991923" w:rsidRDefault="0027743D" w:rsidP="0027743D">
      <w:pPr>
        <w:pStyle w:val="FootnoteText"/>
        <w:rPr>
          <w:szCs w:val="20"/>
        </w:rPr>
      </w:pPr>
      <w:r w:rsidRPr="00B10A3C">
        <w:rPr>
          <w:rStyle w:val="FootnoteReference"/>
          <w:szCs w:val="20"/>
        </w:rPr>
        <w:footnoteRef/>
      </w:r>
      <w:r w:rsidRPr="00991923">
        <w:rPr>
          <w:szCs w:val="20"/>
        </w:rPr>
        <w:t xml:space="preserve"> </w:t>
      </w:r>
      <w:r w:rsidRPr="007812B2">
        <w:rPr>
          <w:szCs w:val="20"/>
        </w:rPr>
        <w:t>Biggi &amp; Giuliani</w:t>
      </w:r>
      <w:r w:rsidRPr="00991923">
        <w:rPr>
          <w:i/>
          <w:iCs/>
          <w:szCs w:val="20"/>
        </w:rPr>
        <w:t xml:space="preserve">, supra </w:t>
      </w:r>
      <w:r w:rsidRPr="00991923">
        <w:rPr>
          <w:szCs w:val="20"/>
        </w:rPr>
        <w:t xml:space="preserve">note </w:t>
      </w:r>
      <w:r w:rsidR="003C7E1F">
        <w:rPr>
          <w:szCs w:val="20"/>
        </w:rPr>
        <w:fldChar w:fldCharType="begin"/>
      </w:r>
      <w:r w:rsidR="003C7E1F">
        <w:rPr>
          <w:szCs w:val="20"/>
        </w:rPr>
        <w:instrText xml:space="preserve"> NOTEREF _Ref126788945 \h </w:instrText>
      </w:r>
      <w:r w:rsidR="003C7E1F">
        <w:rPr>
          <w:szCs w:val="20"/>
        </w:rPr>
      </w:r>
      <w:r w:rsidR="003C7E1F">
        <w:rPr>
          <w:szCs w:val="20"/>
        </w:rPr>
        <w:fldChar w:fldCharType="separate"/>
      </w:r>
      <w:r w:rsidR="00995C7E">
        <w:rPr>
          <w:szCs w:val="20"/>
        </w:rPr>
        <w:t>14</w:t>
      </w:r>
      <w:r w:rsidR="003C7E1F">
        <w:rPr>
          <w:szCs w:val="20"/>
        </w:rPr>
        <w:fldChar w:fldCharType="end"/>
      </w:r>
      <w:r w:rsidRPr="00991923">
        <w:rPr>
          <w:szCs w:val="20"/>
        </w:rPr>
        <w:t xml:space="preserve"> at 21.</w:t>
      </w:r>
    </w:p>
  </w:footnote>
  <w:footnote w:id="108">
    <w:p w14:paraId="55276F89" w14:textId="77777777" w:rsidR="0027743D" w:rsidRPr="00B10A3C" w:rsidRDefault="0027743D" w:rsidP="0027743D">
      <w:pPr>
        <w:pStyle w:val="FootnoteText"/>
        <w:rPr>
          <w:szCs w:val="20"/>
        </w:rPr>
      </w:pPr>
      <w:r w:rsidRPr="00B10A3C">
        <w:rPr>
          <w:rStyle w:val="FootnoteReference"/>
          <w:szCs w:val="20"/>
        </w:rPr>
        <w:footnoteRef/>
      </w:r>
      <w:r w:rsidRPr="00B10A3C">
        <w:rPr>
          <w:szCs w:val="20"/>
        </w:rPr>
        <w:t xml:space="preserve"> </w:t>
      </w:r>
      <w:r w:rsidRPr="00B10A3C">
        <w:rPr>
          <w:i/>
          <w:iCs/>
          <w:szCs w:val="20"/>
        </w:rPr>
        <w:t xml:space="preserve">Id. </w:t>
      </w:r>
      <w:r w:rsidRPr="00B10A3C">
        <w:rPr>
          <w:szCs w:val="20"/>
        </w:rPr>
        <w:t xml:space="preserve">at 23. The authors “used search terms such as harm* OR unpredictable OR negative OR hazard* AND innovate* OR </w:t>
      </w:r>
      <w:proofErr w:type="spellStart"/>
      <w:r w:rsidRPr="00B10A3C">
        <w:rPr>
          <w:szCs w:val="20"/>
        </w:rPr>
        <w:t>technolog</w:t>
      </w:r>
      <w:proofErr w:type="spellEnd"/>
      <w:r w:rsidRPr="00B10A3C">
        <w:rPr>
          <w:szCs w:val="20"/>
        </w:rPr>
        <w:t xml:space="preserve">* and several combinations of related and similar terms.” </w:t>
      </w:r>
      <w:r w:rsidRPr="00B10A3C">
        <w:rPr>
          <w:i/>
          <w:iCs/>
          <w:szCs w:val="20"/>
        </w:rPr>
        <w:t xml:space="preserve">Id. </w:t>
      </w:r>
      <w:r w:rsidRPr="00B10A3C">
        <w:rPr>
          <w:szCs w:val="20"/>
        </w:rPr>
        <w:t>at 21.</w:t>
      </w:r>
    </w:p>
  </w:footnote>
  <w:footnote w:id="109">
    <w:p w14:paraId="64EED08E" w14:textId="2932D01E" w:rsidR="0027743D" w:rsidRPr="00B10A3C" w:rsidRDefault="0027743D" w:rsidP="0027743D">
      <w:pPr>
        <w:pStyle w:val="FootnoteText"/>
        <w:rPr>
          <w:szCs w:val="20"/>
        </w:rPr>
      </w:pPr>
      <w:r w:rsidRPr="00B10A3C">
        <w:rPr>
          <w:rStyle w:val="FootnoteReference"/>
          <w:szCs w:val="20"/>
        </w:rPr>
        <w:footnoteRef/>
      </w:r>
      <w:r w:rsidRPr="00B10A3C">
        <w:rPr>
          <w:szCs w:val="20"/>
        </w:rPr>
        <w:t xml:space="preserve"> </w:t>
      </w:r>
      <w:r w:rsidRPr="00B10A3C">
        <w:rPr>
          <w:i/>
          <w:iCs/>
          <w:szCs w:val="20"/>
        </w:rPr>
        <w:t xml:space="preserve">Id. </w:t>
      </w:r>
      <w:r w:rsidRPr="00B10A3C">
        <w:rPr>
          <w:szCs w:val="20"/>
        </w:rPr>
        <w:t>at 25</w:t>
      </w:r>
      <w:r w:rsidR="009C4FB6">
        <w:rPr>
          <w:szCs w:val="20"/>
        </w:rPr>
        <w:t>–</w:t>
      </w:r>
      <w:r w:rsidRPr="00B10A3C">
        <w:rPr>
          <w:szCs w:val="20"/>
        </w:rPr>
        <w:t>29.</w:t>
      </w:r>
    </w:p>
  </w:footnote>
  <w:footnote w:id="110">
    <w:p w14:paraId="38C3C61B" w14:textId="37BC87F8" w:rsidR="0027743D" w:rsidRPr="00B10A3C" w:rsidRDefault="0027743D" w:rsidP="0027743D">
      <w:pPr>
        <w:pStyle w:val="FootnoteText"/>
        <w:rPr>
          <w:szCs w:val="20"/>
        </w:rPr>
      </w:pPr>
      <w:r w:rsidRPr="00B10A3C">
        <w:rPr>
          <w:rStyle w:val="FootnoteReference"/>
          <w:szCs w:val="20"/>
        </w:rPr>
        <w:footnoteRef/>
      </w:r>
      <w:r w:rsidR="00A4061D">
        <w:rPr>
          <w:szCs w:val="20"/>
        </w:rPr>
        <w:t xml:space="preserve"> </w:t>
      </w:r>
      <w:r w:rsidR="00A4061D" w:rsidRPr="008E0B16">
        <w:rPr>
          <w:smallCaps/>
          <w:szCs w:val="20"/>
        </w:rPr>
        <w:t>Simon Johnson &amp; James Kwak</w:t>
      </w:r>
      <w:r w:rsidR="00A625E6" w:rsidRPr="008E0B16">
        <w:rPr>
          <w:smallCaps/>
          <w:szCs w:val="20"/>
        </w:rPr>
        <w:t xml:space="preserve">, 13 Bankers: The Wall Street Takeover and the Next Financial Meltdown </w:t>
      </w:r>
      <w:r w:rsidR="00A625E6">
        <w:rPr>
          <w:szCs w:val="20"/>
        </w:rPr>
        <w:t xml:space="preserve">(2011). </w:t>
      </w:r>
    </w:p>
  </w:footnote>
  <w:footnote w:id="111">
    <w:p w14:paraId="4993D093" w14:textId="5C647B59" w:rsidR="0027743D" w:rsidRPr="00B10A3C" w:rsidRDefault="0027743D" w:rsidP="0027743D">
      <w:pPr>
        <w:pStyle w:val="FootnoteText"/>
        <w:rPr>
          <w:szCs w:val="20"/>
        </w:rPr>
      </w:pPr>
      <w:r w:rsidRPr="00B10A3C">
        <w:rPr>
          <w:rStyle w:val="FootnoteReference"/>
          <w:szCs w:val="20"/>
        </w:rPr>
        <w:footnoteRef/>
      </w:r>
      <w:r w:rsidRPr="00B10A3C">
        <w:rPr>
          <w:szCs w:val="20"/>
        </w:rPr>
        <w:t xml:space="preserve"> </w:t>
      </w:r>
      <w:r w:rsidRPr="00B10A3C">
        <w:rPr>
          <w:i/>
          <w:iCs/>
          <w:szCs w:val="20"/>
        </w:rPr>
        <w:t xml:space="preserve">Id. </w:t>
      </w:r>
      <w:r w:rsidRPr="00B10A3C">
        <w:rPr>
          <w:szCs w:val="20"/>
        </w:rPr>
        <w:t>at 2</w:t>
      </w:r>
      <w:r w:rsidR="005901B7">
        <w:rPr>
          <w:szCs w:val="20"/>
        </w:rPr>
        <w:t>–</w:t>
      </w:r>
      <w:r w:rsidRPr="00B10A3C">
        <w:rPr>
          <w:szCs w:val="20"/>
        </w:rPr>
        <w:t>3.</w:t>
      </w:r>
    </w:p>
  </w:footnote>
  <w:footnote w:id="112">
    <w:p w14:paraId="46B57E47" w14:textId="7FF9A060" w:rsidR="0027743D" w:rsidRPr="00B10A3C" w:rsidRDefault="0027743D" w:rsidP="0027743D">
      <w:pPr>
        <w:pStyle w:val="FootnoteText"/>
        <w:rPr>
          <w:szCs w:val="20"/>
        </w:rPr>
      </w:pPr>
      <w:r w:rsidRPr="00B10A3C">
        <w:rPr>
          <w:rStyle w:val="FootnoteReference"/>
          <w:szCs w:val="20"/>
        </w:rPr>
        <w:footnoteRef/>
      </w:r>
      <w:r w:rsidRPr="00B10A3C">
        <w:rPr>
          <w:szCs w:val="20"/>
        </w:rPr>
        <w:t xml:space="preserve"> </w:t>
      </w:r>
      <w:r w:rsidRPr="00B10A3C">
        <w:rPr>
          <w:i/>
          <w:iCs/>
          <w:szCs w:val="20"/>
        </w:rPr>
        <w:t>Id.</w:t>
      </w:r>
      <w:r w:rsidR="000065BC">
        <w:rPr>
          <w:i/>
          <w:iCs/>
          <w:szCs w:val="20"/>
        </w:rPr>
        <w:t xml:space="preserve"> </w:t>
      </w:r>
      <w:r w:rsidRPr="00B10A3C">
        <w:rPr>
          <w:szCs w:val="20"/>
        </w:rPr>
        <w:t>at 4.</w:t>
      </w:r>
      <w:r w:rsidR="00B64959">
        <w:rPr>
          <w:szCs w:val="20"/>
        </w:rPr>
        <w:t xml:space="preserve"> </w:t>
      </w:r>
      <w:r w:rsidR="00B64959" w:rsidRPr="00737CF7">
        <w:t>An example of beneficial financial innovation</w:t>
      </w:r>
      <w:r w:rsidR="00B64959">
        <w:t xml:space="preserve"> is </w:t>
      </w:r>
      <w:r w:rsidR="00B64959" w:rsidRPr="00737CF7">
        <w:t>the development of microfinance in the 1970s, which provided funds to poor people who otherwise had no access to capital.</w:t>
      </w:r>
      <w:r w:rsidR="00B64959">
        <w:t xml:space="preserve"> </w:t>
      </w:r>
      <w:r w:rsidR="00B64959" w:rsidRPr="00737CF7">
        <w:t xml:space="preserve"> Johnson </w:t>
      </w:r>
      <w:r w:rsidR="00B64959">
        <w:t>and</w:t>
      </w:r>
      <w:r w:rsidR="00B64959" w:rsidRPr="00737CF7">
        <w:t xml:space="preserve"> Kwak argued that collateralized debt obligations and credit default swaps are examples of harmful innovations, which ultimately destroyed value for investors</w:t>
      </w:r>
      <w:r w:rsidR="00B64959">
        <w:t xml:space="preserve">. </w:t>
      </w:r>
      <w:r w:rsidR="00B64959" w:rsidRPr="008E0B16">
        <w:rPr>
          <w:i/>
        </w:rPr>
        <w:t>Id.</w:t>
      </w:r>
      <w:r w:rsidR="00B64959">
        <w:t xml:space="preserve"> </w:t>
      </w:r>
      <w:r w:rsidR="00B64959" w:rsidRPr="00B10A3C">
        <w:rPr>
          <w:i/>
          <w:iCs/>
          <w:szCs w:val="20"/>
        </w:rPr>
        <w:t>See also</w:t>
      </w:r>
      <w:r w:rsidR="00B64959" w:rsidRPr="00B10A3C">
        <w:rPr>
          <w:szCs w:val="20"/>
        </w:rPr>
        <w:t xml:space="preserve"> Chris Brummer &amp; </w:t>
      </w:r>
      <w:proofErr w:type="spellStart"/>
      <w:r w:rsidR="00B64959" w:rsidRPr="00B10A3C">
        <w:rPr>
          <w:szCs w:val="20"/>
        </w:rPr>
        <w:t>Yesha</w:t>
      </w:r>
      <w:proofErr w:type="spellEnd"/>
      <w:r w:rsidR="00B64959" w:rsidRPr="00B10A3C">
        <w:rPr>
          <w:szCs w:val="20"/>
        </w:rPr>
        <w:t xml:space="preserve"> Yadav, </w:t>
      </w:r>
      <w:r w:rsidR="00B64959" w:rsidRPr="00B10A3C">
        <w:rPr>
          <w:i/>
          <w:iCs/>
          <w:szCs w:val="20"/>
        </w:rPr>
        <w:t>Fintech and the Innovation Trilemma</w:t>
      </w:r>
      <w:r w:rsidR="00B64959" w:rsidRPr="00B10A3C">
        <w:rPr>
          <w:szCs w:val="20"/>
        </w:rPr>
        <w:t xml:space="preserve">, </w:t>
      </w:r>
      <w:r w:rsidR="00B64959" w:rsidRPr="008E0B16">
        <w:rPr>
          <w:smallCaps/>
        </w:rPr>
        <w:t>107 Geo. L. J</w:t>
      </w:r>
      <w:r w:rsidR="00B64959" w:rsidRPr="00B10A3C">
        <w:rPr>
          <w:szCs w:val="20"/>
        </w:rPr>
        <w:t>.235, 243 (noting that while financial innovations “present the possibility for welfare gains . . . the longer term effects of many innovations remain unclear.”)</w:t>
      </w:r>
    </w:p>
  </w:footnote>
  <w:footnote w:id="113">
    <w:p w14:paraId="416DC5E7" w14:textId="02419B0A" w:rsidR="0027743D" w:rsidRPr="00B10A3C" w:rsidRDefault="0027743D" w:rsidP="0027743D">
      <w:pPr>
        <w:pStyle w:val="FootnoteText"/>
        <w:rPr>
          <w:szCs w:val="20"/>
        </w:rPr>
      </w:pPr>
      <w:r w:rsidRPr="00B10A3C">
        <w:rPr>
          <w:rStyle w:val="FootnoteReference"/>
          <w:szCs w:val="20"/>
        </w:rPr>
        <w:footnoteRef/>
      </w:r>
      <w:r w:rsidRPr="00B10A3C">
        <w:rPr>
          <w:szCs w:val="20"/>
        </w:rPr>
        <w:t xml:space="preserve"> </w:t>
      </w:r>
      <w:r w:rsidRPr="00B10A3C">
        <w:rPr>
          <w:i/>
          <w:iCs/>
          <w:szCs w:val="20"/>
        </w:rPr>
        <w:t xml:space="preserve">See </w:t>
      </w:r>
      <w:r w:rsidRPr="00B10A3C">
        <w:rPr>
          <w:szCs w:val="20"/>
        </w:rPr>
        <w:t xml:space="preserve">Shobita Parthasarathy, </w:t>
      </w:r>
      <w:r w:rsidRPr="00B10A3C">
        <w:rPr>
          <w:i/>
          <w:iCs/>
          <w:szCs w:val="20"/>
        </w:rPr>
        <w:t>Health Innovation Policy for the People</w:t>
      </w:r>
      <w:r w:rsidRPr="00B10A3C">
        <w:rPr>
          <w:szCs w:val="20"/>
        </w:rPr>
        <w:t xml:space="preserve">, </w:t>
      </w:r>
      <w:r w:rsidRPr="008E0B16">
        <w:rPr>
          <w:smallCaps/>
        </w:rPr>
        <w:t>Democracy Collaborative</w:t>
      </w:r>
      <w:r w:rsidRPr="00B10A3C">
        <w:rPr>
          <w:szCs w:val="20"/>
        </w:rPr>
        <w:t xml:space="preserve"> (Nov. 18, 2021), https://thenextsystem.org/sites/default/files/2021-11/Health-innovation-policy-FINAL.pdf</w:t>
      </w:r>
      <w:r w:rsidR="006412EC">
        <w:rPr>
          <w:szCs w:val="20"/>
        </w:rPr>
        <w:t>.</w:t>
      </w:r>
    </w:p>
  </w:footnote>
  <w:footnote w:id="114">
    <w:p w14:paraId="2B4E0C5B" w14:textId="77777777" w:rsidR="0027743D" w:rsidRPr="00B10A3C" w:rsidRDefault="0027743D" w:rsidP="0027743D">
      <w:pPr>
        <w:pStyle w:val="FootnoteText"/>
        <w:rPr>
          <w:szCs w:val="20"/>
        </w:rPr>
      </w:pPr>
      <w:r w:rsidRPr="00B10A3C">
        <w:rPr>
          <w:rStyle w:val="FootnoteReference"/>
          <w:szCs w:val="20"/>
        </w:rPr>
        <w:footnoteRef/>
      </w:r>
      <w:r w:rsidRPr="00B10A3C">
        <w:rPr>
          <w:szCs w:val="20"/>
        </w:rPr>
        <w:t xml:space="preserve"> </w:t>
      </w:r>
      <w:r w:rsidRPr="00B10A3C">
        <w:rPr>
          <w:i/>
          <w:iCs/>
          <w:szCs w:val="20"/>
        </w:rPr>
        <w:t>Id.</w:t>
      </w:r>
      <w:r w:rsidRPr="00B10A3C">
        <w:rPr>
          <w:szCs w:val="20"/>
        </w:rPr>
        <w:t xml:space="preserve"> at 12.</w:t>
      </w:r>
    </w:p>
  </w:footnote>
  <w:footnote w:id="115">
    <w:p w14:paraId="6C3CC5F0" w14:textId="77777777" w:rsidR="0027743D" w:rsidRPr="00B10A3C" w:rsidRDefault="0027743D" w:rsidP="0027743D">
      <w:pPr>
        <w:pStyle w:val="FootnoteText"/>
        <w:rPr>
          <w:i/>
          <w:iCs/>
          <w:szCs w:val="20"/>
        </w:rPr>
      </w:pPr>
      <w:r w:rsidRPr="00B10A3C">
        <w:rPr>
          <w:rStyle w:val="FootnoteReference"/>
          <w:szCs w:val="20"/>
        </w:rPr>
        <w:footnoteRef/>
      </w:r>
      <w:r w:rsidRPr="00B10A3C">
        <w:rPr>
          <w:szCs w:val="20"/>
        </w:rPr>
        <w:t xml:space="preserve"> </w:t>
      </w:r>
      <w:r w:rsidRPr="00B10A3C">
        <w:rPr>
          <w:i/>
          <w:iCs/>
          <w:szCs w:val="20"/>
        </w:rPr>
        <w:t>Id.</w:t>
      </w:r>
    </w:p>
  </w:footnote>
  <w:footnote w:id="116">
    <w:p w14:paraId="728281F1" w14:textId="4F620545" w:rsidR="0027743D" w:rsidRPr="008E0B16" w:rsidRDefault="0027743D" w:rsidP="0027743D">
      <w:pPr>
        <w:pStyle w:val="FootnoteText"/>
      </w:pPr>
      <w:r w:rsidRPr="00B10A3C">
        <w:rPr>
          <w:rStyle w:val="FootnoteReference"/>
          <w:szCs w:val="20"/>
        </w:rPr>
        <w:footnoteRef/>
      </w:r>
      <w:r w:rsidRPr="00B10A3C">
        <w:rPr>
          <w:szCs w:val="20"/>
        </w:rPr>
        <w:t xml:space="preserve"> </w:t>
      </w:r>
      <w:r w:rsidRPr="00B10A3C">
        <w:rPr>
          <w:i/>
          <w:iCs/>
          <w:szCs w:val="20"/>
        </w:rPr>
        <w:t>Id.</w:t>
      </w:r>
      <w:r w:rsidR="006971E7">
        <w:rPr>
          <w:i/>
          <w:iCs/>
          <w:szCs w:val="20"/>
        </w:rPr>
        <w:t xml:space="preserve"> </w:t>
      </w:r>
      <w:r w:rsidR="006971E7">
        <w:rPr>
          <w:szCs w:val="20"/>
        </w:rPr>
        <w:t xml:space="preserve"> </w:t>
      </w:r>
    </w:p>
  </w:footnote>
  <w:footnote w:id="117">
    <w:p w14:paraId="1FBD9FDA" w14:textId="0835CC11" w:rsidR="000F448C" w:rsidRDefault="000F448C">
      <w:pPr>
        <w:pStyle w:val="FootnoteText"/>
      </w:pPr>
      <w:r>
        <w:rPr>
          <w:rStyle w:val="FootnoteReference"/>
        </w:rPr>
        <w:footnoteRef/>
      </w:r>
      <w:r>
        <w:t xml:space="preserve"> </w:t>
      </w:r>
      <w:r w:rsidR="00CC0C18">
        <w:t xml:space="preserve">Akira </w:t>
      </w:r>
      <w:proofErr w:type="spellStart"/>
      <w:r w:rsidR="00CC0C18">
        <w:t>Ohtsuru</w:t>
      </w:r>
      <w:proofErr w:type="spellEnd"/>
      <w:r w:rsidR="00CC0C18">
        <w:t xml:space="preserve"> et al</w:t>
      </w:r>
      <w:r w:rsidR="00CC0C18" w:rsidRPr="008E0B16">
        <w:rPr>
          <w:i/>
        </w:rPr>
        <w:t xml:space="preserve">., Nuclear </w:t>
      </w:r>
      <w:r w:rsidR="009D5E13" w:rsidRPr="008E0B16">
        <w:rPr>
          <w:i/>
        </w:rPr>
        <w:t>Disasters and Health: Lessons Learned, Challenges, and Proposals</w:t>
      </w:r>
      <w:r w:rsidR="00CC0C18">
        <w:t xml:space="preserve">, </w:t>
      </w:r>
      <w:r w:rsidR="003E1521">
        <w:t xml:space="preserve">386 </w:t>
      </w:r>
      <w:r w:rsidR="003E1521" w:rsidRPr="008E0B16">
        <w:rPr>
          <w:smallCaps/>
        </w:rPr>
        <w:t xml:space="preserve">Lancet </w:t>
      </w:r>
      <w:r w:rsidR="009D5E13">
        <w:t xml:space="preserve">489 (2015); </w:t>
      </w:r>
      <w:r w:rsidR="00D349A7">
        <w:t xml:space="preserve">Neil </w:t>
      </w:r>
      <w:proofErr w:type="spellStart"/>
      <w:r w:rsidR="00D349A7">
        <w:t>Vargesson</w:t>
      </w:r>
      <w:proofErr w:type="spellEnd"/>
      <w:r w:rsidR="00D349A7">
        <w:t xml:space="preserve">, </w:t>
      </w:r>
      <w:r w:rsidR="00D349A7" w:rsidRPr="008E0B16">
        <w:rPr>
          <w:i/>
        </w:rPr>
        <w:t>Thalidomide-</w:t>
      </w:r>
      <w:r w:rsidR="007664E6">
        <w:rPr>
          <w:i/>
        </w:rPr>
        <w:t>I</w:t>
      </w:r>
      <w:r w:rsidR="00D349A7" w:rsidRPr="008E0B16">
        <w:rPr>
          <w:i/>
        </w:rPr>
        <w:t xml:space="preserve">nduced </w:t>
      </w:r>
      <w:r w:rsidR="007664E6">
        <w:rPr>
          <w:i/>
        </w:rPr>
        <w:t>T</w:t>
      </w:r>
      <w:r w:rsidR="00D349A7" w:rsidRPr="008E0B16">
        <w:rPr>
          <w:i/>
        </w:rPr>
        <w:t xml:space="preserve">eratogenesis: History and </w:t>
      </w:r>
      <w:r w:rsidR="007664E6">
        <w:rPr>
          <w:i/>
        </w:rPr>
        <w:t>M</w:t>
      </w:r>
      <w:r w:rsidR="00D349A7" w:rsidRPr="008E0B16">
        <w:rPr>
          <w:i/>
        </w:rPr>
        <w:t>echanisms</w:t>
      </w:r>
      <w:r w:rsidR="00D349A7">
        <w:t xml:space="preserve">, </w:t>
      </w:r>
      <w:r w:rsidR="00D349A7" w:rsidRPr="008E0B16">
        <w:rPr>
          <w:smallCaps/>
        </w:rPr>
        <w:t>105 Embryo Today: Rev</w:t>
      </w:r>
      <w:r w:rsidR="007664E6">
        <w:rPr>
          <w:smallCaps/>
        </w:rPr>
        <w:t>.</w:t>
      </w:r>
      <w:r w:rsidR="00B5735A" w:rsidRPr="008E0B16">
        <w:rPr>
          <w:smallCaps/>
        </w:rPr>
        <w:t>,</w:t>
      </w:r>
      <w:r w:rsidR="00D349A7">
        <w:t xml:space="preserve"> 140 (2015)</w:t>
      </w:r>
      <w:r w:rsidR="00E109FB">
        <w:t xml:space="preserve"> (recounting how </w:t>
      </w:r>
      <w:r w:rsidR="00294FC8">
        <w:t>thalidomide prescriptions to pregnant people in the 1950s and 60s resulted in over 10,000 children born with sever</w:t>
      </w:r>
      <w:r w:rsidR="00E45774">
        <w:t>e malformations)</w:t>
      </w:r>
      <w:r>
        <w:t>.</w:t>
      </w:r>
    </w:p>
  </w:footnote>
  <w:footnote w:id="118">
    <w:p w14:paraId="78A892A3" w14:textId="4170257E" w:rsidR="000F448C" w:rsidRDefault="000F448C">
      <w:pPr>
        <w:pStyle w:val="FootnoteText"/>
      </w:pPr>
      <w:r>
        <w:rPr>
          <w:rStyle w:val="FootnoteReference"/>
        </w:rPr>
        <w:footnoteRef/>
      </w:r>
      <w:r>
        <w:t xml:space="preserve"> </w:t>
      </w:r>
      <w:r w:rsidR="00D349A7" w:rsidRPr="007812B2">
        <w:rPr>
          <w:i/>
        </w:rPr>
        <w:t>See</w:t>
      </w:r>
      <w:r w:rsidR="00D349A7">
        <w:t xml:space="preserve"> discussion </w:t>
      </w:r>
      <w:r w:rsidR="00D349A7" w:rsidRPr="008E0B16">
        <w:rPr>
          <w:i/>
        </w:rPr>
        <w:t>infra</w:t>
      </w:r>
      <w:r w:rsidR="00D349A7">
        <w:t xml:space="preserve"> </w:t>
      </w:r>
      <w:r w:rsidR="00F6636B">
        <w:t xml:space="preserve">Part II.B.1–3.     </w:t>
      </w:r>
    </w:p>
  </w:footnote>
  <w:footnote w:id="119">
    <w:p w14:paraId="1AB23E56" w14:textId="4253F928" w:rsidR="00187E43" w:rsidRDefault="00187E43" w:rsidP="00187E43">
      <w:pPr>
        <w:pStyle w:val="FootnoteText"/>
      </w:pPr>
      <w:r>
        <w:rPr>
          <w:rStyle w:val="FootnoteReference"/>
        </w:rPr>
        <w:footnoteRef/>
      </w:r>
      <w:r>
        <w:t xml:space="preserve"> 21 U.S.C. § 355(a) (“No person shall introduce . . . any new drug, unless an approval of an application . . . is effective with respect to such drug.”).</w:t>
      </w:r>
    </w:p>
  </w:footnote>
  <w:footnote w:id="120">
    <w:p w14:paraId="430E3478" w14:textId="0733257E" w:rsidR="00187E43" w:rsidRPr="00A83F57" w:rsidRDefault="00187E43" w:rsidP="00187E43">
      <w:pPr>
        <w:pStyle w:val="FootnoteText"/>
        <w:rPr>
          <w:szCs w:val="20"/>
        </w:rPr>
      </w:pPr>
      <w:r>
        <w:rPr>
          <w:rStyle w:val="FootnoteReference"/>
        </w:rPr>
        <w:footnoteRef/>
      </w:r>
      <w:r>
        <w:t xml:space="preserve"> 21 U.S.C. § 355(b)(1)(A)(i) (requiring that any person filing a New Drug Application must submit “full reports of investigations which have been made to show whether any such drug is safe for use and whether such drug is effective in use”); </w:t>
      </w:r>
      <w:r w:rsidR="00266D04">
        <w:rPr>
          <w:i/>
          <w:iCs/>
        </w:rPr>
        <w:t xml:space="preserve">see </w:t>
      </w:r>
      <w:r>
        <w:rPr>
          <w:i/>
          <w:iCs/>
        </w:rPr>
        <w:t xml:space="preserve">also </w:t>
      </w:r>
      <w:r>
        <w:t>F.T.C. v. Actavis, 570 U.S. 136, 142 (2013) (“</w:t>
      </w:r>
      <w:r w:rsidRPr="008E0B16">
        <w:rPr>
          <w:shd w:val="clear" w:color="auto" w:fill="FFFFFF"/>
        </w:rPr>
        <w:t xml:space="preserve">[A] </w:t>
      </w:r>
      <w:r w:rsidRPr="008E0B16">
        <w:rPr>
          <w:color w:val="3D3D3D"/>
          <w:shd w:val="clear" w:color="auto" w:fill="FFFFFF"/>
        </w:rPr>
        <w:t>drug manufacturer, wishing to market a new prescription drug, must submit a New Drug Application to the federal Food and Drug Administration (FDA) and undergo a long, comprehensive, and costly testing process</w:t>
      </w:r>
      <w:r w:rsidRPr="008E0B16">
        <w:rPr>
          <w:shd w:val="clear" w:color="auto" w:fill="FFFFFF"/>
        </w:rPr>
        <w:t>.”).</w:t>
      </w:r>
    </w:p>
  </w:footnote>
  <w:footnote w:id="121">
    <w:p w14:paraId="12FFC786" w14:textId="4F7E3B2E" w:rsidR="00187E43" w:rsidRPr="008A5971" w:rsidRDefault="00187E43" w:rsidP="00187E43">
      <w:pPr>
        <w:pStyle w:val="FootnoteText"/>
      </w:pPr>
      <w:r>
        <w:rPr>
          <w:rStyle w:val="FootnoteReference"/>
        </w:rPr>
        <w:footnoteRef/>
      </w:r>
      <w:r>
        <w:t xml:space="preserve"> </w:t>
      </w:r>
      <w:r>
        <w:rPr>
          <w:i/>
          <w:iCs/>
        </w:rPr>
        <w:t xml:space="preserve">See </w:t>
      </w:r>
      <w:r>
        <w:t xml:space="preserve">Richard A. Posner, </w:t>
      </w:r>
      <w:r>
        <w:rPr>
          <w:i/>
          <w:iCs/>
        </w:rPr>
        <w:t>Regulation (Agencies) versus Litigation (Courts)</w:t>
      </w:r>
      <w:r>
        <w:t xml:space="preserve">, </w:t>
      </w:r>
      <w:r w:rsidRPr="008E0B16">
        <w:rPr>
          <w:i/>
        </w:rPr>
        <w:t>in</w:t>
      </w:r>
      <w:r>
        <w:t xml:space="preserve"> </w:t>
      </w:r>
      <w:r w:rsidRPr="004B0CBF">
        <w:rPr>
          <w:smallCaps/>
        </w:rPr>
        <w:t>Regulation vs. Litigation: Perspectives from Economics and Law</w:t>
      </w:r>
      <w:r>
        <w:rPr>
          <w:smallCaps/>
        </w:rPr>
        <w:t xml:space="preserve"> 11, </w:t>
      </w:r>
      <w:r w:rsidR="00E83A5C">
        <w:rPr>
          <w:smallCaps/>
        </w:rPr>
        <w:t xml:space="preserve">16 </w:t>
      </w:r>
      <w:r>
        <w:rPr>
          <w:smallCaps/>
        </w:rPr>
        <w:t>(</w:t>
      </w:r>
      <w:r>
        <w:t>Daniel P. Kessler ed.</w:t>
      </w:r>
      <w:r w:rsidR="00E83A5C">
        <w:t>, 2010</w:t>
      </w:r>
      <w:r>
        <w:t>)</w:t>
      </w:r>
      <w:r w:rsidR="00E83A5C">
        <w:t xml:space="preserve"> </w:t>
      </w:r>
      <w:r>
        <w:t xml:space="preserve">(explaining </w:t>
      </w:r>
      <w:r w:rsidR="00382B34">
        <w:t xml:space="preserve">the </w:t>
      </w:r>
      <w:r>
        <w:t>rationale for ex ante regulation of drugs, including that “[a] drug sold to millions of people can, if it is unsafe, wreak enormous harm . . .</w:t>
      </w:r>
      <w:r w:rsidR="00E83A5C">
        <w:t xml:space="preserve"> </w:t>
      </w:r>
      <w:r>
        <w:t>.</w:t>
      </w:r>
      <w:r w:rsidR="00E83A5C">
        <w:t>”</w:t>
      </w:r>
      <w:r>
        <w:t>).</w:t>
      </w:r>
    </w:p>
  </w:footnote>
  <w:footnote w:id="122">
    <w:p w14:paraId="7A5D4EFC" w14:textId="38B132B9" w:rsidR="008C5074" w:rsidRDefault="008C5074">
      <w:pPr>
        <w:pStyle w:val="FootnoteText"/>
      </w:pPr>
      <w:r>
        <w:rPr>
          <w:rStyle w:val="FootnoteReference"/>
        </w:rPr>
        <w:footnoteRef/>
      </w:r>
      <w:r>
        <w:t xml:space="preserve"> </w:t>
      </w:r>
      <w:r w:rsidR="00E83A5C">
        <w:t>7 U.S.C. § 136a</w:t>
      </w:r>
      <w:r w:rsidR="000F448C">
        <w:t>.</w:t>
      </w:r>
    </w:p>
  </w:footnote>
  <w:footnote w:id="123">
    <w:p w14:paraId="0D0ADB79" w14:textId="22FA1B5B" w:rsidR="00187E43" w:rsidRDefault="00187E43" w:rsidP="008E0B16">
      <w:pPr>
        <w:pStyle w:val="BodyText"/>
        <w:rPr>
          <w:lang w:eastAsia="ja-JP"/>
        </w:rPr>
      </w:pPr>
      <w:r>
        <w:rPr>
          <w:rStyle w:val="FootnoteReference"/>
        </w:rPr>
        <w:footnoteRef/>
      </w:r>
      <w:r>
        <w:t xml:space="preserve"> </w:t>
      </w:r>
      <w:r w:rsidR="00E83A5C" w:rsidRPr="008E0B16">
        <w:rPr>
          <w:i/>
          <w:sz w:val="20"/>
          <w:szCs w:val="20"/>
        </w:rPr>
        <w:t>Id.</w:t>
      </w:r>
      <w:r w:rsidR="00E83A5C" w:rsidRPr="008E0B16">
        <w:rPr>
          <w:sz w:val="20"/>
          <w:szCs w:val="20"/>
        </w:rPr>
        <w:t xml:space="preserve"> § 136a(c)(5)(D).</w:t>
      </w:r>
      <w:r w:rsidRPr="008E0B16">
        <w:rPr>
          <w:sz w:val="21"/>
        </w:rPr>
        <w:t xml:space="preserve"> </w:t>
      </w:r>
      <w:r w:rsidRPr="00885744">
        <w:rPr>
          <w:sz w:val="20"/>
          <w:szCs w:val="20"/>
          <w:lang w:eastAsia="ja-JP"/>
        </w:rPr>
        <w:t>These potential effects include “any unreasonable risk to man or the environment, taking into account the economic social, and environmental costs and benefits of the use of any pesticide, or a human dietary risk from residues that result from a use of a pesticide in or on any food . . .</w:t>
      </w:r>
      <w:r w:rsidR="00E83A5C">
        <w:rPr>
          <w:sz w:val="20"/>
          <w:szCs w:val="20"/>
          <w:lang w:eastAsia="ja-JP"/>
        </w:rPr>
        <w:t xml:space="preserve"> </w:t>
      </w:r>
      <w:r w:rsidRPr="00885744">
        <w:rPr>
          <w:sz w:val="20"/>
          <w:szCs w:val="20"/>
          <w:lang w:eastAsia="ja-JP"/>
        </w:rPr>
        <w:t>.”</w:t>
      </w:r>
      <w:r w:rsidR="00E83A5C">
        <w:rPr>
          <w:sz w:val="20"/>
          <w:szCs w:val="20"/>
          <w:lang w:eastAsia="ja-JP"/>
        </w:rPr>
        <w:t xml:space="preserve"> </w:t>
      </w:r>
      <w:r w:rsidR="00E83A5C" w:rsidRPr="008E0B16">
        <w:rPr>
          <w:i/>
          <w:sz w:val="20"/>
          <w:szCs w:val="20"/>
          <w:lang w:eastAsia="ja-JP"/>
        </w:rPr>
        <w:t>Id.</w:t>
      </w:r>
      <w:r w:rsidR="00E83A5C">
        <w:rPr>
          <w:sz w:val="20"/>
          <w:szCs w:val="20"/>
          <w:lang w:eastAsia="ja-JP"/>
        </w:rPr>
        <w:t xml:space="preserve"> § 136(bb).</w:t>
      </w:r>
      <w:r>
        <w:rPr>
          <w:lang w:eastAsia="ja-JP"/>
        </w:rPr>
        <w:t xml:space="preserve"> </w:t>
      </w:r>
    </w:p>
  </w:footnote>
  <w:footnote w:id="124">
    <w:p w14:paraId="002C78EF" w14:textId="6FF83425" w:rsidR="008C5074" w:rsidRDefault="008C5074">
      <w:pPr>
        <w:pStyle w:val="FootnoteText"/>
      </w:pPr>
      <w:r>
        <w:rPr>
          <w:rStyle w:val="FootnoteReference"/>
        </w:rPr>
        <w:footnoteRef/>
      </w:r>
      <w:r>
        <w:t xml:space="preserve"> </w:t>
      </w:r>
      <w:r w:rsidR="00E83A5C" w:rsidRPr="008E0B16">
        <w:rPr>
          <w:i/>
          <w:iCs/>
        </w:rPr>
        <w:t>Id.</w:t>
      </w:r>
      <w:r w:rsidR="00E83A5C">
        <w:t xml:space="preserve"> § 136d</w:t>
      </w:r>
      <w:r w:rsidR="000F448C">
        <w:t>.</w:t>
      </w:r>
    </w:p>
  </w:footnote>
  <w:footnote w:id="125">
    <w:p w14:paraId="749278F6" w14:textId="32DC6FEF" w:rsidR="00187E43" w:rsidRDefault="00187E43" w:rsidP="00187E43">
      <w:pPr>
        <w:pStyle w:val="FootnoteText"/>
      </w:pPr>
      <w:r>
        <w:rPr>
          <w:rStyle w:val="FootnoteReference"/>
        </w:rPr>
        <w:footnoteRef/>
      </w:r>
      <w:r>
        <w:t xml:space="preserve"> 15 U.S.C. </w:t>
      </w:r>
      <w:r w:rsidR="00E83A5C">
        <w:t>§ 2604</w:t>
      </w:r>
      <w:r>
        <w:t>(a)(1).</w:t>
      </w:r>
    </w:p>
  </w:footnote>
  <w:footnote w:id="126">
    <w:p w14:paraId="32376490" w14:textId="2D1E557D" w:rsidR="00187E43" w:rsidRDefault="00187E43" w:rsidP="00187E43">
      <w:pPr>
        <w:pStyle w:val="FootnoteText"/>
      </w:pPr>
      <w:r>
        <w:rPr>
          <w:rStyle w:val="FootnoteReference"/>
        </w:rPr>
        <w:footnoteRef/>
      </w:r>
      <w:r>
        <w:t xml:space="preserve"> </w:t>
      </w:r>
      <w:r w:rsidR="00E83A5C" w:rsidRPr="008E0B16">
        <w:rPr>
          <w:i/>
        </w:rPr>
        <w:t>Id.</w:t>
      </w:r>
      <w:r>
        <w:t xml:space="preserve"> </w:t>
      </w:r>
      <w:r w:rsidR="00E83A5C">
        <w:t>§ 2604</w:t>
      </w:r>
      <w:r>
        <w:t>(a)(3)(A)</w:t>
      </w:r>
      <w:r w:rsidR="00E83A5C">
        <w:t xml:space="preserve">, </w:t>
      </w:r>
      <w:r>
        <w:t>(C).</w:t>
      </w:r>
    </w:p>
  </w:footnote>
  <w:footnote w:id="127">
    <w:p w14:paraId="1219B112" w14:textId="60FA7589" w:rsidR="00187E43" w:rsidRDefault="00187E43" w:rsidP="00187E43">
      <w:pPr>
        <w:pStyle w:val="FootnoteText"/>
      </w:pPr>
      <w:r>
        <w:rPr>
          <w:rStyle w:val="FootnoteReference"/>
        </w:rPr>
        <w:footnoteRef/>
      </w:r>
      <w:r>
        <w:t xml:space="preserve"> </w:t>
      </w:r>
      <w:r w:rsidR="00E83A5C" w:rsidRPr="008E0B16">
        <w:rPr>
          <w:i/>
        </w:rPr>
        <w:t>Id.</w:t>
      </w:r>
      <w:r w:rsidR="00E83A5C">
        <w:t xml:space="preserve"> § 2604</w:t>
      </w:r>
      <w:r>
        <w:t>(a)(3)(B).</w:t>
      </w:r>
    </w:p>
  </w:footnote>
  <w:footnote w:id="128">
    <w:p w14:paraId="7EAAC153" w14:textId="1BAF5CAC" w:rsidR="00187E43" w:rsidRDefault="00187E43" w:rsidP="00187E43">
      <w:pPr>
        <w:pStyle w:val="FootnoteText"/>
      </w:pPr>
      <w:r>
        <w:rPr>
          <w:rStyle w:val="FootnoteReference"/>
        </w:rPr>
        <w:footnoteRef/>
      </w:r>
      <w:r>
        <w:t xml:space="preserve"> Other forms of ex ante regulations protect consumers of services. For example, most states require licensure for individuals who want to provide specific types of services, such as legal or medical services. In some cases, these licensing requirements appear to function more as anticompetitive barriers to entry designed to limit competition than as consumer safety measures. </w:t>
      </w:r>
      <w:r w:rsidR="00E83A5C" w:rsidRPr="008E0B16">
        <w:rPr>
          <w:i/>
          <w:iCs/>
        </w:rPr>
        <w:t>See</w:t>
      </w:r>
      <w:r w:rsidDel="00E83A5C">
        <w:t xml:space="preserve"> </w:t>
      </w:r>
      <w:r w:rsidR="00E83A5C">
        <w:t>Aaron</w:t>
      </w:r>
      <w:r>
        <w:t xml:space="preserve"> </w:t>
      </w:r>
      <w:proofErr w:type="spellStart"/>
      <w:r>
        <w:t>Edlin</w:t>
      </w:r>
      <w:proofErr w:type="spellEnd"/>
      <w:r>
        <w:t xml:space="preserve"> </w:t>
      </w:r>
      <w:r w:rsidR="00E83A5C">
        <w:t>&amp; Rebecca Haw Allensworth,</w:t>
      </w:r>
      <w:r>
        <w:t xml:space="preserve"> </w:t>
      </w:r>
      <w:r w:rsidR="00E83A5C" w:rsidRPr="007A025F">
        <w:rPr>
          <w:i/>
          <w:iCs/>
        </w:rPr>
        <w:t>Cartels</w:t>
      </w:r>
      <w:r w:rsidR="00E83A5C" w:rsidRPr="007A025F">
        <w:rPr>
          <w:i/>
        </w:rPr>
        <w:t xml:space="preserve"> by Another Name: Should </w:t>
      </w:r>
      <w:proofErr w:type="spellStart"/>
      <w:r w:rsidR="00E83A5C" w:rsidRPr="007A025F">
        <w:rPr>
          <w:i/>
        </w:rPr>
        <w:t>Licensed</w:t>
      </w:r>
      <w:proofErr w:type="spellEnd"/>
      <w:r w:rsidR="00E83A5C" w:rsidRPr="007A025F">
        <w:rPr>
          <w:i/>
        </w:rPr>
        <w:t xml:space="preserve"> Occupations Face Antitrust Scrutiny?</w:t>
      </w:r>
      <w:r w:rsidR="00E83A5C">
        <w:t xml:space="preserve">, 162 </w:t>
      </w:r>
      <w:r w:rsidR="00E83A5C" w:rsidRPr="007A025F">
        <w:rPr>
          <w:smallCaps/>
        </w:rPr>
        <w:t>U. Pa. L. Rev.</w:t>
      </w:r>
      <w:r w:rsidR="00E83A5C">
        <w:t xml:space="preserve"> 1093, 1149 (2014)</w:t>
      </w:r>
      <w:r>
        <w:t xml:space="preserve">. </w:t>
      </w:r>
    </w:p>
  </w:footnote>
  <w:footnote w:id="129">
    <w:p w14:paraId="77C7796C" w14:textId="5418D49A" w:rsidR="00187E43" w:rsidRDefault="00187E43" w:rsidP="00187E43">
      <w:pPr>
        <w:pStyle w:val="FootnoteText"/>
      </w:pPr>
      <w:r>
        <w:rPr>
          <w:rStyle w:val="FootnoteReference"/>
        </w:rPr>
        <w:footnoteRef/>
      </w:r>
      <w:r>
        <w:t xml:space="preserve"> 16 C</w:t>
      </w:r>
      <w:r w:rsidR="00382B34">
        <w:t>.</w:t>
      </w:r>
      <w:r>
        <w:t>F</w:t>
      </w:r>
      <w:r w:rsidR="00382B34">
        <w:t>.</w:t>
      </w:r>
      <w:r>
        <w:t>R</w:t>
      </w:r>
      <w:r w:rsidR="00382B34">
        <w:t>.</w:t>
      </w:r>
      <w:r>
        <w:t xml:space="preserve"> § 1500.18 (describing “[b]</w:t>
      </w:r>
      <w:proofErr w:type="spellStart"/>
      <w:r>
        <w:t>anned</w:t>
      </w:r>
      <w:proofErr w:type="spellEnd"/>
      <w:r>
        <w:t xml:space="preserve"> toys and other banned articles intended for use by children</w:t>
      </w:r>
      <w:r w:rsidR="00E83A5C">
        <w:t>”</w:t>
      </w:r>
      <w:r>
        <w:t xml:space="preserve">). </w:t>
      </w:r>
    </w:p>
  </w:footnote>
  <w:footnote w:id="130">
    <w:p w14:paraId="3A8A1035" w14:textId="4A63A379" w:rsidR="00187E43" w:rsidRDefault="00187E43" w:rsidP="00187E43">
      <w:pPr>
        <w:pStyle w:val="FootnoteText"/>
      </w:pPr>
      <w:r>
        <w:rPr>
          <w:rStyle w:val="FootnoteReference"/>
        </w:rPr>
        <w:footnoteRef/>
      </w:r>
      <w:r>
        <w:t xml:space="preserve"> 16 C</w:t>
      </w:r>
      <w:r w:rsidR="00382B34">
        <w:t>.</w:t>
      </w:r>
      <w:r>
        <w:t>F</w:t>
      </w:r>
      <w:r w:rsidR="00382B34">
        <w:t>.</w:t>
      </w:r>
      <w:r>
        <w:t>R</w:t>
      </w:r>
      <w:r w:rsidR="00382B34">
        <w:t>.</w:t>
      </w:r>
      <w:r>
        <w:t xml:space="preserve"> § 1303.4.</w:t>
      </w:r>
    </w:p>
  </w:footnote>
  <w:footnote w:id="131">
    <w:p w14:paraId="5D9C915A" w14:textId="6B833C03" w:rsidR="00187E43" w:rsidRDefault="00187E43" w:rsidP="00187E43">
      <w:pPr>
        <w:pStyle w:val="FootnoteText"/>
      </w:pPr>
      <w:r>
        <w:rPr>
          <w:rStyle w:val="FootnoteReference"/>
        </w:rPr>
        <w:footnoteRef/>
      </w:r>
      <w:r>
        <w:t xml:space="preserve"> 16 C</w:t>
      </w:r>
      <w:r w:rsidR="00382B34">
        <w:t>.</w:t>
      </w:r>
      <w:r>
        <w:t>F</w:t>
      </w:r>
      <w:r w:rsidR="00382B34">
        <w:t>.</w:t>
      </w:r>
      <w:r>
        <w:t>R</w:t>
      </w:r>
      <w:r w:rsidR="00382B34">
        <w:t>.</w:t>
      </w:r>
      <w:r>
        <w:t xml:space="preserve"> § 1120.3.</w:t>
      </w:r>
    </w:p>
  </w:footnote>
  <w:footnote w:id="132">
    <w:p w14:paraId="5A810A34" w14:textId="77777777" w:rsidR="00187E43" w:rsidRPr="00E12C82" w:rsidRDefault="00187E43" w:rsidP="00187E43">
      <w:pPr>
        <w:pStyle w:val="FootnoteText"/>
        <w:rPr>
          <w:i/>
          <w:iCs/>
        </w:rPr>
      </w:pPr>
      <w:r>
        <w:rPr>
          <w:rStyle w:val="FootnoteReference"/>
        </w:rPr>
        <w:footnoteRef/>
      </w:r>
      <w:r>
        <w:t xml:space="preserve"> </w:t>
      </w:r>
      <w:r>
        <w:rPr>
          <w:i/>
          <w:iCs/>
        </w:rPr>
        <w:t>Id.</w:t>
      </w:r>
    </w:p>
  </w:footnote>
  <w:footnote w:id="133">
    <w:p w14:paraId="4B6E48B5" w14:textId="5419FFF7" w:rsidR="00187E43" w:rsidRDefault="00187E43" w:rsidP="00187E43">
      <w:pPr>
        <w:pStyle w:val="FootnoteText"/>
      </w:pPr>
      <w:r>
        <w:rPr>
          <w:rStyle w:val="FootnoteReference"/>
        </w:rPr>
        <w:footnoteRef/>
      </w:r>
      <w:r w:rsidRPr="003217CE">
        <w:t xml:space="preserve"> </w:t>
      </w:r>
      <w:r w:rsidR="003217CE" w:rsidRPr="007A025F">
        <w:t xml:space="preserve">21 U.S.C. § 360h; 7 U.S.C. </w:t>
      </w:r>
      <w:r w:rsidR="003217CE" w:rsidRPr="003217CE">
        <w:rPr>
          <w:sz w:val="21"/>
          <w:szCs w:val="21"/>
        </w:rPr>
        <w:t>§ 136a(c)(5)(D).</w:t>
      </w:r>
      <w:r w:rsidR="003217CE" w:rsidRPr="007A025F">
        <w:t xml:space="preserve"> For additional discussion of chemical regulation, specifically </w:t>
      </w:r>
      <w:r w:rsidRPr="003217CE">
        <w:t>DDT</w:t>
      </w:r>
      <w:r w:rsidR="003217CE" w:rsidRPr="007A025F">
        <w:t xml:space="preserve"> and</w:t>
      </w:r>
      <w:r w:rsidRPr="003217CE">
        <w:t xml:space="preserve"> Thalidomide</w:t>
      </w:r>
      <w:r w:rsidR="003217CE" w:rsidRPr="007A025F">
        <w:t xml:space="preserve">, see David E. Adelman, </w:t>
      </w:r>
      <w:r w:rsidR="003217CE" w:rsidRPr="007A025F">
        <w:rPr>
          <w:i/>
        </w:rPr>
        <w:t>New Directions in Environmental Law: A Cautiously Pessimistic Appraisal of Trends in Toxics Regulation</w:t>
      </w:r>
      <w:r w:rsidR="003217CE" w:rsidRPr="003217CE">
        <w:t xml:space="preserve">, 32 </w:t>
      </w:r>
      <w:r w:rsidR="003217CE" w:rsidRPr="007A025F">
        <w:rPr>
          <w:smallCaps/>
        </w:rPr>
        <w:t>Wash. U. J.L. &amp; Pol</w:t>
      </w:r>
      <w:r w:rsidR="003217CE" w:rsidRPr="003217CE">
        <w:rPr>
          <w:smallCaps/>
        </w:rPr>
        <w:t>’</w:t>
      </w:r>
      <w:r w:rsidR="003217CE" w:rsidRPr="007A025F">
        <w:rPr>
          <w:smallCaps/>
        </w:rPr>
        <w:t>y</w:t>
      </w:r>
      <w:r w:rsidR="003217CE" w:rsidRPr="003217CE">
        <w:t xml:space="preserve"> 377</w:t>
      </w:r>
      <w:r w:rsidR="003217CE" w:rsidRPr="00B22681">
        <w:t xml:space="preserve"> (2010).</w:t>
      </w:r>
    </w:p>
  </w:footnote>
  <w:footnote w:id="134">
    <w:p w14:paraId="60E83752" w14:textId="46417CA6" w:rsidR="00187E43" w:rsidRPr="00656247" w:rsidRDefault="00187E43" w:rsidP="00187E43">
      <w:pPr>
        <w:pStyle w:val="FootnoteText"/>
      </w:pPr>
      <w:r>
        <w:rPr>
          <w:rStyle w:val="FootnoteReference"/>
        </w:rPr>
        <w:footnoteRef/>
      </w:r>
      <w:r>
        <w:t xml:space="preserve"> 49 U.S.C. § 30118(b)(1) (“The Secretary may make a final decision that a motor vehicle or replacement equipment contains a defect related to motor vehicle safety or does not comply with an applicable motor vehicle safety standard</w:t>
      </w:r>
      <w:r w:rsidR="00E83A5C">
        <w:t xml:space="preserve"> </w:t>
      </w:r>
      <w:r>
        <w:t>. . . .”); 49 U.S.C. §</w:t>
      </w:r>
      <w:r w:rsidR="00E83A5C">
        <w:t>§</w:t>
      </w:r>
      <w:r>
        <w:t xml:space="preserve"> 30118(b)(2)</w:t>
      </w:r>
      <w:r w:rsidR="00E83A5C">
        <w:t>,</w:t>
      </w:r>
      <w:r>
        <w:t xml:space="preserve"> 30120(a)(1) (stating that when the Secretary determines that a car or part is defective, the Secretary must order the manufacturer to notify consumers and dealers of the defect and remedy the defect, including by repairing or replacing the vehicle or part); </w:t>
      </w:r>
      <w:r w:rsidR="00E83A5C" w:rsidRPr="00E83A5C">
        <w:rPr>
          <w:i/>
          <w:iCs/>
        </w:rPr>
        <w:t>s</w:t>
      </w:r>
      <w:r>
        <w:rPr>
          <w:i/>
          <w:iCs/>
        </w:rPr>
        <w:t xml:space="preserve">ee also </w:t>
      </w:r>
      <w:r>
        <w:t xml:space="preserve">Matthew Wansley, </w:t>
      </w:r>
      <w:r w:rsidR="00E83A5C" w:rsidRPr="00C50A06">
        <w:rPr>
          <w:i/>
          <w:iCs/>
        </w:rPr>
        <w:t>Regulating</w:t>
      </w:r>
      <w:r w:rsidR="00E83A5C" w:rsidRPr="00C50A06">
        <w:rPr>
          <w:i/>
        </w:rPr>
        <w:t xml:space="preserve"> Automated Driving</w:t>
      </w:r>
      <w:r>
        <w:t xml:space="preserve"> 10</w:t>
      </w:r>
      <w:r w:rsidR="00CE74A4">
        <w:t>–</w:t>
      </w:r>
      <w:r>
        <w:t>12</w:t>
      </w:r>
      <w:r w:rsidR="00E83A5C" w:rsidRPr="00B22681">
        <w:t xml:space="preserve"> (Cardozo Legal Stud. Rsch. Paper No. 689)</w:t>
      </w:r>
      <w:r w:rsidRPr="00E83A5C">
        <w:t>,</w:t>
      </w:r>
      <w:r>
        <w:t xml:space="preserve"> </w:t>
      </w:r>
      <w:r w:rsidR="00343635" w:rsidRPr="00C50A06">
        <w:t>https://papers.ssrn.com/sol3/papers.cfm?abstract_id=4190688</w:t>
      </w:r>
      <w:r>
        <w:t xml:space="preserve"> (describing the recall authority created by The National Traffic and Motor Safety Act of 1966). </w:t>
      </w:r>
    </w:p>
  </w:footnote>
  <w:footnote w:id="135">
    <w:p w14:paraId="479F3063" w14:textId="4CBCAD77" w:rsidR="00187E43" w:rsidRDefault="00187E43" w:rsidP="00187E43">
      <w:pPr>
        <w:pStyle w:val="FootnoteText"/>
      </w:pPr>
      <w:r>
        <w:rPr>
          <w:rStyle w:val="FootnoteReference"/>
        </w:rPr>
        <w:footnoteRef/>
      </w:r>
      <w:r>
        <w:t xml:space="preserve"> </w:t>
      </w:r>
      <w:r w:rsidR="00E83A5C">
        <w:t>21 C.F.R. § 1140.14.</w:t>
      </w:r>
    </w:p>
  </w:footnote>
  <w:footnote w:id="136">
    <w:p w14:paraId="41101983" w14:textId="116C92A8" w:rsidR="00187E43" w:rsidRPr="007E7D41" w:rsidRDefault="00187E43" w:rsidP="00187E43">
      <w:pPr>
        <w:pStyle w:val="FootnoteText"/>
      </w:pPr>
      <w:r>
        <w:rPr>
          <w:rStyle w:val="FootnoteReference"/>
        </w:rPr>
        <w:footnoteRef/>
      </w:r>
      <w:r>
        <w:t xml:space="preserve"> </w:t>
      </w:r>
      <w:r>
        <w:rPr>
          <w:i/>
          <w:iCs/>
        </w:rPr>
        <w:t>See</w:t>
      </w:r>
      <w:r>
        <w:t xml:space="preserve"> Hannah Wiley, </w:t>
      </w:r>
      <w:r>
        <w:rPr>
          <w:i/>
          <w:iCs/>
        </w:rPr>
        <w:t>California Voters Approve Ban on Sale of Flavored Tobacco Products</w:t>
      </w:r>
      <w:r>
        <w:t xml:space="preserve">, </w:t>
      </w:r>
      <w:r w:rsidRPr="00165563">
        <w:rPr>
          <w:smallCaps/>
        </w:rPr>
        <w:t>L.A. Times</w:t>
      </w:r>
      <w:r>
        <w:t xml:space="preserve"> (Nov. 8, 2022), </w:t>
      </w:r>
      <w:r w:rsidR="00343635" w:rsidRPr="00B22681">
        <w:t>https://www.latimes.com/california/story/2022-11-08/2022-california-election-prop-31-ban-flavored-tobacco-results</w:t>
      </w:r>
      <w:r>
        <w:t xml:space="preserve">; California General Election, November 8, 2022, Prop 31, </w:t>
      </w:r>
      <w:r>
        <w:rPr>
          <w:i/>
          <w:iCs/>
        </w:rPr>
        <w:t>Referendum on 2020 Law That Would Prohibit the Retail Sale of Certain Flavored Tobacco Products</w:t>
      </w:r>
      <w:r>
        <w:t xml:space="preserve">, </w:t>
      </w:r>
      <w:r w:rsidRPr="00490D18">
        <w:t>https://voterguide.sos.ca.gov/propositions/31</w:t>
      </w:r>
      <w:r>
        <w:t>.</w:t>
      </w:r>
    </w:p>
  </w:footnote>
  <w:footnote w:id="137">
    <w:p w14:paraId="21AF7E60" w14:textId="196B054A" w:rsidR="00187E43" w:rsidRPr="00001EFD" w:rsidRDefault="00187E43" w:rsidP="00187E43">
      <w:pPr>
        <w:pStyle w:val="FootnoteText"/>
      </w:pPr>
      <w:r>
        <w:rPr>
          <w:rStyle w:val="FootnoteReference"/>
        </w:rPr>
        <w:footnoteRef/>
      </w:r>
      <w:r>
        <w:t xml:space="preserve"> </w:t>
      </w:r>
      <w:r>
        <w:rPr>
          <w:i/>
          <w:iCs/>
        </w:rPr>
        <w:t xml:space="preserve">What </w:t>
      </w:r>
      <w:r w:rsidR="00E83A5C">
        <w:rPr>
          <w:i/>
          <w:iCs/>
        </w:rPr>
        <w:t>I</w:t>
      </w:r>
      <w:r>
        <w:rPr>
          <w:i/>
          <w:iCs/>
        </w:rPr>
        <w:t>s the Consumer Product Safety Commission, and How Does it Protect Consumers from Hazards</w:t>
      </w:r>
      <w:r w:rsidR="00E83A5C">
        <w:rPr>
          <w:i/>
          <w:iCs/>
        </w:rPr>
        <w:t>?</w:t>
      </w:r>
      <w:r>
        <w:t xml:space="preserve">, </w:t>
      </w:r>
      <w:r w:rsidR="00E83A5C" w:rsidRPr="00B22681">
        <w:rPr>
          <w:smallCaps/>
        </w:rPr>
        <w:t>U.S. Gov’t Accountability Off.</w:t>
      </w:r>
      <w:r w:rsidR="00E83A5C">
        <w:t xml:space="preserve"> (Mar. 5, 2021),</w:t>
      </w:r>
      <w:r>
        <w:t xml:space="preserve"> </w:t>
      </w:r>
      <w:r w:rsidR="00343635" w:rsidRPr="00C50A06">
        <w:t>https://www.gao.gov/blog/what-consumer-product-safety-commission%2C-and-how-does-it-protect-consumers-hazards</w:t>
      </w:r>
      <w:r>
        <w:t xml:space="preserve"> (describing the </w:t>
      </w:r>
      <w:r w:rsidR="00635EB7">
        <w:t>CPSC</w:t>
      </w:r>
      <w:r>
        <w:t>’s recall and civil penalty authority).</w:t>
      </w:r>
    </w:p>
  </w:footnote>
  <w:footnote w:id="138">
    <w:p w14:paraId="00B752B5" w14:textId="0F8AD2E7" w:rsidR="00C5065B" w:rsidRPr="00717E7B" w:rsidRDefault="00C5065B">
      <w:pPr>
        <w:pStyle w:val="FootnoteText"/>
      </w:pPr>
      <w:r>
        <w:rPr>
          <w:rStyle w:val="FootnoteReference"/>
        </w:rPr>
        <w:footnoteRef/>
      </w:r>
      <w:r>
        <w:t xml:space="preserve"> </w:t>
      </w:r>
      <w:r w:rsidR="0001211D">
        <w:rPr>
          <w:i/>
          <w:iCs/>
        </w:rPr>
        <w:t>Peloton</w:t>
      </w:r>
      <w:r>
        <w:rPr>
          <w:i/>
          <w:iCs/>
        </w:rPr>
        <w:t xml:space="preserve"> Agrees to Pay $19 Million Civil Penalty </w:t>
      </w:r>
      <w:r w:rsidR="00CE0E1E">
        <w:rPr>
          <w:i/>
          <w:iCs/>
        </w:rPr>
        <w:t xml:space="preserve">for Failure to Immediately Report Tread+ Treadmill Entrapment Hazards and </w:t>
      </w:r>
      <w:r w:rsidR="00717E7B">
        <w:rPr>
          <w:i/>
          <w:iCs/>
        </w:rPr>
        <w:t>for Distributing Recalled Treadmills</w:t>
      </w:r>
      <w:r w:rsidR="00717E7B">
        <w:t xml:space="preserve">, </w:t>
      </w:r>
      <w:r w:rsidR="00717E7B" w:rsidRPr="00B22681">
        <w:rPr>
          <w:smallCaps/>
        </w:rPr>
        <w:t>U.S Consumer Prod</w:t>
      </w:r>
      <w:r w:rsidR="00E83A5C" w:rsidRPr="00B22681">
        <w:rPr>
          <w:smallCaps/>
        </w:rPr>
        <w:t>.</w:t>
      </w:r>
      <w:r w:rsidR="00717E7B" w:rsidRPr="00B22681">
        <w:rPr>
          <w:smallCaps/>
        </w:rPr>
        <w:t xml:space="preserve"> Safety </w:t>
      </w:r>
      <w:r w:rsidR="00E83A5C" w:rsidRPr="00B22681">
        <w:rPr>
          <w:smallCaps/>
        </w:rPr>
        <w:t>Comm’n</w:t>
      </w:r>
      <w:r w:rsidR="00E83A5C">
        <w:t xml:space="preserve"> </w:t>
      </w:r>
      <w:r w:rsidR="00717E7B">
        <w:t xml:space="preserve">(Jan. 5, 2023), </w:t>
      </w:r>
      <w:r w:rsidR="008C4FE3" w:rsidRPr="008C4FE3">
        <w:t>https://www.cpsc.gov/Newsroom/News-Releases/2023/Peloton-Agrees-to-Pay-19-Million-Civil-Penalty-for-Failure-to-Immediately-Report-Tread-Treadmill-Entrapment-Hazards-and-for-Distributing-Recalled-Treadmills</w:t>
      </w:r>
      <w:r w:rsidR="008C4FE3">
        <w:t>.</w:t>
      </w:r>
    </w:p>
  </w:footnote>
  <w:footnote w:id="139">
    <w:p w14:paraId="02E6346D" w14:textId="77777777" w:rsidR="00060B56" w:rsidRPr="00A84653" w:rsidRDefault="00060B56" w:rsidP="00060B56">
      <w:pPr>
        <w:pStyle w:val="FootnoteText"/>
      </w:pPr>
      <w:r>
        <w:rPr>
          <w:rStyle w:val="FootnoteReference"/>
        </w:rPr>
        <w:footnoteRef/>
      </w:r>
      <w:r>
        <w:t xml:space="preserve"> </w:t>
      </w:r>
      <w:r>
        <w:rPr>
          <w:i/>
          <w:iCs/>
        </w:rPr>
        <w:t xml:space="preserve">See </w:t>
      </w:r>
      <w:r>
        <w:t xml:space="preserve">Brian Galle, </w:t>
      </w:r>
      <w:r>
        <w:rPr>
          <w:i/>
          <w:iCs/>
        </w:rPr>
        <w:t>In Praise of Ex Ante Regulation</w:t>
      </w:r>
      <w:r>
        <w:t xml:space="preserve">, 68 </w:t>
      </w:r>
      <w:r w:rsidRPr="00410B07">
        <w:rPr>
          <w:smallCaps/>
        </w:rPr>
        <w:t>Vand. L. Rev.</w:t>
      </w:r>
      <w:r>
        <w:t xml:space="preserve"> 1715, 1720 (referring to the tax system as a “standard tool[] of ex ante regulation”).</w:t>
      </w:r>
    </w:p>
  </w:footnote>
  <w:footnote w:id="140">
    <w:p w14:paraId="3971B826" w14:textId="2BB2B3C8" w:rsidR="00BE3C2D" w:rsidRDefault="00BE3C2D">
      <w:pPr>
        <w:pStyle w:val="FootnoteText"/>
      </w:pPr>
      <w:r>
        <w:rPr>
          <w:rStyle w:val="FootnoteReference"/>
        </w:rPr>
        <w:footnoteRef/>
      </w:r>
      <w:r>
        <w:t xml:space="preserve"> </w:t>
      </w:r>
      <w:r w:rsidR="00E83A5C" w:rsidRPr="00B22681">
        <w:rPr>
          <w:i/>
          <w:iCs/>
        </w:rPr>
        <w:t>See</w:t>
      </w:r>
      <w:r w:rsidR="00E83A5C" w:rsidRPr="00B22681">
        <w:rPr>
          <w:i/>
        </w:rPr>
        <w:t xml:space="preserve"> generally</w:t>
      </w:r>
      <w:r w:rsidR="00E83A5C">
        <w:t xml:space="preserve"> </w:t>
      </w:r>
      <w:r w:rsidR="00E83A5C" w:rsidRPr="00E83A5C">
        <w:t xml:space="preserve">Pearl Bader, David Boisclair &amp; Roberta </w:t>
      </w:r>
      <w:proofErr w:type="spellStart"/>
      <w:r w:rsidR="00E83A5C" w:rsidRPr="00E83A5C">
        <w:t>Ferrence</w:t>
      </w:r>
      <w:proofErr w:type="spellEnd"/>
      <w:r w:rsidR="00E83A5C" w:rsidRPr="00E83A5C">
        <w:t>,</w:t>
      </w:r>
      <w:r w:rsidR="00E83A5C">
        <w:t xml:space="preserve"> </w:t>
      </w:r>
      <w:r w:rsidR="00E83A5C" w:rsidRPr="00B22681">
        <w:rPr>
          <w:i/>
        </w:rPr>
        <w:t>Effects of Tobacco Taxation and Pricing on Smoking Behavior in High Risk Populations: A Knowledge Synthesis</w:t>
      </w:r>
      <w:r w:rsidR="00E83A5C" w:rsidRPr="00E83A5C">
        <w:t xml:space="preserve">, 8 </w:t>
      </w:r>
      <w:r w:rsidR="00E83A5C" w:rsidRPr="00B22681">
        <w:rPr>
          <w:smallCaps/>
        </w:rPr>
        <w:t>Int’l J. Env’t  Rsch. &amp; Pub. Health</w:t>
      </w:r>
      <w:r w:rsidR="00E83A5C" w:rsidRPr="00E83A5C">
        <w:t xml:space="preserve"> 4118</w:t>
      </w:r>
      <w:r w:rsidR="00E83A5C">
        <w:t xml:space="preserve"> </w:t>
      </w:r>
      <w:r w:rsidR="00E83A5C" w:rsidRPr="00E83A5C">
        <w:t>(2011)</w:t>
      </w:r>
      <w:r w:rsidR="004D36FA">
        <w:t>;</w:t>
      </w:r>
      <w:r>
        <w:t xml:space="preserve"> </w:t>
      </w:r>
      <w:r w:rsidR="001D35E4">
        <w:t xml:space="preserve">W. Kip Viscusi, </w:t>
      </w:r>
      <w:r w:rsidR="001D35E4" w:rsidRPr="00B22681">
        <w:rPr>
          <w:i/>
        </w:rPr>
        <w:t>Cigarette Taxation and the Social Consequences of Smoking</w:t>
      </w:r>
      <w:r w:rsidR="001D35E4">
        <w:t xml:space="preserve">, </w:t>
      </w:r>
      <w:r w:rsidR="00F04FE1">
        <w:t xml:space="preserve">9 </w:t>
      </w:r>
      <w:r w:rsidR="00F04FE1" w:rsidRPr="00B22681">
        <w:rPr>
          <w:smallCaps/>
        </w:rPr>
        <w:t>Tax Pol. &amp; Econ.</w:t>
      </w:r>
      <w:r w:rsidR="00F04FE1">
        <w:t xml:space="preserve"> </w:t>
      </w:r>
      <w:r w:rsidR="00D1349E">
        <w:t>51 (1995)</w:t>
      </w:r>
      <w:r>
        <w:t>.</w:t>
      </w:r>
    </w:p>
  </w:footnote>
  <w:footnote w:id="141">
    <w:p w14:paraId="27E1172F" w14:textId="08CE3638" w:rsidR="00BE3C2D" w:rsidRDefault="00BE3C2D">
      <w:pPr>
        <w:pStyle w:val="FootnoteText"/>
      </w:pPr>
      <w:r>
        <w:rPr>
          <w:rStyle w:val="FootnoteReference"/>
        </w:rPr>
        <w:footnoteRef/>
      </w:r>
      <w:r>
        <w:t xml:space="preserve"> </w:t>
      </w:r>
      <w:r w:rsidR="00E83A5C" w:rsidRPr="00B22681">
        <w:rPr>
          <w:i/>
          <w:iCs/>
        </w:rPr>
        <w:t>See</w:t>
      </w:r>
      <w:r w:rsidR="00E83A5C" w:rsidRPr="00B22681">
        <w:rPr>
          <w:i/>
        </w:rPr>
        <w:t xml:space="preserve"> generally</w:t>
      </w:r>
      <w:r w:rsidR="00E83A5C">
        <w:t xml:space="preserve"> </w:t>
      </w:r>
      <w:proofErr w:type="spellStart"/>
      <w:r w:rsidR="00635EB7" w:rsidRPr="00635EB7">
        <w:t>Ufuk</w:t>
      </w:r>
      <w:proofErr w:type="spellEnd"/>
      <w:r w:rsidR="00635EB7" w:rsidRPr="00635EB7">
        <w:t xml:space="preserve"> </w:t>
      </w:r>
      <w:proofErr w:type="spellStart"/>
      <w:r w:rsidR="00635EB7" w:rsidRPr="00635EB7">
        <w:t>Akcigit</w:t>
      </w:r>
      <w:proofErr w:type="spellEnd"/>
      <w:r w:rsidR="00635EB7" w:rsidRPr="00635EB7">
        <w:t>, John Grigsby, Tom Nicholas</w:t>
      </w:r>
      <w:r w:rsidR="00635EB7">
        <w:t xml:space="preserve"> &amp;</w:t>
      </w:r>
      <w:r w:rsidR="00635EB7" w:rsidRPr="00635EB7">
        <w:t xml:space="preserve"> Stefanie </w:t>
      </w:r>
      <w:proofErr w:type="spellStart"/>
      <w:r w:rsidR="00635EB7" w:rsidRPr="00635EB7">
        <w:t>Stantcheva</w:t>
      </w:r>
      <w:proofErr w:type="spellEnd"/>
      <w:r w:rsidR="00E83A5C">
        <w:t xml:space="preserve">, </w:t>
      </w:r>
      <w:r w:rsidR="00E83A5C" w:rsidRPr="00B22681">
        <w:rPr>
          <w:i/>
        </w:rPr>
        <w:t>Taxation and Innovation in the Twentieth Century</w:t>
      </w:r>
      <w:r w:rsidR="00E83A5C">
        <w:t xml:space="preserve">, 137 </w:t>
      </w:r>
      <w:r w:rsidR="00E83A5C" w:rsidRPr="00B22681">
        <w:rPr>
          <w:smallCaps/>
        </w:rPr>
        <w:t>Q. J. Econ.</w:t>
      </w:r>
      <w:r w:rsidR="00E83A5C">
        <w:t xml:space="preserve"> 329 (2022)</w:t>
      </w:r>
      <w:r w:rsidR="00DA0BC0">
        <w:t xml:space="preserve">; </w:t>
      </w:r>
      <w:proofErr w:type="spellStart"/>
      <w:r w:rsidR="00DA0BC0">
        <w:t>Viscusi</w:t>
      </w:r>
      <w:proofErr w:type="spellEnd"/>
      <w:r w:rsidR="00DA0BC0">
        <w:t xml:space="preserve">, </w:t>
      </w:r>
      <w:r w:rsidR="00DA0BC0" w:rsidRPr="00B22681">
        <w:rPr>
          <w:i/>
        </w:rPr>
        <w:t>supra</w:t>
      </w:r>
      <w:r w:rsidR="00DA0BC0">
        <w:t xml:space="preserve"> note </w:t>
      </w:r>
      <w:r w:rsidR="00975B6B">
        <w:fldChar w:fldCharType="begin"/>
      </w:r>
      <w:r w:rsidR="00975B6B">
        <w:instrText xml:space="preserve"> NOTEREF _Ref126837840 \h </w:instrText>
      </w:r>
      <w:r w:rsidR="00975B6B">
        <w:fldChar w:fldCharType="separate"/>
      </w:r>
      <w:r w:rsidR="00995C7E">
        <w:t>137</w:t>
      </w:r>
      <w:r w:rsidR="00975B6B">
        <w:fldChar w:fldCharType="end"/>
      </w:r>
      <w:r w:rsidR="00975B6B">
        <w:t>.</w:t>
      </w:r>
    </w:p>
  </w:footnote>
  <w:footnote w:id="142">
    <w:p w14:paraId="648FDCCC" w14:textId="068CF960" w:rsidR="00187E43" w:rsidRPr="00ED3F06" w:rsidRDefault="00187E43" w:rsidP="00187E43">
      <w:pPr>
        <w:pStyle w:val="FootnoteText"/>
      </w:pPr>
      <w:r>
        <w:rPr>
          <w:rStyle w:val="FootnoteReference"/>
        </w:rPr>
        <w:footnoteRef/>
      </w:r>
      <w:r>
        <w:t xml:space="preserve"> </w:t>
      </w:r>
      <w:r>
        <w:rPr>
          <w:i/>
          <w:iCs/>
        </w:rPr>
        <w:t xml:space="preserve">See </w:t>
      </w:r>
      <w:r>
        <w:t xml:space="preserve">Posner, </w:t>
      </w:r>
      <w:r>
        <w:rPr>
          <w:i/>
          <w:iCs/>
        </w:rPr>
        <w:t xml:space="preserve">supra </w:t>
      </w:r>
      <w:r>
        <w:t xml:space="preserve">note </w:t>
      </w:r>
      <w:r w:rsidR="00E83A5C">
        <w:fldChar w:fldCharType="begin"/>
      </w:r>
      <w:r w:rsidR="00E83A5C">
        <w:instrText xml:space="preserve"> NOTEREF _Ref126597706 \h </w:instrText>
      </w:r>
      <w:r w:rsidR="00E83A5C">
        <w:fldChar w:fldCharType="separate"/>
      </w:r>
      <w:r w:rsidR="00995C7E">
        <w:t>118</w:t>
      </w:r>
      <w:r w:rsidR="00E83A5C">
        <w:fldChar w:fldCharType="end"/>
      </w:r>
      <w:r w:rsidR="00E83A5C">
        <w:t xml:space="preserve"> </w:t>
      </w:r>
      <w:r>
        <w:t>at 11 (“Economic analysis of law treats common law fields, especially tort law . . . as forms of regulation.”).</w:t>
      </w:r>
    </w:p>
  </w:footnote>
  <w:footnote w:id="143">
    <w:p w14:paraId="7E167996" w14:textId="4F2CF331" w:rsidR="00187E43" w:rsidRPr="004F720F" w:rsidRDefault="00187E43" w:rsidP="00187E43">
      <w:pPr>
        <w:pStyle w:val="FootnoteText"/>
      </w:pPr>
      <w:r>
        <w:rPr>
          <w:rStyle w:val="FootnoteReference"/>
        </w:rPr>
        <w:footnoteRef/>
      </w:r>
      <w:r>
        <w:t xml:space="preserve"> </w:t>
      </w:r>
      <w:r>
        <w:rPr>
          <w:i/>
          <w:iCs/>
        </w:rPr>
        <w:t xml:space="preserve">Id. </w:t>
      </w:r>
      <w:r>
        <w:t>(discussing the “deterrent effect of the threat of liability” under tort law)</w:t>
      </w:r>
      <w:r w:rsidR="00E83A5C">
        <w:t>.</w:t>
      </w:r>
    </w:p>
  </w:footnote>
  <w:footnote w:id="144">
    <w:p w14:paraId="4E037343" w14:textId="5C740BC5" w:rsidR="00EE6228" w:rsidRDefault="00EE6228">
      <w:pPr>
        <w:pStyle w:val="FootnoteText"/>
      </w:pPr>
      <w:r>
        <w:rPr>
          <w:rStyle w:val="FootnoteReference"/>
        </w:rPr>
        <w:footnoteRef/>
      </w:r>
      <w:r>
        <w:t xml:space="preserve"> </w:t>
      </w:r>
      <w:r>
        <w:rPr>
          <w:i/>
          <w:iCs/>
        </w:rPr>
        <w:t xml:space="preserve">See </w:t>
      </w:r>
      <w:r>
        <w:t xml:space="preserve">Galle, </w:t>
      </w:r>
      <w:r>
        <w:rPr>
          <w:i/>
          <w:iCs/>
        </w:rPr>
        <w:t xml:space="preserve">supra </w:t>
      </w:r>
      <w:r>
        <w:t xml:space="preserve">note </w:t>
      </w:r>
      <w:r w:rsidR="00D81AF4">
        <w:fldChar w:fldCharType="begin"/>
      </w:r>
      <w:r w:rsidR="00D81AF4">
        <w:instrText xml:space="preserve"> NOTEREF _Ref126845050 \h </w:instrText>
      </w:r>
      <w:r w:rsidR="00D81AF4">
        <w:fldChar w:fldCharType="separate"/>
      </w:r>
      <w:r w:rsidR="00995C7E">
        <w:t>136</w:t>
      </w:r>
      <w:r w:rsidR="00D81AF4">
        <w:fldChar w:fldCharType="end"/>
      </w:r>
      <w:r>
        <w:t xml:space="preserve"> at 1725-29 (describing scholarship contending that “correcting externalities ex ante . . . requires government to make decisions before it has full information”); Posner, </w:t>
      </w:r>
      <w:r>
        <w:rPr>
          <w:i/>
          <w:iCs/>
        </w:rPr>
        <w:t xml:space="preserve">supra </w:t>
      </w:r>
      <w:r w:rsidR="004D571E">
        <w:t xml:space="preserve">note </w:t>
      </w:r>
      <w:r w:rsidR="004D571E">
        <w:fldChar w:fldCharType="begin"/>
      </w:r>
      <w:r w:rsidR="004D571E">
        <w:instrText xml:space="preserve"> NOTEREF _Ref126597706 \h </w:instrText>
      </w:r>
      <w:r w:rsidR="004D571E">
        <w:fldChar w:fldCharType="separate"/>
      </w:r>
      <w:r w:rsidR="00995C7E">
        <w:t>118</w:t>
      </w:r>
      <w:r w:rsidR="004D571E">
        <w:fldChar w:fldCharType="end"/>
      </w:r>
      <w:r w:rsidR="004D571E">
        <w:t xml:space="preserve"> </w:t>
      </w:r>
      <w:r>
        <w:t xml:space="preserve"> at 14 (“Ex ante regulation narrows the information base because when it takes the form of rules, it buys precision at the cost of excluding case-specific information that the promulgators either did not anticipate or excluded in order to keep the regulation simple[].”).</w:t>
      </w:r>
    </w:p>
  </w:footnote>
  <w:footnote w:id="145">
    <w:p w14:paraId="1B1ABAA7" w14:textId="3BDF2D11" w:rsidR="00187E43" w:rsidRDefault="00187E43" w:rsidP="00187E43">
      <w:pPr>
        <w:pStyle w:val="FootnoteText"/>
      </w:pPr>
      <w:r>
        <w:rPr>
          <w:rStyle w:val="FootnoteReference"/>
        </w:rPr>
        <w:footnoteRef/>
      </w:r>
      <w:r w:rsidR="00975B6B">
        <w:t xml:space="preserve"> </w:t>
      </w:r>
      <w:proofErr w:type="spellStart"/>
      <w:r w:rsidR="00F55690" w:rsidRPr="006067D2">
        <w:rPr>
          <w:szCs w:val="20"/>
        </w:rPr>
        <w:t>Risch</w:t>
      </w:r>
      <w:proofErr w:type="spellEnd"/>
      <w:r w:rsidR="00F55690" w:rsidRPr="006067D2">
        <w:rPr>
          <w:szCs w:val="20"/>
        </w:rPr>
        <w:t xml:space="preserve">, </w:t>
      </w:r>
      <w:r w:rsidR="00F55690" w:rsidRPr="006067D2">
        <w:rPr>
          <w:i/>
          <w:iCs/>
          <w:szCs w:val="20"/>
        </w:rPr>
        <w:t>supra</w:t>
      </w:r>
      <w:r w:rsidR="00F55690" w:rsidRPr="006067D2">
        <w:rPr>
          <w:szCs w:val="20"/>
        </w:rPr>
        <w:t xml:space="preserve"> note </w:t>
      </w:r>
      <w:r w:rsidR="00A61DE3">
        <w:rPr>
          <w:szCs w:val="20"/>
        </w:rPr>
        <w:fldChar w:fldCharType="begin"/>
      </w:r>
      <w:r w:rsidR="00A61DE3">
        <w:rPr>
          <w:szCs w:val="20"/>
        </w:rPr>
        <w:instrText xml:space="preserve"> NOTEREF _Ref126851394 \h </w:instrText>
      </w:r>
      <w:r w:rsidR="00A61DE3">
        <w:rPr>
          <w:szCs w:val="20"/>
        </w:rPr>
      </w:r>
      <w:r w:rsidR="00A61DE3">
        <w:rPr>
          <w:szCs w:val="20"/>
        </w:rPr>
        <w:fldChar w:fldCharType="separate"/>
      </w:r>
      <w:r w:rsidR="00995C7E">
        <w:rPr>
          <w:szCs w:val="20"/>
        </w:rPr>
        <w:t>38</w:t>
      </w:r>
      <w:r w:rsidR="00A61DE3">
        <w:rPr>
          <w:szCs w:val="20"/>
        </w:rPr>
        <w:fldChar w:fldCharType="end"/>
      </w:r>
      <w:r w:rsidR="00A61DE3">
        <w:rPr>
          <w:szCs w:val="20"/>
        </w:rPr>
        <w:t xml:space="preserve">, </w:t>
      </w:r>
      <w:r w:rsidR="00F55690" w:rsidRPr="006067D2">
        <w:rPr>
          <w:szCs w:val="20"/>
        </w:rPr>
        <w:t xml:space="preserve">at 1207 (“In practice, however, limiting patents to those that meet a pre-determined degree of utility would likely be too costly and unworkable.”); Michael W. Carroll, </w:t>
      </w:r>
      <w:r w:rsidR="00F55690" w:rsidRPr="006067D2">
        <w:rPr>
          <w:i/>
          <w:iCs/>
          <w:szCs w:val="20"/>
        </w:rPr>
        <w:t>One Size Does Not Fit All: A Framework for Tailoring Intellectual Property Rights</w:t>
      </w:r>
      <w:r w:rsidR="00F55690" w:rsidRPr="006067D2">
        <w:rPr>
          <w:szCs w:val="20"/>
        </w:rPr>
        <w:t xml:space="preserve">, 70 </w:t>
      </w:r>
      <w:r w:rsidR="00F55690" w:rsidRPr="006067D2">
        <w:rPr>
          <w:smallCaps/>
          <w:szCs w:val="20"/>
        </w:rPr>
        <w:t>Ohio St. L.J</w:t>
      </w:r>
      <w:r w:rsidR="00F55690" w:rsidRPr="006067D2">
        <w:rPr>
          <w:szCs w:val="20"/>
        </w:rPr>
        <w:t xml:space="preserve">. 1361, 1374 (2009); Eric E. Johnson, </w:t>
      </w:r>
      <w:r w:rsidR="00F55690" w:rsidRPr="006067D2">
        <w:rPr>
          <w:i/>
          <w:iCs/>
          <w:szCs w:val="20"/>
        </w:rPr>
        <w:t>Calibrating Patent Lifetimes</w:t>
      </w:r>
      <w:r w:rsidR="00F55690" w:rsidRPr="006067D2">
        <w:rPr>
          <w:szCs w:val="20"/>
        </w:rPr>
        <w:t xml:space="preserve">, 22 </w:t>
      </w:r>
      <w:r w:rsidR="00F55690" w:rsidRPr="006067D2">
        <w:rPr>
          <w:smallCaps/>
          <w:szCs w:val="20"/>
        </w:rPr>
        <w:t>Santa Clara Computer &amp; High Tech. L.J</w:t>
      </w:r>
      <w:r w:rsidR="00F55690" w:rsidRPr="006067D2">
        <w:rPr>
          <w:szCs w:val="20"/>
        </w:rPr>
        <w:t>. 269, 298 (2006)</w:t>
      </w:r>
      <w:r w:rsidR="00BB10EB">
        <w:t>.</w:t>
      </w:r>
    </w:p>
  </w:footnote>
  <w:footnote w:id="146">
    <w:p w14:paraId="6B775642" w14:textId="30313DB8" w:rsidR="00187E43" w:rsidRPr="00C15A65" w:rsidRDefault="00187E43" w:rsidP="00187E43">
      <w:pPr>
        <w:pStyle w:val="FootnoteText"/>
      </w:pPr>
      <w:r>
        <w:rPr>
          <w:rStyle w:val="FootnoteReference"/>
        </w:rPr>
        <w:footnoteRef/>
      </w:r>
      <w:r>
        <w:t xml:space="preserve"> </w:t>
      </w:r>
      <w:r>
        <w:rPr>
          <w:i/>
          <w:iCs/>
        </w:rPr>
        <w:t xml:space="preserve">See </w:t>
      </w:r>
      <w:r>
        <w:t xml:space="preserve">Jon D. Hanson &amp; Kyle D. Logue, </w:t>
      </w:r>
      <w:r>
        <w:rPr>
          <w:i/>
          <w:iCs/>
        </w:rPr>
        <w:t>The Costs of Cigarettes: The Economic Case for Ex Post Incentive-Based Regulation</w:t>
      </w:r>
      <w:r>
        <w:t xml:space="preserve">, 107 </w:t>
      </w:r>
      <w:r w:rsidRPr="007812B2">
        <w:rPr>
          <w:smallCaps/>
        </w:rPr>
        <w:t>Yale L.J.</w:t>
      </w:r>
      <w:r>
        <w:t xml:space="preserve"> 1163, 1271 (1998) (“As cigarette taxes are currently designed, however, all manufacturers are taxed the same amount per pack regardless of the specific risks posed by their particular brands.”).</w:t>
      </w:r>
    </w:p>
  </w:footnote>
  <w:footnote w:id="147">
    <w:p w14:paraId="1222B415" w14:textId="1054241D" w:rsidR="00187E43" w:rsidRPr="00A03FE2" w:rsidRDefault="00187E43" w:rsidP="00187E43">
      <w:pPr>
        <w:pStyle w:val="FootnoteText"/>
      </w:pPr>
      <w:r>
        <w:rPr>
          <w:rStyle w:val="FootnoteReference"/>
        </w:rPr>
        <w:footnoteRef/>
      </w:r>
      <w:r>
        <w:t xml:space="preserve"> Posner, </w:t>
      </w:r>
      <w:r>
        <w:rPr>
          <w:i/>
          <w:iCs/>
        </w:rPr>
        <w:t xml:space="preserve">supra </w:t>
      </w:r>
      <w:r w:rsidR="00FA5735">
        <w:t xml:space="preserve">note </w:t>
      </w:r>
      <w:r w:rsidR="00FA5735">
        <w:fldChar w:fldCharType="begin"/>
      </w:r>
      <w:r w:rsidR="00FA5735">
        <w:instrText xml:space="preserve"> NOTEREF _Ref126597706 \h </w:instrText>
      </w:r>
      <w:r w:rsidR="00FA5735">
        <w:fldChar w:fldCharType="separate"/>
      </w:r>
      <w:r w:rsidR="00995C7E">
        <w:t>118</w:t>
      </w:r>
      <w:r w:rsidR="00FA5735">
        <w:fldChar w:fldCharType="end"/>
      </w:r>
      <w:r w:rsidR="00FA5735">
        <w:t xml:space="preserve"> </w:t>
      </w:r>
      <w:r>
        <w:t>at 16.</w:t>
      </w:r>
    </w:p>
  </w:footnote>
  <w:footnote w:id="148">
    <w:p w14:paraId="77D4516B" w14:textId="10BEA11A" w:rsidR="008005B0" w:rsidRDefault="008005B0">
      <w:pPr>
        <w:pStyle w:val="FootnoteText"/>
      </w:pPr>
      <w:r>
        <w:rPr>
          <w:rStyle w:val="FootnoteReference"/>
        </w:rPr>
        <w:footnoteRef/>
      </w:r>
      <w:r>
        <w:t xml:space="preserve"> </w:t>
      </w:r>
      <w:r w:rsidR="00932ADF" w:rsidRPr="000149D6">
        <w:rPr>
          <w:i/>
        </w:rPr>
        <w:t>Id.</w:t>
      </w:r>
    </w:p>
  </w:footnote>
  <w:footnote w:id="149">
    <w:p w14:paraId="04104A6C" w14:textId="0EB34D9E" w:rsidR="00FC4EBF" w:rsidRDefault="00FC4EBF">
      <w:pPr>
        <w:pStyle w:val="FootnoteText"/>
      </w:pPr>
      <w:r>
        <w:rPr>
          <w:rStyle w:val="FootnoteReference"/>
        </w:rPr>
        <w:footnoteRef/>
      </w:r>
      <w:r>
        <w:t xml:space="preserve"> </w:t>
      </w:r>
      <w:r w:rsidR="00E0104B" w:rsidRPr="007812B2">
        <w:rPr>
          <w:i/>
          <w:iCs/>
        </w:rPr>
        <w:t>See</w:t>
      </w:r>
      <w:r w:rsidR="00E0104B">
        <w:t xml:space="preserve"> </w:t>
      </w:r>
      <w:r w:rsidR="00DB31DD" w:rsidRPr="007812B2">
        <w:rPr>
          <w:i/>
        </w:rPr>
        <w:t>supra</w:t>
      </w:r>
      <w:r w:rsidR="00DB31DD">
        <w:t xml:space="preserve"> notes </w:t>
      </w:r>
      <w:r w:rsidR="002463E4">
        <w:fldChar w:fldCharType="begin"/>
      </w:r>
      <w:r w:rsidR="002463E4">
        <w:instrText xml:space="preserve"> NOTEREF _Ref126842665 \h </w:instrText>
      </w:r>
      <w:r w:rsidR="002463E4">
        <w:fldChar w:fldCharType="separate"/>
      </w:r>
      <w:r w:rsidR="00995C7E">
        <w:t>45</w:t>
      </w:r>
      <w:r w:rsidR="002463E4">
        <w:fldChar w:fldCharType="end"/>
      </w:r>
      <w:r w:rsidR="00E0104B">
        <w:t>–</w:t>
      </w:r>
      <w:r w:rsidR="002463E4">
        <w:fldChar w:fldCharType="begin"/>
      </w:r>
      <w:r w:rsidR="002463E4">
        <w:instrText xml:space="preserve"> NOTEREF _Ref126842673 \h </w:instrText>
      </w:r>
      <w:r w:rsidR="002463E4">
        <w:fldChar w:fldCharType="separate"/>
      </w:r>
      <w:r w:rsidR="00995C7E">
        <w:t>73</w:t>
      </w:r>
      <w:r w:rsidR="002463E4">
        <w:fldChar w:fldCharType="end"/>
      </w:r>
      <w:r w:rsidR="00E0104B">
        <w:t xml:space="preserve"> and accompanying text</w:t>
      </w:r>
      <w:r w:rsidDel="00E0104B">
        <w:t>.</w:t>
      </w:r>
    </w:p>
  </w:footnote>
  <w:footnote w:id="150">
    <w:p w14:paraId="20D509EF" w14:textId="3A993FCF" w:rsidR="009E1845" w:rsidRDefault="009E1845">
      <w:pPr>
        <w:pStyle w:val="FootnoteText"/>
      </w:pPr>
      <w:r>
        <w:rPr>
          <w:rStyle w:val="FootnoteReference"/>
        </w:rPr>
        <w:footnoteRef/>
      </w:r>
      <w:r>
        <w:t xml:space="preserve"> </w:t>
      </w:r>
      <w:r w:rsidR="00DB31DD">
        <w:t xml:space="preserve">Lemley, </w:t>
      </w:r>
      <w:r w:rsidR="00DB31DD" w:rsidRPr="00F911E1">
        <w:rPr>
          <w:i/>
          <w:iCs/>
        </w:rPr>
        <w:t>supra</w:t>
      </w:r>
      <w:r w:rsidR="00DB31DD">
        <w:t xml:space="preserve"> note </w:t>
      </w:r>
      <w:r w:rsidR="00F911E1">
        <w:fldChar w:fldCharType="begin"/>
      </w:r>
      <w:r w:rsidR="00F911E1">
        <w:instrText xml:space="preserve"> NOTEREF _Ref126842516 \h </w:instrText>
      </w:r>
      <w:r w:rsidR="00F911E1">
        <w:fldChar w:fldCharType="separate"/>
      </w:r>
      <w:r w:rsidR="00995C7E">
        <w:t>66</w:t>
      </w:r>
      <w:r w:rsidR="00F911E1">
        <w:fldChar w:fldCharType="end"/>
      </w:r>
      <w:r w:rsidR="00C76CB5">
        <w:t>, at 129</w:t>
      </w:r>
      <w:r w:rsidDel="00C76CB5">
        <w:t>.</w:t>
      </w:r>
    </w:p>
  </w:footnote>
  <w:footnote w:id="151">
    <w:p w14:paraId="2111127C" w14:textId="4381FE77" w:rsidR="000D7F2C" w:rsidRDefault="000D7F2C">
      <w:pPr>
        <w:pStyle w:val="FootnoteText"/>
      </w:pPr>
      <w:r>
        <w:rPr>
          <w:rStyle w:val="FootnoteReference"/>
        </w:rPr>
        <w:footnoteRef/>
      </w:r>
      <w:r>
        <w:t xml:space="preserve"> </w:t>
      </w:r>
      <w:r w:rsidR="00C86948" w:rsidRPr="00D9032A">
        <w:rPr>
          <w:i/>
          <w:iCs/>
        </w:rPr>
        <w:t>Id</w:t>
      </w:r>
      <w:r w:rsidR="00C86948">
        <w:t>.</w:t>
      </w:r>
    </w:p>
  </w:footnote>
  <w:footnote w:id="152">
    <w:p w14:paraId="32F06561" w14:textId="20AC30D0" w:rsidR="000D7F2C" w:rsidRDefault="000D7F2C">
      <w:pPr>
        <w:pStyle w:val="FootnoteText"/>
      </w:pPr>
      <w:r>
        <w:rPr>
          <w:rStyle w:val="FootnoteReference"/>
        </w:rPr>
        <w:footnoteRef/>
      </w:r>
      <w:r>
        <w:t xml:space="preserve"> </w:t>
      </w:r>
      <w:r w:rsidR="00C86948">
        <w:t>Hemel &amp; Ouellette,</w:t>
      </w:r>
      <w:r w:rsidR="00683812">
        <w:t xml:space="preserve"> </w:t>
      </w:r>
      <w:r w:rsidR="004174F3" w:rsidRPr="000A216B">
        <w:rPr>
          <w:i/>
          <w:iCs/>
        </w:rPr>
        <w:t xml:space="preserve">Beyond the Patents-Prizes </w:t>
      </w:r>
      <w:r w:rsidR="004174F3" w:rsidRPr="003D46E5">
        <w:rPr>
          <w:i/>
          <w:iCs/>
        </w:rPr>
        <w:t>Debate</w:t>
      </w:r>
      <w:r w:rsidR="00683812">
        <w:t>,</w:t>
      </w:r>
      <w:r w:rsidR="00C86948">
        <w:t xml:space="preserve"> </w:t>
      </w:r>
      <w:r w:rsidR="00C86948" w:rsidRPr="00D9032A">
        <w:rPr>
          <w:i/>
          <w:iCs/>
        </w:rPr>
        <w:t>supra</w:t>
      </w:r>
      <w:r w:rsidR="00C86948">
        <w:t xml:space="preserve"> note</w:t>
      </w:r>
      <w:r w:rsidR="00683812">
        <w:t xml:space="preserve"> </w:t>
      </w:r>
      <w:r w:rsidR="00683812">
        <w:fldChar w:fldCharType="begin"/>
      </w:r>
      <w:r w:rsidR="00683812">
        <w:instrText xml:space="preserve"> NOTEREF _Ref126705196 \h </w:instrText>
      </w:r>
      <w:r w:rsidR="00683812">
        <w:fldChar w:fldCharType="separate"/>
      </w:r>
      <w:r w:rsidR="00995C7E">
        <w:t>57</w:t>
      </w:r>
      <w:r w:rsidR="00683812">
        <w:fldChar w:fldCharType="end"/>
      </w:r>
      <w:r w:rsidR="00C86948">
        <w:t>.</w:t>
      </w:r>
    </w:p>
  </w:footnote>
  <w:footnote w:id="153">
    <w:p w14:paraId="46A8DFD1" w14:textId="6BEF9730" w:rsidR="00952FA5" w:rsidRDefault="00952FA5">
      <w:pPr>
        <w:pStyle w:val="FootnoteText"/>
      </w:pPr>
      <w:r>
        <w:rPr>
          <w:rStyle w:val="FootnoteReference"/>
        </w:rPr>
        <w:footnoteRef/>
      </w:r>
      <w:r>
        <w:t xml:space="preserve"> We set out privacy harms as a distinct category below. </w:t>
      </w:r>
      <w:r w:rsidR="00FD4605" w:rsidRPr="009D345E">
        <w:rPr>
          <w:i/>
          <w:iCs/>
        </w:rPr>
        <w:t>See</w:t>
      </w:r>
      <w:r w:rsidR="00FD4605">
        <w:t xml:space="preserve"> </w:t>
      </w:r>
      <w:r w:rsidR="00FD4605" w:rsidRPr="009D345E">
        <w:rPr>
          <w:i/>
          <w:iCs/>
        </w:rPr>
        <w:t>supra</w:t>
      </w:r>
      <w:r w:rsidR="00FD4605">
        <w:t xml:space="preserve"> Part </w:t>
      </w:r>
      <w:r w:rsidR="00E4462E">
        <w:t>III.B.5.</w:t>
      </w:r>
    </w:p>
  </w:footnote>
  <w:footnote w:id="154">
    <w:p w14:paraId="73807182" w14:textId="1E13F7AC" w:rsidR="00C351D9" w:rsidRDefault="00C351D9">
      <w:pPr>
        <w:pStyle w:val="FootnoteText"/>
      </w:pPr>
      <w:r>
        <w:rPr>
          <w:rStyle w:val="FootnoteReference"/>
        </w:rPr>
        <w:footnoteRef/>
      </w:r>
      <w:r>
        <w:t xml:space="preserve"> </w:t>
      </w:r>
      <w:r w:rsidR="000A1337" w:rsidRPr="000A1337">
        <w:t xml:space="preserve">Marco </w:t>
      </w:r>
      <w:proofErr w:type="spellStart"/>
      <w:r w:rsidR="000A1337" w:rsidRPr="000A1337">
        <w:t>Bertini</w:t>
      </w:r>
      <w:proofErr w:type="spellEnd"/>
      <w:r w:rsidR="000A1337" w:rsidRPr="000A1337">
        <w:t xml:space="preserve"> </w:t>
      </w:r>
      <w:r w:rsidR="000A1337">
        <w:t>&amp;</w:t>
      </w:r>
      <w:r w:rsidR="000A1337" w:rsidRPr="000A1337">
        <w:t xml:space="preserve"> Oded </w:t>
      </w:r>
      <w:proofErr w:type="spellStart"/>
      <w:r w:rsidR="000A1337" w:rsidRPr="000A1337">
        <w:t>Koenigsberg</w:t>
      </w:r>
      <w:proofErr w:type="spellEnd"/>
      <w:r w:rsidR="000A1337">
        <w:t xml:space="preserve">, </w:t>
      </w:r>
      <w:r w:rsidR="000A1337" w:rsidRPr="009D345E">
        <w:rPr>
          <w:i/>
          <w:iCs/>
        </w:rPr>
        <w:t>The Pitfalls of Pricing Algorithms</w:t>
      </w:r>
      <w:r w:rsidR="000A1337">
        <w:t xml:space="preserve">, </w:t>
      </w:r>
      <w:r w:rsidR="000A1337" w:rsidRPr="009D345E">
        <w:rPr>
          <w:smallCaps/>
        </w:rPr>
        <w:t>Harv. Bus. Rev.</w:t>
      </w:r>
      <w:r w:rsidR="000A1337">
        <w:t xml:space="preserve"> (Sept.–Oct. 2021), </w:t>
      </w:r>
      <w:r w:rsidR="000A1337" w:rsidRPr="000A1337">
        <w:t>https://hbr.org/2021/09/the-pitfalls-of-pricing-algorithms</w:t>
      </w:r>
      <w:r w:rsidR="000A1337">
        <w:t>.</w:t>
      </w:r>
    </w:p>
  </w:footnote>
  <w:footnote w:id="155">
    <w:p w14:paraId="10C164D5" w14:textId="7F113435" w:rsidR="00F4054A" w:rsidRDefault="00F4054A">
      <w:pPr>
        <w:pStyle w:val="FootnoteText"/>
      </w:pPr>
      <w:r>
        <w:rPr>
          <w:rStyle w:val="FootnoteReference"/>
        </w:rPr>
        <w:footnoteRef/>
      </w:r>
      <w:r>
        <w:t xml:space="preserve"> </w:t>
      </w:r>
      <w:r w:rsidR="000A1337" w:rsidRPr="00995C7E">
        <w:rPr>
          <w:i/>
          <w:iCs/>
        </w:rPr>
        <w:t>Id.</w:t>
      </w:r>
    </w:p>
  </w:footnote>
  <w:footnote w:id="156">
    <w:p w14:paraId="2B627269" w14:textId="2DEE779C" w:rsidR="005112E6" w:rsidRDefault="005112E6">
      <w:pPr>
        <w:pStyle w:val="FootnoteText"/>
      </w:pPr>
      <w:r>
        <w:rPr>
          <w:rStyle w:val="FootnoteReference"/>
        </w:rPr>
        <w:footnoteRef/>
      </w:r>
      <w:r>
        <w:t xml:space="preserve"> Gregory Shill, </w:t>
      </w:r>
      <w:r w:rsidRPr="00D879A4">
        <w:rPr>
          <w:i/>
        </w:rPr>
        <w:t>Should the Law Subsidize Driving</w:t>
      </w:r>
      <w:r>
        <w:t xml:space="preserve">, </w:t>
      </w:r>
      <w:r w:rsidR="00D879A4">
        <w:t xml:space="preserve">95 N.Y.U. L. </w:t>
      </w:r>
      <w:r w:rsidR="00D879A4" w:rsidRPr="00D879A4">
        <w:rPr>
          <w:smallCaps/>
        </w:rPr>
        <w:t>Rev</w:t>
      </w:r>
      <w:r w:rsidR="00D879A4">
        <w:t>. 498,</w:t>
      </w:r>
      <w:r>
        <w:t xml:space="preserve"> 558</w:t>
      </w:r>
      <w:r w:rsidR="00D879A4">
        <w:t xml:space="preserve"> (2020)</w:t>
      </w:r>
      <w:r>
        <w:t xml:space="preserve">. </w:t>
      </w:r>
    </w:p>
  </w:footnote>
  <w:footnote w:id="157">
    <w:p w14:paraId="2A4E772B" w14:textId="520CD455" w:rsidR="005C43BB" w:rsidRDefault="005C43BB">
      <w:pPr>
        <w:pStyle w:val="FootnoteText"/>
      </w:pPr>
      <w:r>
        <w:rPr>
          <w:rStyle w:val="FootnoteReference"/>
        </w:rPr>
        <w:footnoteRef/>
      </w:r>
      <w:r>
        <w:t xml:space="preserve"> </w:t>
      </w:r>
      <w:r w:rsidR="00305A9B">
        <w:t xml:space="preserve">Grant Hermes, </w:t>
      </w:r>
      <w:r w:rsidR="00305A9B" w:rsidRPr="00B22681">
        <w:rPr>
          <w:i/>
        </w:rPr>
        <w:t>Size Does Matter: As Trucks and SUVs Get Bigger, More Pedestrians are Being Killed</w:t>
      </w:r>
      <w:r w:rsidR="00305A9B">
        <w:t xml:space="preserve">, </w:t>
      </w:r>
      <w:r w:rsidR="00305A9B" w:rsidRPr="00B22681">
        <w:rPr>
          <w:smallCaps/>
        </w:rPr>
        <w:t>Click On Detroit</w:t>
      </w:r>
      <w:r w:rsidR="00305A9B">
        <w:t xml:space="preserve"> (Aug. 7, 2022), </w:t>
      </w:r>
      <w:r w:rsidR="00305A9B" w:rsidRPr="005112E6">
        <w:t>https://www.clickondetroit.com/news/2022/08/08/size-does-matter-as-trucks-and-suvs-get-bigger-more-pedestrians-are-being-killed</w:t>
      </w:r>
      <w:r w:rsidR="00305A9B">
        <w:t>.</w:t>
      </w:r>
    </w:p>
  </w:footnote>
  <w:footnote w:id="158">
    <w:p w14:paraId="1EAEFFEA" w14:textId="1C1997C8" w:rsidR="005112E6" w:rsidRDefault="005112E6">
      <w:pPr>
        <w:pStyle w:val="FootnoteText"/>
      </w:pPr>
      <w:r>
        <w:rPr>
          <w:rStyle w:val="FootnoteReference"/>
        </w:rPr>
        <w:footnoteRef/>
      </w:r>
      <w:r>
        <w:t xml:space="preserve"> </w:t>
      </w:r>
      <w:r w:rsidR="00032D5A" w:rsidRPr="00032D5A">
        <w:rPr>
          <w:i/>
          <w:iCs/>
        </w:rPr>
        <w:t>Id</w:t>
      </w:r>
      <w:r w:rsidR="00032D5A">
        <w:t>.</w:t>
      </w:r>
    </w:p>
  </w:footnote>
  <w:footnote w:id="159">
    <w:p w14:paraId="38DB3283" w14:textId="6240405B" w:rsidR="00C4660B" w:rsidRDefault="00C4660B">
      <w:pPr>
        <w:pStyle w:val="FootnoteText"/>
      </w:pPr>
      <w:r>
        <w:rPr>
          <w:rStyle w:val="FootnoteReference"/>
        </w:rPr>
        <w:footnoteRef/>
      </w:r>
      <w:r>
        <w:t xml:space="preserve"> </w:t>
      </w:r>
      <w:r w:rsidR="00032D5A" w:rsidRPr="00032D5A">
        <w:rPr>
          <w:i/>
          <w:iCs/>
        </w:rPr>
        <w:t>Id</w:t>
      </w:r>
      <w:r w:rsidR="00032D5A">
        <w:t>.</w:t>
      </w:r>
    </w:p>
  </w:footnote>
  <w:footnote w:id="160">
    <w:p w14:paraId="692DC427" w14:textId="1488FAFF" w:rsidR="005112E6" w:rsidRDefault="005112E6">
      <w:pPr>
        <w:pStyle w:val="FootnoteText"/>
      </w:pPr>
      <w:r>
        <w:rPr>
          <w:rStyle w:val="FootnoteReference"/>
        </w:rPr>
        <w:footnoteRef/>
      </w:r>
      <w:r>
        <w:t xml:space="preserve"> Shill, </w:t>
      </w:r>
      <w:r w:rsidRPr="00032D5A">
        <w:rPr>
          <w:i/>
        </w:rPr>
        <w:t>supra</w:t>
      </w:r>
      <w:r>
        <w:t xml:space="preserve"> note</w:t>
      </w:r>
      <w:r w:rsidR="00F70FA1">
        <w:t xml:space="preserve"> </w:t>
      </w:r>
      <w:r w:rsidR="00F70FA1">
        <w:fldChar w:fldCharType="begin"/>
      </w:r>
      <w:r w:rsidR="00F70FA1">
        <w:instrText xml:space="preserve"> NOTEREF _Ref126842785 \h </w:instrText>
      </w:r>
      <w:r w:rsidR="00F70FA1">
        <w:fldChar w:fldCharType="separate"/>
      </w:r>
      <w:r w:rsidR="00995C7E">
        <w:t>153</w:t>
      </w:r>
      <w:r w:rsidR="00F70FA1">
        <w:fldChar w:fldCharType="end"/>
      </w:r>
      <w:r>
        <w:t>, at 558</w:t>
      </w:r>
      <w:r w:rsidR="00F70FA1">
        <w:t>–</w:t>
      </w:r>
      <w:r>
        <w:t>59.</w:t>
      </w:r>
    </w:p>
  </w:footnote>
  <w:footnote w:id="161">
    <w:p w14:paraId="62A3F4B9" w14:textId="17A7DA79" w:rsidR="005C43BB" w:rsidRDefault="005C43BB">
      <w:pPr>
        <w:pStyle w:val="FootnoteText"/>
      </w:pPr>
      <w:r>
        <w:rPr>
          <w:rStyle w:val="FootnoteReference"/>
        </w:rPr>
        <w:footnoteRef/>
      </w:r>
      <w:r>
        <w:t xml:space="preserve"> </w:t>
      </w:r>
      <w:r w:rsidR="0003273D">
        <w:rPr>
          <w:i/>
          <w:iCs/>
        </w:rPr>
        <w:t>Id</w:t>
      </w:r>
      <w:r>
        <w:t>.</w:t>
      </w:r>
    </w:p>
  </w:footnote>
  <w:footnote w:id="162">
    <w:p w14:paraId="5C466380" w14:textId="52E02565" w:rsidR="005112E6" w:rsidRDefault="005112E6" w:rsidP="005112E6">
      <w:pPr>
        <w:pStyle w:val="FootnoteText"/>
      </w:pPr>
      <w:r>
        <w:rPr>
          <w:rStyle w:val="FootnoteReference"/>
        </w:rPr>
        <w:footnoteRef/>
      </w:r>
      <w:r>
        <w:t xml:space="preserve"> Hermes, </w:t>
      </w:r>
      <w:r w:rsidRPr="0003273D">
        <w:rPr>
          <w:i/>
        </w:rPr>
        <w:t>supra</w:t>
      </w:r>
      <w:r>
        <w:t xml:space="preserve"> note</w:t>
      </w:r>
      <w:r w:rsidR="00F70FA1">
        <w:t xml:space="preserve"> </w:t>
      </w:r>
      <w:r w:rsidR="002066BC">
        <w:fldChar w:fldCharType="begin"/>
      </w:r>
      <w:r w:rsidR="002066BC">
        <w:instrText xml:space="preserve"> NOTEREF _Ref126852520 \h </w:instrText>
      </w:r>
      <w:r w:rsidR="002066BC">
        <w:fldChar w:fldCharType="separate"/>
      </w:r>
      <w:r w:rsidR="00995C7E">
        <w:t>154</w:t>
      </w:r>
      <w:r w:rsidR="002066BC">
        <w:fldChar w:fldCharType="end"/>
      </w:r>
      <w:r>
        <w:t xml:space="preserve">. </w:t>
      </w:r>
      <w:r w:rsidRPr="005918BF">
        <w:rPr>
          <w:i/>
        </w:rPr>
        <w:t>See also</w:t>
      </w:r>
      <w:r>
        <w:t xml:space="preserve"> B.S. </w:t>
      </w:r>
      <w:proofErr w:type="spellStart"/>
      <w:r>
        <w:t>Roudsari</w:t>
      </w:r>
      <w:proofErr w:type="spellEnd"/>
      <w:r>
        <w:t xml:space="preserve"> et al., </w:t>
      </w:r>
      <w:r w:rsidRPr="0028633B">
        <w:rPr>
          <w:i/>
        </w:rPr>
        <w:t>Pedestrian Crashes: Higher Injury Severity and Mortality Rate for Light Truck Vehicles Compared with Passenger Vehicles</w:t>
      </w:r>
      <w:r>
        <w:t xml:space="preserve">, </w:t>
      </w:r>
      <w:r w:rsidRPr="009D345E">
        <w:rPr>
          <w:smallCaps/>
        </w:rPr>
        <w:t>10 I</w:t>
      </w:r>
      <w:r w:rsidR="00C755B6" w:rsidRPr="009D345E">
        <w:rPr>
          <w:smallCaps/>
        </w:rPr>
        <w:t>nj</w:t>
      </w:r>
      <w:r w:rsidRPr="009D345E">
        <w:rPr>
          <w:smallCaps/>
        </w:rPr>
        <w:t xml:space="preserve">. </w:t>
      </w:r>
      <w:r w:rsidR="004002A6" w:rsidRPr="009D345E">
        <w:rPr>
          <w:smallCaps/>
        </w:rPr>
        <w:t>Prevention</w:t>
      </w:r>
      <w:r w:rsidR="004002A6">
        <w:t xml:space="preserve"> </w:t>
      </w:r>
      <w:r>
        <w:t xml:space="preserve">154, 158 (2004) (light-truck vehicles </w:t>
      </w:r>
      <w:r w:rsidR="004002A6">
        <w:t>“</w:t>
      </w:r>
      <w:r>
        <w:t>were associated with 3.0 times higher risk of severe injuries in comparison with passenger vehicles</w:t>
      </w:r>
      <w:r w:rsidR="004002A6">
        <w:t>”</w:t>
      </w:r>
      <w:r>
        <w:t>).</w:t>
      </w:r>
    </w:p>
  </w:footnote>
  <w:footnote w:id="163">
    <w:p w14:paraId="78B8BB9B" w14:textId="44244A87" w:rsidR="00CD2987" w:rsidRDefault="00CD2987">
      <w:pPr>
        <w:pStyle w:val="FootnoteText"/>
      </w:pPr>
      <w:r>
        <w:rPr>
          <w:rStyle w:val="FootnoteReference"/>
        </w:rPr>
        <w:footnoteRef/>
      </w:r>
      <w:r>
        <w:t xml:space="preserve"> </w:t>
      </w:r>
      <w:r w:rsidR="00736A5E" w:rsidRPr="009D345E">
        <w:rPr>
          <w:i/>
          <w:iCs/>
        </w:rPr>
        <w:t>See</w:t>
      </w:r>
      <w:r w:rsidR="00736A5E">
        <w:t xml:space="preserve"> </w:t>
      </w:r>
      <w:r w:rsidR="00736A5E" w:rsidRPr="009D345E">
        <w:rPr>
          <w:i/>
          <w:iCs/>
        </w:rPr>
        <w:t>supra</w:t>
      </w:r>
      <w:r w:rsidR="00736A5E">
        <w:t xml:space="preserve"> note </w:t>
      </w:r>
      <w:r w:rsidR="0003273D">
        <w:fldChar w:fldCharType="begin"/>
      </w:r>
      <w:r w:rsidR="0003273D">
        <w:instrText xml:space="preserve"> NOTEREF _Ref126842867 \h </w:instrText>
      </w:r>
      <w:r w:rsidR="0003273D">
        <w:fldChar w:fldCharType="separate"/>
      </w:r>
      <w:r w:rsidR="00995C7E">
        <w:t>114</w:t>
      </w:r>
      <w:r w:rsidR="0003273D">
        <w:fldChar w:fldCharType="end"/>
      </w:r>
      <w:r w:rsidR="00F64413">
        <w:t xml:space="preserve"> and accompanying text.</w:t>
      </w:r>
    </w:p>
  </w:footnote>
  <w:footnote w:id="164">
    <w:p w14:paraId="02A71782" w14:textId="6F16946B" w:rsidR="002801FF" w:rsidRDefault="002801FF">
      <w:pPr>
        <w:pStyle w:val="FootnoteText"/>
      </w:pPr>
      <w:r>
        <w:rPr>
          <w:rStyle w:val="FootnoteReference"/>
        </w:rPr>
        <w:footnoteRef/>
      </w:r>
      <w:r>
        <w:t xml:space="preserve"> </w:t>
      </w:r>
      <w:r w:rsidR="00C61D20" w:rsidRPr="00C61D20">
        <w:rPr>
          <w:i/>
          <w:iCs/>
        </w:rPr>
        <w:t>Id</w:t>
      </w:r>
      <w:r>
        <w:t>.</w:t>
      </w:r>
    </w:p>
  </w:footnote>
  <w:footnote w:id="165">
    <w:p w14:paraId="0AB71C56" w14:textId="6C658218" w:rsidR="00292DB1" w:rsidRDefault="00292DB1">
      <w:pPr>
        <w:pStyle w:val="FootnoteText"/>
      </w:pPr>
      <w:r>
        <w:rPr>
          <w:rStyle w:val="FootnoteReference"/>
        </w:rPr>
        <w:footnoteRef/>
      </w:r>
      <w:r>
        <w:t xml:space="preserve"> </w:t>
      </w:r>
      <w:r w:rsidRPr="006067D2">
        <w:t xml:space="preserve">James D. Chambers et al., </w:t>
      </w:r>
      <w:r w:rsidRPr="006067D2">
        <w:rPr>
          <w:i/>
          <w:iCs/>
        </w:rPr>
        <w:t xml:space="preserve">Estimating Population Health Benefits Associated with Specialty and Traditional Drugs in the Year Following Product Approval, </w:t>
      </w:r>
      <w:r w:rsidRPr="006067D2">
        <w:t xml:space="preserve">15 </w:t>
      </w:r>
      <w:r w:rsidRPr="006067D2">
        <w:rPr>
          <w:smallCaps/>
        </w:rPr>
        <w:t xml:space="preserve">Appl. Health Econ. Health Pol’y </w:t>
      </w:r>
      <w:r w:rsidRPr="006067D2">
        <w:t>227, 228-30 (2017)</w:t>
      </w:r>
      <w:r>
        <w:t xml:space="preserve">; </w:t>
      </w:r>
      <w:r w:rsidRPr="006067D2">
        <w:t xml:space="preserve">David S. Abrams &amp; </w:t>
      </w:r>
      <w:proofErr w:type="spellStart"/>
      <w:r w:rsidRPr="006067D2">
        <w:t>Bhaver</w:t>
      </w:r>
      <w:proofErr w:type="spellEnd"/>
      <w:r w:rsidRPr="006067D2">
        <w:t xml:space="preserve"> N. </w:t>
      </w:r>
      <w:proofErr w:type="spellStart"/>
      <w:r w:rsidRPr="006067D2">
        <w:t>Sampat</w:t>
      </w:r>
      <w:proofErr w:type="spellEnd"/>
      <w:r w:rsidRPr="006067D2">
        <w:t xml:space="preserve">, </w:t>
      </w:r>
      <w:r w:rsidRPr="006067D2">
        <w:rPr>
          <w:i/>
          <w:iCs/>
        </w:rPr>
        <w:t>Drug Patent Citations &amp; Value</w:t>
      </w:r>
      <w:r w:rsidRPr="006067D2">
        <w:t xml:space="preserve">, </w:t>
      </w:r>
      <w:r w:rsidRPr="006067D2">
        <w:rPr>
          <w:smallCaps/>
        </w:rPr>
        <w:t xml:space="preserve">NBER </w:t>
      </w:r>
      <w:r w:rsidRPr="006067D2">
        <w:t>1, 8 (2018)</w:t>
      </w:r>
      <w:r>
        <w:t xml:space="preserve">; </w:t>
      </w:r>
      <w:r w:rsidRPr="006067D2">
        <w:t xml:space="preserve">James D. Chambers et al., </w:t>
      </w:r>
      <w:r w:rsidRPr="006067D2">
        <w:rPr>
          <w:i/>
          <w:iCs/>
        </w:rPr>
        <w:t xml:space="preserve">Despite High Costs, Specialty Drugs May Offer Value For Money Comparable To That Of Traditional Drugs, </w:t>
      </w:r>
      <w:r w:rsidRPr="006067D2">
        <w:rPr>
          <w:smallCaps/>
        </w:rPr>
        <w:t xml:space="preserve">33 Health </w:t>
      </w:r>
      <w:proofErr w:type="spellStart"/>
      <w:r w:rsidRPr="006067D2">
        <w:rPr>
          <w:smallCaps/>
        </w:rPr>
        <w:t>Affs</w:t>
      </w:r>
      <w:proofErr w:type="spellEnd"/>
      <w:r w:rsidR="00DC4A8F">
        <w:rPr>
          <w:smallCaps/>
        </w:rPr>
        <w:t>.</w:t>
      </w:r>
      <w:r w:rsidRPr="006067D2">
        <w:rPr>
          <w:smallCaps/>
        </w:rPr>
        <w:t xml:space="preserve"> 1751, 1752 (2014)</w:t>
      </w:r>
      <w:r>
        <w:rPr>
          <w:smallCaps/>
        </w:rPr>
        <w:t xml:space="preserve">; </w:t>
      </w:r>
      <w:r w:rsidRPr="006067D2">
        <w:rPr>
          <w:szCs w:val="20"/>
        </w:rPr>
        <w:t xml:space="preserve">Margaret K. Kyle, </w:t>
      </w:r>
      <w:r w:rsidRPr="006067D2">
        <w:rPr>
          <w:i/>
          <w:iCs/>
          <w:szCs w:val="20"/>
        </w:rPr>
        <w:t>Are Important Innovations Rewarded? Evidence from Pharmaceutical Markets</w:t>
      </w:r>
      <w:r w:rsidRPr="006067D2">
        <w:rPr>
          <w:szCs w:val="20"/>
        </w:rPr>
        <w:t xml:space="preserve">, 53 </w:t>
      </w:r>
      <w:r w:rsidRPr="006067D2">
        <w:rPr>
          <w:smallCaps/>
          <w:szCs w:val="20"/>
        </w:rPr>
        <w:t xml:space="preserve">Rev. </w:t>
      </w:r>
      <w:proofErr w:type="spellStart"/>
      <w:r w:rsidRPr="006067D2">
        <w:rPr>
          <w:smallCaps/>
          <w:szCs w:val="20"/>
        </w:rPr>
        <w:t>Indust</w:t>
      </w:r>
      <w:proofErr w:type="spellEnd"/>
      <w:r w:rsidRPr="006067D2">
        <w:rPr>
          <w:smallCaps/>
          <w:szCs w:val="20"/>
        </w:rPr>
        <w:t>. Org</w:t>
      </w:r>
      <w:r w:rsidRPr="006067D2">
        <w:rPr>
          <w:szCs w:val="20"/>
        </w:rPr>
        <w:t>. 211, 215 (2018).</w:t>
      </w:r>
    </w:p>
  </w:footnote>
  <w:footnote w:id="166">
    <w:p w14:paraId="1D87FD0C" w14:textId="76942B62" w:rsidR="001E1DF0" w:rsidRDefault="001E1DF0">
      <w:pPr>
        <w:pStyle w:val="FootnoteText"/>
      </w:pPr>
      <w:r>
        <w:rPr>
          <w:rStyle w:val="FootnoteReference"/>
        </w:rPr>
        <w:footnoteRef/>
      </w:r>
      <w:r>
        <w:t xml:space="preserve"> </w:t>
      </w:r>
      <w:r w:rsidRPr="00EE24EF">
        <w:rPr>
          <w:i/>
        </w:rPr>
        <w:t>Id</w:t>
      </w:r>
      <w:r>
        <w:t xml:space="preserve">. </w:t>
      </w:r>
    </w:p>
  </w:footnote>
  <w:footnote w:id="167">
    <w:p w14:paraId="431D3381" w14:textId="262B45FE" w:rsidR="00706736" w:rsidRPr="00B10A3C" w:rsidRDefault="00706736" w:rsidP="00706736">
      <w:pPr>
        <w:pStyle w:val="FootnoteText"/>
        <w:rPr>
          <w:szCs w:val="20"/>
        </w:rPr>
      </w:pPr>
      <w:r w:rsidRPr="00B10A3C">
        <w:rPr>
          <w:rStyle w:val="FootnoteReference"/>
          <w:szCs w:val="20"/>
        </w:rPr>
        <w:footnoteRef/>
      </w:r>
      <w:r w:rsidRPr="00B10A3C">
        <w:rPr>
          <w:szCs w:val="20"/>
        </w:rPr>
        <w:t xml:space="preserve"> Robin Feldman, David Hyman, W. Nicholson Price </w:t>
      </w:r>
      <w:r w:rsidR="00DC1815">
        <w:rPr>
          <w:szCs w:val="20"/>
        </w:rPr>
        <w:t>&amp;</w:t>
      </w:r>
      <w:r w:rsidRPr="00B10A3C">
        <w:rPr>
          <w:szCs w:val="20"/>
        </w:rPr>
        <w:t xml:space="preserve"> Mark Ratain, </w:t>
      </w:r>
      <w:r w:rsidRPr="00B10A3C">
        <w:rPr>
          <w:i/>
          <w:iCs/>
          <w:szCs w:val="20"/>
        </w:rPr>
        <w:t>Negative Innovation: When Patents Are Bad for Patients</w:t>
      </w:r>
      <w:r w:rsidRPr="00B10A3C">
        <w:rPr>
          <w:szCs w:val="20"/>
        </w:rPr>
        <w:t xml:space="preserve">, 39 </w:t>
      </w:r>
      <w:r w:rsidRPr="00DC1815">
        <w:rPr>
          <w:smallCaps/>
          <w:szCs w:val="20"/>
        </w:rPr>
        <w:t>Nature Biotech</w:t>
      </w:r>
      <w:r w:rsidRPr="00B10A3C">
        <w:rPr>
          <w:szCs w:val="20"/>
        </w:rPr>
        <w:t xml:space="preserve"> 914 (2021).</w:t>
      </w:r>
    </w:p>
  </w:footnote>
  <w:footnote w:id="168">
    <w:p w14:paraId="524DC284" w14:textId="77777777" w:rsidR="00706736" w:rsidRPr="00B10A3C" w:rsidRDefault="00706736" w:rsidP="00706736">
      <w:pPr>
        <w:pStyle w:val="FootnoteText"/>
        <w:rPr>
          <w:szCs w:val="20"/>
        </w:rPr>
      </w:pPr>
      <w:r w:rsidRPr="00B10A3C">
        <w:rPr>
          <w:rStyle w:val="FootnoteReference"/>
          <w:szCs w:val="20"/>
        </w:rPr>
        <w:footnoteRef/>
      </w:r>
      <w:r w:rsidRPr="00B10A3C">
        <w:rPr>
          <w:szCs w:val="20"/>
        </w:rPr>
        <w:t xml:space="preserve"> </w:t>
      </w:r>
      <w:r w:rsidRPr="00B10A3C">
        <w:rPr>
          <w:i/>
          <w:iCs/>
          <w:szCs w:val="20"/>
        </w:rPr>
        <w:t xml:space="preserve">Id. </w:t>
      </w:r>
      <w:r w:rsidRPr="00B10A3C">
        <w:rPr>
          <w:szCs w:val="20"/>
        </w:rPr>
        <w:t>at 914 (identifying the problem of “’negative’ innovation, in which patent law drives innovation into spaces that are affirmatively harmful to patients.”).</w:t>
      </w:r>
    </w:p>
  </w:footnote>
  <w:footnote w:id="169">
    <w:p w14:paraId="0C2C15F4" w14:textId="0D3CCCA1" w:rsidR="00706736" w:rsidRPr="00B10A3C" w:rsidRDefault="00706736" w:rsidP="00706736">
      <w:pPr>
        <w:pStyle w:val="FootnoteText"/>
        <w:rPr>
          <w:szCs w:val="20"/>
        </w:rPr>
      </w:pPr>
      <w:r w:rsidRPr="00B10A3C">
        <w:rPr>
          <w:rStyle w:val="FootnoteReference"/>
          <w:szCs w:val="20"/>
        </w:rPr>
        <w:footnoteRef/>
      </w:r>
      <w:r w:rsidRPr="00B10A3C">
        <w:rPr>
          <w:szCs w:val="20"/>
        </w:rPr>
        <w:t xml:space="preserve"> </w:t>
      </w:r>
      <w:r w:rsidRPr="00B10A3C">
        <w:rPr>
          <w:i/>
          <w:iCs/>
          <w:szCs w:val="20"/>
        </w:rPr>
        <w:t xml:space="preserve">Id. </w:t>
      </w:r>
      <w:r w:rsidRPr="00B10A3C">
        <w:rPr>
          <w:szCs w:val="20"/>
        </w:rPr>
        <w:t>at 914</w:t>
      </w:r>
      <w:r w:rsidR="007E276B">
        <w:rPr>
          <w:szCs w:val="20"/>
        </w:rPr>
        <w:t>–</w:t>
      </w:r>
      <w:r w:rsidRPr="00B10A3C">
        <w:rPr>
          <w:szCs w:val="20"/>
        </w:rPr>
        <w:t>15 (discussing the development of Ibrutinib, an anticancer drug).</w:t>
      </w:r>
    </w:p>
  </w:footnote>
  <w:footnote w:id="170">
    <w:p w14:paraId="32DFA5D4" w14:textId="5D5038A0" w:rsidR="001E43B2" w:rsidRDefault="001E43B2">
      <w:pPr>
        <w:pStyle w:val="FootnoteText"/>
      </w:pPr>
      <w:r>
        <w:rPr>
          <w:rStyle w:val="FootnoteReference"/>
        </w:rPr>
        <w:footnoteRef/>
      </w:r>
      <w:r>
        <w:t xml:space="preserve"> </w:t>
      </w:r>
      <w:r w:rsidR="00A73D27" w:rsidRPr="006067D2">
        <w:t xml:space="preserve">Brita </w:t>
      </w:r>
      <w:proofErr w:type="spellStart"/>
      <w:r w:rsidR="00A73D27" w:rsidRPr="006067D2">
        <w:t>Petarsky</w:t>
      </w:r>
      <w:proofErr w:type="spellEnd"/>
      <w:r w:rsidR="00A73D27" w:rsidRPr="006067D2">
        <w:t xml:space="preserve">, </w:t>
      </w:r>
      <w:r w:rsidR="00A73D27" w:rsidRPr="006067D2">
        <w:rPr>
          <w:i/>
          <w:iCs/>
        </w:rPr>
        <w:t>Should Financial Incentives be Used to Differentially Reward ‘Me-Too’ and Innovative Drugs?,</w:t>
      </w:r>
      <w:r w:rsidR="00A73D27" w:rsidRPr="006067D2">
        <w:t xml:space="preserve"> 28 </w:t>
      </w:r>
      <w:r w:rsidR="00A73D27" w:rsidRPr="006067D2">
        <w:rPr>
          <w:smallCaps/>
        </w:rPr>
        <w:t>Pharmacoeconomics</w:t>
      </w:r>
      <w:r w:rsidR="00A73D27" w:rsidRPr="006067D2">
        <w:t xml:space="preserve"> 1 (2010)</w:t>
      </w:r>
      <w:r w:rsidR="00A73D27">
        <w:t xml:space="preserve">; </w:t>
      </w:r>
      <w:r w:rsidR="00A73D27" w:rsidRPr="006067D2">
        <w:rPr>
          <w:szCs w:val="20"/>
        </w:rPr>
        <w:t xml:space="preserve">Margaret K. Kyle, </w:t>
      </w:r>
      <w:r w:rsidR="00A73D27" w:rsidRPr="006067D2">
        <w:rPr>
          <w:i/>
          <w:iCs/>
          <w:szCs w:val="20"/>
        </w:rPr>
        <w:t>Are Important Innovations Rewarded? Evidence from Pharmaceutical Markets</w:t>
      </w:r>
      <w:r w:rsidR="00A73D27" w:rsidRPr="006067D2">
        <w:rPr>
          <w:szCs w:val="20"/>
        </w:rPr>
        <w:t xml:space="preserve">, 53 </w:t>
      </w:r>
      <w:r w:rsidR="00A73D27" w:rsidRPr="006067D2">
        <w:rPr>
          <w:smallCaps/>
          <w:szCs w:val="20"/>
        </w:rPr>
        <w:t xml:space="preserve">Rev. </w:t>
      </w:r>
      <w:proofErr w:type="spellStart"/>
      <w:r w:rsidR="00A73D27" w:rsidRPr="006067D2">
        <w:rPr>
          <w:smallCaps/>
          <w:szCs w:val="20"/>
        </w:rPr>
        <w:t>Indust</w:t>
      </w:r>
      <w:proofErr w:type="spellEnd"/>
      <w:r w:rsidR="00A73D27" w:rsidRPr="006067D2">
        <w:rPr>
          <w:smallCaps/>
          <w:szCs w:val="20"/>
        </w:rPr>
        <w:t>. Org</w:t>
      </w:r>
      <w:r w:rsidR="00A73D27" w:rsidRPr="006067D2">
        <w:rPr>
          <w:szCs w:val="20"/>
        </w:rPr>
        <w:t>. 211, 215 (2018)</w:t>
      </w:r>
      <w:r>
        <w:t>.</w:t>
      </w:r>
    </w:p>
  </w:footnote>
  <w:footnote w:id="171">
    <w:p w14:paraId="254F37CF" w14:textId="539696F2" w:rsidR="001E1DF0" w:rsidRDefault="001E1DF0">
      <w:pPr>
        <w:pStyle w:val="FootnoteText"/>
      </w:pPr>
      <w:r>
        <w:rPr>
          <w:rStyle w:val="FootnoteReference"/>
        </w:rPr>
        <w:footnoteRef/>
      </w:r>
      <w:r>
        <w:t xml:space="preserve"> </w:t>
      </w:r>
      <w:r w:rsidR="002C0312">
        <w:t>Christopher</w:t>
      </w:r>
      <w:r>
        <w:t xml:space="preserve"> Buccafusco &amp; </w:t>
      </w:r>
      <w:r w:rsidR="002C0312">
        <w:t xml:space="preserve">Jonathan S. </w:t>
      </w:r>
      <w:r>
        <w:t>Masur</w:t>
      </w:r>
      <w:r w:rsidR="002C0312">
        <w:t xml:space="preserve">, </w:t>
      </w:r>
      <w:r w:rsidR="002C0312" w:rsidRPr="002C0312">
        <w:rPr>
          <w:i/>
        </w:rPr>
        <w:t>Drugs, Patents, and Well-Being</w:t>
      </w:r>
      <w:r w:rsidR="002C0312" w:rsidRPr="002C0312">
        <w:rPr>
          <w:iCs/>
        </w:rPr>
        <w:t xml:space="preserve">, 98 </w:t>
      </w:r>
      <w:r w:rsidR="002C0312" w:rsidRPr="002C0312">
        <w:rPr>
          <w:iCs/>
          <w:smallCaps/>
        </w:rPr>
        <w:t>Wash</w:t>
      </w:r>
      <w:r w:rsidR="002C0312">
        <w:rPr>
          <w:iCs/>
          <w:smallCaps/>
        </w:rPr>
        <w:t>.</w:t>
      </w:r>
      <w:r w:rsidR="002C0312" w:rsidRPr="002C0312">
        <w:rPr>
          <w:iCs/>
          <w:smallCaps/>
        </w:rPr>
        <w:t xml:space="preserve"> U. L</w:t>
      </w:r>
      <w:r w:rsidR="002C0312">
        <w:rPr>
          <w:iCs/>
          <w:smallCaps/>
        </w:rPr>
        <w:t>.</w:t>
      </w:r>
      <w:r w:rsidR="002C0312" w:rsidRPr="002C0312">
        <w:rPr>
          <w:iCs/>
          <w:smallCaps/>
        </w:rPr>
        <w:t xml:space="preserve"> Rev</w:t>
      </w:r>
      <w:r w:rsidR="002C0312">
        <w:rPr>
          <w:iCs/>
          <w:smallCaps/>
        </w:rPr>
        <w:t>.</w:t>
      </w:r>
      <w:r w:rsidR="002C0312" w:rsidRPr="002C0312">
        <w:rPr>
          <w:iCs/>
        </w:rPr>
        <w:t xml:space="preserve"> 1403 (2021)</w:t>
      </w:r>
      <w:r>
        <w:t xml:space="preserve">. </w:t>
      </w:r>
    </w:p>
  </w:footnote>
  <w:footnote w:id="172">
    <w:p w14:paraId="72D06B54" w14:textId="71D760FA" w:rsidR="00F90D49" w:rsidRDefault="00F90D49">
      <w:pPr>
        <w:pStyle w:val="FootnoteText"/>
      </w:pPr>
      <w:r>
        <w:rPr>
          <w:rStyle w:val="FootnoteReference"/>
        </w:rPr>
        <w:footnoteRef/>
      </w:r>
      <w:r>
        <w:t xml:space="preserve"> </w:t>
      </w:r>
      <w:r w:rsidR="00A22F22" w:rsidRPr="00A22F22">
        <w:t>Jean M. Twenge, Jonathan Haidt, Thomas E. Joiner &amp; W. Keith Campbell</w:t>
      </w:r>
      <w:r w:rsidR="00A22F22">
        <w:t xml:space="preserve">, </w:t>
      </w:r>
      <w:r w:rsidR="00A22F22" w:rsidRPr="00B22681">
        <w:rPr>
          <w:i/>
        </w:rPr>
        <w:t xml:space="preserve">Underestimating </w:t>
      </w:r>
      <w:r w:rsidR="00065B6C">
        <w:rPr>
          <w:i/>
          <w:iCs/>
        </w:rPr>
        <w:t>D</w:t>
      </w:r>
      <w:r w:rsidR="00A22F22" w:rsidRPr="00C50A06">
        <w:rPr>
          <w:i/>
          <w:iCs/>
        </w:rPr>
        <w:t>igital</w:t>
      </w:r>
      <w:r w:rsidR="00065B6C">
        <w:rPr>
          <w:i/>
          <w:iCs/>
        </w:rPr>
        <w:t xml:space="preserve"> M</w:t>
      </w:r>
      <w:r w:rsidR="00A22F22" w:rsidRPr="00C50A06">
        <w:rPr>
          <w:i/>
          <w:iCs/>
        </w:rPr>
        <w:t xml:space="preserve">edia </w:t>
      </w:r>
      <w:r w:rsidR="00065B6C">
        <w:rPr>
          <w:i/>
          <w:iCs/>
        </w:rPr>
        <w:t>H</w:t>
      </w:r>
      <w:r w:rsidR="00A22F22" w:rsidRPr="00B22681">
        <w:rPr>
          <w:i/>
        </w:rPr>
        <w:t>arm</w:t>
      </w:r>
      <w:r w:rsidR="00A22F22">
        <w:t xml:space="preserve">, 4 </w:t>
      </w:r>
      <w:r w:rsidR="00A22F22" w:rsidRPr="00B22681">
        <w:rPr>
          <w:smallCaps/>
        </w:rPr>
        <w:t xml:space="preserve">Nature Hum. </w:t>
      </w:r>
      <w:proofErr w:type="spellStart"/>
      <w:r w:rsidR="00A22F22" w:rsidRPr="00B22681">
        <w:rPr>
          <w:smallCaps/>
        </w:rPr>
        <w:t>Behav</w:t>
      </w:r>
      <w:proofErr w:type="spellEnd"/>
      <w:r w:rsidR="00A22F22" w:rsidRPr="00B22681">
        <w:rPr>
          <w:smallCaps/>
        </w:rPr>
        <w:t xml:space="preserve">. </w:t>
      </w:r>
      <w:r w:rsidR="00A22F22">
        <w:t>346 (2020)</w:t>
      </w:r>
      <w:r>
        <w:t>.</w:t>
      </w:r>
    </w:p>
  </w:footnote>
  <w:footnote w:id="173">
    <w:p w14:paraId="1DCA1456" w14:textId="6EB04EB4" w:rsidR="00F90D49" w:rsidRDefault="00F90D49">
      <w:pPr>
        <w:pStyle w:val="FootnoteText"/>
      </w:pPr>
      <w:r>
        <w:rPr>
          <w:rStyle w:val="FootnoteReference"/>
        </w:rPr>
        <w:footnoteRef/>
      </w:r>
      <w:r>
        <w:t xml:space="preserve"> </w:t>
      </w:r>
      <w:r w:rsidR="00A22F22" w:rsidRPr="00B22681">
        <w:rPr>
          <w:i/>
        </w:rPr>
        <w:t>Id</w:t>
      </w:r>
      <w:r w:rsidRPr="00B22681">
        <w:rPr>
          <w:i/>
        </w:rPr>
        <w:t>.</w:t>
      </w:r>
    </w:p>
  </w:footnote>
  <w:footnote w:id="174">
    <w:p w14:paraId="2ED8C138" w14:textId="7CC84134" w:rsidR="00003C28" w:rsidRDefault="00003C28" w:rsidP="00E17D80">
      <w:pPr>
        <w:pStyle w:val="FootnoteText"/>
      </w:pPr>
      <w:r>
        <w:rPr>
          <w:rStyle w:val="FootnoteReference"/>
        </w:rPr>
        <w:footnoteRef/>
      </w:r>
      <w:r>
        <w:t xml:space="preserve"> </w:t>
      </w:r>
      <w:r w:rsidR="00E17D80">
        <w:t xml:space="preserve">Eva Galperin, </w:t>
      </w:r>
      <w:r w:rsidR="00E17D80" w:rsidRPr="00B22681">
        <w:rPr>
          <w:i/>
        </w:rPr>
        <w:t>Apple’s AirTags Are a Gift to Stalkers</w:t>
      </w:r>
      <w:r w:rsidR="00E17D80">
        <w:t xml:space="preserve">, </w:t>
      </w:r>
      <w:r w:rsidR="00E17D80" w:rsidRPr="00B22681">
        <w:rPr>
          <w:smallCaps/>
        </w:rPr>
        <w:t>Wired</w:t>
      </w:r>
      <w:r w:rsidR="00E17D80">
        <w:t xml:space="preserve"> (May 13, 2021 9:00 AM), </w:t>
      </w:r>
      <w:r w:rsidRPr="00871D14">
        <w:t>https://www.wired.com/story/opinion-apples-air-tags-are-a-gift-to-stalkers</w:t>
      </w:r>
      <w:r w:rsidR="00E17D80">
        <w:t>.</w:t>
      </w:r>
    </w:p>
  </w:footnote>
  <w:footnote w:id="175">
    <w:p w14:paraId="4C795E41" w14:textId="5779B828" w:rsidR="00003C28" w:rsidRDefault="00003C28" w:rsidP="00003C28">
      <w:pPr>
        <w:pStyle w:val="FootnoteText"/>
      </w:pPr>
      <w:r>
        <w:rPr>
          <w:rStyle w:val="FootnoteReference"/>
        </w:rPr>
        <w:footnoteRef/>
      </w:r>
      <w:r>
        <w:t xml:space="preserve"> </w:t>
      </w:r>
      <w:r w:rsidR="00E17D80" w:rsidRPr="00C50A06">
        <w:rPr>
          <w:i/>
          <w:iCs/>
        </w:rPr>
        <w:t>Id.</w:t>
      </w:r>
    </w:p>
  </w:footnote>
  <w:footnote w:id="176">
    <w:p w14:paraId="6721C671" w14:textId="739AAC65" w:rsidR="00003C28" w:rsidRDefault="00003C28" w:rsidP="00003C28">
      <w:pPr>
        <w:pStyle w:val="FootnoteText"/>
      </w:pPr>
      <w:r>
        <w:rPr>
          <w:rStyle w:val="FootnoteReference"/>
        </w:rPr>
        <w:footnoteRef/>
      </w:r>
      <w:r>
        <w:t xml:space="preserve"> </w:t>
      </w:r>
      <w:r w:rsidR="00EE423C" w:rsidRPr="00EE423C">
        <w:t>Geoffrey A. Fowler</w:t>
      </w:r>
      <w:r w:rsidR="00EE423C">
        <w:t xml:space="preserve">, </w:t>
      </w:r>
      <w:r w:rsidR="00EE423C" w:rsidRPr="00B22681">
        <w:rPr>
          <w:i/>
        </w:rPr>
        <w:t xml:space="preserve">Apple’s </w:t>
      </w:r>
      <w:proofErr w:type="spellStart"/>
      <w:r w:rsidR="00EE423C" w:rsidRPr="00B22681">
        <w:rPr>
          <w:i/>
        </w:rPr>
        <w:t>AirTag</w:t>
      </w:r>
      <w:proofErr w:type="spellEnd"/>
      <w:r w:rsidR="00EE423C" w:rsidRPr="00B22681">
        <w:rPr>
          <w:i/>
        </w:rPr>
        <w:t xml:space="preserve"> </w:t>
      </w:r>
      <w:r w:rsidR="00EE423C">
        <w:rPr>
          <w:i/>
          <w:iCs/>
        </w:rPr>
        <w:t>T</w:t>
      </w:r>
      <w:r w:rsidR="00EE423C" w:rsidRPr="00B22681">
        <w:rPr>
          <w:i/>
        </w:rPr>
        <w:t>rackers</w:t>
      </w:r>
      <w:r w:rsidR="00EE423C">
        <w:rPr>
          <w:i/>
          <w:iCs/>
        </w:rPr>
        <w:t xml:space="preserve"> M</w:t>
      </w:r>
      <w:r w:rsidR="00EE423C" w:rsidRPr="00B22681">
        <w:rPr>
          <w:i/>
        </w:rPr>
        <w:t xml:space="preserve">ade it </w:t>
      </w:r>
      <w:r w:rsidR="00EE423C">
        <w:rPr>
          <w:i/>
          <w:iCs/>
        </w:rPr>
        <w:t>F</w:t>
      </w:r>
      <w:r w:rsidR="00EE423C" w:rsidRPr="00B22681">
        <w:rPr>
          <w:i/>
        </w:rPr>
        <w:t xml:space="preserve">righteningly </w:t>
      </w:r>
      <w:r w:rsidR="00EE423C">
        <w:rPr>
          <w:i/>
          <w:iCs/>
        </w:rPr>
        <w:t>E</w:t>
      </w:r>
      <w:r w:rsidR="00EE423C" w:rsidRPr="00B22681">
        <w:rPr>
          <w:i/>
        </w:rPr>
        <w:t xml:space="preserve">asy </w:t>
      </w:r>
      <w:r w:rsidR="00EE423C">
        <w:rPr>
          <w:i/>
          <w:iCs/>
        </w:rPr>
        <w:t>T</w:t>
      </w:r>
      <w:r w:rsidR="00EE423C" w:rsidRPr="00B22681">
        <w:rPr>
          <w:i/>
        </w:rPr>
        <w:t>o ‘</w:t>
      </w:r>
      <w:r w:rsidR="00EE423C">
        <w:rPr>
          <w:i/>
          <w:iCs/>
        </w:rPr>
        <w:t>S</w:t>
      </w:r>
      <w:r w:rsidR="00EE423C" w:rsidRPr="00B22681">
        <w:rPr>
          <w:i/>
        </w:rPr>
        <w:t xml:space="preserve">talk’ </w:t>
      </w:r>
      <w:r w:rsidR="00EE423C">
        <w:rPr>
          <w:i/>
          <w:iCs/>
        </w:rPr>
        <w:t>M</w:t>
      </w:r>
      <w:r w:rsidR="00EE423C" w:rsidRPr="00B22681">
        <w:rPr>
          <w:i/>
        </w:rPr>
        <w:t xml:space="preserve">e in a </w:t>
      </w:r>
      <w:r w:rsidR="00EE423C">
        <w:rPr>
          <w:i/>
          <w:iCs/>
        </w:rPr>
        <w:t>T</w:t>
      </w:r>
      <w:r w:rsidR="00EE423C" w:rsidRPr="00B22681">
        <w:rPr>
          <w:i/>
        </w:rPr>
        <w:t>est</w:t>
      </w:r>
      <w:r w:rsidR="00EE423C">
        <w:t xml:space="preserve">, </w:t>
      </w:r>
      <w:r w:rsidR="00EE423C" w:rsidRPr="00B22681">
        <w:rPr>
          <w:smallCaps/>
        </w:rPr>
        <w:t>Wash. Post</w:t>
      </w:r>
      <w:r w:rsidR="00EE423C">
        <w:t xml:space="preserve"> (</w:t>
      </w:r>
      <w:r w:rsidR="00EE423C" w:rsidRPr="00EE423C">
        <w:t xml:space="preserve">May 5, 2021 at 8:00 </w:t>
      </w:r>
      <w:r w:rsidR="00EE423C">
        <w:t xml:space="preserve">P.M.), </w:t>
      </w:r>
      <w:r w:rsidRPr="00306728">
        <w:t>https://www.washingtonpost.com/technology/2021/05/05/apple-airtags-stalking</w:t>
      </w:r>
      <w:r w:rsidR="00EE423C">
        <w:t>.</w:t>
      </w:r>
    </w:p>
  </w:footnote>
  <w:footnote w:id="177">
    <w:p w14:paraId="26BFA7B7" w14:textId="718558C4" w:rsidR="00EA28C8" w:rsidRDefault="00EA28C8">
      <w:pPr>
        <w:pStyle w:val="FootnoteText"/>
      </w:pPr>
      <w:r>
        <w:rPr>
          <w:rStyle w:val="FootnoteReference"/>
        </w:rPr>
        <w:footnoteRef/>
      </w:r>
      <w:r>
        <w:t xml:space="preserve"> </w:t>
      </w:r>
      <w:r w:rsidR="00E83A5C" w:rsidRPr="00B22681">
        <w:rPr>
          <w:i/>
          <w:iCs/>
        </w:rPr>
        <w:t>See</w:t>
      </w:r>
      <w:r w:rsidR="00E83A5C">
        <w:t xml:space="preserve"> </w:t>
      </w:r>
      <w:r w:rsidR="00E83A5C" w:rsidRPr="00B22681">
        <w:rPr>
          <w:i/>
        </w:rPr>
        <w:t>Causes of Climate Change</w:t>
      </w:r>
      <w:r w:rsidR="00E83A5C">
        <w:t xml:space="preserve">, </w:t>
      </w:r>
      <w:r w:rsidR="00E83A5C" w:rsidRPr="00B22681">
        <w:rPr>
          <w:smallCaps/>
        </w:rPr>
        <w:t>U.S. Env’t Prot. Agency</w:t>
      </w:r>
      <w:r w:rsidR="00E83A5C">
        <w:t xml:space="preserve">, </w:t>
      </w:r>
      <w:r w:rsidR="00E83A5C" w:rsidRPr="00E83A5C">
        <w:t>https://www.epa.gov/climatechange-science/causes-climate-change</w:t>
      </w:r>
      <w:r>
        <w:t xml:space="preserve">. </w:t>
      </w:r>
    </w:p>
  </w:footnote>
  <w:footnote w:id="178">
    <w:p w14:paraId="3EA33699" w14:textId="6BCC3E55" w:rsidR="002D56FC" w:rsidRDefault="002D56FC">
      <w:pPr>
        <w:pStyle w:val="FootnoteText"/>
      </w:pPr>
      <w:r>
        <w:rPr>
          <w:rStyle w:val="FootnoteReference"/>
        </w:rPr>
        <w:footnoteRef/>
      </w:r>
      <w:r w:rsidRPr="003217CE">
        <w:t xml:space="preserve"> </w:t>
      </w:r>
      <w:r w:rsidR="003217CE" w:rsidRPr="00B22681">
        <w:rPr>
          <w:i/>
          <w:iCs/>
        </w:rPr>
        <w:t>See</w:t>
      </w:r>
      <w:r w:rsidR="003217CE" w:rsidRPr="00B22681">
        <w:rPr>
          <w:i/>
        </w:rPr>
        <w:t xml:space="preserve"> Sources of Greenhouse Gas Emissions</w:t>
      </w:r>
      <w:r w:rsidR="003217CE">
        <w:t xml:space="preserve">, </w:t>
      </w:r>
      <w:r w:rsidR="003217CE" w:rsidRPr="00C971C3">
        <w:rPr>
          <w:smallCaps/>
        </w:rPr>
        <w:t>U.S. Env’t Prot. Agency</w:t>
      </w:r>
      <w:r w:rsidR="003217CE">
        <w:rPr>
          <w:smallCaps/>
        </w:rPr>
        <w:t xml:space="preserve">, </w:t>
      </w:r>
      <w:r w:rsidR="003217CE" w:rsidRPr="00B22681">
        <w:t>https://www.epa.gov/ghgemissions/sources-greenhouse-gas-emissions</w:t>
      </w:r>
      <w:r w:rsidRPr="003217CE">
        <w:t>.</w:t>
      </w:r>
      <w:r>
        <w:t xml:space="preserve"> CITE.</w:t>
      </w:r>
    </w:p>
  </w:footnote>
  <w:footnote w:id="179">
    <w:p w14:paraId="2F4AADC3" w14:textId="66C3684E" w:rsidR="00A84E06" w:rsidRDefault="00A84E06">
      <w:pPr>
        <w:pStyle w:val="FootnoteText"/>
      </w:pPr>
      <w:r w:rsidRPr="00C55F14">
        <w:rPr>
          <w:rStyle w:val="FootnoteReference"/>
        </w:rPr>
        <w:footnoteRef/>
      </w:r>
      <w:r w:rsidRPr="00C55F14">
        <w:t xml:space="preserve"> </w:t>
      </w:r>
      <w:r w:rsidR="003217CE" w:rsidRPr="00C55F14">
        <w:rPr>
          <w:i/>
        </w:rPr>
        <w:t>See generally</w:t>
      </w:r>
      <w:r w:rsidR="003217CE" w:rsidRPr="00C55F14">
        <w:t xml:space="preserve"> Nicole C. </w:t>
      </w:r>
      <w:proofErr w:type="spellStart"/>
      <w:r w:rsidR="003217CE" w:rsidRPr="00C55F14">
        <w:t>Deziel</w:t>
      </w:r>
      <w:proofErr w:type="spellEnd"/>
      <w:r w:rsidR="003217CE" w:rsidRPr="00C55F14">
        <w:t xml:space="preserve">, Bhavna </w:t>
      </w:r>
      <w:proofErr w:type="spellStart"/>
      <w:r w:rsidR="003217CE" w:rsidRPr="00C55F14">
        <w:t>Shamasunder</w:t>
      </w:r>
      <w:proofErr w:type="spellEnd"/>
      <w:r w:rsidR="003217CE" w:rsidRPr="00C55F14">
        <w:t xml:space="preserve"> &amp; </w:t>
      </w:r>
      <w:proofErr w:type="spellStart"/>
      <w:r w:rsidR="003217CE" w:rsidRPr="00C55F14">
        <w:t>Liba</w:t>
      </w:r>
      <w:proofErr w:type="spellEnd"/>
      <w:r w:rsidR="003217CE" w:rsidRPr="00C55F14">
        <w:t xml:space="preserve"> </w:t>
      </w:r>
      <w:proofErr w:type="spellStart"/>
      <w:r w:rsidR="003217CE" w:rsidRPr="00C55F14">
        <w:t>Pejchar</w:t>
      </w:r>
      <w:proofErr w:type="spellEnd"/>
      <w:r w:rsidR="003217CE" w:rsidRPr="00C55F14">
        <w:t xml:space="preserve">, </w:t>
      </w:r>
      <w:r w:rsidR="003217CE" w:rsidRPr="00C55F14">
        <w:rPr>
          <w:i/>
        </w:rPr>
        <w:t>Synergies and Trade-Offs in Reducing Impacts of Unconventional Oil and Gas Development on Wildlife and Human Health</w:t>
      </w:r>
      <w:r w:rsidR="003217CE" w:rsidRPr="00C55F14">
        <w:t xml:space="preserve">, 72 </w:t>
      </w:r>
      <w:proofErr w:type="spellStart"/>
      <w:r w:rsidR="003217CE" w:rsidRPr="00C55F14">
        <w:rPr>
          <w:smallCaps/>
        </w:rPr>
        <w:t>BioScience</w:t>
      </w:r>
      <w:proofErr w:type="spellEnd"/>
      <w:r w:rsidR="003217CE" w:rsidRPr="00C55F14">
        <w:t xml:space="preserve"> 472 (2022)</w:t>
      </w:r>
      <w:r w:rsidRPr="00C55F14">
        <w:t>.</w:t>
      </w:r>
      <w:r>
        <w:t xml:space="preserve"> </w:t>
      </w:r>
    </w:p>
  </w:footnote>
  <w:footnote w:id="180">
    <w:p w14:paraId="36AAFCEC" w14:textId="50C3C192" w:rsidR="002633CE" w:rsidRDefault="002633CE">
      <w:pPr>
        <w:pStyle w:val="FootnoteText"/>
      </w:pPr>
      <w:r>
        <w:rPr>
          <w:rStyle w:val="FootnoteReference"/>
        </w:rPr>
        <w:footnoteRef/>
      </w:r>
      <w:r>
        <w:t xml:space="preserve"> </w:t>
      </w:r>
      <w:r w:rsidR="00E83A5C">
        <w:t>James</w:t>
      </w:r>
      <w:r>
        <w:t xml:space="preserve"> </w:t>
      </w:r>
      <w:r w:rsidR="00670104">
        <w:t xml:space="preserve">Conca, </w:t>
      </w:r>
      <w:r w:rsidR="00670104" w:rsidRPr="00B22681">
        <w:rPr>
          <w:i/>
        </w:rPr>
        <w:t>Blood Batteries: Cobalt and the Congo</w:t>
      </w:r>
      <w:r w:rsidR="00670104">
        <w:t xml:space="preserve">, </w:t>
      </w:r>
      <w:r w:rsidR="00670104" w:rsidRPr="00B22681">
        <w:rPr>
          <w:smallCaps/>
        </w:rPr>
        <w:t>Forbes</w:t>
      </w:r>
      <w:r w:rsidR="00670104">
        <w:t xml:space="preserve"> </w:t>
      </w:r>
      <w:r w:rsidR="00E83A5C">
        <w:t>(Sep</w:t>
      </w:r>
      <w:r w:rsidR="00887298">
        <w:t>t</w:t>
      </w:r>
      <w:r w:rsidR="00E83A5C">
        <w:t xml:space="preserve">. 26, 2018), </w:t>
      </w:r>
      <w:r w:rsidR="00E83A5C" w:rsidRPr="00E83A5C">
        <w:t>https://www.forbes.com/sites/jamesconca/2018/09/26/blood-batteries-cobalt-and-the-congo/?sh=7587ac70cc6e</w:t>
      </w:r>
      <w:r w:rsidR="00670104">
        <w:t xml:space="preserve">. </w:t>
      </w:r>
    </w:p>
  </w:footnote>
  <w:footnote w:id="181">
    <w:p w14:paraId="3F9CB55F" w14:textId="70830458" w:rsidR="00A84E06" w:rsidRDefault="00A84E06">
      <w:pPr>
        <w:pStyle w:val="FootnoteText"/>
      </w:pPr>
      <w:r>
        <w:rPr>
          <w:rStyle w:val="FootnoteReference"/>
        </w:rPr>
        <w:footnoteRef/>
      </w:r>
      <w:r>
        <w:t xml:space="preserve"> </w:t>
      </w:r>
      <w:r w:rsidR="00E83A5C">
        <w:t xml:space="preserve">Joseph Guiltinan, </w:t>
      </w:r>
      <w:r w:rsidR="00E83A5C" w:rsidRPr="00C971C3">
        <w:rPr>
          <w:i/>
          <w:iCs/>
        </w:rPr>
        <w:t>Creative Destruction and Destructive Creations: Environmental Ethics and Planned Obsolescence</w:t>
      </w:r>
      <w:r w:rsidR="00E83A5C">
        <w:t xml:space="preserve">, 89 </w:t>
      </w:r>
      <w:r w:rsidR="00E83A5C" w:rsidRPr="00C971C3">
        <w:rPr>
          <w:smallCaps/>
        </w:rPr>
        <w:t xml:space="preserve">J. Bus. Ethics </w:t>
      </w:r>
      <w:r w:rsidR="00E83A5C">
        <w:t>19, 19</w:t>
      </w:r>
      <w:r w:rsidR="00BC2303">
        <w:t>–</w:t>
      </w:r>
      <w:r w:rsidR="00E83A5C">
        <w:t>20 (2009)</w:t>
      </w:r>
      <w:r>
        <w:t xml:space="preserve">. </w:t>
      </w:r>
    </w:p>
  </w:footnote>
  <w:footnote w:id="182">
    <w:p w14:paraId="73D56952" w14:textId="579B1322" w:rsidR="00670104" w:rsidRDefault="00670104">
      <w:pPr>
        <w:pStyle w:val="FootnoteText"/>
      </w:pPr>
      <w:r>
        <w:rPr>
          <w:rStyle w:val="FootnoteReference"/>
        </w:rPr>
        <w:footnoteRef/>
      </w:r>
      <w:r>
        <w:t xml:space="preserve"> </w:t>
      </w:r>
      <w:r w:rsidR="00E83A5C" w:rsidRPr="00B22681">
        <w:rPr>
          <w:i/>
          <w:iCs/>
        </w:rPr>
        <w:t>Id.</w:t>
      </w:r>
      <w:r w:rsidR="00E83A5C">
        <w:t xml:space="preserve"> at 19</w:t>
      </w:r>
      <w:r>
        <w:t xml:space="preserve">. </w:t>
      </w:r>
    </w:p>
  </w:footnote>
  <w:footnote w:id="183">
    <w:p w14:paraId="5FCB39AA" w14:textId="7339DDAF" w:rsidR="00EB6AE4" w:rsidRDefault="00EB6AE4">
      <w:pPr>
        <w:pStyle w:val="FootnoteText"/>
      </w:pPr>
      <w:r>
        <w:rPr>
          <w:rStyle w:val="FootnoteReference"/>
        </w:rPr>
        <w:footnoteRef/>
      </w:r>
      <w:r>
        <w:t xml:space="preserve"> </w:t>
      </w:r>
      <w:r w:rsidR="000417AA" w:rsidRPr="00987850">
        <w:rPr>
          <w:i/>
        </w:rPr>
        <w:t>Id</w:t>
      </w:r>
      <w:r w:rsidRPr="00C50A06">
        <w:rPr>
          <w:i/>
        </w:rPr>
        <w:t>.</w:t>
      </w:r>
    </w:p>
  </w:footnote>
  <w:footnote w:id="184">
    <w:p w14:paraId="514A0BCA" w14:textId="6D4A8539" w:rsidR="00670104" w:rsidRDefault="00670104">
      <w:pPr>
        <w:pStyle w:val="FootnoteText"/>
      </w:pPr>
      <w:r>
        <w:rPr>
          <w:rStyle w:val="FootnoteReference"/>
        </w:rPr>
        <w:footnoteRef/>
      </w:r>
      <w:r>
        <w:t xml:space="preserve"> </w:t>
      </w:r>
      <w:proofErr w:type="spellStart"/>
      <w:r w:rsidR="00E83A5C">
        <w:t>Kal</w:t>
      </w:r>
      <w:proofErr w:type="spellEnd"/>
      <w:r w:rsidR="00E83A5C">
        <w:t xml:space="preserve"> </w:t>
      </w:r>
      <w:proofErr w:type="spellStart"/>
      <w:r>
        <w:t>Raustial</w:t>
      </w:r>
      <w:r w:rsidR="00E83A5C">
        <w:t>a</w:t>
      </w:r>
      <w:proofErr w:type="spellEnd"/>
      <w:r>
        <w:t xml:space="preserve"> &amp; </w:t>
      </w:r>
      <w:r w:rsidR="00E83A5C">
        <w:t>Christopher Jon</w:t>
      </w:r>
      <w:r>
        <w:t xml:space="preserve"> </w:t>
      </w:r>
      <w:proofErr w:type="spellStart"/>
      <w:r>
        <w:t>Sprigman</w:t>
      </w:r>
      <w:proofErr w:type="spellEnd"/>
      <w:r w:rsidR="000417AA">
        <w:t xml:space="preserve">, </w:t>
      </w:r>
      <w:r w:rsidR="00E83A5C" w:rsidRPr="00C50A06">
        <w:rPr>
          <w:i/>
        </w:rPr>
        <w:t xml:space="preserve">Faster Fashion: The </w:t>
      </w:r>
      <w:r w:rsidR="000417AA" w:rsidRPr="00017497">
        <w:rPr>
          <w:i/>
          <w:iCs/>
        </w:rPr>
        <w:t>Piracy Paradox</w:t>
      </w:r>
      <w:r w:rsidR="00E83A5C" w:rsidRPr="007802A6">
        <w:rPr>
          <w:i/>
        </w:rPr>
        <w:t xml:space="preserve"> and its Perils</w:t>
      </w:r>
      <w:r w:rsidR="00E83A5C">
        <w:t xml:space="preserve">, 39 </w:t>
      </w:r>
      <w:r w:rsidR="00E83A5C" w:rsidRPr="007802A6">
        <w:rPr>
          <w:smallCaps/>
        </w:rPr>
        <w:t>Cardozo Arts &amp; Ent. L.J.</w:t>
      </w:r>
      <w:r w:rsidR="00E83A5C">
        <w:t xml:space="preserve"> 535, 540 (2021)</w:t>
      </w:r>
      <w:r>
        <w:t xml:space="preserve">; </w:t>
      </w:r>
      <w:r w:rsidR="00E83A5C" w:rsidRPr="007802A6">
        <w:rPr>
          <w:smallCaps/>
        </w:rPr>
        <w:t>William</w:t>
      </w:r>
      <w:r w:rsidRPr="007802A6">
        <w:rPr>
          <w:smallCaps/>
        </w:rPr>
        <w:t xml:space="preserve"> Shakespeare</w:t>
      </w:r>
      <w:r w:rsidR="00E83A5C" w:rsidRPr="007802A6">
        <w:rPr>
          <w:smallCaps/>
        </w:rPr>
        <w:t>, Much Ado About Nothing</w:t>
      </w:r>
      <w:r w:rsidR="00E83A5C" w:rsidRPr="00E83A5C">
        <w:t xml:space="preserve"> act 3, sc. 3, l. 139</w:t>
      </w:r>
      <w:r w:rsidR="00A47F15">
        <w:t>–</w:t>
      </w:r>
      <w:r w:rsidR="00E83A5C" w:rsidRPr="00E83A5C">
        <w:t>40</w:t>
      </w:r>
      <w:r>
        <w:t>.</w:t>
      </w:r>
      <w:r w:rsidR="0079432F">
        <w:t xml:space="preserve"> </w:t>
      </w:r>
    </w:p>
  </w:footnote>
  <w:footnote w:id="185">
    <w:p w14:paraId="502EAA86" w14:textId="49097D2C" w:rsidR="00503A6D" w:rsidRDefault="00503A6D">
      <w:pPr>
        <w:pStyle w:val="FootnoteText"/>
      </w:pPr>
      <w:r>
        <w:rPr>
          <w:rStyle w:val="FootnoteReference"/>
        </w:rPr>
        <w:footnoteRef/>
      </w:r>
      <w:r>
        <w:t xml:space="preserve"> D</w:t>
      </w:r>
      <w:r w:rsidR="00E83A5C">
        <w:t>errick S.</w:t>
      </w:r>
      <w:r>
        <w:t xml:space="preserve"> Boone, K</w:t>
      </w:r>
      <w:r w:rsidR="00E83A5C">
        <w:t>atherine N.</w:t>
      </w:r>
      <w:r>
        <w:t xml:space="preserve"> Lemon &amp; R</w:t>
      </w:r>
      <w:r w:rsidR="00E83A5C">
        <w:t>ichard</w:t>
      </w:r>
      <w:r>
        <w:t xml:space="preserve"> Staetlin, </w:t>
      </w:r>
      <w:r w:rsidRPr="00D9492A">
        <w:rPr>
          <w:i/>
        </w:rPr>
        <w:t>The Impact of Firm Introductory Strategies on Consumers’ Perceptions of Future Product Introductions and Purchase Decision</w:t>
      </w:r>
      <w:r>
        <w:t>, 18 J</w:t>
      </w:r>
      <w:r w:rsidRPr="00D9492A">
        <w:rPr>
          <w:smallCaps/>
        </w:rPr>
        <w:t>. Prod. Innov.</w:t>
      </w:r>
      <w:r>
        <w:rPr>
          <w:smallCaps/>
        </w:rPr>
        <w:t xml:space="preserve"> </w:t>
      </w:r>
      <w:r w:rsidR="00E83A5C">
        <w:rPr>
          <w:smallCaps/>
        </w:rPr>
        <w:t>Mgmt</w:t>
      </w:r>
      <w:r w:rsidRPr="00D9492A">
        <w:rPr>
          <w:smallCaps/>
        </w:rPr>
        <w:t>.</w:t>
      </w:r>
      <w:r>
        <w:t xml:space="preserve"> 96 (2001). </w:t>
      </w:r>
    </w:p>
  </w:footnote>
  <w:footnote w:id="186">
    <w:p w14:paraId="45BD6A56" w14:textId="5E96216E" w:rsidR="00670104" w:rsidRDefault="00670104">
      <w:pPr>
        <w:pStyle w:val="FootnoteText"/>
      </w:pPr>
      <w:r>
        <w:rPr>
          <w:rStyle w:val="FootnoteReference"/>
        </w:rPr>
        <w:footnoteRef/>
      </w:r>
      <w:r>
        <w:t xml:space="preserve"> </w:t>
      </w:r>
      <w:proofErr w:type="spellStart"/>
      <w:r>
        <w:t>Guiltinan</w:t>
      </w:r>
      <w:proofErr w:type="spellEnd"/>
      <w:r>
        <w:t xml:space="preserve">, </w:t>
      </w:r>
      <w:r w:rsidRPr="00D9492A">
        <w:rPr>
          <w:i/>
        </w:rPr>
        <w:t>supra</w:t>
      </w:r>
      <w:r>
        <w:t xml:space="preserve"> note</w:t>
      </w:r>
      <w:r w:rsidR="00F06C3B">
        <w:t xml:space="preserve"> </w:t>
      </w:r>
      <w:r w:rsidR="00F06C3B">
        <w:fldChar w:fldCharType="begin"/>
      </w:r>
      <w:r w:rsidR="00F06C3B">
        <w:instrText xml:space="preserve"> NOTEREF _Ref126598350 \h </w:instrText>
      </w:r>
      <w:r w:rsidR="00F06C3B">
        <w:fldChar w:fldCharType="separate"/>
      </w:r>
      <w:r w:rsidR="00995C7E">
        <w:t>178</w:t>
      </w:r>
      <w:r w:rsidR="00F06C3B">
        <w:fldChar w:fldCharType="end"/>
      </w:r>
      <w:r>
        <w:t>, at</w:t>
      </w:r>
      <w:r w:rsidR="00E83A5C">
        <w:t xml:space="preserve"> </w:t>
      </w:r>
      <w:r>
        <w:t xml:space="preserve">19. </w:t>
      </w:r>
    </w:p>
  </w:footnote>
  <w:footnote w:id="187">
    <w:p w14:paraId="2447485F" w14:textId="339B205F" w:rsidR="0063455D" w:rsidRDefault="0063455D">
      <w:pPr>
        <w:pStyle w:val="FootnoteText"/>
      </w:pPr>
      <w:r>
        <w:rPr>
          <w:rStyle w:val="FootnoteReference"/>
        </w:rPr>
        <w:footnoteRef/>
      </w:r>
      <w:r>
        <w:t xml:space="preserve"> </w:t>
      </w:r>
      <w:r w:rsidR="00635EB7">
        <w:t xml:space="preserve">John P. Vail, </w:t>
      </w:r>
      <w:r w:rsidR="00635EB7" w:rsidRPr="00D9492A">
        <w:rPr>
          <w:i/>
        </w:rPr>
        <w:t xml:space="preserve">The Need </w:t>
      </w:r>
      <w:r w:rsidR="00887298">
        <w:rPr>
          <w:i/>
          <w:iCs/>
        </w:rPr>
        <w:t>f</w:t>
      </w:r>
      <w:r w:rsidR="00635EB7" w:rsidRPr="00D9492A">
        <w:rPr>
          <w:i/>
        </w:rPr>
        <w:t>or A Sustainability Pledge: Fighting Planned Obsolescence</w:t>
      </w:r>
      <w:r w:rsidR="00635EB7">
        <w:t xml:space="preserve">, 13 </w:t>
      </w:r>
      <w:r w:rsidR="00635EB7" w:rsidRPr="00D9492A">
        <w:rPr>
          <w:smallCaps/>
        </w:rPr>
        <w:t>Geo. Wash. J. Energy &amp; Env’t L.</w:t>
      </w:r>
      <w:r w:rsidR="00635EB7">
        <w:t xml:space="preserve"> 1, 5 n.34 (2022); </w:t>
      </w:r>
      <w:r w:rsidR="00E83A5C">
        <w:t xml:space="preserve">Ewan Spence, </w:t>
      </w:r>
      <w:r w:rsidR="00E83A5C" w:rsidRPr="00D9492A">
        <w:rPr>
          <w:i/>
        </w:rPr>
        <w:t xml:space="preserve">Apple Confirms It </w:t>
      </w:r>
      <w:r w:rsidR="00887298" w:rsidRPr="00887298">
        <w:rPr>
          <w:i/>
          <w:iCs/>
        </w:rPr>
        <w:t>Degrades</w:t>
      </w:r>
      <w:r w:rsidR="00E83A5C" w:rsidRPr="00D9492A">
        <w:rPr>
          <w:i/>
        </w:rPr>
        <w:t xml:space="preserve"> Your Old iPhone’s Performance</w:t>
      </w:r>
      <w:r w:rsidR="00E83A5C">
        <w:t xml:space="preserve">, </w:t>
      </w:r>
      <w:r w:rsidR="00E83A5C" w:rsidRPr="00D9492A">
        <w:rPr>
          <w:smallCaps/>
        </w:rPr>
        <w:t>Forbes</w:t>
      </w:r>
      <w:r w:rsidR="00E83A5C">
        <w:t xml:space="preserve"> (Dec. 20, 2017), </w:t>
      </w:r>
      <w:r w:rsidR="00E83A5C" w:rsidRPr="00E83A5C">
        <w:t>https://www.forbes.com/sites/ewanspence/2017/12/20/apple-iphone-kill-switch-ios-degrade-cripple-performance-battery</w:t>
      </w:r>
      <w:r>
        <w:t>.</w:t>
      </w:r>
    </w:p>
  </w:footnote>
  <w:footnote w:id="188">
    <w:p w14:paraId="41F3DCD7" w14:textId="168DB123" w:rsidR="00503A6D" w:rsidRDefault="00503A6D">
      <w:pPr>
        <w:pStyle w:val="FootnoteText"/>
      </w:pPr>
      <w:r>
        <w:rPr>
          <w:rStyle w:val="FootnoteReference"/>
        </w:rPr>
        <w:footnoteRef/>
      </w:r>
      <w:r>
        <w:t xml:space="preserve"> </w:t>
      </w:r>
      <w:r w:rsidRPr="00D9492A">
        <w:rPr>
          <w:smallCaps/>
        </w:rPr>
        <w:t xml:space="preserve">Aaron Perzanowski, </w:t>
      </w:r>
      <w:r w:rsidR="00E83A5C" w:rsidRPr="00D9492A">
        <w:rPr>
          <w:smallCaps/>
        </w:rPr>
        <w:t xml:space="preserve">The </w:t>
      </w:r>
      <w:r w:rsidRPr="00D9492A">
        <w:rPr>
          <w:smallCaps/>
        </w:rPr>
        <w:t>Right to Repair</w:t>
      </w:r>
      <w:r w:rsidR="00E83A5C" w:rsidRPr="00D9492A">
        <w:rPr>
          <w:smallCaps/>
        </w:rPr>
        <w:t>: Reclaiming the Things We Own</w:t>
      </w:r>
      <w:r w:rsidR="00E83A5C">
        <w:t xml:space="preserve"> 8, 11 (2022).</w:t>
      </w:r>
    </w:p>
  </w:footnote>
  <w:footnote w:id="189">
    <w:p w14:paraId="150EA35D" w14:textId="5004E661" w:rsidR="0062581C" w:rsidRDefault="0062581C">
      <w:pPr>
        <w:pStyle w:val="FootnoteText"/>
      </w:pPr>
      <w:r>
        <w:rPr>
          <w:rStyle w:val="FootnoteReference"/>
        </w:rPr>
        <w:footnoteRef/>
      </w:r>
      <w:r>
        <w:t xml:space="preserve"> </w:t>
      </w:r>
      <w:r w:rsidR="00E83A5C" w:rsidRPr="00D9492A">
        <w:rPr>
          <w:i/>
        </w:rPr>
        <w:t>See generally</w:t>
      </w:r>
      <w:r>
        <w:t xml:space="preserve"> Kirsi </w:t>
      </w:r>
      <w:r w:rsidR="00F46D25">
        <w:t>Niinimäki, Greg Peters, Helena Dahlbo, Patsy Perry, Timo Rissanen &amp; Alison Gwilt</w:t>
      </w:r>
      <w:r>
        <w:t xml:space="preserve">, </w:t>
      </w:r>
      <w:r w:rsidRPr="00D9492A">
        <w:rPr>
          <w:i/>
        </w:rPr>
        <w:t>The Environmental Price of Fast Fashion</w:t>
      </w:r>
      <w:r>
        <w:t xml:space="preserve">, 1 </w:t>
      </w:r>
      <w:r w:rsidRPr="00D9492A">
        <w:rPr>
          <w:smallCaps/>
        </w:rPr>
        <w:t xml:space="preserve">Nature </w:t>
      </w:r>
      <w:r w:rsidR="00E83A5C" w:rsidRPr="00D9492A">
        <w:rPr>
          <w:smallCaps/>
        </w:rPr>
        <w:t>Revs.</w:t>
      </w:r>
      <w:r w:rsidRPr="00D9492A">
        <w:rPr>
          <w:smallCaps/>
        </w:rPr>
        <w:t xml:space="preserve"> Earth &amp; </w:t>
      </w:r>
      <w:r w:rsidR="00E83A5C" w:rsidRPr="00D9492A">
        <w:rPr>
          <w:smallCaps/>
        </w:rPr>
        <w:t>Env’t</w:t>
      </w:r>
      <w:r w:rsidR="00E83A5C">
        <w:t xml:space="preserve"> </w:t>
      </w:r>
      <w:r>
        <w:t xml:space="preserve">189 (2020). </w:t>
      </w:r>
    </w:p>
  </w:footnote>
  <w:footnote w:id="190">
    <w:p w14:paraId="316D8C0B" w14:textId="6E0CCEF5" w:rsidR="00E16085" w:rsidRDefault="00E16085">
      <w:pPr>
        <w:pStyle w:val="FootnoteText"/>
      </w:pPr>
      <w:r>
        <w:rPr>
          <w:rStyle w:val="FootnoteReference"/>
        </w:rPr>
        <w:footnoteRef/>
      </w:r>
      <w:r>
        <w:t xml:space="preserve"> </w:t>
      </w:r>
      <w:r w:rsidR="00E83A5C" w:rsidRPr="00D9492A">
        <w:rPr>
          <w:i/>
          <w:iCs/>
        </w:rPr>
        <w:t>See</w:t>
      </w:r>
      <w:r w:rsidR="00E83A5C">
        <w:t xml:space="preserve"> Alina Selyukh, </w:t>
      </w:r>
      <w:r w:rsidR="00E83A5C" w:rsidRPr="00D9492A">
        <w:rPr>
          <w:i/>
        </w:rPr>
        <w:t>The Big Internet Brands Of The ‘90s—Where Are They Now?</w:t>
      </w:r>
      <w:r w:rsidR="00E83A5C">
        <w:t xml:space="preserve">, NPR (July 25, 2016), </w:t>
      </w:r>
      <w:r w:rsidR="00E83A5C" w:rsidRPr="00E83A5C">
        <w:t>https://www.npr.org/sections/alltechconsidered/2016/07/25/487097344/the-big-internet-brands-of-the-90s-where-are-they-now</w:t>
      </w:r>
      <w:r>
        <w:t xml:space="preserve">. </w:t>
      </w:r>
    </w:p>
  </w:footnote>
  <w:footnote w:id="191">
    <w:p w14:paraId="4730A4D8" w14:textId="0A7FFF33" w:rsidR="009F6315" w:rsidRDefault="009F6315">
      <w:pPr>
        <w:pStyle w:val="FootnoteText"/>
      </w:pPr>
      <w:r>
        <w:rPr>
          <w:rStyle w:val="FootnoteReference"/>
        </w:rPr>
        <w:footnoteRef/>
      </w:r>
      <w:r>
        <w:t xml:space="preserve"> </w:t>
      </w:r>
      <w:r w:rsidR="00E83A5C">
        <w:t xml:space="preserve">Schumpeter, </w:t>
      </w:r>
      <w:r w:rsidR="00E83A5C" w:rsidRPr="00D9492A">
        <w:rPr>
          <w:i/>
        </w:rPr>
        <w:t>supra</w:t>
      </w:r>
      <w:r w:rsidR="00E83A5C">
        <w:t xml:space="preserve"> note </w:t>
      </w:r>
      <w:r w:rsidR="00E83A5C">
        <w:fldChar w:fldCharType="begin"/>
      </w:r>
      <w:r w:rsidR="00E83A5C">
        <w:instrText xml:space="preserve"> NOTEREF _Ref126599599 \h </w:instrText>
      </w:r>
      <w:r w:rsidR="00E83A5C">
        <w:fldChar w:fldCharType="separate"/>
      </w:r>
      <w:r w:rsidR="00995C7E">
        <w:t>17</w:t>
      </w:r>
      <w:r w:rsidR="00E83A5C">
        <w:fldChar w:fldCharType="end"/>
      </w:r>
      <w:r w:rsidR="00E16085">
        <w:t>.</w:t>
      </w:r>
    </w:p>
  </w:footnote>
  <w:footnote w:id="192">
    <w:p w14:paraId="69A98F86" w14:textId="79E19F6A" w:rsidR="003B3C3D" w:rsidRPr="004534AB" w:rsidRDefault="003B3C3D" w:rsidP="003B3C3D">
      <w:pPr>
        <w:pStyle w:val="FootnoteText"/>
      </w:pPr>
      <w:r>
        <w:rPr>
          <w:rStyle w:val="FootnoteReference"/>
        </w:rPr>
        <w:footnoteRef/>
      </w:r>
      <w:r>
        <w:t xml:space="preserve"> </w:t>
      </w:r>
      <w:r>
        <w:rPr>
          <w:i/>
          <w:iCs/>
        </w:rPr>
        <w:t xml:space="preserve">See </w:t>
      </w:r>
      <w:r>
        <w:t xml:space="preserve">Lina M. Khan, </w:t>
      </w:r>
      <w:r>
        <w:rPr>
          <w:i/>
          <w:iCs/>
        </w:rPr>
        <w:t>Amazon’s Antitrust Paradox</w:t>
      </w:r>
      <w:r>
        <w:t xml:space="preserve">, </w:t>
      </w:r>
      <w:r w:rsidRPr="009475E5">
        <w:rPr>
          <w:smallCaps/>
        </w:rPr>
        <w:t>Yale L.J.</w:t>
      </w:r>
      <w:r>
        <w:rPr>
          <w:smallCaps/>
        </w:rPr>
        <w:t xml:space="preserve"> 710, 768-70 </w:t>
      </w:r>
      <w:r w:rsidR="00E83A5C">
        <w:rPr>
          <w:smallCaps/>
        </w:rPr>
        <w:t>(2017)</w:t>
      </w:r>
      <w:r>
        <w:rPr>
          <w:smallCaps/>
        </w:rPr>
        <w:t xml:space="preserve"> </w:t>
      </w:r>
      <w:r>
        <w:t>(showing how Amazon used its “pricing bots” to maintain a below-cost pricing campaign against Quidsi’s Diapers.com brand, harming Quidsi and ultimately resulting in its sale to Amazon).</w:t>
      </w:r>
    </w:p>
  </w:footnote>
  <w:footnote w:id="193">
    <w:p w14:paraId="28F40569" w14:textId="2161CAA0" w:rsidR="003B3C3D" w:rsidRDefault="003B3C3D" w:rsidP="003B3C3D">
      <w:pPr>
        <w:pStyle w:val="FootnoteText"/>
      </w:pPr>
      <w:r>
        <w:rPr>
          <w:rStyle w:val="FootnoteReference"/>
        </w:rPr>
        <w:footnoteRef/>
      </w:r>
      <w:r>
        <w:t xml:space="preserve"> Christopher </w:t>
      </w:r>
      <w:r w:rsidR="00E83A5C">
        <w:t>R.</w:t>
      </w:r>
      <w:r>
        <w:t xml:space="preserve"> Leslie, </w:t>
      </w:r>
      <w:r>
        <w:rPr>
          <w:i/>
          <w:iCs/>
        </w:rPr>
        <w:t>Predatory Pricing Algorithms</w:t>
      </w:r>
      <w:r w:rsidR="00E83A5C" w:rsidRPr="00E83A5C">
        <w:t xml:space="preserve">, </w:t>
      </w:r>
      <w:r w:rsidR="00E83A5C" w:rsidRPr="00D9492A">
        <w:rPr>
          <w:smallCaps/>
        </w:rPr>
        <w:t>97 N</w:t>
      </w:r>
      <w:r w:rsidR="00F5405D">
        <w:rPr>
          <w:smallCaps/>
        </w:rPr>
        <w:t>.</w:t>
      </w:r>
      <w:r w:rsidR="00E83A5C" w:rsidRPr="00D9492A">
        <w:rPr>
          <w:smallCaps/>
        </w:rPr>
        <w:t>Y</w:t>
      </w:r>
      <w:r w:rsidR="00F5405D">
        <w:rPr>
          <w:smallCaps/>
        </w:rPr>
        <w:t>.</w:t>
      </w:r>
      <w:r w:rsidR="00E83A5C" w:rsidRPr="00D9492A">
        <w:rPr>
          <w:smallCaps/>
        </w:rPr>
        <w:t>U</w:t>
      </w:r>
      <w:r w:rsidR="00F5405D">
        <w:rPr>
          <w:smallCaps/>
        </w:rPr>
        <w:t>.</w:t>
      </w:r>
      <w:r w:rsidR="00E83A5C" w:rsidRPr="00D9492A">
        <w:rPr>
          <w:smallCaps/>
        </w:rPr>
        <w:t xml:space="preserve"> L. Rev.</w:t>
      </w:r>
      <w:r w:rsidR="00E83A5C" w:rsidRPr="00E83A5C">
        <w:t xml:space="preserve"> (forthcoming 2023) </w:t>
      </w:r>
      <w:r>
        <w:t>(“Coupled with big data, algorithmic pricing makes predatory pricing significantly more feasible than imagined in the pre-internet era.”)</w:t>
      </w:r>
      <w:r w:rsidR="001E0FD7">
        <w:t>.</w:t>
      </w:r>
    </w:p>
  </w:footnote>
  <w:footnote w:id="194">
    <w:p w14:paraId="74F2E222" w14:textId="5B54678F" w:rsidR="00D76359" w:rsidRPr="00DE15AA" w:rsidRDefault="00D76359">
      <w:pPr>
        <w:pStyle w:val="FootnoteText"/>
        <w:rPr>
          <w:i/>
        </w:rPr>
      </w:pPr>
      <w:r>
        <w:rPr>
          <w:rStyle w:val="FootnoteReference"/>
        </w:rPr>
        <w:footnoteRef/>
      </w:r>
      <w:r>
        <w:t xml:space="preserve"> </w:t>
      </w:r>
      <w:r w:rsidR="00E83A5C" w:rsidRPr="00DE15AA">
        <w:rPr>
          <w:i/>
          <w:iCs/>
        </w:rPr>
        <w:t>Id</w:t>
      </w:r>
      <w:r w:rsidRPr="00DE15AA">
        <w:rPr>
          <w:i/>
        </w:rPr>
        <w:t>.</w:t>
      </w:r>
    </w:p>
  </w:footnote>
  <w:footnote w:id="195">
    <w:p w14:paraId="3F3B1C73" w14:textId="5015C48C" w:rsidR="00CA3A87" w:rsidRDefault="00CA3A87">
      <w:pPr>
        <w:pStyle w:val="FootnoteText"/>
      </w:pPr>
      <w:r>
        <w:rPr>
          <w:rStyle w:val="FootnoteReference"/>
        </w:rPr>
        <w:footnoteRef/>
      </w:r>
      <w:r>
        <w:t xml:space="preserve"> </w:t>
      </w:r>
      <w:r w:rsidR="0063631B" w:rsidRPr="00B10A3C">
        <w:rPr>
          <w:szCs w:val="20"/>
        </w:rPr>
        <w:t>C.R. Bard, Inc. v. M3 Systems, Inc., 157 F.3d 1340 (Fed. Cir. 1998).</w:t>
      </w:r>
    </w:p>
  </w:footnote>
  <w:footnote w:id="196">
    <w:p w14:paraId="6001AFD2" w14:textId="6E220267" w:rsidR="0063631B" w:rsidRDefault="0063631B">
      <w:pPr>
        <w:pStyle w:val="FootnoteText"/>
      </w:pPr>
      <w:r>
        <w:rPr>
          <w:rStyle w:val="FootnoteReference"/>
        </w:rPr>
        <w:footnoteRef/>
      </w:r>
      <w:r>
        <w:t xml:space="preserve"> </w:t>
      </w:r>
      <w:r w:rsidR="00E83A5C" w:rsidRPr="00DE15AA">
        <w:rPr>
          <w:i/>
          <w:iCs/>
        </w:rPr>
        <w:t>Id.</w:t>
      </w:r>
      <w:r w:rsidR="00E83A5C">
        <w:t xml:space="preserve"> at 1346</w:t>
      </w:r>
      <w:r w:rsidR="00A520C9">
        <w:t>.</w:t>
      </w:r>
    </w:p>
  </w:footnote>
  <w:footnote w:id="197">
    <w:p w14:paraId="7521D35C" w14:textId="6135A185" w:rsidR="0063631B" w:rsidRDefault="0063631B">
      <w:pPr>
        <w:pStyle w:val="FootnoteText"/>
      </w:pPr>
      <w:r>
        <w:rPr>
          <w:rStyle w:val="FootnoteReference"/>
        </w:rPr>
        <w:footnoteRef/>
      </w:r>
      <w:r>
        <w:t xml:space="preserve"> </w:t>
      </w:r>
      <w:r w:rsidR="00E83A5C" w:rsidRPr="00C971C3">
        <w:rPr>
          <w:i/>
          <w:iCs/>
        </w:rPr>
        <w:t>Id.</w:t>
      </w:r>
      <w:r w:rsidR="00E83A5C">
        <w:t xml:space="preserve"> at 1346</w:t>
      </w:r>
      <w:r w:rsidR="00F5405D">
        <w:t>–</w:t>
      </w:r>
      <w:r w:rsidR="00E83A5C">
        <w:t>47</w:t>
      </w:r>
      <w:r w:rsidR="00A520C9">
        <w:t>.</w:t>
      </w:r>
    </w:p>
  </w:footnote>
  <w:footnote w:id="198">
    <w:p w14:paraId="2B9DFCB3" w14:textId="61825051" w:rsidR="00266300" w:rsidRDefault="00266300">
      <w:pPr>
        <w:pStyle w:val="FootnoteText"/>
      </w:pPr>
      <w:r>
        <w:rPr>
          <w:rStyle w:val="FootnoteReference"/>
        </w:rPr>
        <w:footnoteRef/>
      </w:r>
      <w:r>
        <w:t xml:space="preserve"> </w:t>
      </w:r>
      <w:r w:rsidR="00E83A5C" w:rsidRPr="00C971C3">
        <w:rPr>
          <w:i/>
          <w:iCs/>
        </w:rPr>
        <w:t>Id.</w:t>
      </w:r>
      <w:r w:rsidR="00E83A5C">
        <w:t xml:space="preserve"> at 1347</w:t>
      </w:r>
      <w:r w:rsidR="00F5405D">
        <w:t>–</w:t>
      </w:r>
      <w:r w:rsidR="00E83A5C">
        <w:t>48</w:t>
      </w:r>
      <w:r w:rsidR="00A520C9">
        <w:t>.</w:t>
      </w:r>
    </w:p>
  </w:footnote>
  <w:footnote w:id="199">
    <w:p w14:paraId="5480D300" w14:textId="5F502DEF" w:rsidR="00266300" w:rsidRDefault="00266300">
      <w:pPr>
        <w:pStyle w:val="FootnoteText"/>
      </w:pPr>
      <w:r>
        <w:rPr>
          <w:rStyle w:val="FootnoteReference"/>
        </w:rPr>
        <w:footnoteRef/>
      </w:r>
      <w:r>
        <w:t xml:space="preserve"> </w:t>
      </w:r>
      <w:r w:rsidR="00E83A5C" w:rsidRPr="00C971C3">
        <w:rPr>
          <w:i/>
          <w:iCs/>
        </w:rPr>
        <w:t>Id.</w:t>
      </w:r>
      <w:r w:rsidR="00E83A5C">
        <w:t xml:space="preserve"> at 1370</w:t>
      </w:r>
      <w:r w:rsidR="00F5405D">
        <w:t>–</w:t>
      </w:r>
      <w:r w:rsidR="00E83A5C">
        <w:t>72</w:t>
      </w:r>
      <w:r w:rsidR="00A520C9">
        <w:t>.</w:t>
      </w:r>
    </w:p>
  </w:footnote>
  <w:footnote w:id="200">
    <w:p w14:paraId="31B1D959" w14:textId="67A8F37D" w:rsidR="00266300" w:rsidRDefault="00266300">
      <w:pPr>
        <w:pStyle w:val="FootnoteText"/>
      </w:pPr>
      <w:r>
        <w:rPr>
          <w:rStyle w:val="FootnoteReference"/>
        </w:rPr>
        <w:footnoteRef/>
      </w:r>
      <w:r>
        <w:t xml:space="preserve"> </w:t>
      </w:r>
      <w:r w:rsidR="00E83A5C" w:rsidRPr="00C971C3">
        <w:rPr>
          <w:i/>
          <w:iCs/>
        </w:rPr>
        <w:t>Id.</w:t>
      </w:r>
    </w:p>
  </w:footnote>
  <w:footnote w:id="201">
    <w:p w14:paraId="57E8C197" w14:textId="4F228398" w:rsidR="00192380" w:rsidRDefault="00192380">
      <w:pPr>
        <w:pStyle w:val="FootnoteText"/>
      </w:pPr>
      <w:r>
        <w:rPr>
          <w:rStyle w:val="FootnoteReference"/>
        </w:rPr>
        <w:footnoteRef/>
      </w:r>
      <w:r>
        <w:t xml:space="preserve"> </w:t>
      </w:r>
      <w:r w:rsidR="00E83A5C" w:rsidRPr="00DE15AA">
        <w:rPr>
          <w:smallCaps/>
        </w:rPr>
        <w:t>Robin Feldman &amp; Evan Frondorf, Drug Wars: How Big Pharma Raises Prices and Keeps Generics off the Market</w:t>
      </w:r>
      <w:r w:rsidR="00E83A5C">
        <w:t xml:space="preserve"> 69</w:t>
      </w:r>
      <w:r w:rsidR="00F5405D">
        <w:t>–</w:t>
      </w:r>
      <w:r w:rsidR="00E83A5C">
        <w:t>77 (2017)</w:t>
      </w:r>
      <w:r>
        <w:t xml:space="preserve">. </w:t>
      </w:r>
    </w:p>
  </w:footnote>
  <w:footnote w:id="202">
    <w:p w14:paraId="1511AB94" w14:textId="4789A5AE" w:rsidR="009A1F27" w:rsidRDefault="009A1F27">
      <w:pPr>
        <w:pStyle w:val="FootnoteText"/>
      </w:pPr>
      <w:r>
        <w:rPr>
          <w:rStyle w:val="FootnoteReference"/>
        </w:rPr>
        <w:footnoteRef/>
      </w:r>
      <w:r>
        <w:t xml:space="preserve"> </w:t>
      </w:r>
      <w:r w:rsidR="00E83A5C" w:rsidRPr="00DE15AA">
        <w:rPr>
          <w:i/>
        </w:rPr>
        <w:t>See</w:t>
      </w:r>
      <w:r w:rsidR="00E83A5C">
        <w:t xml:space="preserve"> New York v. Actavis PLC, 787 F.3d 638 (2d Cir. 2015).</w:t>
      </w:r>
    </w:p>
  </w:footnote>
  <w:footnote w:id="203">
    <w:p w14:paraId="2C6C7644" w14:textId="72E1C273" w:rsidR="008275BA" w:rsidRDefault="008275BA">
      <w:pPr>
        <w:pStyle w:val="FootnoteText"/>
      </w:pPr>
      <w:r>
        <w:rPr>
          <w:rStyle w:val="FootnoteReference"/>
        </w:rPr>
        <w:footnoteRef/>
      </w:r>
      <w:r>
        <w:t xml:space="preserve"> </w:t>
      </w:r>
      <w:r w:rsidR="00E83A5C" w:rsidRPr="00DE15AA">
        <w:rPr>
          <w:smallCaps/>
        </w:rPr>
        <w:t xml:space="preserve">Feldman &amp; </w:t>
      </w:r>
      <w:proofErr w:type="spellStart"/>
      <w:r w:rsidR="00E83A5C" w:rsidRPr="00DE15AA">
        <w:rPr>
          <w:smallCaps/>
        </w:rPr>
        <w:t>Frondorf</w:t>
      </w:r>
      <w:proofErr w:type="spellEnd"/>
      <w:r w:rsidR="00E83A5C">
        <w:t xml:space="preserve">, </w:t>
      </w:r>
      <w:r w:rsidR="00E83A5C" w:rsidRPr="00DE15AA">
        <w:rPr>
          <w:i/>
        </w:rPr>
        <w:t>supra</w:t>
      </w:r>
      <w:r w:rsidR="00E83A5C">
        <w:t xml:space="preserve"> note</w:t>
      </w:r>
      <w:r w:rsidR="00F5405D">
        <w:t xml:space="preserve"> </w:t>
      </w:r>
      <w:r w:rsidR="00533811">
        <w:fldChar w:fldCharType="begin"/>
      </w:r>
      <w:r w:rsidR="00533811">
        <w:instrText xml:space="preserve"> NOTEREF _Ref126698942 \h </w:instrText>
      </w:r>
      <w:r w:rsidR="00533811">
        <w:fldChar w:fldCharType="separate"/>
      </w:r>
      <w:r w:rsidR="00995C7E">
        <w:t>203</w:t>
      </w:r>
      <w:r w:rsidR="00533811">
        <w:fldChar w:fldCharType="end"/>
      </w:r>
      <w:r w:rsidR="00E83A5C">
        <w:t>.</w:t>
      </w:r>
    </w:p>
  </w:footnote>
  <w:footnote w:id="204">
    <w:p w14:paraId="27BEFEC1" w14:textId="34D4922B" w:rsidR="001E7D78" w:rsidRDefault="001E7D78" w:rsidP="001E7D78">
      <w:pPr>
        <w:pStyle w:val="FootnoteText"/>
      </w:pPr>
      <w:r>
        <w:rPr>
          <w:rStyle w:val="FootnoteReference"/>
        </w:rPr>
        <w:footnoteRef/>
      </w:r>
      <w:r>
        <w:t xml:space="preserve"> </w:t>
      </w:r>
      <w:r w:rsidR="00F13442" w:rsidRPr="00DE15AA">
        <w:rPr>
          <w:smallCaps/>
        </w:rPr>
        <w:t>Metropolis</w:t>
      </w:r>
      <w:r w:rsidR="00F13442">
        <w:t xml:space="preserve"> </w:t>
      </w:r>
      <w:r w:rsidR="005E1629">
        <w:t>(</w:t>
      </w:r>
      <w:r w:rsidR="00014BFA">
        <w:t>UFA 1927).</w:t>
      </w:r>
      <w:r>
        <w:t xml:space="preserve"> </w:t>
      </w:r>
    </w:p>
  </w:footnote>
  <w:footnote w:id="205">
    <w:p w14:paraId="654005A8" w14:textId="2BD25466" w:rsidR="001E7D78" w:rsidRDefault="001E7D78" w:rsidP="001E7D78">
      <w:pPr>
        <w:pStyle w:val="FootnoteText"/>
      </w:pPr>
      <w:r>
        <w:rPr>
          <w:rStyle w:val="FootnoteReference"/>
        </w:rPr>
        <w:footnoteRef/>
      </w:r>
      <w:r>
        <w:t xml:space="preserve"> </w:t>
      </w:r>
      <w:r w:rsidRPr="00DE15AA">
        <w:rPr>
          <w:i/>
        </w:rPr>
        <w:t>See generally</w:t>
      </w:r>
      <w:r>
        <w:t xml:space="preserve"> Camilla A. Hrdy, </w:t>
      </w:r>
      <w:r w:rsidRPr="00DE15AA">
        <w:rPr>
          <w:i/>
        </w:rPr>
        <w:t>Intellectual Property and the End of Work</w:t>
      </w:r>
      <w:r>
        <w:t xml:space="preserve">, </w:t>
      </w:r>
      <w:r w:rsidRPr="00DE15AA">
        <w:rPr>
          <w:smallCaps/>
        </w:rPr>
        <w:t>71 Fla. L. Rev.</w:t>
      </w:r>
      <w:r>
        <w:t xml:space="preserve"> 303 (2019). </w:t>
      </w:r>
      <w:r w:rsidR="003D2D3F">
        <w:t xml:space="preserve"> </w:t>
      </w:r>
    </w:p>
  </w:footnote>
  <w:footnote w:id="206">
    <w:p w14:paraId="36A2764E" w14:textId="5C35B09F" w:rsidR="00827C4D" w:rsidRDefault="00827C4D">
      <w:pPr>
        <w:pStyle w:val="FootnoteText"/>
      </w:pPr>
      <w:r>
        <w:rPr>
          <w:rStyle w:val="FootnoteReference"/>
        </w:rPr>
        <w:footnoteRef/>
      </w:r>
      <w:r>
        <w:t xml:space="preserve"> </w:t>
      </w:r>
      <w:r w:rsidR="00C82E9B">
        <w:t xml:space="preserve">Cynthia Estlund, </w:t>
      </w:r>
      <w:r w:rsidR="00C82E9B">
        <w:rPr>
          <w:i/>
          <w:iCs/>
        </w:rPr>
        <w:t>What Should We Do After Work? Automation and Employment Law</w:t>
      </w:r>
      <w:r w:rsidR="00C82E9B">
        <w:t xml:space="preserve">, 128 </w:t>
      </w:r>
      <w:r w:rsidR="00C82E9B" w:rsidRPr="00DE15AA">
        <w:rPr>
          <w:smallCaps/>
        </w:rPr>
        <w:t>Yale L. J.</w:t>
      </w:r>
      <w:r w:rsidR="00C82E9B">
        <w:t xml:space="preserve"> 254, </w:t>
      </w:r>
      <w:r w:rsidR="00F13133">
        <w:t>259–61</w:t>
      </w:r>
      <w:r w:rsidR="00456921">
        <w:t xml:space="preserve"> (2018). </w:t>
      </w:r>
    </w:p>
  </w:footnote>
  <w:footnote w:id="207">
    <w:p w14:paraId="61B027D9" w14:textId="12C59E42" w:rsidR="008163AA" w:rsidRDefault="008163AA">
      <w:pPr>
        <w:pStyle w:val="FootnoteText"/>
      </w:pPr>
      <w:r>
        <w:rPr>
          <w:rStyle w:val="FootnoteReference"/>
        </w:rPr>
        <w:footnoteRef/>
      </w:r>
      <w:r>
        <w:t xml:space="preserve"> </w:t>
      </w:r>
      <w:r w:rsidR="00A43C51">
        <w:t xml:space="preserve"> </w:t>
      </w:r>
      <w:r w:rsidR="00A43C51">
        <w:rPr>
          <w:i/>
          <w:iCs/>
        </w:rPr>
        <w:t xml:space="preserve">See </w:t>
      </w:r>
      <w:r w:rsidR="00A43C51">
        <w:t xml:space="preserve">discussion </w:t>
      </w:r>
      <w:r w:rsidR="00A43C51" w:rsidRPr="00DE15AA">
        <w:rPr>
          <w:i/>
        </w:rPr>
        <w:t>infra</w:t>
      </w:r>
      <w:r w:rsidR="00A43C51">
        <w:rPr>
          <w:i/>
          <w:iCs/>
        </w:rPr>
        <w:t xml:space="preserve"> </w:t>
      </w:r>
      <w:r w:rsidR="00A43C51">
        <w:t xml:space="preserve">accompanying notes </w:t>
      </w:r>
      <w:r w:rsidR="00AB6C5A">
        <w:t xml:space="preserve">226–52. </w:t>
      </w:r>
    </w:p>
  </w:footnote>
  <w:footnote w:id="208">
    <w:p w14:paraId="44CC70F1" w14:textId="0BF4715D" w:rsidR="003C6DA4" w:rsidRDefault="003C6DA4">
      <w:pPr>
        <w:pStyle w:val="FootnoteText"/>
      </w:pPr>
      <w:r>
        <w:rPr>
          <w:rStyle w:val="FootnoteReference"/>
        </w:rPr>
        <w:footnoteRef/>
      </w:r>
      <w:r w:rsidR="00294DEF" w:rsidDel="00AC09E8">
        <w:t xml:space="preserve"> </w:t>
      </w:r>
      <w:r w:rsidR="00294DEF">
        <w:rPr>
          <w:i/>
          <w:iCs/>
        </w:rPr>
        <w:t>See generally</w:t>
      </w:r>
      <w:r w:rsidR="00294DEF">
        <w:t xml:space="preserve"> </w:t>
      </w:r>
      <w:r w:rsidR="001D501D">
        <w:t xml:space="preserve">Theodore Levitt, </w:t>
      </w:r>
      <w:r w:rsidR="001D501D" w:rsidRPr="00DE15AA">
        <w:rPr>
          <w:i/>
        </w:rPr>
        <w:t>Marketing Myopia</w:t>
      </w:r>
      <w:r w:rsidR="00A7667B">
        <w:rPr>
          <w:i/>
          <w:iCs/>
        </w:rPr>
        <w:t xml:space="preserve">, </w:t>
      </w:r>
      <w:r w:rsidR="00A7667B">
        <w:t xml:space="preserve">38 </w:t>
      </w:r>
      <w:r w:rsidR="00A7667B" w:rsidRPr="00DE15AA">
        <w:rPr>
          <w:smallCaps/>
        </w:rPr>
        <w:t>Harvard Bus. Rev.</w:t>
      </w:r>
      <w:r w:rsidR="00A7667B">
        <w:t xml:space="preserve"> 38, 47–50 (1960)</w:t>
      </w:r>
      <w:r w:rsidR="00224523">
        <w:t xml:space="preserve"> (discussing the plight of buggy whip manufacturers). </w:t>
      </w:r>
    </w:p>
  </w:footnote>
  <w:footnote w:id="209">
    <w:p w14:paraId="6425EC2D" w14:textId="2F535011" w:rsidR="001E7D78" w:rsidRDefault="001E7D78" w:rsidP="001E7D78">
      <w:pPr>
        <w:pStyle w:val="FootnoteText"/>
      </w:pPr>
      <w:r>
        <w:rPr>
          <w:rStyle w:val="FootnoteReference"/>
        </w:rPr>
        <w:footnoteRef/>
      </w:r>
      <w:r>
        <w:t xml:space="preserve"> </w:t>
      </w:r>
      <w:r w:rsidR="00782447" w:rsidRPr="00DE15AA">
        <w:rPr>
          <w:smallCaps/>
        </w:rPr>
        <w:t>William J. Baumol, The Cost Disease: Why Computers Get Cheaper and Health Care Doesn’t</w:t>
      </w:r>
      <w:r w:rsidR="00E41A70" w:rsidRPr="00DE15AA">
        <w:rPr>
          <w:smallCaps/>
        </w:rPr>
        <w:t xml:space="preserve"> (2012).</w:t>
      </w:r>
      <w:r w:rsidR="00E41A70">
        <w:t xml:space="preserve"> </w:t>
      </w:r>
    </w:p>
  </w:footnote>
  <w:footnote w:id="210">
    <w:p w14:paraId="1DE254A3" w14:textId="53DCDFBC" w:rsidR="001E7D78" w:rsidRDefault="001E7D78" w:rsidP="00F0070E">
      <w:pPr>
        <w:pStyle w:val="FootnoteText"/>
      </w:pPr>
      <w:r>
        <w:rPr>
          <w:rStyle w:val="FootnoteReference"/>
        </w:rPr>
        <w:footnoteRef/>
      </w:r>
      <w:r>
        <w:t xml:space="preserve"> Daron Acemoglu &amp; Pascual Restrepo, </w:t>
      </w:r>
      <w:r w:rsidRPr="00DE15AA">
        <w:rPr>
          <w:i/>
        </w:rPr>
        <w:t>Robots and Jobs: Evidence from U.S. Labor Markets</w:t>
      </w:r>
      <w:r w:rsidR="002B2C7F">
        <w:t xml:space="preserve">, </w:t>
      </w:r>
      <w:r w:rsidR="00B9572F" w:rsidRPr="00DE15AA">
        <w:rPr>
          <w:smallCaps/>
        </w:rPr>
        <w:t>128 J. Pol. Econ</w:t>
      </w:r>
      <w:r w:rsidR="00E33285" w:rsidRPr="00DE15AA">
        <w:rPr>
          <w:smallCaps/>
        </w:rPr>
        <w:t xml:space="preserve">. </w:t>
      </w:r>
      <w:r w:rsidR="006B2421" w:rsidRPr="00DE15AA">
        <w:rPr>
          <w:smallCaps/>
        </w:rPr>
        <w:t>2188</w:t>
      </w:r>
      <w:r w:rsidR="006B2421">
        <w:t>, 2188 (</w:t>
      </w:r>
      <w:r w:rsidR="00492CC1">
        <w:t xml:space="preserve">2020). </w:t>
      </w:r>
    </w:p>
  </w:footnote>
  <w:footnote w:id="211">
    <w:p w14:paraId="0ED5C656" w14:textId="6E90535D" w:rsidR="001E7D78" w:rsidRDefault="001E7D78" w:rsidP="001E7D78">
      <w:pPr>
        <w:pStyle w:val="FootnoteText"/>
      </w:pPr>
      <w:r>
        <w:rPr>
          <w:rStyle w:val="FootnoteReference"/>
        </w:rPr>
        <w:footnoteRef/>
      </w:r>
      <w:r>
        <w:t xml:space="preserve"> Daron Acemoglu &amp; Pascual Restrepo, </w:t>
      </w:r>
      <w:r w:rsidRPr="00DE15AA">
        <w:rPr>
          <w:i/>
        </w:rPr>
        <w:t>Artificial Intelligence, Automation, and Work</w:t>
      </w:r>
      <w:r>
        <w:t xml:space="preserve">, </w:t>
      </w:r>
      <w:r w:rsidRPr="00DE15AA">
        <w:rPr>
          <w:smallCaps/>
        </w:rPr>
        <w:t xml:space="preserve">in The Economics of Artificial </w:t>
      </w:r>
      <w:r w:rsidR="007129FB" w:rsidRPr="007129FB">
        <w:rPr>
          <w:smallCaps/>
        </w:rPr>
        <w:t>Intelligence</w:t>
      </w:r>
      <w:r w:rsidRPr="00DE15AA">
        <w:rPr>
          <w:smallCaps/>
        </w:rPr>
        <w:t>:</w:t>
      </w:r>
      <w:r w:rsidR="007129FB">
        <w:rPr>
          <w:smallCaps/>
        </w:rPr>
        <w:t xml:space="preserve"> </w:t>
      </w:r>
      <w:r w:rsidRPr="00DE15AA">
        <w:rPr>
          <w:smallCaps/>
        </w:rPr>
        <w:t xml:space="preserve">An Agenda </w:t>
      </w:r>
      <w:r>
        <w:t>197, 226 (Ajay Agrawal, Joshua Gans &amp; Avi Goldfarb, eds. 2017</w:t>
      </w:r>
      <w:r w:rsidR="007129FB">
        <w:t>)</w:t>
      </w:r>
      <w:r>
        <w:t>.</w:t>
      </w:r>
    </w:p>
  </w:footnote>
  <w:footnote w:id="212">
    <w:p w14:paraId="3A2691E8" w14:textId="77777777" w:rsidR="001E7D78" w:rsidRPr="001A16E9" w:rsidRDefault="001E7D78" w:rsidP="001E7D78">
      <w:pPr>
        <w:pStyle w:val="FootnoteText"/>
      </w:pPr>
      <w:r w:rsidRPr="001A16E9">
        <w:rPr>
          <w:rStyle w:val="FootnoteReference"/>
        </w:rPr>
        <w:footnoteRef/>
      </w:r>
      <w:r w:rsidRPr="001A16E9">
        <w:t xml:space="preserve"> </w:t>
      </w:r>
      <w:r>
        <w:rPr>
          <w:i/>
          <w:iCs/>
        </w:rPr>
        <w:t xml:space="preserve">See </w:t>
      </w:r>
      <w:r w:rsidRPr="001A16E9">
        <w:t xml:space="preserve">Ifeoma Ajunwa, Kate Crawford &amp; Jason Schultz, </w:t>
      </w:r>
      <w:r w:rsidRPr="001A16E9">
        <w:rPr>
          <w:i/>
          <w:iCs/>
        </w:rPr>
        <w:t>Limitless Worker Surveillance</w:t>
      </w:r>
      <w:r w:rsidRPr="001A16E9">
        <w:t xml:space="preserve">, </w:t>
      </w:r>
      <w:r w:rsidRPr="001A16E9">
        <w:rPr>
          <w:smallCaps/>
        </w:rPr>
        <w:t>105 Calif. L. Rev. 735</w:t>
      </w:r>
      <w:r>
        <w:rPr>
          <w:smallCaps/>
        </w:rPr>
        <w:t>, 776</w:t>
      </w:r>
      <w:r w:rsidRPr="001A16E9">
        <w:t xml:space="preserve"> (2017)</w:t>
      </w:r>
      <w:r>
        <w:t xml:space="preserve"> (concluding that surveillance technologies have allowed firms to pursue efficiency gains while eroding worker privacy).</w:t>
      </w:r>
    </w:p>
  </w:footnote>
  <w:footnote w:id="213">
    <w:p w14:paraId="74B841C0" w14:textId="77777777" w:rsidR="001E7D78" w:rsidRPr="001A16E9" w:rsidRDefault="001E7D78" w:rsidP="001E7D78">
      <w:pPr>
        <w:rPr>
          <w:sz w:val="20"/>
          <w:szCs w:val="20"/>
        </w:rPr>
      </w:pPr>
      <w:r w:rsidRPr="001A16E9">
        <w:rPr>
          <w:rStyle w:val="FootnoteReference"/>
          <w:sz w:val="20"/>
          <w:szCs w:val="20"/>
        </w:rPr>
        <w:footnoteRef/>
      </w:r>
      <w:r w:rsidRPr="001A16E9">
        <w:rPr>
          <w:sz w:val="20"/>
          <w:szCs w:val="20"/>
        </w:rPr>
        <w:t xml:space="preserve"> Jeffrey M. Hirsch, </w:t>
      </w:r>
      <w:r w:rsidRPr="001A16E9">
        <w:rPr>
          <w:i/>
          <w:iCs/>
          <w:sz w:val="20"/>
          <w:szCs w:val="20"/>
        </w:rPr>
        <w:t>Future Work</w:t>
      </w:r>
      <w:r w:rsidRPr="001A16E9">
        <w:rPr>
          <w:sz w:val="20"/>
          <w:szCs w:val="20"/>
        </w:rPr>
        <w:t xml:space="preserve">, </w:t>
      </w:r>
      <w:r w:rsidRPr="001A16E9">
        <w:rPr>
          <w:smallCaps/>
          <w:sz w:val="20"/>
          <w:szCs w:val="20"/>
        </w:rPr>
        <w:t>U. Ill L. Rev. 889</w:t>
      </w:r>
      <w:r w:rsidRPr="001A16E9">
        <w:rPr>
          <w:sz w:val="20"/>
          <w:szCs w:val="20"/>
        </w:rPr>
        <w:t>, 928 (2020) (“</w:t>
      </w:r>
      <w:r w:rsidRPr="001A16E9">
        <w:rPr>
          <w:sz w:val="20"/>
          <w:szCs w:val="20"/>
          <w:shd w:val="clear" w:color="auto" w:fill="FFFFFF"/>
        </w:rPr>
        <w:t xml:space="preserve">[Employers] have frequently used emerging technologies to obtain [information].  But past advances like the time clock and aptitude tests pale in comparison to what is already occurring now, which in turn is a far cry from what is on the horizon.”). </w:t>
      </w:r>
    </w:p>
  </w:footnote>
  <w:footnote w:id="214">
    <w:p w14:paraId="5BBF6619" w14:textId="0E123F74" w:rsidR="001E7D78" w:rsidRPr="001A16E9" w:rsidRDefault="001E7D78" w:rsidP="001E7D78">
      <w:pPr>
        <w:pStyle w:val="FootnoteText"/>
      </w:pPr>
      <w:r w:rsidRPr="001A16E9">
        <w:rPr>
          <w:rStyle w:val="FootnoteReference"/>
        </w:rPr>
        <w:footnoteRef/>
      </w:r>
      <w:r w:rsidRPr="001A16E9">
        <w:t xml:space="preserve"> Ajunwa,</w:t>
      </w:r>
      <w:r>
        <w:t xml:space="preserve"> </w:t>
      </w:r>
      <w:r w:rsidRPr="001A16E9">
        <w:t>Crawford</w:t>
      </w:r>
      <w:r>
        <w:t xml:space="preserve">, </w:t>
      </w:r>
      <w:r w:rsidRPr="001A16E9">
        <w:t xml:space="preserve">&amp; Schultz, </w:t>
      </w:r>
      <w:r w:rsidRPr="003B0A8D">
        <w:rPr>
          <w:i/>
          <w:iCs/>
        </w:rPr>
        <w:t>supra</w:t>
      </w:r>
      <w:r>
        <w:t xml:space="preserve"> note</w:t>
      </w:r>
      <w:r w:rsidR="00E52B50">
        <w:t xml:space="preserve"> </w:t>
      </w:r>
      <w:r w:rsidR="00E52B50">
        <w:fldChar w:fldCharType="begin"/>
      </w:r>
      <w:r w:rsidR="00E52B50">
        <w:instrText xml:space="preserve"> NOTEREF _Ref126792197 \h </w:instrText>
      </w:r>
      <w:r w:rsidR="00E52B50">
        <w:fldChar w:fldCharType="separate"/>
      </w:r>
      <w:r w:rsidR="00995C7E">
        <w:t>214</w:t>
      </w:r>
      <w:r w:rsidR="00E52B50">
        <w:fldChar w:fldCharType="end"/>
      </w:r>
      <w:r w:rsidRPr="001A16E9">
        <w:t xml:space="preserve">, </w:t>
      </w:r>
      <w:r>
        <w:t>at 7</w:t>
      </w:r>
      <w:r w:rsidRPr="001A16E9">
        <w:t>43</w:t>
      </w:r>
      <w:r>
        <w:t xml:space="preserve">. </w:t>
      </w:r>
    </w:p>
  </w:footnote>
  <w:footnote w:id="215">
    <w:p w14:paraId="58BCB6F4" w14:textId="46DAB0F2" w:rsidR="001E7D78" w:rsidRPr="001A16E9" w:rsidRDefault="001E7D78" w:rsidP="001E7D78">
      <w:pPr>
        <w:pStyle w:val="FootnoteText"/>
      </w:pPr>
      <w:r w:rsidRPr="001A16E9">
        <w:rPr>
          <w:rStyle w:val="FootnoteReference"/>
        </w:rPr>
        <w:footnoteRef/>
      </w:r>
      <w:r w:rsidR="008D6045">
        <w:t xml:space="preserve"> </w:t>
      </w:r>
      <w:r w:rsidRPr="001A16E9">
        <w:t xml:space="preserve">Pauline T. Kim, </w:t>
      </w:r>
      <w:r w:rsidRPr="001A16E9">
        <w:rPr>
          <w:i/>
          <w:iCs/>
        </w:rPr>
        <w:t>Electronic Privacy and Employee Speech</w:t>
      </w:r>
      <w:r w:rsidRPr="001A16E9">
        <w:t>, 87</w:t>
      </w:r>
      <w:r w:rsidRPr="001A16E9">
        <w:rPr>
          <w:smallCaps/>
        </w:rPr>
        <w:t xml:space="preserve"> Chi-Kent L. Rev. </w:t>
      </w:r>
      <w:r w:rsidRPr="001A16E9">
        <w:t>901</w:t>
      </w:r>
      <w:r>
        <w:t>, 912</w:t>
      </w:r>
      <w:r w:rsidRPr="001A16E9">
        <w:t xml:space="preserve">  (2012).</w:t>
      </w:r>
    </w:p>
  </w:footnote>
  <w:footnote w:id="216">
    <w:p w14:paraId="5AC3A1BB" w14:textId="32601CEB" w:rsidR="001E7D78" w:rsidRPr="001A16E9" w:rsidRDefault="001E7D78" w:rsidP="001E7D78">
      <w:pPr>
        <w:pStyle w:val="FootnoteText"/>
      </w:pPr>
      <w:r w:rsidRPr="001A16E9">
        <w:rPr>
          <w:rStyle w:val="FootnoteReference"/>
        </w:rPr>
        <w:footnoteRef/>
      </w:r>
      <w:r w:rsidRPr="001A16E9">
        <w:t xml:space="preserve"> </w:t>
      </w:r>
      <w:r w:rsidRPr="001A16E9">
        <w:rPr>
          <w:i/>
          <w:iCs/>
        </w:rPr>
        <w:t>See generally</w:t>
      </w:r>
      <w:r w:rsidRPr="001A16E9">
        <w:t xml:space="preserve"> Ajunwa, Crawford</w:t>
      </w:r>
      <w:r>
        <w:t>,</w:t>
      </w:r>
      <w:r w:rsidRPr="001A16E9">
        <w:t xml:space="preserve"> &amp; Schultz, </w:t>
      </w:r>
      <w:r>
        <w:rPr>
          <w:i/>
          <w:iCs/>
        </w:rPr>
        <w:t xml:space="preserve">supra </w:t>
      </w:r>
      <w:r w:rsidR="000B343F">
        <w:t xml:space="preserve">note </w:t>
      </w:r>
      <w:r w:rsidR="000B343F">
        <w:fldChar w:fldCharType="begin"/>
      </w:r>
      <w:r w:rsidR="000B343F">
        <w:instrText xml:space="preserve"> NOTEREF _Ref126792197 \h </w:instrText>
      </w:r>
      <w:r w:rsidR="000B343F">
        <w:fldChar w:fldCharType="separate"/>
      </w:r>
      <w:r w:rsidR="00995C7E">
        <w:t>214</w:t>
      </w:r>
      <w:r w:rsidR="000B343F">
        <w:fldChar w:fldCharType="end"/>
      </w:r>
      <w:r w:rsidRPr="001A16E9">
        <w:t xml:space="preserve">; Bradley A. Areheart &amp; Jessica L. Roberts, </w:t>
      </w:r>
      <w:r w:rsidRPr="001A16E9">
        <w:rPr>
          <w:i/>
          <w:iCs/>
        </w:rPr>
        <w:t>GINA, Big Data, and the Future of Employee Privacy</w:t>
      </w:r>
      <w:r w:rsidRPr="001A16E9">
        <w:rPr>
          <w:smallCaps/>
        </w:rPr>
        <w:t>, 128 Yale L. J</w:t>
      </w:r>
      <w:r w:rsidRPr="001A16E9">
        <w:t xml:space="preserve">. 710 (2019); </w:t>
      </w:r>
      <w:r>
        <w:t>S</w:t>
      </w:r>
      <w:r w:rsidRPr="001A16E9">
        <w:t xml:space="preserve">cott R. Peppet, </w:t>
      </w:r>
      <w:r w:rsidRPr="001A16E9">
        <w:rPr>
          <w:i/>
          <w:iCs/>
        </w:rPr>
        <w:t>Regulating the Internet of Things: First Steps Toward Managing Discrimination, Privacy, Security, and Consent</w:t>
      </w:r>
      <w:r w:rsidRPr="001A16E9">
        <w:t xml:space="preserve">, 93 </w:t>
      </w:r>
      <w:r w:rsidRPr="001A16E9">
        <w:rPr>
          <w:smallCaps/>
        </w:rPr>
        <w:t>Tex. L. Rev. 85, 112–14 (</w:t>
      </w:r>
      <w:r w:rsidRPr="001A16E9">
        <w:t>2014); Kim,</w:t>
      </w:r>
      <w:r>
        <w:t xml:space="preserve"> </w:t>
      </w:r>
      <w:r>
        <w:rPr>
          <w:i/>
          <w:iCs/>
        </w:rPr>
        <w:t xml:space="preserve">supra </w:t>
      </w:r>
      <w:r>
        <w:t>note</w:t>
      </w:r>
      <w:r w:rsidR="001F5D05">
        <w:t xml:space="preserve"> </w:t>
      </w:r>
      <w:r w:rsidR="001F5D05">
        <w:fldChar w:fldCharType="begin"/>
      </w:r>
      <w:r w:rsidR="001F5D05">
        <w:instrText xml:space="preserve"> NOTEREF _Ref126792252 \h </w:instrText>
      </w:r>
      <w:r w:rsidR="001F5D05">
        <w:fldChar w:fldCharType="separate"/>
      </w:r>
      <w:r w:rsidR="00995C7E">
        <w:t>217</w:t>
      </w:r>
      <w:r w:rsidR="001F5D05">
        <w:fldChar w:fldCharType="end"/>
      </w:r>
      <w:r>
        <w:t xml:space="preserve">. </w:t>
      </w:r>
    </w:p>
  </w:footnote>
  <w:footnote w:id="217">
    <w:p w14:paraId="1E205CC6" w14:textId="0366FB7A" w:rsidR="001E7D78" w:rsidRPr="001A16E9" w:rsidRDefault="001E7D78" w:rsidP="001E7D78">
      <w:pPr>
        <w:pStyle w:val="FootnoteText"/>
      </w:pPr>
      <w:r w:rsidRPr="001A16E9">
        <w:rPr>
          <w:rStyle w:val="FootnoteReference"/>
        </w:rPr>
        <w:footnoteRef/>
      </w:r>
      <w:r w:rsidRPr="001A16E9">
        <w:t xml:space="preserve"> Ajuna, Crawford, &amp; Schultz, </w:t>
      </w:r>
      <w:r w:rsidRPr="001A16E9">
        <w:rPr>
          <w:i/>
          <w:iCs/>
        </w:rPr>
        <w:t xml:space="preserve">supra </w:t>
      </w:r>
      <w:r w:rsidR="00782294">
        <w:t xml:space="preserve">note </w:t>
      </w:r>
      <w:r w:rsidR="00782294">
        <w:fldChar w:fldCharType="begin"/>
      </w:r>
      <w:r w:rsidR="00782294">
        <w:instrText xml:space="preserve"> NOTEREF _Ref126792197 \h </w:instrText>
      </w:r>
      <w:r w:rsidR="00782294">
        <w:fldChar w:fldCharType="separate"/>
      </w:r>
      <w:r w:rsidR="00995C7E">
        <w:t>214</w:t>
      </w:r>
      <w:r w:rsidR="00782294">
        <w:fldChar w:fldCharType="end"/>
      </w:r>
      <w:r w:rsidRPr="001A16E9">
        <w:t xml:space="preserve">, at 743 (“[A]t at least 66 percent of U.S. companies monitor their employees' internet use, 45 percent log keystrokes, and 43 percent track employee emails.”) (quoting </w:t>
      </w:r>
      <w:r w:rsidRPr="001A16E9">
        <w:rPr>
          <w:rStyle w:val="Emphasis"/>
          <w:rFonts w:eastAsia="MS Mincho"/>
          <w:bdr w:val="none" w:sz="0" w:space="0" w:color="auto" w:frame="1"/>
          <w:shd w:val="clear" w:color="auto" w:fill="FFFFFF"/>
        </w:rPr>
        <w:t>The Rise of Workplace Spying</w:t>
      </w:r>
      <w:r w:rsidRPr="001A16E9">
        <w:rPr>
          <w:shd w:val="clear" w:color="auto" w:fill="FFFFFF"/>
        </w:rPr>
        <w:t>, </w:t>
      </w:r>
      <w:r w:rsidRPr="001A16E9">
        <w:rPr>
          <w:smallCaps/>
          <w:shd w:val="clear" w:color="auto" w:fill="FFFFFF"/>
        </w:rPr>
        <w:t>Week</w:t>
      </w:r>
      <w:r w:rsidRPr="001A16E9">
        <w:rPr>
          <w:shd w:val="clear" w:color="auto" w:fill="FFFFFF"/>
        </w:rPr>
        <w:t xml:space="preserve"> (July 5, 2015), </w:t>
      </w:r>
      <w:r w:rsidR="008922F9" w:rsidRPr="00C50A06">
        <w:rPr>
          <w:rFonts w:eastAsia="MS Mincho"/>
        </w:rPr>
        <w:t>http://theweek.com/articles/564263/rise-workplace-spying</w:t>
      </w:r>
      <w:r w:rsidRPr="001A16E9">
        <w:rPr>
          <w:shd w:val="clear" w:color="auto" w:fill="FFFFFF"/>
        </w:rPr>
        <w:t xml:space="preserve">). </w:t>
      </w:r>
    </w:p>
  </w:footnote>
  <w:footnote w:id="218">
    <w:p w14:paraId="5A93E99A" w14:textId="2C2284A2" w:rsidR="001E7D78" w:rsidRPr="001A16E9" w:rsidRDefault="001E7D78" w:rsidP="001E7D78">
      <w:pPr>
        <w:pStyle w:val="FootnoteText"/>
      </w:pPr>
      <w:r w:rsidRPr="001A16E9">
        <w:rPr>
          <w:rStyle w:val="FootnoteReference"/>
        </w:rPr>
        <w:footnoteRef/>
      </w:r>
      <w:r w:rsidRPr="001A16E9">
        <w:t xml:space="preserve"> </w:t>
      </w:r>
      <w:r w:rsidR="00C52722">
        <w:rPr>
          <w:i/>
          <w:iCs/>
        </w:rPr>
        <w:t xml:space="preserve">Id. </w:t>
      </w:r>
      <w:r w:rsidR="00C52722">
        <w:t xml:space="preserve">at 769. </w:t>
      </w:r>
    </w:p>
  </w:footnote>
  <w:footnote w:id="219">
    <w:p w14:paraId="77759255" w14:textId="207BCCD4" w:rsidR="001E7D78" w:rsidRPr="001A16E9" w:rsidRDefault="001E7D78" w:rsidP="001E7D78">
      <w:pPr>
        <w:pStyle w:val="FootnoteText"/>
      </w:pPr>
      <w:r w:rsidRPr="001A16E9">
        <w:rPr>
          <w:rStyle w:val="FootnoteReference"/>
        </w:rPr>
        <w:footnoteRef/>
      </w:r>
      <w:r w:rsidRPr="001A16E9">
        <w:t xml:space="preserve"> </w:t>
      </w:r>
      <w:r w:rsidR="001539CC">
        <w:t xml:space="preserve"> </w:t>
      </w:r>
      <w:r w:rsidR="001539CC">
        <w:rPr>
          <w:i/>
          <w:iCs/>
        </w:rPr>
        <w:t xml:space="preserve">Id. </w:t>
      </w:r>
      <w:r w:rsidRPr="001A16E9">
        <w:t xml:space="preserve">(quoting </w:t>
      </w:r>
      <w:r w:rsidRPr="001A16E9">
        <w:rPr>
          <w:rStyle w:val="Emphasis"/>
          <w:rFonts w:eastAsia="MS Mincho"/>
          <w:bdr w:val="none" w:sz="0" w:space="0" w:color="auto" w:frame="1"/>
          <w:shd w:val="clear" w:color="auto" w:fill="FFFFFF"/>
        </w:rPr>
        <w:t>The Rise of Workplace Spying</w:t>
      </w:r>
      <w:r w:rsidRPr="001A16E9">
        <w:rPr>
          <w:shd w:val="clear" w:color="auto" w:fill="FFFFFF"/>
        </w:rPr>
        <w:t>, </w:t>
      </w:r>
      <w:r w:rsidRPr="001A16E9">
        <w:rPr>
          <w:smallCaps/>
          <w:shd w:val="clear" w:color="auto" w:fill="FFFFFF"/>
        </w:rPr>
        <w:t>Week</w:t>
      </w:r>
      <w:r w:rsidRPr="001A16E9">
        <w:rPr>
          <w:shd w:val="clear" w:color="auto" w:fill="FFFFFF"/>
        </w:rPr>
        <w:t xml:space="preserve"> (July 5, 2015), </w:t>
      </w:r>
      <w:r w:rsidR="008922F9" w:rsidRPr="00C50A06">
        <w:rPr>
          <w:rFonts w:eastAsia="MS Mincho"/>
        </w:rPr>
        <w:t>http://theweek.com/articles/564263/rise-workplace-spying</w:t>
      </w:r>
      <w:r w:rsidRPr="000A42F5">
        <w:rPr>
          <w:shd w:val="clear" w:color="auto" w:fill="FFFFFF"/>
        </w:rPr>
        <w:t>.</w:t>
      </w:r>
    </w:p>
  </w:footnote>
  <w:footnote w:id="220">
    <w:p w14:paraId="747BBB77" w14:textId="486D9C6F" w:rsidR="001E7D78" w:rsidRPr="001A16E9" w:rsidRDefault="001E7D78" w:rsidP="001E7D78">
      <w:pPr>
        <w:pStyle w:val="FootnoteText"/>
      </w:pPr>
      <w:r w:rsidRPr="001A16E9">
        <w:rPr>
          <w:rStyle w:val="FootnoteReference"/>
        </w:rPr>
        <w:footnoteRef/>
      </w:r>
      <w:r w:rsidRPr="001A16E9">
        <w:t xml:space="preserve"> Johnny Wood, </w:t>
      </w:r>
      <w:r w:rsidRPr="001A16E9">
        <w:rPr>
          <w:i/>
          <w:iCs/>
        </w:rPr>
        <w:t>Feeling Sleepy in the Office? This Japanese Technology Detects Tired Workers and Blasts Cold Air into the Room</w:t>
      </w:r>
      <w:r w:rsidRPr="001A16E9">
        <w:t xml:space="preserve">, </w:t>
      </w:r>
      <w:r w:rsidRPr="001A16E9">
        <w:rPr>
          <w:smallCaps/>
        </w:rPr>
        <w:t>World Econ. F</w:t>
      </w:r>
      <w:r w:rsidRPr="001A16E9">
        <w:t xml:space="preserve">. (July 31, 2018), </w:t>
      </w:r>
      <w:r w:rsidRPr="001A16E9">
        <w:rPr>
          <w:shd w:val="clear" w:color="auto" w:fill="FFFFFF"/>
        </w:rPr>
        <w:t>https://www.weforum.org/agenda/2018/07/feeling-sleepy-in-the-office-this-japanese-technology-detects-tired-workers-and-blasts-cold-air-into-the-room.</w:t>
      </w:r>
    </w:p>
  </w:footnote>
  <w:footnote w:id="221">
    <w:p w14:paraId="49D3B659" w14:textId="77777777" w:rsidR="001E7D78" w:rsidRPr="001A16E9" w:rsidRDefault="001E7D78" w:rsidP="001E7D78">
      <w:pPr>
        <w:pStyle w:val="FootnoteText"/>
      </w:pPr>
      <w:r w:rsidRPr="001A16E9">
        <w:rPr>
          <w:rStyle w:val="FootnoteReference"/>
        </w:rPr>
        <w:footnoteRef/>
      </w:r>
      <w:r w:rsidRPr="001A16E9">
        <w:t xml:space="preserve"> Ifeoma Ajunwa, </w:t>
      </w:r>
      <w:r w:rsidRPr="001A16E9">
        <w:rPr>
          <w:i/>
          <w:iCs/>
        </w:rPr>
        <w:t>Algorithms at Work: Productivity Monitoring Applications and Wearable Technology as the New Data-Centric Research Agenda for Employment and Labor Law</w:t>
      </w:r>
      <w:r w:rsidRPr="001A16E9">
        <w:t xml:space="preserve">, 63 </w:t>
      </w:r>
      <w:r w:rsidRPr="001A16E9">
        <w:rPr>
          <w:smallCaps/>
        </w:rPr>
        <w:t>St. Louis U. L. J.</w:t>
      </w:r>
      <w:r w:rsidRPr="001A16E9">
        <w:t xml:space="preserve"> 21, </w:t>
      </w:r>
      <w:r>
        <w:t xml:space="preserve">38 </w:t>
      </w:r>
      <w:r w:rsidRPr="001A16E9">
        <w:t>(2020)</w:t>
      </w:r>
      <w:r>
        <w:t xml:space="preserve">. </w:t>
      </w:r>
      <w:r w:rsidRPr="001A16E9">
        <w:t xml:space="preserve"> </w:t>
      </w:r>
    </w:p>
  </w:footnote>
  <w:footnote w:id="222">
    <w:p w14:paraId="5A074062" w14:textId="2E807E96" w:rsidR="001E7D78" w:rsidRPr="001A16E9" w:rsidRDefault="001E7D78" w:rsidP="001E7D78">
      <w:pPr>
        <w:pStyle w:val="FootnoteText"/>
      </w:pPr>
      <w:r w:rsidRPr="001A16E9">
        <w:rPr>
          <w:rStyle w:val="FootnoteReference"/>
        </w:rPr>
        <w:footnoteRef/>
      </w:r>
      <w:r w:rsidRPr="001A16E9">
        <w:t xml:space="preserve"> </w:t>
      </w:r>
      <w:r w:rsidR="008E54A5">
        <w:t xml:space="preserve"> </w:t>
      </w:r>
      <w:r w:rsidR="008E54A5">
        <w:rPr>
          <w:i/>
          <w:iCs/>
        </w:rPr>
        <w:t xml:space="preserve">Id. </w:t>
      </w:r>
    </w:p>
  </w:footnote>
  <w:footnote w:id="223">
    <w:p w14:paraId="633DD773" w14:textId="1CC2EA35" w:rsidR="001E7D78" w:rsidRPr="001A16E9" w:rsidRDefault="001E7D78" w:rsidP="001E7D78">
      <w:pPr>
        <w:pStyle w:val="FootnoteText"/>
      </w:pPr>
      <w:r w:rsidRPr="001A16E9">
        <w:rPr>
          <w:rStyle w:val="FootnoteReference"/>
        </w:rPr>
        <w:footnoteRef/>
      </w:r>
      <w:r w:rsidRPr="001A16E9">
        <w:t xml:space="preserve"> </w:t>
      </w:r>
      <w:r w:rsidR="00BF20DD">
        <w:t xml:space="preserve"> </w:t>
      </w:r>
      <w:r w:rsidR="00BF20DD">
        <w:rPr>
          <w:i/>
          <w:iCs/>
        </w:rPr>
        <w:t>Id.</w:t>
      </w:r>
    </w:p>
  </w:footnote>
  <w:footnote w:id="224">
    <w:p w14:paraId="567F4D8A" w14:textId="71F01D9E" w:rsidR="001E7D78" w:rsidRPr="001A16E9" w:rsidRDefault="001E7D78" w:rsidP="001E7D78">
      <w:pPr>
        <w:pStyle w:val="FootnoteText"/>
      </w:pPr>
      <w:r w:rsidRPr="001A16E9">
        <w:rPr>
          <w:rStyle w:val="FootnoteReference"/>
        </w:rPr>
        <w:footnoteRef/>
      </w:r>
      <w:r w:rsidRPr="001A16E9">
        <w:t xml:space="preserve"> </w:t>
      </w:r>
      <w:r w:rsidR="00054300">
        <w:t xml:space="preserve"> </w:t>
      </w:r>
      <w:r w:rsidR="00054300">
        <w:rPr>
          <w:i/>
          <w:iCs/>
        </w:rPr>
        <w:t xml:space="preserve">Id. </w:t>
      </w:r>
    </w:p>
  </w:footnote>
  <w:footnote w:id="225">
    <w:p w14:paraId="6CCE7D26" w14:textId="2EF74E80" w:rsidR="001E7D78" w:rsidRPr="001A16E9" w:rsidRDefault="001E7D78" w:rsidP="001E7D78">
      <w:pPr>
        <w:pStyle w:val="FootnoteText"/>
      </w:pPr>
      <w:r w:rsidRPr="001A16E9">
        <w:rPr>
          <w:rStyle w:val="FootnoteReference"/>
        </w:rPr>
        <w:footnoteRef/>
      </w:r>
      <w:r w:rsidRPr="001A16E9">
        <w:t xml:space="preserve"> </w:t>
      </w:r>
      <w:r w:rsidRPr="001A16E9">
        <w:rPr>
          <w:i/>
          <w:iCs/>
        </w:rPr>
        <w:t xml:space="preserve">See </w:t>
      </w:r>
      <w:r w:rsidR="00FC2557">
        <w:t xml:space="preserve"> </w:t>
      </w:r>
      <w:r w:rsidR="00FC2557">
        <w:rPr>
          <w:i/>
          <w:iCs/>
        </w:rPr>
        <w:t xml:space="preserve">id. </w:t>
      </w:r>
      <w:r>
        <w:t xml:space="preserve">at 51 </w:t>
      </w:r>
      <w:r w:rsidRPr="001A16E9">
        <w:t>(“</w:t>
      </w:r>
      <w:r w:rsidRPr="001A16E9">
        <w:rPr>
          <w:shd w:val="clear" w:color="auto" w:fill="FFFFFF"/>
        </w:rPr>
        <w:t>Employers could use data obtained from wellness programs to run predictive analytics of employee risk of injury.”)</w:t>
      </w:r>
      <w:r>
        <w:rPr>
          <w:shd w:val="clear" w:color="auto" w:fill="FFFFFF"/>
        </w:rPr>
        <w:t xml:space="preserve">. </w:t>
      </w:r>
      <w:r w:rsidRPr="001A16E9">
        <w:rPr>
          <w:shd w:val="clear" w:color="auto" w:fill="FFFFFF"/>
        </w:rPr>
        <w:t xml:space="preserve"> </w:t>
      </w:r>
    </w:p>
  </w:footnote>
  <w:footnote w:id="226">
    <w:p w14:paraId="48A408B9" w14:textId="04A25F43" w:rsidR="001E7D78" w:rsidRPr="001A16E9" w:rsidRDefault="001E7D78" w:rsidP="001E7D78">
      <w:pPr>
        <w:pStyle w:val="FootnoteText"/>
      </w:pPr>
      <w:r w:rsidRPr="001A16E9">
        <w:rPr>
          <w:rStyle w:val="FootnoteReference"/>
        </w:rPr>
        <w:footnoteRef/>
      </w:r>
      <w:r w:rsidRPr="001A16E9">
        <w:t xml:space="preserve"> Areheart &amp; Roberts, </w:t>
      </w:r>
      <w:r>
        <w:rPr>
          <w:i/>
          <w:iCs/>
        </w:rPr>
        <w:t xml:space="preserve">supra </w:t>
      </w:r>
      <w:r>
        <w:t>note</w:t>
      </w:r>
      <w:r w:rsidR="00BA5C1E">
        <w:t xml:space="preserve"> </w:t>
      </w:r>
      <w:r w:rsidR="00BA5C1E">
        <w:fldChar w:fldCharType="begin"/>
      </w:r>
      <w:r w:rsidR="00BA5C1E">
        <w:instrText xml:space="preserve"> NOTEREF _Ref126792407 \h </w:instrText>
      </w:r>
      <w:r w:rsidR="00BA5C1E">
        <w:fldChar w:fldCharType="separate"/>
      </w:r>
      <w:r w:rsidR="00995C7E">
        <w:t>218</w:t>
      </w:r>
      <w:r w:rsidR="00BA5C1E">
        <w:fldChar w:fldCharType="end"/>
      </w:r>
      <w:r>
        <w:t xml:space="preserve">, at 759 </w:t>
      </w:r>
      <w:r w:rsidRPr="001A16E9">
        <w:t xml:space="preserve">(citing </w:t>
      </w:r>
      <w:r w:rsidRPr="001A16E9">
        <w:rPr>
          <w:i/>
          <w:iCs/>
        </w:rPr>
        <w:t>There Will Be Little Privacy in the Workplace of the Future</w:t>
      </w:r>
      <w:r w:rsidRPr="001A16E9">
        <w:t xml:space="preserve">, </w:t>
      </w:r>
      <w:r w:rsidRPr="001A16E9">
        <w:rPr>
          <w:smallCaps/>
        </w:rPr>
        <w:t>Economist</w:t>
      </w:r>
      <w:r w:rsidRPr="001A16E9">
        <w:t xml:space="preserve"> (Mar. 28, 2018), https://www.economist.com/special-report/2018/03/28/there-will-be-little-privacy-in-the-workplace-of-the-future. </w:t>
      </w:r>
    </w:p>
  </w:footnote>
  <w:footnote w:id="227">
    <w:p w14:paraId="57EF8D07" w14:textId="49D6A9BC" w:rsidR="001E7D78" w:rsidRPr="001A16E9" w:rsidRDefault="001E7D78" w:rsidP="001E7D78">
      <w:pPr>
        <w:pStyle w:val="FootnoteText"/>
      </w:pPr>
      <w:r w:rsidRPr="001A16E9">
        <w:rPr>
          <w:rStyle w:val="FootnoteReference"/>
        </w:rPr>
        <w:footnoteRef/>
      </w:r>
      <w:r w:rsidRPr="001A16E9">
        <w:t xml:space="preserve"> Rachel Emma Silverman, </w:t>
      </w:r>
      <w:r w:rsidRPr="001A16E9">
        <w:rPr>
          <w:i/>
          <w:iCs/>
        </w:rPr>
        <w:t>Tracking Sensors Invade the Workplace</w:t>
      </w:r>
      <w:r w:rsidRPr="001A16E9">
        <w:t xml:space="preserve">, </w:t>
      </w:r>
      <w:r w:rsidRPr="00DE15AA">
        <w:rPr>
          <w:smallCaps/>
        </w:rPr>
        <w:t>Wall St. J</w:t>
      </w:r>
      <w:r w:rsidRPr="001A16E9">
        <w:t>. (Mar. 7, 2013 11:32 AM),</w:t>
      </w:r>
      <w:r>
        <w:t xml:space="preserve"> </w:t>
      </w:r>
      <w:r w:rsidR="00D96149" w:rsidRPr="00D96149">
        <w:t xml:space="preserve"> https://www.wsj.com/articles/SB10001424127887324034804578344303429080678</w:t>
      </w:r>
      <w:r>
        <w:t xml:space="preserve">. </w:t>
      </w:r>
    </w:p>
  </w:footnote>
  <w:footnote w:id="228">
    <w:p w14:paraId="1C022DFF" w14:textId="37F9B9A4" w:rsidR="001E7D78" w:rsidRPr="001A16E9" w:rsidRDefault="001E7D78" w:rsidP="001E7D78">
      <w:pPr>
        <w:pStyle w:val="FootnoteText"/>
      </w:pPr>
      <w:r w:rsidRPr="001A16E9">
        <w:rPr>
          <w:rStyle w:val="FootnoteReference"/>
        </w:rPr>
        <w:footnoteRef/>
      </w:r>
      <w:r w:rsidRPr="001A16E9">
        <w:t xml:space="preserve"> Ajunwa, Crawford, &amp; Schultz, </w:t>
      </w:r>
      <w:r w:rsidRPr="001A16E9">
        <w:rPr>
          <w:i/>
          <w:iCs/>
        </w:rPr>
        <w:t>supra</w:t>
      </w:r>
      <w:r w:rsidRPr="001A16E9">
        <w:t xml:space="preserve"> note</w:t>
      </w:r>
      <w:r w:rsidR="008F00F5">
        <w:t xml:space="preserve"> </w:t>
      </w:r>
      <w:r w:rsidR="00DB3F65">
        <w:fldChar w:fldCharType="begin"/>
      </w:r>
      <w:r w:rsidR="00DB3F65">
        <w:instrText xml:space="preserve"> NOTEREF _Ref126792197 \h </w:instrText>
      </w:r>
      <w:r w:rsidR="00DB3F65">
        <w:fldChar w:fldCharType="separate"/>
      </w:r>
      <w:r w:rsidR="00995C7E">
        <w:t>214</w:t>
      </w:r>
      <w:r w:rsidR="00DB3F65">
        <w:fldChar w:fldCharType="end"/>
      </w:r>
      <w:r w:rsidRPr="001A16E9">
        <w:t>, at 743.</w:t>
      </w:r>
    </w:p>
  </w:footnote>
  <w:footnote w:id="229">
    <w:p w14:paraId="1AAB4B0F" w14:textId="5BE9E74B" w:rsidR="001E7D78" w:rsidRPr="001A16E9" w:rsidRDefault="001E7D78" w:rsidP="001E7D78">
      <w:pPr>
        <w:pStyle w:val="FootnoteText"/>
      </w:pPr>
      <w:r w:rsidRPr="001A16E9">
        <w:rPr>
          <w:rStyle w:val="FootnoteReference"/>
        </w:rPr>
        <w:footnoteRef/>
      </w:r>
      <w:r w:rsidRPr="001A16E9">
        <w:t xml:space="preserve"> Silverman, </w:t>
      </w:r>
      <w:r w:rsidRPr="001A16E9">
        <w:rPr>
          <w:i/>
          <w:iCs/>
        </w:rPr>
        <w:t xml:space="preserve">supra </w:t>
      </w:r>
      <w:r w:rsidRPr="001A16E9">
        <w:t>note</w:t>
      </w:r>
      <w:r w:rsidR="001C19E3">
        <w:t xml:space="preserve"> </w:t>
      </w:r>
      <w:r w:rsidR="00E04768">
        <w:fldChar w:fldCharType="begin"/>
      </w:r>
      <w:r w:rsidR="00E04768">
        <w:instrText xml:space="preserve"> NOTEREF _Ref126792516 \h </w:instrText>
      </w:r>
      <w:r w:rsidR="00E04768">
        <w:fldChar w:fldCharType="separate"/>
      </w:r>
      <w:r w:rsidR="00995C7E">
        <w:t>229</w:t>
      </w:r>
      <w:r w:rsidR="00E04768">
        <w:fldChar w:fldCharType="end"/>
      </w:r>
      <w:r w:rsidRPr="001A16E9">
        <w:t>.</w:t>
      </w:r>
    </w:p>
  </w:footnote>
  <w:footnote w:id="230">
    <w:p w14:paraId="386B3380" w14:textId="3C4EFD10" w:rsidR="001E7D78" w:rsidRPr="001A16E9" w:rsidRDefault="001E7D78" w:rsidP="001E7D78">
      <w:pPr>
        <w:rPr>
          <w:sz w:val="20"/>
          <w:szCs w:val="20"/>
        </w:rPr>
      </w:pPr>
      <w:r w:rsidRPr="001A16E9">
        <w:rPr>
          <w:rStyle w:val="FootnoteReference"/>
          <w:sz w:val="20"/>
          <w:szCs w:val="20"/>
        </w:rPr>
        <w:footnoteRef/>
      </w:r>
      <w:r w:rsidRPr="001A16E9">
        <w:rPr>
          <w:sz w:val="20"/>
          <w:szCs w:val="20"/>
        </w:rPr>
        <w:t xml:space="preserve"> </w:t>
      </w:r>
      <w:r w:rsidRPr="001A16E9">
        <w:rPr>
          <w:i/>
          <w:iCs/>
          <w:sz w:val="20"/>
          <w:szCs w:val="20"/>
        </w:rPr>
        <w:t xml:space="preserve">See </w:t>
      </w:r>
      <w:proofErr w:type="spellStart"/>
      <w:r w:rsidRPr="001A16E9">
        <w:rPr>
          <w:sz w:val="20"/>
          <w:szCs w:val="20"/>
        </w:rPr>
        <w:t>Peppet</w:t>
      </w:r>
      <w:proofErr w:type="spellEnd"/>
      <w:r w:rsidRPr="001A16E9">
        <w:rPr>
          <w:sz w:val="20"/>
          <w:szCs w:val="20"/>
        </w:rPr>
        <w:t>,</w:t>
      </w:r>
      <w:r>
        <w:rPr>
          <w:sz w:val="20"/>
          <w:szCs w:val="20"/>
        </w:rPr>
        <w:t xml:space="preserve"> </w:t>
      </w:r>
      <w:r>
        <w:rPr>
          <w:i/>
          <w:iCs/>
          <w:sz w:val="20"/>
          <w:szCs w:val="20"/>
        </w:rPr>
        <w:t xml:space="preserve">supra </w:t>
      </w:r>
      <w:r>
        <w:rPr>
          <w:sz w:val="20"/>
          <w:szCs w:val="20"/>
        </w:rPr>
        <w:t>note</w:t>
      </w:r>
      <w:r w:rsidR="00E04768">
        <w:rPr>
          <w:sz w:val="20"/>
          <w:szCs w:val="20"/>
        </w:rPr>
        <w:t xml:space="preserve"> </w:t>
      </w:r>
      <w:r w:rsidR="00B32118">
        <w:rPr>
          <w:sz w:val="20"/>
          <w:szCs w:val="20"/>
        </w:rPr>
        <w:fldChar w:fldCharType="begin"/>
      </w:r>
      <w:r w:rsidR="00B32118">
        <w:rPr>
          <w:sz w:val="20"/>
          <w:szCs w:val="20"/>
        </w:rPr>
        <w:instrText xml:space="preserve"> NOTEREF _Ref126792407 \h </w:instrText>
      </w:r>
      <w:r w:rsidR="00B32118">
        <w:rPr>
          <w:sz w:val="20"/>
          <w:szCs w:val="20"/>
        </w:rPr>
      </w:r>
      <w:r w:rsidR="00B32118">
        <w:rPr>
          <w:sz w:val="20"/>
          <w:szCs w:val="20"/>
        </w:rPr>
        <w:fldChar w:fldCharType="separate"/>
      </w:r>
      <w:r w:rsidR="00995C7E">
        <w:rPr>
          <w:sz w:val="20"/>
          <w:szCs w:val="20"/>
        </w:rPr>
        <w:t>218</w:t>
      </w:r>
      <w:r w:rsidR="00B32118">
        <w:rPr>
          <w:sz w:val="20"/>
          <w:szCs w:val="20"/>
        </w:rPr>
        <w:fldChar w:fldCharType="end"/>
      </w:r>
      <w:r>
        <w:rPr>
          <w:sz w:val="20"/>
          <w:szCs w:val="20"/>
        </w:rPr>
        <w:t>, at 114</w:t>
      </w:r>
      <w:r w:rsidRPr="001A16E9">
        <w:rPr>
          <w:sz w:val="20"/>
          <w:szCs w:val="20"/>
        </w:rPr>
        <w:t xml:space="preserve"> (“Some fear that consent in the employment context is difficult to assess and rarely truly consensual.”); </w:t>
      </w:r>
      <w:proofErr w:type="spellStart"/>
      <w:r w:rsidRPr="001A16E9">
        <w:rPr>
          <w:sz w:val="20"/>
          <w:szCs w:val="20"/>
        </w:rPr>
        <w:t>Ajunwa</w:t>
      </w:r>
      <w:proofErr w:type="spellEnd"/>
      <w:r w:rsidRPr="001A16E9">
        <w:rPr>
          <w:sz w:val="20"/>
          <w:szCs w:val="20"/>
        </w:rPr>
        <w:t xml:space="preserve">, </w:t>
      </w:r>
      <w:r w:rsidRPr="00B42E7D">
        <w:rPr>
          <w:i/>
          <w:iCs/>
          <w:sz w:val="20"/>
          <w:szCs w:val="20"/>
        </w:rPr>
        <w:t>supra</w:t>
      </w:r>
      <w:r w:rsidRPr="001A16E9">
        <w:rPr>
          <w:sz w:val="20"/>
          <w:szCs w:val="20"/>
        </w:rPr>
        <w:t xml:space="preserve"> note</w:t>
      </w:r>
      <w:r w:rsidR="00B32118">
        <w:rPr>
          <w:sz w:val="20"/>
          <w:szCs w:val="20"/>
        </w:rPr>
        <w:t xml:space="preserve"> </w:t>
      </w:r>
      <w:r w:rsidR="00B32118">
        <w:rPr>
          <w:sz w:val="20"/>
          <w:szCs w:val="20"/>
        </w:rPr>
        <w:fldChar w:fldCharType="begin"/>
      </w:r>
      <w:r w:rsidR="00B32118">
        <w:rPr>
          <w:sz w:val="20"/>
          <w:szCs w:val="20"/>
        </w:rPr>
        <w:instrText xml:space="preserve"> NOTEREF _Ref126792607 \h </w:instrText>
      </w:r>
      <w:r w:rsidR="00B32118">
        <w:rPr>
          <w:sz w:val="20"/>
          <w:szCs w:val="20"/>
        </w:rPr>
      </w:r>
      <w:r w:rsidR="00B32118">
        <w:rPr>
          <w:sz w:val="20"/>
          <w:szCs w:val="20"/>
        </w:rPr>
        <w:fldChar w:fldCharType="separate"/>
      </w:r>
      <w:r w:rsidR="00995C7E">
        <w:rPr>
          <w:sz w:val="20"/>
          <w:szCs w:val="20"/>
        </w:rPr>
        <w:t>223</w:t>
      </w:r>
      <w:r w:rsidR="00B32118">
        <w:rPr>
          <w:sz w:val="20"/>
          <w:szCs w:val="20"/>
        </w:rPr>
        <w:fldChar w:fldCharType="end"/>
      </w:r>
      <w:r w:rsidRPr="001A16E9">
        <w:rPr>
          <w:sz w:val="20"/>
          <w:szCs w:val="20"/>
        </w:rPr>
        <w:t xml:space="preserve">, at 45 (discussing the possibility that employers could use data collected without employee consent when deciding to retain, fire, or promote them); </w:t>
      </w:r>
      <w:r w:rsidRPr="001A16E9">
        <w:rPr>
          <w:i/>
          <w:iCs/>
          <w:sz w:val="20"/>
          <w:szCs w:val="20"/>
        </w:rPr>
        <w:t xml:space="preserve">see also </w:t>
      </w:r>
      <w:r w:rsidRPr="001A16E9">
        <w:rPr>
          <w:sz w:val="20"/>
          <w:szCs w:val="20"/>
        </w:rPr>
        <w:t xml:space="preserve">Charlotte S. Alexander &amp; Elizabeth Tippett, </w:t>
      </w:r>
      <w:r w:rsidRPr="001A16E9">
        <w:rPr>
          <w:i/>
          <w:iCs/>
          <w:sz w:val="20"/>
          <w:szCs w:val="20"/>
        </w:rPr>
        <w:t>The Hacking of Employment Law</w:t>
      </w:r>
      <w:r w:rsidRPr="001A16E9">
        <w:rPr>
          <w:sz w:val="20"/>
          <w:szCs w:val="20"/>
        </w:rPr>
        <w:t xml:space="preserve">, </w:t>
      </w:r>
      <w:r w:rsidRPr="001A16E9">
        <w:rPr>
          <w:smallCaps/>
          <w:sz w:val="20"/>
          <w:szCs w:val="20"/>
        </w:rPr>
        <w:t>82 Mo L. Rev.</w:t>
      </w:r>
      <w:r w:rsidRPr="001A16E9">
        <w:rPr>
          <w:sz w:val="20"/>
          <w:szCs w:val="20"/>
        </w:rPr>
        <w:t xml:space="preserve"> 973, 994–95 (2017) (highlighting the information asymmetry that results from employers compiling data profiles on employees and having no duty to disclose their contents). </w:t>
      </w:r>
    </w:p>
  </w:footnote>
  <w:footnote w:id="231">
    <w:p w14:paraId="03A3800F" w14:textId="216CD99E" w:rsidR="001E7D78" w:rsidRPr="001A16E9" w:rsidRDefault="001E7D78" w:rsidP="001E7D78">
      <w:pPr>
        <w:pStyle w:val="FootnoteText"/>
      </w:pPr>
      <w:r w:rsidRPr="001A16E9">
        <w:rPr>
          <w:rStyle w:val="FootnoteReference"/>
        </w:rPr>
        <w:footnoteRef/>
      </w:r>
      <w:r w:rsidRPr="001A16E9">
        <w:t xml:space="preserve"> Hirsch, </w:t>
      </w:r>
      <w:r>
        <w:rPr>
          <w:i/>
          <w:iCs/>
        </w:rPr>
        <w:t xml:space="preserve">supra </w:t>
      </w:r>
      <w:r>
        <w:t>note</w:t>
      </w:r>
      <w:r w:rsidR="00253EF6">
        <w:t xml:space="preserve"> </w:t>
      </w:r>
      <w:r w:rsidR="002F0C0F">
        <w:fldChar w:fldCharType="begin"/>
      </w:r>
      <w:r w:rsidR="002F0C0F">
        <w:instrText xml:space="preserve"> NOTEREF _Ref126792644 \h </w:instrText>
      </w:r>
      <w:r w:rsidR="002F0C0F">
        <w:fldChar w:fldCharType="separate"/>
      </w:r>
      <w:r w:rsidR="00995C7E">
        <w:t>215</w:t>
      </w:r>
      <w:r w:rsidR="002F0C0F">
        <w:fldChar w:fldCharType="end"/>
      </w:r>
      <w:r>
        <w:t xml:space="preserve">, at </w:t>
      </w:r>
      <w:r w:rsidRPr="001A16E9">
        <w:t>928</w:t>
      </w:r>
      <w:r>
        <w:t xml:space="preserve"> </w:t>
      </w:r>
      <w:r w:rsidRPr="001A16E9">
        <w:t>(suggesting “emerging technologies” have the capacity to “</w:t>
      </w:r>
      <w:r w:rsidRPr="001A16E9">
        <w:rPr>
          <w:shd w:val="clear" w:color="auto" w:fill="FFFFFF"/>
        </w:rPr>
        <w:t>enhance employers' ability to monitor workers and limit their autonomy.”)</w:t>
      </w:r>
    </w:p>
  </w:footnote>
  <w:footnote w:id="232">
    <w:p w14:paraId="327468A9" w14:textId="61A0C967" w:rsidR="001E7D78" w:rsidRPr="001A16E9" w:rsidRDefault="001E7D78" w:rsidP="001E7D78">
      <w:pPr>
        <w:pStyle w:val="FootnoteText"/>
      </w:pPr>
      <w:r w:rsidRPr="001A16E9">
        <w:rPr>
          <w:rStyle w:val="FootnoteReference"/>
        </w:rPr>
        <w:footnoteRef/>
      </w:r>
      <w:r w:rsidRPr="001A16E9">
        <w:t xml:space="preserve"> Kim, </w:t>
      </w:r>
      <w:r>
        <w:rPr>
          <w:i/>
          <w:iCs/>
        </w:rPr>
        <w:t xml:space="preserve">supra </w:t>
      </w:r>
      <w:r>
        <w:t>note</w:t>
      </w:r>
      <w:r w:rsidR="002F0C0F">
        <w:t xml:space="preserve"> </w:t>
      </w:r>
      <w:r w:rsidR="002F0C0F">
        <w:fldChar w:fldCharType="begin"/>
      </w:r>
      <w:r w:rsidR="002F0C0F">
        <w:instrText xml:space="preserve"> NOTEREF _Ref126792252 \h </w:instrText>
      </w:r>
      <w:r w:rsidR="002F0C0F">
        <w:fldChar w:fldCharType="separate"/>
      </w:r>
      <w:r w:rsidR="00995C7E">
        <w:t>217</w:t>
      </w:r>
      <w:r w:rsidR="002F0C0F">
        <w:fldChar w:fldCharType="end"/>
      </w:r>
      <w:r w:rsidRPr="001A16E9">
        <w:t xml:space="preserve">, </w:t>
      </w:r>
      <w:r>
        <w:t>at</w:t>
      </w:r>
      <w:r w:rsidRPr="001A16E9">
        <w:t xml:space="preserve"> 912–13</w:t>
      </w:r>
      <w:r>
        <w:t xml:space="preserve">. </w:t>
      </w:r>
    </w:p>
  </w:footnote>
  <w:footnote w:id="233">
    <w:p w14:paraId="36DFF17D" w14:textId="46D9E93C" w:rsidR="001E7D78" w:rsidRPr="00EB137D" w:rsidRDefault="001E7D78" w:rsidP="001E7D78">
      <w:pPr>
        <w:pStyle w:val="FootnoteText"/>
      </w:pPr>
      <w:r>
        <w:rPr>
          <w:rStyle w:val="FootnoteReference"/>
        </w:rPr>
        <w:footnoteRef/>
      </w:r>
      <w:r>
        <w:t xml:space="preserve"> </w:t>
      </w:r>
      <w:r>
        <w:rPr>
          <w:i/>
          <w:iCs/>
        </w:rPr>
        <w:t xml:space="preserve">See </w:t>
      </w:r>
      <w:r w:rsidRPr="001A16E9">
        <w:t xml:space="preserve">Ajunwa, Crawford, &amp; Schultz, </w:t>
      </w:r>
      <w:r w:rsidRPr="001A16E9">
        <w:rPr>
          <w:i/>
          <w:iCs/>
        </w:rPr>
        <w:t>supra</w:t>
      </w:r>
      <w:r w:rsidRPr="001A16E9">
        <w:t xml:space="preserve"> note</w:t>
      </w:r>
      <w:r w:rsidR="002F0C0F">
        <w:t xml:space="preserve"> </w:t>
      </w:r>
      <w:r w:rsidR="002F0C0F">
        <w:fldChar w:fldCharType="begin"/>
      </w:r>
      <w:r w:rsidR="002F0C0F">
        <w:instrText xml:space="preserve"> NOTEREF _Ref126792197 \h </w:instrText>
      </w:r>
      <w:r w:rsidR="002F0C0F">
        <w:fldChar w:fldCharType="separate"/>
      </w:r>
      <w:r w:rsidR="00995C7E">
        <w:t>214</w:t>
      </w:r>
      <w:r w:rsidR="002F0C0F">
        <w:fldChar w:fldCharType="end"/>
      </w:r>
      <w:r w:rsidRPr="001A16E9">
        <w:t xml:space="preserve">, at </w:t>
      </w:r>
      <w:r>
        <w:t xml:space="preserve">739, 752,  (emphasizing employers’ newfound focus on observing social media activity); Alexander and </w:t>
      </w:r>
      <w:proofErr w:type="spellStart"/>
      <w:r>
        <w:t>Tippett</w:t>
      </w:r>
      <w:proofErr w:type="spellEnd"/>
      <w:r>
        <w:t xml:space="preserve">, </w:t>
      </w:r>
      <w:r>
        <w:rPr>
          <w:i/>
          <w:iCs/>
        </w:rPr>
        <w:t>supra</w:t>
      </w:r>
      <w:r>
        <w:t xml:space="preserve"> note</w:t>
      </w:r>
      <w:r w:rsidR="002F0C0F">
        <w:t xml:space="preserve"> </w:t>
      </w:r>
      <w:r w:rsidR="002F0C0F">
        <w:fldChar w:fldCharType="begin"/>
      </w:r>
      <w:r w:rsidR="002F0C0F">
        <w:instrText xml:space="preserve"> NOTEREF _Ref126792702 \h </w:instrText>
      </w:r>
      <w:r w:rsidR="002F0C0F">
        <w:fldChar w:fldCharType="separate"/>
      </w:r>
      <w:r w:rsidR="00995C7E">
        <w:t>232</w:t>
      </w:r>
      <w:r w:rsidR="002F0C0F">
        <w:fldChar w:fldCharType="end"/>
      </w:r>
      <w:r>
        <w:t xml:space="preserve">, at 994 (discussing the potential for employers to examine “information culled from social media”); Kim, </w:t>
      </w:r>
      <w:r>
        <w:rPr>
          <w:i/>
          <w:iCs/>
        </w:rPr>
        <w:t xml:space="preserve">supra </w:t>
      </w:r>
      <w:r>
        <w:t>note</w:t>
      </w:r>
      <w:r w:rsidR="002F0C0F">
        <w:t xml:space="preserve"> </w:t>
      </w:r>
      <w:r w:rsidR="002F0C0F">
        <w:fldChar w:fldCharType="begin"/>
      </w:r>
      <w:r w:rsidR="002F0C0F">
        <w:instrText xml:space="preserve"> NOTEREF _Ref126792252 \h </w:instrText>
      </w:r>
      <w:r w:rsidR="002F0C0F">
        <w:fldChar w:fldCharType="separate"/>
      </w:r>
      <w:r w:rsidR="00995C7E">
        <w:t>217</w:t>
      </w:r>
      <w:r w:rsidR="002F0C0F">
        <w:fldChar w:fldCharType="end"/>
      </w:r>
      <w:r>
        <w:t>, at 914 (“[A]</w:t>
      </w:r>
      <w:proofErr w:type="spellStart"/>
      <w:r w:rsidRPr="00EB137D">
        <w:t>necdotal</w:t>
      </w:r>
      <w:proofErr w:type="spellEnd"/>
      <w:r w:rsidRPr="00EB137D">
        <w:t xml:space="preserve"> reports suggest that at least some employers are seeking to monitor their employees' online activities off the job as well.</w:t>
      </w:r>
      <w:r>
        <w:t xml:space="preserve">”). </w:t>
      </w:r>
    </w:p>
  </w:footnote>
  <w:footnote w:id="234">
    <w:p w14:paraId="484016EF" w14:textId="0BF56A0B" w:rsidR="001E7D78" w:rsidRPr="00864D48" w:rsidRDefault="001E7D78" w:rsidP="001E7D78">
      <w:pPr>
        <w:pStyle w:val="FootnoteText"/>
      </w:pPr>
      <w:r w:rsidRPr="001A16E9">
        <w:rPr>
          <w:rStyle w:val="FootnoteReference"/>
        </w:rPr>
        <w:footnoteRef/>
      </w:r>
      <w:r w:rsidRPr="001A16E9">
        <w:t xml:space="preserve"> </w:t>
      </w:r>
      <w:r>
        <w:t xml:space="preserve">Kim, </w:t>
      </w:r>
      <w:r w:rsidR="002F0C0F">
        <w:rPr>
          <w:i/>
          <w:iCs/>
        </w:rPr>
        <w:t xml:space="preserve">supra </w:t>
      </w:r>
      <w:r w:rsidR="002F0C0F">
        <w:t xml:space="preserve">note </w:t>
      </w:r>
      <w:r w:rsidR="002F0C0F">
        <w:fldChar w:fldCharType="begin"/>
      </w:r>
      <w:r w:rsidR="002F0C0F">
        <w:instrText xml:space="preserve"> NOTEREF _Ref126792252 \h </w:instrText>
      </w:r>
      <w:r w:rsidR="002F0C0F">
        <w:fldChar w:fldCharType="separate"/>
      </w:r>
      <w:r w:rsidR="00995C7E">
        <w:t>217</w:t>
      </w:r>
      <w:r w:rsidR="002F0C0F">
        <w:fldChar w:fldCharType="end"/>
      </w:r>
      <w:r>
        <w:t xml:space="preserve">, at 913–14 (discussing potential instances of employees being disciplined for their social media activity). </w:t>
      </w:r>
    </w:p>
  </w:footnote>
  <w:footnote w:id="235">
    <w:p w14:paraId="5DBCB673" w14:textId="37C8964A" w:rsidR="001E7D78" w:rsidRPr="009D7614" w:rsidRDefault="001E7D78" w:rsidP="001E7D78">
      <w:pPr>
        <w:pStyle w:val="FootnoteText"/>
      </w:pPr>
      <w:r w:rsidRPr="001A16E9">
        <w:rPr>
          <w:rStyle w:val="FootnoteReference"/>
        </w:rPr>
        <w:footnoteRef/>
      </w:r>
      <w:r w:rsidRPr="001A16E9">
        <w:t xml:space="preserve"> </w:t>
      </w:r>
      <w:proofErr w:type="spellStart"/>
      <w:r>
        <w:t>Ajunwa</w:t>
      </w:r>
      <w:proofErr w:type="spellEnd"/>
      <w:r>
        <w:t xml:space="preserve">, </w:t>
      </w:r>
      <w:r>
        <w:rPr>
          <w:i/>
          <w:iCs/>
        </w:rPr>
        <w:t xml:space="preserve">supra </w:t>
      </w:r>
      <w:r w:rsidR="002F0C0F">
        <w:t xml:space="preserve">note </w:t>
      </w:r>
      <w:r w:rsidR="002F0C0F">
        <w:rPr>
          <w:szCs w:val="20"/>
        </w:rPr>
        <w:fldChar w:fldCharType="begin"/>
      </w:r>
      <w:r w:rsidR="002F0C0F">
        <w:rPr>
          <w:szCs w:val="20"/>
        </w:rPr>
        <w:instrText xml:space="preserve"> NOTEREF _Ref126792607 \h </w:instrText>
      </w:r>
      <w:r w:rsidR="002F0C0F">
        <w:rPr>
          <w:szCs w:val="20"/>
        </w:rPr>
      </w:r>
      <w:r w:rsidR="002F0C0F">
        <w:rPr>
          <w:szCs w:val="20"/>
        </w:rPr>
        <w:fldChar w:fldCharType="separate"/>
      </w:r>
      <w:r w:rsidR="00995C7E">
        <w:rPr>
          <w:szCs w:val="20"/>
        </w:rPr>
        <w:t>223</w:t>
      </w:r>
      <w:r w:rsidR="002F0C0F">
        <w:rPr>
          <w:szCs w:val="20"/>
        </w:rPr>
        <w:fldChar w:fldCharType="end"/>
      </w:r>
      <w:r>
        <w:t xml:space="preserve">, at 24. </w:t>
      </w:r>
    </w:p>
  </w:footnote>
  <w:footnote w:id="236">
    <w:p w14:paraId="2BB03BA3" w14:textId="77777777" w:rsidR="001E7D78" w:rsidRPr="001A16E9" w:rsidRDefault="001E7D78" w:rsidP="001E7D78">
      <w:pPr>
        <w:pStyle w:val="FootnoteText"/>
      </w:pPr>
      <w:r w:rsidRPr="001A16E9">
        <w:rPr>
          <w:rStyle w:val="FootnoteReference"/>
        </w:rPr>
        <w:footnoteRef/>
      </w:r>
      <w:r w:rsidRPr="001A16E9">
        <w:t xml:space="preserve"> </w:t>
      </w:r>
      <w:r>
        <w:t xml:space="preserve">Aaron Holmes, </w:t>
      </w:r>
      <w:r w:rsidRPr="0011608F">
        <w:rPr>
          <w:i/>
          <w:iCs/>
        </w:rPr>
        <w:t xml:space="preserve">This </w:t>
      </w:r>
      <w:r>
        <w:rPr>
          <w:i/>
          <w:iCs/>
        </w:rPr>
        <w:t>S</w:t>
      </w:r>
      <w:r w:rsidRPr="0011608F">
        <w:rPr>
          <w:i/>
          <w:iCs/>
        </w:rPr>
        <w:t xml:space="preserve">lanted </w:t>
      </w:r>
      <w:r>
        <w:rPr>
          <w:i/>
          <w:iCs/>
        </w:rPr>
        <w:t>T</w:t>
      </w:r>
      <w:r w:rsidRPr="0011608F">
        <w:rPr>
          <w:i/>
          <w:iCs/>
        </w:rPr>
        <w:t xml:space="preserve">oilet was </w:t>
      </w:r>
      <w:r>
        <w:rPr>
          <w:i/>
          <w:iCs/>
        </w:rPr>
        <w:t>De</w:t>
      </w:r>
      <w:r w:rsidRPr="0011608F">
        <w:rPr>
          <w:i/>
          <w:iCs/>
        </w:rPr>
        <w:t xml:space="preserve">signed to </w:t>
      </w:r>
      <w:r>
        <w:rPr>
          <w:i/>
          <w:iCs/>
        </w:rPr>
        <w:t>I</w:t>
      </w:r>
      <w:r w:rsidRPr="0011608F">
        <w:rPr>
          <w:i/>
          <w:iCs/>
        </w:rPr>
        <w:t xml:space="preserve">ncrease </w:t>
      </w:r>
      <w:r>
        <w:rPr>
          <w:i/>
          <w:iCs/>
        </w:rPr>
        <w:t>Pr</w:t>
      </w:r>
      <w:r w:rsidRPr="0011608F">
        <w:rPr>
          <w:i/>
          <w:iCs/>
        </w:rPr>
        <w:t xml:space="preserve">oductivity and </w:t>
      </w:r>
      <w:r>
        <w:rPr>
          <w:i/>
          <w:iCs/>
        </w:rPr>
        <w:t>D</w:t>
      </w:r>
      <w:r w:rsidRPr="0011608F">
        <w:rPr>
          <w:i/>
          <w:iCs/>
        </w:rPr>
        <w:t xml:space="preserve">ecrease </w:t>
      </w:r>
      <w:r>
        <w:rPr>
          <w:i/>
          <w:iCs/>
        </w:rPr>
        <w:t>S</w:t>
      </w:r>
      <w:r w:rsidRPr="0011608F">
        <w:rPr>
          <w:i/>
          <w:iCs/>
        </w:rPr>
        <w:t xml:space="preserve">martphone </w:t>
      </w:r>
      <w:r>
        <w:rPr>
          <w:i/>
          <w:iCs/>
        </w:rPr>
        <w:t>Us</w:t>
      </w:r>
      <w:r w:rsidRPr="0011608F">
        <w:rPr>
          <w:i/>
          <w:iCs/>
        </w:rPr>
        <w:t xml:space="preserve">e by </w:t>
      </w:r>
      <w:r>
        <w:rPr>
          <w:i/>
          <w:iCs/>
        </w:rPr>
        <w:t>Be</w:t>
      </w:r>
      <w:r w:rsidRPr="0011608F">
        <w:rPr>
          <w:i/>
          <w:iCs/>
        </w:rPr>
        <w:t xml:space="preserve">ing </w:t>
      </w:r>
      <w:r>
        <w:rPr>
          <w:i/>
          <w:iCs/>
        </w:rPr>
        <w:t>Pa</w:t>
      </w:r>
      <w:r w:rsidRPr="0011608F">
        <w:rPr>
          <w:i/>
          <w:iCs/>
        </w:rPr>
        <w:t xml:space="preserve">inful to </w:t>
      </w:r>
      <w:r>
        <w:rPr>
          <w:i/>
          <w:iCs/>
        </w:rPr>
        <w:t>S</w:t>
      </w:r>
      <w:r w:rsidRPr="0011608F">
        <w:rPr>
          <w:i/>
          <w:iCs/>
        </w:rPr>
        <w:t xml:space="preserve">it on for </w:t>
      </w:r>
      <w:r>
        <w:rPr>
          <w:i/>
          <w:iCs/>
        </w:rPr>
        <w:t>M</w:t>
      </w:r>
      <w:r w:rsidRPr="0011608F">
        <w:rPr>
          <w:i/>
          <w:iCs/>
        </w:rPr>
        <w:t xml:space="preserve">ore than 5 </w:t>
      </w:r>
      <w:r>
        <w:rPr>
          <w:i/>
          <w:iCs/>
        </w:rPr>
        <w:t>M</w:t>
      </w:r>
      <w:r w:rsidRPr="0011608F">
        <w:rPr>
          <w:i/>
          <w:iCs/>
        </w:rPr>
        <w:t xml:space="preserve">inutes, and </w:t>
      </w:r>
      <w:r>
        <w:rPr>
          <w:i/>
          <w:iCs/>
        </w:rPr>
        <w:t>Pe</w:t>
      </w:r>
      <w:r w:rsidRPr="0011608F">
        <w:rPr>
          <w:i/>
          <w:iCs/>
        </w:rPr>
        <w:t xml:space="preserve">ople are </w:t>
      </w:r>
      <w:r>
        <w:rPr>
          <w:i/>
          <w:iCs/>
        </w:rPr>
        <w:t>Ho</w:t>
      </w:r>
      <w:r w:rsidRPr="0011608F">
        <w:rPr>
          <w:i/>
          <w:iCs/>
        </w:rPr>
        <w:t>rrified</w:t>
      </w:r>
      <w:r>
        <w:rPr>
          <w:i/>
          <w:iCs/>
        </w:rPr>
        <w:t xml:space="preserve">, </w:t>
      </w:r>
      <w:r w:rsidRPr="0003344E">
        <w:rPr>
          <w:smallCaps/>
        </w:rPr>
        <w:t>Bu</w:t>
      </w:r>
      <w:r>
        <w:rPr>
          <w:smallCaps/>
        </w:rPr>
        <w:t>s.</w:t>
      </w:r>
      <w:r w:rsidRPr="0003344E">
        <w:rPr>
          <w:smallCaps/>
        </w:rPr>
        <w:t xml:space="preserve"> Insider</w:t>
      </w:r>
      <w:r>
        <w:t xml:space="preserve">, (Dec. 18, 2019 11:56 AM), </w:t>
      </w:r>
      <w:r w:rsidRPr="00FD2C8F">
        <w:t>https://www.businessinsider.</w:t>
      </w:r>
      <w:r>
        <w:br/>
      </w:r>
      <w:r w:rsidRPr="00FD2C8F">
        <w:t>com/slanted-toilet-design-decrease-phone-social-media-use-bathroom-breaks-2019-12.</w:t>
      </w:r>
      <w:r>
        <w:t xml:space="preserve"> </w:t>
      </w:r>
    </w:p>
  </w:footnote>
  <w:footnote w:id="237">
    <w:p w14:paraId="42CEB22B" w14:textId="49C86E25" w:rsidR="00E5555C" w:rsidRPr="00624200" w:rsidRDefault="00E5555C" w:rsidP="00E5555C">
      <w:pPr>
        <w:pStyle w:val="FootnoteText"/>
      </w:pPr>
      <w:r w:rsidRPr="001A16E9">
        <w:rPr>
          <w:rStyle w:val="FootnoteReference"/>
        </w:rPr>
        <w:footnoteRef/>
      </w:r>
      <w:r w:rsidRPr="001A16E9">
        <w:t xml:space="preserve"> Ajunwa</w:t>
      </w:r>
      <w:r>
        <w:t xml:space="preserve">, Crawford, &amp; Schultz, </w:t>
      </w:r>
      <w:r>
        <w:rPr>
          <w:i/>
          <w:iCs/>
        </w:rPr>
        <w:t xml:space="preserve">supra </w:t>
      </w:r>
      <w:r w:rsidR="005E7B6F" w:rsidRPr="001A16E9">
        <w:t>note</w:t>
      </w:r>
      <w:r w:rsidR="005E7B6F">
        <w:t xml:space="preserve"> </w:t>
      </w:r>
      <w:r w:rsidR="005E7B6F">
        <w:fldChar w:fldCharType="begin"/>
      </w:r>
      <w:r w:rsidR="005E7B6F">
        <w:instrText xml:space="preserve"> NOTEREF _Ref126792197 \h </w:instrText>
      </w:r>
      <w:r w:rsidR="005E7B6F">
        <w:fldChar w:fldCharType="separate"/>
      </w:r>
      <w:r w:rsidR="00995C7E">
        <w:t>214</w:t>
      </w:r>
      <w:r w:rsidR="005E7B6F">
        <w:fldChar w:fldCharType="end"/>
      </w:r>
      <w:r>
        <w:t xml:space="preserve">, at 743. </w:t>
      </w:r>
    </w:p>
  </w:footnote>
  <w:footnote w:id="238">
    <w:p w14:paraId="0E960439" w14:textId="078369F4" w:rsidR="00E5555C" w:rsidRPr="001A16E9" w:rsidRDefault="00E5555C" w:rsidP="00E5555C">
      <w:pPr>
        <w:pStyle w:val="FootnoteText"/>
      </w:pPr>
      <w:r w:rsidRPr="001A16E9">
        <w:rPr>
          <w:rStyle w:val="FootnoteReference"/>
        </w:rPr>
        <w:footnoteRef/>
      </w:r>
      <w:r w:rsidRPr="001A16E9">
        <w:t xml:space="preserve"> </w:t>
      </w:r>
      <w:r w:rsidR="00472574">
        <w:rPr>
          <w:i/>
          <w:iCs/>
        </w:rPr>
        <w:t>Id.</w:t>
      </w:r>
      <w:r w:rsidRPr="001A16E9">
        <w:t xml:space="preserve"> at 744–45 (noting increased employee monitoring can result in more injuries and negative psychological effects).</w:t>
      </w:r>
    </w:p>
  </w:footnote>
  <w:footnote w:id="239">
    <w:p w14:paraId="22EC983C" w14:textId="22F7463F" w:rsidR="001E7D78" w:rsidRPr="001A16E9" w:rsidRDefault="001E7D78" w:rsidP="001E7D78">
      <w:pPr>
        <w:pStyle w:val="FootnoteText"/>
      </w:pPr>
      <w:r w:rsidRPr="001A16E9">
        <w:rPr>
          <w:rStyle w:val="FootnoteReference"/>
        </w:rPr>
        <w:footnoteRef/>
      </w:r>
      <w:r w:rsidRPr="001A16E9">
        <w:t xml:space="preserve"> Hirsch, </w:t>
      </w:r>
      <w:r w:rsidR="005E7B6F">
        <w:rPr>
          <w:i/>
          <w:iCs/>
        </w:rPr>
        <w:t xml:space="preserve">supra </w:t>
      </w:r>
      <w:r w:rsidR="005E7B6F">
        <w:t xml:space="preserve">note </w:t>
      </w:r>
      <w:r w:rsidR="005E7B6F">
        <w:fldChar w:fldCharType="begin"/>
      </w:r>
      <w:r w:rsidR="005E7B6F">
        <w:instrText xml:space="preserve"> NOTEREF _Ref126792644 \h </w:instrText>
      </w:r>
      <w:r w:rsidR="005E7B6F">
        <w:fldChar w:fldCharType="separate"/>
      </w:r>
      <w:r w:rsidR="00995C7E">
        <w:t>215</w:t>
      </w:r>
      <w:r w:rsidR="005E7B6F">
        <w:fldChar w:fldCharType="end"/>
      </w:r>
      <w:r w:rsidRPr="001A16E9">
        <w:t>, at 906 (discussing how virtual reality increasingly implemented in the workplace “frequently causes eye strain, dizziness, and nausea.”)</w:t>
      </w:r>
      <w:r>
        <w:t xml:space="preserve">. </w:t>
      </w:r>
    </w:p>
  </w:footnote>
  <w:footnote w:id="240">
    <w:p w14:paraId="6998FC3A" w14:textId="7CB2D904" w:rsidR="001E7D78" w:rsidRPr="001A16E9" w:rsidRDefault="001E7D78" w:rsidP="001E7D78">
      <w:pPr>
        <w:pStyle w:val="FootnoteText"/>
      </w:pPr>
      <w:r w:rsidRPr="001A16E9">
        <w:rPr>
          <w:rStyle w:val="FootnoteReference"/>
        </w:rPr>
        <w:footnoteRef/>
      </w:r>
      <w:r w:rsidRPr="001A16E9">
        <w:t xml:space="preserve"> </w:t>
      </w:r>
      <w:proofErr w:type="spellStart"/>
      <w:r w:rsidRPr="001A16E9">
        <w:t>Ajunwa</w:t>
      </w:r>
      <w:proofErr w:type="spellEnd"/>
      <w:r w:rsidRPr="001A16E9">
        <w:t xml:space="preserve">, </w:t>
      </w:r>
      <w:r w:rsidR="005E7B6F">
        <w:rPr>
          <w:i/>
          <w:iCs/>
        </w:rPr>
        <w:t xml:space="preserve">supra </w:t>
      </w:r>
      <w:r w:rsidR="005E7B6F" w:rsidRPr="001A16E9">
        <w:t xml:space="preserve">note </w:t>
      </w:r>
      <w:r w:rsidR="005E7B6F">
        <w:rPr>
          <w:szCs w:val="20"/>
        </w:rPr>
        <w:fldChar w:fldCharType="begin"/>
      </w:r>
      <w:r w:rsidR="005E7B6F">
        <w:rPr>
          <w:szCs w:val="20"/>
        </w:rPr>
        <w:instrText xml:space="preserve"> NOTEREF _Ref126792607 \h </w:instrText>
      </w:r>
      <w:r w:rsidR="005E7B6F">
        <w:rPr>
          <w:szCs w:val="20"/>
        </w:rPr>
      </w:r>
      <w:r w:rsidR="005E7B6F">
        <w:rPr>
          <w:szCs w:val="20"/>
        </w:rPr>
        <w:fldChar w:fldCharType="separate"/>
      </w:r>
      <w:r w:rsidR="00995C7E">
        <w:rPr>
          <w:szCs w:val="20"/>
        </w:rPr>
        <w:t>223</w:t>
      </w:r>
      <w:r w:rsidR="005E7B6F">
        <w:rPr>
          <w:szCs w:val="20"/>
        </w:rPr>
        <w:fldChar w:fldCharType="end"/>
      </w:r>
      <w:r w:rsidRPr="001A16E9">
        <w:t xml:space="preserve">, at 34–38 (describing Amazon’s patents for wearable devices used to monitor workers). </w:t>
      </w:r>
    </w:p>
  </w:footnote>
  <w:footnote w:id="241">
    <w:p w14:paraId="2D113362" w14:textId="7DB4EEB7" w:rsidR="001E7D78" w:rsidRPr="001A16E9" w:rsidRDefault="001E7D78" w:rsidP="001E7D78">
      <w:pPr>
        <w:pStyle w:val="FootnoteText"/>
      </w:pPr>
      <w:r w:rsidRPr="001A16E9">
        <w:rPr>
          <w:rStyle w:val="FootnoteReference"/>
        </w:rPr>
        <w:footnoteRef/>
      </w:r>
      <w:r w:rsidRPr="001A16E9">
        <w:t xml:space="preserve"> Kate Gibson, </w:t>
      </w:r>
      <w:r w:rsidRPr="001A16E9">
        <w:rPr>
          <w:i/>
          <w:iCs/>
        </w:rPr>
        <w:t xml:space="preserve">Most Dangerous Time to Work in Amazon Warehouses? Right About </w:t>
      </w:r>
      <w:r>
        <w:rPr>
          <w:i/>
          <w:iCs/>
        </w:rPr>
        <w:t>N</w:t>
      </w:r>
      <w:r w:rsidRPr="001A16E9">
        <w:rPr>
          <w:i/>
          <w:iCs/>
        </w:rPr>
        <w:t>ow</w:t>
      </w:r>
      <w:r w:rsidRPr="001A16E9">
        <w:t xml:space="preserve">, </w:t>
      </w:r>
      <w:r w:rsidR="00D65161" w:rsidRPr="00DE15AA">
        <w:rPr>
          <w:smallCaps/>
        </w:rPr>
        <w:t>CBS News</w:t>
      </w:r>
      <w:r w:rsidR="00D65161">
        <w:t xml:space="preserve">, </w:t>
      </w:r>
      <w:r w:rsidRPr="001A16E9">
        <w:t xml:space="preserve">(Dec. 17, 2019, 4:59 PM), </w:t>
      </w:r>
      <w:r w:rsidRPr="00890F5F">
        <w:t>https://www.cbsnews.com/news/amazon-warehouse-jobs-most-dangerous-time-of-year-to-work-is-holiday-shopping-season</w:t>
      </w:r>
      <w:r>
        <w:t>.</w:t>
      </w:r>
      <w:r w:rsidR="004D7F70">
        <w:t xml:space="preserve"> </w:t>
      </w:r>
    </w:p>
  </w:footnote>
  <w:footnote w:id="242">
    <w:p w14:paraId="1AB8E660" w14:textId="5892F674" w:rsidR="0085739A" w:rsidRDefault="0085739A">
      <w:pPr>
        <w:pStyle w:val="FootnoteText"/>
      </w:pPr>
      <w:r>
        <w:rPr>
          <w:rStyle w:val="FootnoteReference"/>
        </w:rPr>
        <w:footnoteRef/>
      </w:r>
      <w:r>
        <w:t xml:space="preserve"> </w:t>
      </w:r>
      <w:r w:rsidR="00B84DB1" w:rsidRPr="00B84DB1">
        <w:t>Kevin Litman-Navarro</w:t>
      </w:r>
      <w:r w:rsidR="00B84DB1">
        <w:t xml:space="preserve">, </w:t>
      </w:r>
      <w:r w:rsidR="00B84DB1" w:rsidRPr="00DE15AA">
        <w:rPr>
          <w:i/>
        </w:rPr>
        <w:t>We Read 150 Privacy Policies. They Were an Incomprehensible Disaster.</w:t>
      </w:r>
      <w:r w:rsidR="00B84DB1">
        <w:t xml:space="preserve">, </w:t>
      </w:r>
      <w:r w:rsidR="00FD6A82" w:rsidRPr="00DE15AA">
        <w:rPr>
          <w:smallCaps/>
        </w:rPr>
        <w:t>N.Y. Times</w:t>
      </w:r>
      <w:r w:rsidR="00FD6A82">
        <w:t xml:space="preserve"> (</w:t>
      </w:r>
      <w:r w:rsidR="00D5199D">
        <w:t>June 12, 2019)</w:t>
      </w:r>
      <w:r w:rsidR="00C40A46">
        <w:t xml:space="preserve">, </w:t>
      </w:r>
      <w:r w:rsidR="00C40A46" w:rsidRPr="00C40A46">
        <w:t>www.nytimes.com/interactive/2019/06/12/opinion/facebook-google-privacy-policies.html</w:t>
      </w:r>
      <w:r w:rsidR="00C40A46">
        <w:t>.</w:t>
      </w:r>
    </w:p>
  </w:footnote>
  <w:footnote w:id="243">
    <w:p w14:paraId="56DA8879" w14:textId="24413053" w:rsidR="0085739A" w:rsidRDefault="0085739A">
      <w:pPr>
        <w:pStyle w:val="FootnoteText"/>
      </w:pPr>
      <w:r>
        <w:rPr>
          <w:rStyle w:val="FootnoteReference"/>
        </w:rPr>
        <w:footnoteRef/>
      </w:r>
      <w:r>
        <w:t xml:space="preserve"> </w:t>
      </w:r>
      <w:r w:rsidR="000A66EF" w:rsidRPr="000A66EF">
        <w:t>Stuart A. Thompson and Charlie Warzel</w:t>
      </w:r>
      <w:r w:rsidR="000A66EF">
        <w:t xml:space="preserve">, </w:t>
      </w:r>
      <w:r w:rsidR="000A66EF" w:rsidRPr="00DE15AA">
        <w:rPr>
          <w:i/>
        </w:rPr>
        <w:t>Twelve Million Phones, One Dataset, Zero Privacy</w:t>
      </w:r>
      <w:r w:rsidR="00AA018E">
        <w:t xml:space="preserve">, </w:t>
      </w:r>
      <w:r w:rsidR="00AA018E" w:rsidRPr="00DE15AA">
        <w:rPr>
          <w:smallCaps/>
        </w:rPr>
        <w:t>N.Y. Times</w:t>
      </w:r>
      <w:r w:rsidR="00AA018E">
        <w:t xml:space="preserve"> (</w:t>
      </w:r>
      <w:r w:rsidR="00AA018E" w:rsidRPr="00AA018E">
        <w:t>Dec. 19, 2019</w:t>
      </w:r>
      <w:r w:rsidR="00AA018E">
        <w:t xml:space="preserve">), </w:t>
      </w:r>
      <w:r w:rsidR="00AA018E" w:rsidRPr="00AA018E">
        <w:t>www.nytimes.com/interactive/2019/12/19/opinion/location-tracking-cell-phone.html</w:t>
      </w:r>
      <w:r w:rsidR="00AA018E">
        <w:t>.</w:t>
      </w:r>
    </w:p>
  </w:footnote>
  <w:footnote w:id="244">
    <w:p w14:paraId="39529779" w14:textId="5FAEE0FD" w:rsidR="0085739A" w:rsidRDefault="0085739A">
      <w:pPr>
        <w:pStyle w:val="FootnoteText"/>
      </w:pPr>
      <w:r>
        <w:rPr>
          <w:rStyle w:val="FootnoteReference"/>
        </w:rPr>
        <w:footnoteRef/>
      </w:r>
      <w:r>
        <w:t xml:space="preserve"> </w:t>
      </w:r>
      <w:r w:rsidR="00463FE5" w:rsidRPr="00463FE5">
        <w:t>Thorin Klosowski</w:t>
      </w:r>
      <w:r w:rsidR="00463FE5">
        <w:t xml:space="preserve">, </w:t>
      </w:r>
      <w:r w:rsidR="00463FE5" w:rsidRPr="00DE15AA">
        <w:rPr>
          <w:i/>
        </w:rPr>
        <w:t>Facial Recognition Is Everywhere. Here’s What We Can Do About It.</w:t>
      </w:r>
      <w:r w:rsidR="00463FE5">
        <w:t xml:space="preserve">, </w:t>
      </w:r>
      <w:r w:rsidR="00463FE5" w:rsidRPr="00DE15AA">
        <w:rPr>
          <w:smallCaps/>
        </w:rPr>
        <w:t>Wirecutter</w:t>
      </w:r>
      <w:r w:rsidR="00463FE5">
        <w:t xml:space="preserve"> (</w:t>
      </w:r>
      <w:r w:rsidR="00463FE5" w:rsidRPr="00463FE5">
        <w:t>July 15, 2020</w:t>
      </w:r>
      <w:r w:rsidR="00463FE5">
        <w:t xml:space="preserve">), </w:t>
      </w:r>
      <w:r w:rsidR="00463FE5" w:rsidRPr="00463FE5">
        <w:t>www.nytimes.com/wirecutter/blog/how-facial-recognition-works</w:t>
      </w:r>
      <w:r w:rsidR="00463FE5">
        <w:t>.</w:t>
      </w:r>
    </w:p>
  </w:footnote>
  <w:footnote w:id="245">
    <w:p w14:paraId="15EA79DB" w14:textId="2D0525AF" w:rsidR="004F259A" w:rsidRDefault="004F259A">
      <w:pPr>
        <w:pStyle w:val="FootnoteText"/>
      </w:pPr>
      <w:r>
        <w:rPr>
          <w:rStyle w:val="FootnoteReference"/>
        </w:rPr>
        <w:footnoteRef/>
      </w:r>
      <w:r>
        <w:t xml:space="preserve"> </w:t>
      </w:r>
      <w:r w:rsidR="00E66B5B" w:rsidRPr="00E66B5B">
        <w:t>Justin Sherman</w:t>
      </w:r>
      <w:r w:rsidR="00E66B5B">
        <w:t xml:space="preserve">, </w:t>
      </w:r>
      <w:r w:rsidR="00E66B5B" w:rsidRPr="00DE15AA">
        <w:rPr>
          <w:i/>
        </w:rPr>
        <w:t xml:space="preserve">Data </w:t>
      </w:r>
      <w:r w:rsidR="009B5279" w:rsidRPr="00DE15AA">
        <w:rPr>
          <w:i/>
        </w:rPr>
        <w:t>B</w:t>
      </w:r>
      <w:r w:rsidR="00E66B5B" w:rsidRPr="00DE15AA">
        <w:rPr>
          <w:i/>
        </w:rPr>
        <w:t>rokers and Data Breaches</w:t>
      </w:r>
      <w:r w:rsidR="00573EF1">
        <w:t xml:space="preserve">, </w:t>
      </w:r>
      <w:r w:rsidR="009B5279" w:rsidRPr="00DE15AA">
        <w:rPr>
          <w:smallCaps/>
        </w:rPr>
        <w:t>Duke Sanford Sch. of Pub</w:t>
      </w:r>
      <w:r w:rsidR="0035393E" w:rsidRPr="00DE15AA">
        <w:rPr>
          <w:smallCaps/>
        </w:rPr>
        <w:t>.</w:t>
      </w:r>
      <w:r w:rsidR="009B5279" w:rsidRPr="00DE15AA">
        <w:rPr>
          <w:smallCaps/>
        </w:rPr>
        <w:t xml:space="preserve"> Pol</w:t>
      </w:r>
      <w:r w:rsidR="0035393E" w:rsidRPr="00DE15AA">
        <w:rPr>
          <w:smallCaps/>
        </w:rPr>
        <w:t>’</w:t>
      </w:r>
      <w:r w:rsidR="009B5279" w:rsidRPr="00DE15AA">
        <w:rPr>
          <w:smallCaps/>
        </w:rPr>
        <w:t>y</w:t>
      </w:r>
      <w:r w:rsidR="00881806">
        <w:t xml:space="preserve"> (</w:t>
      </w:r>
      <w:r w:rsidR="00772C0F" w:rsidRPr="00772C0F">
        <w:t>Sept</w:t>
      </w:r>
      <w:r w:rsidR="00772C0F">
        <w:t xml:space="preserve">. </w:t>
      </w:r>
      <w:r w:rsidR="00772C0F" w:rsidRPr="00772C0F">
        <w:t>27, 2022</w:t>
      </w:r>
      <w:r w:rsidR="00772C0F">
        <w:t xml:space="preserve">), </w:t>
      </w:r>
      <w:r w:rsidR="00711434" w:rsidRPr="00711434">
        <w:t>https://techpolicy.sanford.duke.edu/blogroll/data-brokers-and-data-breaches</w:t>
      </w:r>
      <w:r w:rsidR="00711434">
        <w:t>.</w:t>
      </w:r>
    </w:p>
  </w:footnote>
  <w:footnote w:id="246">
    <w:p w14:paraId="3D49B903" w14:textId="2136D4E6" w:rsidR="004F259A" w:rsidRDefault="004F259A">
      <w:pPr>
        <w:pStyle w:val="FootnoteText"/>
      </w:pPr>
      <w:r>
        <w:rPr>
          <w:rStyle w:val="FootnoteReference"/>
        </w:rPr>
        <w:footnoteRef/>
      </w:r>
      <w:r>
        <w:t xml:space="preserve"> </w:t>
      </w:r>
      <w:r w:rsidR="00CD3B1C" w:rsidRPr="00CD3B1C">
        <w:t>Shelby Brown</w:t>
      </w:r>
      <w:r w:rsidR="00CD3B1C">
        <w:t xml:space="preserve">, </w:t>
      </w:r>
      <w:r w:rsidR="00CD3B1C" w:rsidRPr="00DE15AA">
        <w:rPr>
          <w:i/>
        </w:rPr>
        <w:t xml:space="preserve">TikTok, </w:t>
      </w:r>
      <w:r w:rsidR="00BE3860" w:rsidRPr="00DE15AA">
        <w:rPr>
          <w:i/>
        </w:rPr>
        <w:t>L</w:t>
      </w:r>
      <w:r w:rsidR="00CD3B1C" w:rsidRPr="00DE15AA">
        <w:rPr>
          <w:i/>
        </w:rPr>
        <w:t xml:space="preserve">ivestreaming </w:t>
      </w:r>
      <w:r w:rsidR="00BE3860" w:rsidRPr="00DE15AA">
        <w:rPr>
          <w:i/>
        </w:rPr>
        <w:t>A</w:t>
      </w:r>
      <w:r w:rsidR="00CD3B1C" w:rsidRPr="00DE15AA">
        <w:rPr>
          <w:i/>
        </w:rPr>
        <w:t xml:space="preserve">pps </w:t>
      </w:r>
      <w:r w:rsidR="00BE3860" w:rsidRPr="00DE15AA">
        <w:rPr>
          <w:i/>
        </w:rPr>
        <w:t>A</w:t>
      </w:r>
      <w:r w:rsidR="00CD3B1C" w:rsidRPr="00DE15AA">
        <w:rPr>
          <w:i/>
        </w:rPr>
        <w:t xml:space="preserve">re </w:t>
      </w:r>
      <w:r w:rsidR="00BE3860" w:rsidRPr="00DE15AA">
        <w:rPr>
          <w:i/>
        </w:rPr>
        <w:t>‘H</w:t>
      </w:r>
      <w:r w:rsidR="00CD3B1C" w:rsidRPr="00DE15AA">
        <w:rPr>
          <w:i/>
        </w:rPr>
        <w:t xml:space="preserve">unting </w:t>
      </w:r>
      <w:r w:rsidR="00BE3860" w:rsidRPr="00DE15AA">
        <w:rPr>
          <w:i/>
        </w:rPr>
        <w:t>G</w:t>
      </w:r>
      <w:r w:rsidR="00CD3B1C" w:rsidRPr="00DE15AA">
        <w:rPr>
          <w:i/>
        </w:rPr>
        <w:t>round</w:t>
      </w:r>
      <w:r w:rsidR="00BE3860" w:rsidRPr="00DE15AA">
        <w:rPr>
          <w:i/>
        </w:rPr>
        <w:t>’</w:t>
      </w:r>
      <w:r w:rsidR="00CD3B1C" w:rsidRPr="00DE15AA">
        <w:rPr>
          <w:i/>
        </w:rPr>
        <w:t xml:space="preserve"> for </w:t>
      </w:r>
      <w:r w:rsidR="00BE3860" w:rsidRPr="00DE15AA">
        <w:rPr>
          <w:i/>
        </w:rPr>
        <w:t>A</w:t>
      </w:r>
      <w:r w:rsidR="00CD3B1C" w:rsidRPr="00DE15AA">
        <w:rPr>
          <w:i/>
        </w:rPr>
        <w:t xml:space="preserve">busers, </w:t>
      </w:r>
      <w:r w:rsidR="00BE3860" w:rsidRPr="00DE15AA">
        <w:rPr>
          <w:i/>
        </w:rPr>
        <w:t>W</w:t>
      </w:r>
      <w:r w:rsidR="00CD3B1C" w:rsidRPr="00DE15AA">
        <w:rPr>
          <w:i/>
        </w:rPr>
        <w:t xml:space="preserve">arn </w:t>
      </w:r>
      <w:r w:rsidR="00BE3860" w:rsidRPr="00DE15AA">
        <w:rPr>
          <w:i/>
        </w:rPr>
        <w:t>K</w:t>
      </w:r>
      <w:r w:rsidR="00CD3B1C" w:rsidRPr="00DE15AA">
        <w:rPr>
          <w:i/>
        </w:rPr>
        <w:t>ids</w:t>
      </w:r>
      <w:r w:rsidR="00BE3860" w:rsidRPr="00DE15AA">
        <w:rPr>
          <w:i/>
        </w:rPr>
        <w:t>’</w:t>
      </w:r>
      <w:r w:rsidR="00CD3B1C" w:rsidRPr="00DE15AA">
        <w:rPr>
          <w:i/>
        </w:rPr>
        <w:t xml:space="preserve"> </w:t>
      </w:r>
      <w:r w:rsidR="00BE3860" w:rsidRPr="00DE15AA">
        <w:rPr>
          <w:i/>
        </w:rPr>
        <w:t>A</w:t>
      </w:r>
      <w:r w:rsidR="00CD3B1C" w:rsidRPr="00DE15AA">
        <w:rPr>
          <w:i/>
        </w:rPr>
        <w:t>dvocates</w:t>
      </w:r>
      <w:r w:rsidR="00CD3B1C">
        <w:t xml:space="preserve">, </w:t>
      </w:r>
      <w:r w:rsidR="00CD3B1C" w:rsidRPr="00DE15AA">
        <w:rPr>
          <w:smallCaps/>
        </w:rPr>
        <w:t>CNET</w:t>
      </w:r>
      <w:r w:rsidR="00CD3B1C">
        <w:t xml:space="preserve"> (</w:t>
      </w:r>
      <w:r w:rsidR="00CD3B1C" w:rsidRPr="00CD3B1C">
        <w:t xml:space="preserve">Feb. 25, 2019 11:10 </w:t>
      </w:r>
      <w:r w:rsidR="00CD1AEF">
        <w:t>AM</w:t>
      </w:r>
      <w:r w:rsidR="00CD3B1C">
        <w:t xml:space="preserve">), </w:t>
      </w:r>
      <w:r w:rsidR="00BE3860" w:rsidRPr="00BE3860">
        <w:t>https://www.cnet.com/tech/mobile/tiktok-live-streaming-apps-are-hunting-ground-for-abusers-warn-childrens-advocates</w:t>
      </w:r>
      <w:r w:rsidR="00BE3860">
        <w:t>.</w:t>
      </w:r>
    </w:p>
  </w:footnote>
  <w:footnote w:id="247">
    <w:p w14:paraId="38E94A29" w14:textId="04658E1C" w:rsidR="00CD7DE1" w:rsidRDefault="00CD7DE1" w:rsidP="00CD7DE1">
      <w:pPr>
        <w:pStyle w:val="FootnoteText"/>
      </w:pPr>
      <w:r>
        <w:rPr>
          <w:rStyle w:val="FootnoteReference"/>
        </w:rPr>
        <w:footnoteRef/>
      </w:r>
      <w:r>
        <w:t xml:space="preserve"> </w:t>
      </w:r>
      <w:r w:rsidRPr="00B855A2">
        <w:t xml:space="preserve">Danielle Keats Citron &amp; Daniel J. Solove, </w:t>
      </w:r>
      <w:r w:rsidRPr="00DE15AA">
        <w:rPr>
          <w:i/>
        </w:rPr>
        <w:t>Privacy Harms</w:t>
      </w:r>
      <w:r w:rsidRPr="00B855A2">
        <w:t xml:space="preserve">, 102 </w:t>
      </w:r>
      <w:r w:rsidRPr="00DE15AA">
        <w:rPr>
          <w:smallCaps/>
        </w:rPr>
        <w:t>B.U. L. R</w:t>
      </w:r>
      <w:r w:rsidR="00BE3860" w:rsidRPr="00DE15AA">
        <w:rPr>
          <w:smallCaps/>
        </w:rPr>
        <w:t>ev</w:t>
      </w:r>
      <w:r w:rsidRPr="00DE15AA">
        <w:rPr>
          <w:smallCaps/>
        </w:rPr>
        <w:t>.</w:t>
      </w:r>
      <w:r w:rsidRPr="00B855A2">
        <w:t xml:space="preserve"> 793, 816 (2022) (“From the standpoint of each individual, the harm is minor, but from the standpoint of society, where the harm to everyone is aggregated, the total amount of harm is quite substantial.”).</w:t>
      </w:r>
    </w:p>
  </w:footnote>
  <w:footnote w:id="248">
    <w:p w14:paraId="68CECCF3" w14:textId="4DF8057F" w:rsidR="00CD7DE1" w:rsidRDefault="00CD7DE1" w:rsidP="00CD7DE1">
      <w:pPr>
        <w:pStyle w:val="FootnoteText"/>
      </w:pPr>
      <w:r>
        <w:rPr>
          <w:rStyle w:val="FootnoteReference"/>
        </w:rPr>
        <w:footnoteRef/>
      </w:r>
      <w:r>
        <w:t xml:space="preserve"> </w:t>
      </w:r>
      <w:r w:rsidR="00D81896" w:rsidRPr="00DE15AA">
        <w:rPr>
          <w:i/>
        </w:rPr>
        <w:t>See generally</w:t>
      </w:r>
      <w:r w:rsidR="00D81896">
        <w:t xml:space="preserve"> Citron</w:t>
      </w:r>
      <w:r w:rsidR="00261D55">
        <w:t xml:space="preserve"> &amp; </w:t>
      </w:r>
      <w:r w:rsidDel="00D81896">
        <w:t>Solove</w:t>
      </w:r>
      <w:r>
        <w:t xml:space="preserve">, </w:t>
      </w:r>
      <w:r w:rsidR="00261D55" w:rsidRPr="00DE15AA">
        <w:rPr>
          <w:i/>
        </w:rPr>
        <w:t>supra</w:t>
      </w:r>
      <w:r w:rsidR="00261D55">
        <w:t xml:space="preserve"> note </w:t>
      </w:r>
      <w:r w:rsidR="00946DD3">
        <w:fldChar w:fldCharType="begin"/>
      </w:r>
      <w:r w:rsidR="00946DD3">
        <w:instrText xml:space="preserve"> NOTEREF _Ref126696350 \h </w:instrText>
      </w:r>
      <w:r w:rsidR="00946DD3">
        <w:fldChar w:fldCharType="separate"/>
      </w:r>
      <w:r w:rsidR="00995C7E">
        <w:t>249</w:t>
      </w:r>
      <w:r w:rsidR="00946DD3">
        <w:fldChar w:fldCharType="end"/>
      </w:r>
      <w:r w:rsidR="00270B79">
        <w:t xml:space="preserve"> (creating a taxonomy of privacy harms)</w:t>
      </w:r>
      <w:r>
        <w:t>.</w:t>
      </w:r>
    </w:p>
  </w:footnote>
  <w:footnote w:id="249">
    <w:p w14:paraId="5C184D21" w14:textId="62B2C4A0" w:rsidR="00CD7DE1" w:rsidRDefault="00CD7DE1" w:rsidP="00CD7DE1">
      <w:pPr>
        <w:pStyle w:val="FootnoteText"/>
      </w:pPr>
      <w:r>
        <w:rPr>
          <w:rStyle w:val="FootnoteReference"/>
        </w:rPr>
        <w:footnoteRef/>
      </w:r>
      <w:r>
        <w:t xml:space="preserve"> </w:t>
      </w:r>
      <w:r w:rsidR="00C24649" w:rsidRPr="00DE15AA">
        <w:rPr>
          <w:i/>
        </w:rPr>
        <w:t>What To Know About Identity Theft</w:t>
      </w:r>
      <w:r w:rsidR="00C24649">
        <w:t xml:space="preserve">, </w:t>
      </w:r>
      <w:r w:rsidR="00C24649" w:rsidRPr="00DE15AA">
        <w:rPr>
          <w:smallCaps/>
        </w:rPr>
        <w:t>Fed. Trade Comm’n</w:t>
      </w:r>
      <w:r w:rsidR="00C24649">
        <w:t xml:space="preserve"> (</w:t>
      </w:r>
      <w:r w:rsidR="00C24649" w:rsidRPr="00C24649">
        <w:t>Apr</w:t>
      </w:r>
      <w:r w:rsidR="00C24649">
        <w:t xml:space="preserve">. </w:t>
      </w:r>
      <w:r w:rsidR="00C24649" w:rsidRPr="00C24649">
        <w:t>2021</w:t>
      </w:r>
      <w:r w:rsidR="00C24649">
        <w:t xml:space="preserve">), </w:t>
      </w:r>
      <w:r w:rsidRPr="007155EE">
        <w:t>https://consumer.ftc.gov/articles/what-know-about-identity-theft</w:t>
      </w:r>
      <w:r w:rsidR="006878FD">
        <w:t>.</w:t>
      </w:r>
    </w:p>
  </w:footnote>
  <w:footnote w:id="250">
    <w:p w14:paraId="2B53C009" w14:textId="4BF107D0" w:rsidR="00CD7DE1" w:rsidRDefault="00CD7DE1" w:rsidP="00CD7DE1">
      <w:pPr>
        <w:pStyle w:val="FootnoteText"/>
      </w:pPr>
      <w:r>
        <w:rPr>
          <w:rStyle w:val="FootnoteReference"/>
        </w:rPr>
        <w:footnoteRef/>
      </w:r>
      <w:r>
        <w:t xml:space="preserve"> </w:t>
      </w:r>
      <w:r w:rsidR="00D851C7" w:rsidRPr="00DE15AA">
        <w:rPr>
          <w:i/>
        </w:rPr>
        <w:t>See</w:t>
      </w:r>
      <w:r w:rsidR="00D851C7">
        <w:t xml:space="preserve"> </w:t>
      </w:r>
      <w:r w:rsidR="00D851C7" w:rsidRPr="00D851C7">
        <w:t>Sloane v. Equifax Info. Servs., LLC, 510 F.3d 495 (4th Cir. 2007)</w:t>
      </w:r>
      <w:r w:rsidR="00D851C7">
        <w:t>.</w:t>
      </w:r>
    </w:p>
  </w:footnote>
  <w:footnote w:id="251">
    <w:p w14:paraId="1F7C2254" w14:textId="78C595DE" w:rsidR="00CD7DE1" w:rsidRDefault="00CD7DE1" w:rsidP="00CD7DE1">
      <w:pPr>
        <w:pStyle w:val="FootnoteText"/>
      </w:pPr>
      <w:r>
        <w:rPr>
          <w:rStyle w:val="FootnoteReference"/>
        </w:rPr>
        <w:footnoteRef/>
      </w:r>
      <w:r>
        <w:t xml:space="preserve"> </w:t>
      </w:r>
      <w:r w:rsidRPr="00FE694B">
        <w:t>Khadeeja Safdar</w:t>
      </w:r>
      <w:r>
        <w:t xml:space="preserve">, </w:t>
      </w:r>
      <w:r w:rsidRPr="00470C93">
        <w:rPr>
          <w:i/>
          <w:iCs/>
        </w:rPr>
        <w:t>On Hold for 45 Minutes? It Might Be Your Secret Customer Score</w:t>
      </w:r>
      <w:r>
        <w:t xml:space="preserve">, </w:t>
      </w:r>
      <w:r w:rsidRPr="00470C93">
        <w:rPr>
          <w:smallCaps/>
        </w:rPr>
        <w:t>Wall St. J.</w:t>
      </w:r>
      <w:r>
        <w:t xml:space="preserve">  (</w:t>
      </w:r>
      <w:r w:rsidRPr="00FE694B">
        <w:t xml:space="preserve">Nov. 1, 2018 11:04 </w:t>
      </w:r>
      <w:r>
        <w:t xml:space="preserve">AM), </w:t>
      </w:r>
      <w:r w:rsidRPr="00470C93">
        <w:t>www.wsj.com/articles/on-hold-for-45-minutes-it-might-be-your-secret-customer-score-1541084656</w:t>
      </w:r>
      <w:r>
        <w:t>.</w:t>
      </w:r>
    </w:p>
  </w:footnote>
  <w:footnote w:id="252">
    <w:p w14:paraId="783DA6C3" w14:textId="367C2AD7" w:rsidR="00CD7DE1" w:rsidRDefault="00CD7DE1" w:rsidP="00CD7DE1">
      <w:pPr>
        <w:pStyle w:val="FootnoteText"/>
      </w:pPr>
      <w:r>
        <w:rPr>
          <w:rStyle w:val="FootnoteReference"/>
        </w:rPr>
        <w:footnoteRef/>
      </w:r>
      <w:r>
        <w:t xml:space="preserve"> </w:t>
      </w:r>
      <w:r w:rsidR="00950D30" w:rsidRPr="00C50A06">
        <w:rPr>
          <w:i/>
          <w:iCs/>
        </w:rPr>
        <w:t>Id.</w:t>
      </w:r>
    </w:p>
  </w:footnote>
  <w:footnote w:id="253">
    <w:p w14:paraId="70337428" w14:textId="5537D0AE" w:rsidR="00CD7DE1" w:rsidRDefault="00CD7DE1" w:rsidP="00CD7DE1">
      <w:pPr>
        <w:pStyle w:val="FootnoteText"/>
      </w:pPr>
      <w:r>
        <w:rPr>
          <w:rStyle w:val="FootnoteReference"/>
        </w:rPr>
        <w:footnoteRef/>
      </w:r>
      <w:r>
        <w:t xml:space="preserve"> </w:t>
      </w:r>
      <w:r w:rsidR="00843B0A" w:rsidRPr="00843B0A">
        <w:t>Kashmir Hill</w:t>
      </w:r>
      <w:r w:rsidR="00843B0A">
        <w:t xml:space="preserve">, </w:t>
      </w:r>
      <w:r w:rsidR="00843B0A" w:rsidRPr="00DE15AA">
        <w:rPr>
          <w:i/>
        </w:rPr>
        <w:t>I Got Access to My Secret Consumer Score. Now You Can Get Yours, Too.</w:t>
      </w:r>
      <w:r w:rsidR="00843B0A">
        <w:t xml:space="preserve">, </w:t>
      </w:r>
      <w:r w:rsidR="00843B0A" w:rsidRPr="00DE15AA">
        <w:rPr>
          <w:smallCaps/>
        </w:rPr>
        <w:t>N.Y. Times</w:t>
      </w:r>
      <w:r w:rsidR="00843B0A">
        <w:t xml:space="preserve"> (</w:t>
      </w:r>
      <w:r w:rsidR="00843B0A" w:rsidRPr="00843B0A">
        <w:t>Nov. 5, 2019</w:t>
      </w:r>
      <w:r w:rsidR="00843B0A">
        <w:t xml:space="preserve">), </w:t>
      </w:r>
      <w:r w:rsidRPr="00F37A25">
        <w:t>www.nytimes.com/2019/11/04/business/secret-consumer-score-access.html</w:t>
      </w:r>
      <w:r w:rsidR="00843B0A">
        <w:t>.</w:t>
      </w:r>
    </w:p>
  </w:footnote>
  <w:footnote w:id="254">
    <w:p w14:paraId="00FC2356" w14:textId="0B0E3605" w:rsidR="00CD7DE1" w:rsidRDefault="00CD7DE1" w:rsidP="000B0BC0">
      <w:pPr>
        <w:pStyle w:val="FootnoteText"/>
      </w:pPr>
      <w:r>
        <w:rPr>
          <w:rStyle w:val="FootnoteReference"/>
        </w:rPr>
        <w:footnoteRef/>
      </w:r>
      <w:r>
        <w:t xml:space="preserve"> </w:t>
      </w:r>
      <w:r w:rsidR="005D4407" w:rsidRPr="005D4407">
        <w:t>Michael P. Lynch</w:t>
      </w:r>
      <w:r w:rsidR="005D4407">
        <w:t xml:space="preserve">, </w:t>
      </w:r>
      <w:r w:rsidR="000B0BC0" w:rsidRPr="00DE15AA">
        <w:rPr>
          <w:i/>
        </w:rPr>
        <w:t>The Philosophy of Privacy: Why Surveillance Reduces Us to Objects</w:t>
      </w:r>
      <w:r w:rsidR="000B0BC0">
        <w:t xml:space="preserve">, </w:t>
      </w:r>
      <w:r w:rsidR="000B0BC0" w:rsidRPr="00DE15AA">
        <w:rPr>
          <w:smallCaps/>
        </w:rPr>
        <w:t>Guardian</w:t>
      </w:r>
      <w:r w:rsidR="000B0BC0">
        <w:t xml:space="preserve"> (</w:t>
      </w:r>
      <w:r w:rsidR="000B0BC0" w:rsidRPr="000B0BC0">
        <w:t>May</w:t>
      </w:r>
      <w:r w:rsidR="000B0BC0">
        <w:t xml:space="preserve"> 7,</w:t>
      </w:r>
      <w:r w:rsidR="000B0BC0" w:rsidRPr="000B0BC0">
        <w:t xml:space="preserve"> 2015 7</w:t>
      </w:r>
      <w:r w:rsidR="000B0BC0">
        <w:t>:</w:t>
      </w:r>
      <w:r w:rsidR="000B0BC0" w:rsidRPr="000B0BC0">
        <w:t>30</w:t>
      </w:r>
      <w:r w:rsidR="000B0BC0">
        <w:t xml:space="preserve"> AM), </w:t>
      </w:r>
      <w:r w:rsidRPr="004357D1">
        <w:t>www.theguardian.com/technology/2015/may/07/surveillance-privacy-philosophy-data-internet-things</w:t>
      </w:r>
      <w:r w:rsidR="005D4407">
        <w:t>.</w:t>
      </w:r>
    </w:p>
  </w:footnote>
  <w:footnote w:id="255">
    <w:p w14:paraId="63E45702" w14:textId="43098AEB" w:rsidR="00CD7DE1" w:rsidRDefault="00CD7DE1" w:rsidP="00CD7DE1">
      <w:pPr>
        <w:pStyle w:val="FootnoteText"/>
      </w:pPr>
      <w:r>
        <w:rPr>
          <w:rStyle w:val="FootnoteReference"/>
        </w:rPr>
        <w:footnoteRef/>
      </w:r>
      <w:r>
        <w:t xml:space="preserve"> </w:t>
      </w:r>
      <w:r w:rsidR="002E6FAE">
        <w:t xml:space="preserve">Citron </w:t>
      </w:r>
      <w:r w:rsidR="008F211C">
        <w:t xml:space="preserve">&amp; </w:t>
      </w:r>
      <w:r w:rsidR="002E6FAE">
        <w:t>Solove</w:t>
      </w:r>
      <w:r>
        <w:t xml:space="preserve">, </w:t>
      </w:r>
      <w:r w:rsidR="000B0BC0" w:rsidRPr="00DE15AA">
        <w:rPr>
          <w:i/>
        </w:rPr>
        <w:t>supra</w:t>
      </w:r>
      <w:r w:rsidR="000B0BC0">
        <w:t xml:space="preserve"> </w:t>
      </w:r>
      <w:r w:rsidR="00946DD3">
        <w:t xml:space="preserve">note </w:t>
      </w:r>
      <w:r w:rsidR="00946DD3">
        <w:fldChar w:fldCharType="begin"/>
      </w:r>
      <w:r w:rsidR="00946DD3">
        <w:instrText xml:space="preserve"> NOTEREF _Ref126696350 \h </w:instrText>
      </w:r>
      <w:r w:rsidR="00946DD3">
        <w:fldChar w:fldCharType="separate"/>
      </w:r>
      <w:r w:rsidR="00995C7E">
        <w:t>249</w:t>
      </w:r>
      <w:r w:rsidR="00946DD3">
        <w:fldChar w:fldCharType="end"/>
      </w:r>
      <w:r w:rsidR="000B0BC0">
        <w:t xml:space="preserve">, at </w:t>
      </w:r>
      <w:r w:rsidR="008F211C">
        <w:t>845.</w:t>
      </w:r>
      <w:r>
        <w:t xml:space="preserve"> </w:t>
      </w:r>
    </w:p>
  </w:footnote>
  <w:footnote w:id="256">
    <w:p w14:paraId="4FD9C040" w14:textId="77777777" w:rsidR="00CD7DE1" w:rsidRDefault="00CD7DE1" w:rsidP="00CD7DE1">
      <w:pPr>
        <w:pStyle w:val="FootnoteText"/>
      </w:pPr>
      <w:r>
        <w:rPr>
          <w:rStyle w:val="FootnoteReference"/>
        </w:rPr>
        <w:footnoteRef/>
      </w:r>
      <w:r>
        <w:t xml:space="preserve"> </w:t>
      </w:r>
      <w:r w:rsidRPr="00342DB5">
        <w:t xml:space="preserve">Ryan Calo, </w:t>
      </w:r>
      <w:r w:rsidRPr="00DE15AA">
        <w:rPr>
          <w:i/>
        </w:rPr>
        <w:t>Digital Market Manipulation</w:t>
      </w:r>
      <w:r w:rsidRPr="00342DB5">
        <w:t xml:space="preserve">, 82 </w:t>
      </w:r>
      <w:r w:rsidRPr="00DE15AA">
        <w:rPr>
          <w:smallCaps/>
        </w:rPr>
        <w:t>Geo. Wash. L. Rev.</w:t>
      </w:r>
      <w:r w:rsidRPr="00342DB5">
        <w:t xml:space="preserve"> 995, 1029 (2014).</w:t>
      </w:r>
    </w:p>
  </w:footnote>
  <w:footnote w:id="257">
    <w:p w14:paraId="6FB1258C" w14:textId="6AB71599" w:rsidR="00CD7DE1" w:rsidRDefault="00CD7DE1" w:rsidP="00CD7DE1">
      <w:pPr>
        <w:pStyle w:val="FootnoteText"/>
      </w:pPr>
      <w:r>
        <w:rPr>
          <w:rStyle w:val="FootnoteReference"/>
        </w:rPr>
        <w:footnoteRef/>
      </w:r>
      <w:r>
        <w:t xml:space="preserve"> </w:t>
      </w:r>
      <w:r w:rsidR="00C919A3" w:rsidRPr="00DE15AA">
        <w:rPr>
          <w:i/>
        </w:rPr>
        <w:t>See generally</w:t>
      </w:r>
      <w:r w:rsidR="00C919A3">
        <w:t xml:space="preserve"> </w:t>
      </w:r>
      <w:r w:rsidRPr="00DE15AA">
        <w:rPr>
          <w:smallCaps/>
        </w:rPr>
        <w:t>Khiara Bridges</w:t>
      </w:r>
      <w:r>
        <w:t xml:space="preserve">, </w:t>
      </w:r>
      <w:r w:rsidRPr="00DE15AA">
        <w:rPr>
          <w:smallCaps/>
        </w:rPr>
        <w:t>The Poverty of Privacy Rights</w:t>
      </w:r>
      <w:r w:rsidR="004F6A02">
        <w:rPr>
          <w:smallCaps/>
        </w:rPr>
        <w:t xml:space="preserve"> (2017)</w:t>
      </w:r>
      <w:r w:rsidR="001F6B9D">
        <w:rPr>
          <w:smallCaps/>
        </w:rPr>
        <w:t xml:space="preserve"> (</w:t>
      </w:r>
      <w:r w:rsidR="0029796D" w:rsidRPr="0029796D">
        <w:t>investigating</w:t>
      </w:r>
      <w:r w:rsidR="00CE39B2" w:rsidRPr="00DE15AA">
        <w:t xml:space="preserve"> how poor mothers receive </w:t>
      </w:r>
      <w:r w:rsidR="0029796D" w:rsidRPr="0029796D">
        <w:t>reduced</w:t>
      </w:r>
      <w:r w:rsidR="00CE39B2" w:rsidRPr="00DE15AA">
        <w:t xml:space="preserve"> expectations of privacy</w:t>
      </w:r>
      <w:r w:rsidR="001F6B9D">
        <w:rPr>
          <w:smallCaps/>
        </w:rPr>
        <w:t>)</w:t>
      </w:r>
      <w:r w:rsidR="00C919A3">
        <w:t>;</w:t>
      </w:r>
      <w:r>
        <w:t xml:space="preserve"> </w:t>
      </w:r>
      <w:r w:rsidR="00C919A3" w:rsidRPr="00DE15AA">
        <w:rPr>
          <w:smallCaps/>
        </w:rPr>
        <w:t xml:space="preserve">Danielle Keats </w:t>
      </w:r>
      <w:r w:rsidRPr="00DE15AA">
        <w:rPr>
          <w:smallCaps/>
        </w:rPr>
        <w:t>Citron</w:t>
      </w:r>
      <w:r>
        <w:t xml:space="preserve">, </w:t>
      </w:r>
      <w:r w:rsidRPr="00DE15AA">
        <w:rPr>
          <w:smallCaps/>
        </w:rPr>
        <w:t>The Fight for Privacy</w:t>
      </w:r>
      <w:r w:rsidR="000B1BFC">
        <w:rPr>
          <w:smallCaps/>
        </w:rPr>
        <w:t xml:space="preserve"> (2022)</w:t>
      </w:r>
      <w:r w:rsidR="001F6B9D">
        <w:rPr>
          <w:smallCaps/>
        </w:rPr>
        <w:t xml:space="preserve"> (</w:t>
      </w:r>
      <w:r w:rsidR="000673F5" w:rsidRPr="00DE15AA">
        <w:t>arguing for intimate privacy as a civil right</w:t>
      </w:r>
      <w:r w:rsidR="001F6B9D">
        <w:rPr>
          <w:smallCaps/>
        </w:rPr>
        <w:t>)</w:t>
      </w:r>
      <w:r w:rsidR="00946DD3">
        <w:t>.</w:t>
      </w:r>
    </w:p>
  </w:footnote>
  <w:footnote w:id="258">
    <w:p w14:paraId="79FA64F1" w14:textId="019EB692" w:rsidR="00CD7DE1" w:rsidRDefault="00CD7DE1" w:rsidP="00CD7DE1">
      <w:pPr>
        <w:pStyle w:val="FootnoteText"/>
      </w:pPr>
      <w:r>
        <w:rPr>
          <w:rStyle w:val="FootnoteReference"/>
        </w:rPr>
        <w:footnoteRef/>
      </w:r>
      <w:r>
        <w:t xml:space="preserve"> </w:t>
      </w:r>
      <w:r w:rsidRPr="00DE15AA">
        <w:rPr>
          <w:i/>
          <w:iCs/>
        </w:rPr>
        <w:t>S</w:t>
      </w:r>
      <w:r w:rsidR="00F34664" w:rsidRPr="00DE15AA">
        <w:rPr>
          <w:i/>
          <w:iCs/>
        </w:rPr>
        <w:t>ee</w:t>
      </w:r>
      <w:r>
        <w:t xml:space="preserve"> </w:t>
      </w:r>
      <w:r w:rsidR="00075715" w:rsidRPr="00DE15AA">
        <w:rPr>
          <w:smallCaps/>
        </w:rPr>
        <w:t>Scott Skinner-Thompson</w:t>
      </w:r>
      <w:r w:rsidR="00075715">
        <w:t xml:space="preserve">, </w:t>
      </w:r>
      <w:r w:rsidR="00075715" w:rsidRPr="00DE15AA">
        <w:rPr>
          <w:smallCaps/>
        </w:rPr>
        <w:t>Privacy at the Margins</w:t>
      </w:r>
      <w:r w:rsidR="00075715">
        <w:t xml:space="preserve"> (2020) (exploring how a lack of privacy protections leaves minority communities more vulnerable)</w:t>
      </w:r>
      <w:r w:rsidR="00B62334">
        <w:t>.</w:t>
      </w:r>
    </w:p>
  </w:footnote>
  <w:footnote w:id="259">
    <w:p w14:paraId="15FF5FC6" w14:textId="5DF06CF6" w:rsidR="00CD7DE1" w:rsidRDefault="00CD7DE1" w:rsidP="00CD7DE1">
      <w:pPr>
        <w:pStyle w:val="FootnoteText"/>
      </w:pPr>
      <w:r>
        <w:rPr>
          <w:rStyle w:val="FootnoteReference"/>
        </w:rPr>
        <w:footnoteRef/>
      </w:r>
      <w:r>
        <w:t xml:space="preserve"> </w:t>
      </w:r>
      <w:r w:rsidRPr="004F186C">
        <w:t xml:space="preserve">Alvaro M. Bedoya, </w:t>
      </w:r>
      <w:r w:rsidRPr="00DE15AA">
        <w:rPr>
          <w:i/>
        </w:rPr>
        <w:t>Privacy as Civil Right</w:t>
      </w:r>
      <w:r w:rsidRPr="004F186C">
        <w:t xml:space="preserve">, 50 </w:t>
      </w:r>
      <w:r w:rsidRPr="00DE15AA">
        <w:rPr>
          <w:smallCaps/>
        </w:rPr>
        <w:t>N.M. L. R</w:t>
      </w:r>
      <w:r w:rsidR="001F4D41" w:rsidRPr="00DE15AA">
        <w:rPr>
          <w:smallCaps/>
        </w:rPr>
        <w:t>ev</w:t>
      </w:r>
      <w:r w:rsidRPr="00DE15AA">
        <w:rPr>
          <w:smallCaps/>
        </w:rPr>
        <w:t>.</w:t>
      </w:r>
      <w:r w:rsidRPr="004F186C">
        <w:t xml:space="preserve"> 301, 306 (2020).</w:t>
      </w:r>
    </w:p>
  </w:footnote>
  <w:footnote w:id="260">
    <w:p w14:paraId="0109E9E7" w14:textId="421CE888" w:rsidR="00CD7DE1" w:rsidRDefault="00CD7DE1" w:rsidP="00CD7DE1">
      <w:pPr>
        <w:pStyle w:val="FootnoteText"/>
      </w:pPr>
      <w:r>
        <w:rPr>
          <w:rStyle w:val="FootnoteReference"/>
        </w:rPr>
        <w:footnoteRef/>
      </w:r>
      <w:r>
        <w:t xml:space="preserve"> </w:t>
      </w:r>
      <w:r w:rsidR="001F4D41" w:rsidRPr="00DE15AA">
        <w:rPr>
          <w:i/>
          <w:iCs/>
        </w:rPr>
        <w:t>See</w:t>
      </w:r>
      <w:r w:rsidR="001F4D41">
        <w:t xml:space="preserve"> </w:t>
      </w:r>
      <w:r w:rsidR="001F4D41" w:rsidRPr="00DE15AA">
        <w:rPr>
          <w:smallCaps/>
        </w:rPr>
        <w:t>Bridges</w:t>
      </w:r>
      <w:r w:rsidR="001F4D41">
        <w:t xml:space="preserve">, </w:t>
      </w:r>
      <w:r w:rsidR="001F4D41" w:rsidRPr="00DE15AA">
        <w:rPr>
          <w:i/>
        </w:rPr>
        <w:t>supra</w:t>
      </w:r>
      <w:r w:rsidR="001F4D41">
        <w:t xml:space="preserve"> note</w:t>
      </w:r>
      <w:r w:rsidR="00946DD3">
        <w:t xml:space="preserve"> </w:t>
      </w:r>
      <w:r w:rsidR="00DF0915">
        <w:fldChar w:fldCharType="begin"/>
      </w:r>
      <w:r w:rsidR="00DF0915">
        <w:instrText xml:space="preserve"> NOTEREF _Ref126697113 \h </w:instrText>
      </w:r>
      <w:r w:rsidR="00DF0915">
        <w:fldChar w:fldCharType="separate"/>
      </w:r>
      <w:r w:rsidR="00995C7E">
        <w:t>259</w:t>
      </w:r>
      <w:r w:rsidR="00DF0915">
        <w:fldChar w:fldCharType="end"/>
      </w:r>
      <w:r w:rsidR="001F4D41">
        <w:t>, at</w:t>
      </w:r>
      <w:r w:rsidRPr="00D1675A">
        <w:t xml:space="preserve"> 12</w:t>
      </w:r>
      <w:r w:rsidR="001F4D41">
        <w:t>.</w:t>
      </w:r>
    </w:p>
  </w:footnote>
  <w:footnote w:id="261">
    <w:p w14:paraId="745EF485" w14:textId="4523B28D" w:rsidR="00CD7DE1" w:rsidRDefault="00CD7DE1" w:rsidP="00CD7DE1">
      <w:pPr>
        <w:pStyle w:val="FootnoteText"/>
      </w:pPr>
      <w:r>
        <w:rPr>
          <w:rStyle w:val="FootnoteReference"/>
        </w:rPr>
        <w:footnoteRef/>
      </w:r>
      <w:r>
        <w:t xml:space="preserve"> </w:t>
      </w:r>
      <w:r w:rsidRPr="007E3B27">
        <w:t xml:space="preserve">Mary Anne Franks, </w:t>
      </w:r>
      <w:r w:rsidRPr="00DE15AA">
        <w:rPr>
          <w:i/>
        </w:rPr>
        <w:t>Democratic Surveillance</w:t>
      </w:r>
      <w:r w:rsidRPr="007E3B27">
        <w:t xml:space="preserve">, 30 </w:t>
      </w:r>
      <w:r w:rsidRPr="00DE15AA">
        <w:rPr>
          <w:smallCaps/>
        </w:rPr>
        <w:t>H</w:t>
      </w:r>
      <w:r w:rsidR="001F4D41" w:rsidRPr="00DE15AA">
        <w:rPr>
          <w:smallCaps/>
        </w:rPr>
        <w:t>arv</w:t>
      </w:r>
      <w:r w:rsidRPr="00DE15AA">
        <w:rPr>
          <w:smallCaps/>
        </w:rPr>
        <w:t>. J.L. &amp; T</w:t>
      </w:r>
      <w:r w:rsidR="001F4D41" w:rsidRPr="00DE15AA">
        <w:rPr>
          <w:smallCaps/>
        </w:rPr>
        <w:t>ech</w:t>
      </w:r>
      <w:r w:rsidRPr="00DE15AA">
        <w:rPr>
          <w:smallCaps/>
        </w:rPr>
        <w:t>.</w:t>
      </w:r>
      <w:r w:rsidRPr="007E3B27">
        <w:t xml:space="preserve"> 425, 453 (2017)</w:t>
      </w:r>
      <w:r>
        <w:t>.</w:t>
      </w:r>
    </w:p>
  </w:footnote>
  <w:footnote w:id="262">
    <w:p w14:paraId="679DF03E" w14:textId="68F47E9A" w:rsidR="004A0580" w:rsidRDefault="004A0580">
      <w:pPr>
        <w:pStyle w:val="FootnoteText"/>
      </w:pPr>
      <w:r>
        <w:rPr>
          <w:rStyle w:val="FootnoteReference"/>
        </w:rPr>
        <w:footnoteRef/>
      </w:r>
      <w:r>
        <w:t xml:space="preserve"> </w:t>
      </w:r>
      <w:r w:rsidR="00AD1423" w:rsidRPr="00D82998">
        <w:rPr>
          <w:i/>
          <w:iCs/>
        </w:rPr>
        <w:t>See, e.g.</w:t>
      </w:r>
      <w:r w:rsidR="00AD1423" w:rsidRPr="00D82998">
        <w:t xml:space="preserve">, Lan Ha, Timothy Graham &amp; Joanne Gray, </w:t>
      </w:r>
      <w:r w:rsidR="00AD1423" w:rsidRPr="00D82998">
        <w:rPr>
          <w:i/>
          <w:iCs/>
        </w:rPr>
        <w:t>Where Conspiracy Theories Flourish: A Study of YouTube Comments and Bill Gates Conspiracy Theories</w:t>
      </w:r>
      <w:r w:rsidR="00AD1423" w:rsidRPr="00D82998">
        <w:t xml:space="preserve">, </w:t>
      </w:r>
      <w:r w:rsidR="00527349" w:rsidRPr="00D82998">
        <w:t xml:space="preserve">3 </w:t>
      </w:r>
      <w:r w:rsidR="00AD1423" w:rsidRPr="00DE15AA">
        <w:rPr>
          <w:smallCaps/>
        </w:rPr>
        <w:t>Harv</w:t>
      </w:r>
      <w:r w:rsidR="00527349" w:rsidRPr="00D82998">
        <w:rPr>
          <w:smallCaps/>
        </w:rPr>
        <w:t>.</w:t>
      </w:r>
      <w:r w:rsidR="00AD1423" w:rsidRPr="00DE15AA">
        <w:rPr>
          <w:smallCaps/>
        </w:rPr>
        <w:t xml:space="preserve"> Kennedy </w:t>
      </w:r>
      <w:r w:rsidR="00527349" w:rsidRPr="00DE15AA">
        <w:rPr>
          <w:smallCaps/>
        </w:rPr>
        <w:t>Sch.</w:t>
      </w:r>
      <w:r w:rsidR="00AD1423" w:rsidRPr="00DE15AA">
        <w:rPr>
          <w:smallCaps/>
        </w:rPr>
        <w:t xml:space="preserve"> Misinformation </w:t>
      </w:r>
      <w:r w:rsidR="00527349" w:rsidRPr="00DE15AA">
        <w:rPr>
          <w:smallCaps/>
        </w:rPr>
        <w:t>Rev.</w:t>
      </w:r>
      <w:r w:rsidR="00AD1423" w:rsidRPr="00D82998">
        <w:t xml:space="preserve"> </w:t>
      </w:r>
      <w:r w:rsidR="00527349" w:rsidRPr="00D82998">
        <w:t xml:space="preserve">1, 2 </w:t>
      </w:r>
      <w:r w:rsidR="00AD1423" w:rsidRPr="00D82998">
        <w:t xml:space="preserve">(2022), https://misinforeview.hks.harvard.edu/article/where-conspiracy-theories-flourish-a-study-of-youtube-comments-and-bill-gates-conspiracy-theories; Peter Suciu, </w:t>
      </w:r>
      <w:r w:rsidR="00AD1423" w:rsidRPr="00D82998">
        <w:rPr>
          <w:i/>
          <w:iCs/>
        </w:rPr>
        <w:t>Social Media Remains a Source for News and a Breeding Ground for Pandemic Conspiracies</w:t>
      </w:r>
      <w:r w:rsidR="00AD1423" w:rsidRPr="00D82998">
        <w:t xml:space="preserve">, </w:t>
      </w:r>
      <w:r w:rsidR="00AD1423" w:rsidRPr="00DE15AA">
        <w:rPr>
          <w:smallCaps/>
        </w:rPr>
        <w:t>Forbes</w:t>
      </w:r>
      <w:r w:rsidR="00AD1423" w:rsidRPr="00D82998">
        <w:t xml:space="preserve"> (Sept. 3, 2021), https://www.forbes.com/sites/petersuciu/2021/09/03/social-media-remains-a-source-for-news-and-a-breeding-ground-for-pandemic-conspiracies (“</w:t>
      </w:r>
      <w:r w:rsidR="00AD1423" w:rsidRPr="00DE15AA">
        <w:rPr>
          <w:szCs w:val="20"/>
          <w:shd w:val="clear" w:color="auto" w:fill="FCFCFC"/>
        </w:rPr>
        <w:t>The spread of misinformation and even disinformation via social media isn't limited to Covid-19, and for years the platforms have been used as a way to share and disseminate all sorts of information–much of it wrong or in other times misleading.”).</w:t>
      </w:r>
    </w:p>
  </w:footnote>
  <w:footnote w:id="263">
    <w:p w14:paraId="1AC6BE2D" w14:textId="06A9DA73" w:rsidR="004A0580" w:rsidRDefault="004A0580">
      <w:pPr>
        <w:pStyle w:val="FootnoteText"/>
      </w:pPr>
      <w:r>
        <w:rPr>
          <w:rStyle w:val="FootnoteReference"/>
        </w:rPr>
        <w:footnoteRef/>
      </w:r>
      <w:r>
        <w:t xml:space="preserve"> </w:t>
      </w:r>
      <w:r w:rsidR="00AD1423">
        <w:rPr>
          <w:i/>
          <w:iCs/>
        </w:rPr>
        <w:t>See, e.g.</w:t>
      </w:r>
      <w:r w:rsidR="00AD1423">
        <w:t xml:space="preserve">, Jack Stubbs, </w:t>
      </w:r>
      <w:r w:rsidR="00AD1423">
        <w:rPr>
          <w:i/>
          <w:iCs/>
        </w:rPr>
        <w:t xml:space="preserve">Facebook Says Russian Influence Campaign Targeted Left-Wing Voters in U.S., </w:t>
      </w:r>
      <w:r w:rsidR="00AD1423" w:rsidRPr="00BC37A2">
        <w:rPr>
          <w:i/>
          <w:iCs/>
        </w:rPr>
        <w:t>UK</w:t>
      </w:r>
      <w:r w:rsidR="00AD1423">
        <w:t xml:space="preserve">, </w:t>
      </w:r>
      <w:r w:rsidR="00AD1423" w:rsidRPr="00C971C3">
        <w:rPr>
          <w:smallCaps/>
        </w:rPr>
        <w:t>Reuters</w:t>
      </w:r>
      <w:r w:rsidR="00AD1423">
        <w:t xml:space="preserve"> (Sept. 15, 2020), </w:t>
      </w:r>
      <w:r w:rsidR="00AD1423" w:rsidRPr="00C971C3">
        <w:t>https://www.reuters.com/article/usa-election-facebook-russia/facebook-says-russian-influence-campaign-targeted-left-wing-voters-in-u-s-uk-idUSKBN25S5UC</w:t>
      </w:r>
      <w:r w:rsidR="00AD1423">
        <w:t xml:space="preserve"> (reporting that a “Russian influence operation posed as an independent news agency to target left-wing voters in the United States and Britain,” including in the period leading up to the 2020 U.S. presidential election)</w:t>
      </w:r>
      <w:r w:rsidR="00527349">
        <w:t>.</w:t>
      </w:r>
      <w:r w:rsidR="00AD1423">
        <w:t xml:space="preserve"> </w:t>
      </w:r>
      <w:r w:rsidR="00AD1423">
        <w:rPr>
          <w:i/>
          <w:iCs/>
        </w:rPr>
        <w:t xml:space="preserve">See also </w:t>
      </w:r>
      <w:r w:rsidR="00AD1423" w:rsidRPr="00155EC6">
        <w:t>Shannon</w:t>
      </w:r>
      <w:r w:rsidR="00AD1423">
        <w:t xml:space="preserve"> Bond, </w:t>
      </w:r>
      <w:r w:rsidR="00AD1423">
        <w:rPr>
          <w:i/>
          <w:iCs/>
        </w:rPr>
        <w:t xml:space="preserve">A Pro-Russian Social Media Campaign </w:t>
      </w:r>
      <w:r w:rsidR="00527349">
        <w:rPr>
          <w:i/>
          <w:iCs/>
        </w:rPr>
        <w:t>I</w:t>
      </w:r>
      <w:r w:rsidR="00AD1423">
        <w:rPr>
          <w:i/>
          <w:iCs/>
        </w:rPr>
        <w:t>s Trying to Influence Politics in Africa</w:t>
      </w:r>
      <w:r w:rsidR="00AD1423">
        <w:t xml:space="preserve">, </w:t>
      </w:r>
      <w:r w:rsidR="00DA5830">
        <w:rPr>
          <w:smallCaps/>
        </w:rPr>
        <w:t>NPR</w:t>
      </w:r>
      <w:r w:rsidR="00AD1423">
        <w:t xml:space="preserve"> (Feb. 1, 2023), </w:t>
      </w:r>
      <w:r w:rsidR="00AD1423" w:rsidRPr="00455B12">
        <w:t>https://www.npr.org/2023/02/01/1152899845/a-pro-russian-social-media-campaign-is-trying-to-influence-politics-in-africa</w:t>
      </w:r>
      <w:r w:rsidR="00AD1423">
        <w:t>.</w:t>
      </w:r>
    </w:p>
  </w:footnote>
  <w:footnote w:id="264">
    <w:p w14:paraId="0A6E3839" w14:textId="6A080F32" w:rsidR="007A1B91" w:rsidRPr="009E13FC" w:rsidRDefault="007A1B91" w:rsidP="007A1B91">
      <w:pPr>
        <w:pStyle w:val="FootnoteText"/>
      </w:pPr>
      <w:r>
        <w:rPr>
          <w:rStyle w:val="FootnoteReference"/>
        </w:rPr>
        <w:footnoteRef/>
      </w:r>
      <w:r>
        <w:t xml:space="preserve"> </w:t>
      </w:r>
      <w:r>
        <w:rPr>
          <w:i/>
          <w:iCs/>
        </w:rPr>
        <w:t xml:space="preserve">See Russia ‘Meddled in All Big Social Media’ </w:t>
      </w:r>
      <w:r w:rsidR="00E83A5C">
        <w:rPr>
          <w:i/>
          <w:iCs/>
        </w:rPr>
        <w:t>A</w:t>
      </w:r>
      <w:r>
        <w:rPr>
          <w:i/>
          <w:iCs/>
        </w:rPr>
        <w:t>round US Election</w:t>
      </w:r>
      <w:r>
        <w:t xml:space="preserve">, </w:t>
      </w:r>
      <w:r w:rsidR="00DA5830">
        <w:rPr>
          <w:smallCaps/>
        </w:rPr>
        <w:t>BBC</w:t>
      </w:r>
      <w:r>
        <w:t xml:space="preserve"> (Dec. 17, 2018), </w:t>
      </w:r>
      <w:r w:rsidR="00343635" w:rsidRPr="00C50A06">
        <w:t>https://www.bbc.com/news/technology-46590890</w:t>
      </w:r>
      <w:r>
        <w:t xml:space="preserve"> (describing expert report concluding that “Russia used every social media platform to try to influence the 2016 US election</w:t>
      </w:r>
      <w:r w:rsidR="00C302C8">
        <w:t xml:space="preserve">” </w:t>
      </w:r>
      <w:r>
        <w:t xml:space="preserve">and to “‘benefit the Republican Party – and specifically Donald Trump’”).  </w:t>
      </w:r>
    </w:p>
  </w:footnote>
  <w:footnote w:id="265">
    <w:p w14:paraId="416F89F8" w14:textId="62367B36" w:rsidR="007A1B91" w:rsidRDefault="007A1B91" w:rsidP="007A1B91">
      <w:pPr>
        <w:pStyle w:val="FootnoteText"/>
      </w:pPr>
      <w:r>
        <w:rPr>
          <w:rStyle w:val="FootnoteReference"/>
        </w:rPr>
        <w:footnoteRef/>
      </w:r>
      <w:r>
        <w:t xml:space="preserve"> </w:t>
      </w:r>
      <w:r w:rsidRPr="00D50F7F">
        <w:rPr>
          <w:smallCaps/>
        </w:rPr>
        <w:t>Report of the Select Committee on Intelligence, United States Senate, on Russian Active Measures Campaigns and Interference in the 2016 U.S. Election. Vol. 2 Russia’s Use of Social Media with Additional Views</w:t>
      </w:r>
      <w:r>
        <w:t xml:space="preserve"> 4.</w:t>
      </w:r>
    </w:p>
  </w:footnote>
  <w:footnote w:id="266">
    <w:p w14:paraId="6F0CCFD3" w14:textId="77777777" w:rsidR="007A1B91" w:rsidRDefault="007A1B91" w:rsidP="007A1B91">
      <w:pPr>
        <w:pStyle w:val="FootnoteText"/>
      </w:pPr>
      <w:r>
        <w:rPr>
          <w:rStyle w:val="FootnoteReference"/>
        </w:rPr>
        <w:footnoteRef/>
      </w:r>
      <w:r>
        <w:t xml:space="preserve"> </w:t>
      </w:r>
      <w:r w:rsidR="00527349">
        <w:t>Press Release,</w:t>
      </w:r>
      <w:r>
        <w:t xml:space="preserve"> Senate Intel</w:t>
      </w:r>
      <w:r w:rsidR="00527349">
        <w:t>.</w:t>
      </w:r>
      <w:r>
        <w:t xml:space="preserve"> Committee Releases Bipartisan Report on Russia’s Use of Social Media (Oct. 18, 2019), </w:t>
      </w:r>
      <w:r w:rsidRPr="00F31FF6">
        <w:t>https://www.intelligence.senate.gov/press/senate-intel-committee-releases-bipartisan-report-russia%E2%80%99s-use-social-media</w:t>
      </w:r>
      <w:r>
        <w:t>.</w:t>
      </w:r>
    </w:p>
  </w:footnote>
  <w:footnote w:id="267">
    <w:p w14:paraId="71612140" w14:textId="10CC1ED4" w:rsidR="00847EB2" w:rsidRDefault="00847EB2">
      <w:pPr>
        <w:pStyle w:val="FootnoteText"/>
      </w:pPr>
      <w:r>
        <w:rPr>
          <w:rStyle w:val="FootnoteReference"/>
        </w:rPr>
        <w:footnoteRef/>
      </w:r>
      <w:r>
        <w:t xml:space="preserve"> </w:t>
      </w:r>
      <w:r w:rsidR="00AD1423">
        <w:rPr>
          <w:i/>
          <w:iCs/>
        </w:rPr>
        <w:t>See, e.g.</w:t>
      </w:r>
      <w:r w:rsidR="00AD1423">
        <w:t xml:space="preserve">, Roger McNamee, </w:t>
      </w:r>
      <w:r w:rsidR="00AD1423">
        <w:rPr>
          <w:i/>
          <w:iCs/>
        </w:rPr>
        <w:t xml:space="preserve">Social Media Platforms Claim Moderation </w:t>
      </w:r>
      <w:r w:rsidR="00D82998">
        <w:rPr>
          <w:i/>
          <w:iCs/>
        </w:rPr>
        <w:t>W</w:t>
      </w:r>
      <w:r w:rsidR="00AD1423">
        <w:rPr>
          <w:i/>
          <w:iCs/>
        </w:rPr>
        <w:t xml:space="preserve">ill Reduce Harassment, Disinformation and Conspiracies. It Won’t, </w:t>
      </w:r>
      <w:r w:rsidR="00AD1423" w:rsidRPr="00C971C3">
        <w:rPr>
          <w:smallCaps/>
        </w:rPr>
        <w:t>Time</w:t>
      </w:r>
      <w:r w:rsidR="00AD1423">
        <w:t xml:space="preserve"> (June 24, 2020), </w:t>
      </w:r>
      <w:r w:rsidR="00AD1423" w:rsidRPr="00C971C3">
        <w:t>https://time.com/5855733/social-media-platforms-claim-moderation-will-reduce-harassment-disinformation-and-conspiracies-it-wont</w:t>
      </w:r>
      <w:r w:rsidR="00AD1423">
        <w:t xml:space="preserve"> (arguing that content moderation is insufficient to “reduce the harm from targeted harassment, disinformation, and conspiracies” on Internet platforms).</w:t>
      </w:r>
    </w:p>
  </w:footnote>
  <w:footnote w:id="268">
    <w:p w14:paraId="783C8EF8" w14:textId="6F4CC717" w:rsidR="00847EB2" w:rsidRDefault="00847EB2">
      <w:pPr>
        <w:pStyle w:val="FootnoteText"/>
      </w:pPr>
      <w:r>
        <w:rPr>
          <w:rStyle w:val="FootnoteReference"/>
        </w:rPr>
        <w:footnoteRef/>
      </w:r>
      <w:r>
        <w:t xml:space="preserve"> </w:t>
      </w:r>
      <w:r w:rsidR="00AD1423">
        <w:rPr>
          <w:i/>
          <w:iCs/>
        </w:rPr>
        <w:t xml:space="preserve">See </w:t>
      </w:r>
      <w:r w:rsidR="00AD1423">
        <w:t xml:space="preserve">Talha Burki, </w:t>
      </w:r>
      <w:r w:rsidR="00AD1423">
        <w:rPr>
          <w:i/>
          <w:iCs/>
        </w:rPr>
        <w:t>Vaccine Misinformation and Social Media</w:t>
      </w:r>
      <w:r w:rsidR="00AD1423">
        <w:t xml:space="preserve">, 1 </w:t>
      </w:r>
      <w:r w:rsidR="00AD1423" w:rsidRPr="00C971C3">
        <w:rPr>
          <w:smallCaps/>
        </w:rPr>
        <w:t>Lancet</w:t>
      </w:r>
      <w:r w:rsidR="00AD1423">
        <w:rPr>
          <w:smallCaps/>
        </w:rPr>
        <w:t xml:space="preserve"> Digit</w:t>
      </w:r>
      <w:r w:rsidR="00527349">
        <w:rPr>
          <w:smallCaps/>
        </w:rPr>
        <w:t>.</w:t>
      </w:r>
      <w:r w:rsidR="00AD1423">
        <w:rPr>
          <w:smallCaps/>
        </w:rPr>
        <w:t xml:space="preserve"> Health e258, e258 </w:t>
      </w:r>
      <w:r w:rsidR="00AD1423">
        <w:t xml:space="preserve">(2019) (“[T]he advent of social media has offered an unprecedented opportunity to amplify and spread antivaccination messages.”); Molly Wood &amp; Kristin Schwab, </w:t>
      </w:r>
      <w:r w:rsidR="00AD1423">
        <w:rPr>
          <w:i/>
          <w:iCs/>
        </w:rPr>
        <w:t>How Social Media Exacerbates the Racial Divide</w:t>
      </w:r>
      <w:r w:rsidR="00AD1423">
        <w:t xml:space="preserve">, </w:t>
      </w:r>
      <w:r w:rsidR="00AD1423" w:rsidRPr="00C971C3">
        <w:rPr>
          <w:smallCaps/>
        </w:rPr>
        <w:t>Marketplace</w:t>
      </w:r>
      <w:r w:rsidR="00AD1423">
        <w:t xml:space="preserve"> (Nov. 1, 2017), </w:t>
      </w:r>
      <w:r w:rsidR="00AD1423" w:rsidRPr="00C971C3">
        <w:t>https://www.marketplace.org/2017/11/01/how-social-media-propaganda-exacerbates-racial-divide</w:t>
      </w:r>
      <w:r w:rsidR="00AD1423">
        <w:t xml:space="preserve"> (observing that “misinformation on social media has been aimed at creating division and unrest, especially around race” and reporting that “fake Facebook accounts created by Russian operatives encouraged violence against Black Lives Matter protesters”).</w:t>
      </w:r>
    </w:p>
  </w:footnote>
  <w:footnote w:id="269">
    <w:p w14:paraId="59FDFC80" w14:textId="56ED52E0" w:rsidR="0066327A" w:rsidRDefault="0066327A">
      <w:pPr>
        <w:pStyle w:val="FootnoteText"/>
      </w:pPr>
      <w:r>
        <w:rPr>
          <w:rStyle w:val="FootnoteReference"/>
        </w:rPr>
        <w:footnoteRef/>
      </w:r>
      <w:r>
        <w:t xml:space="preserve"> </w:t>
      </w:r>
      <w:r w:rsidR="00AD1423" w:rsidRPr="00D50F7F">
        <w:rPr>
          <w:rStyle w:val="Emphasis"/>
          <w:szCs w:val="20"/>
          <w:bdr w:val="none" w:sz="0" w:space="0" w:color="auto" w:frame="1"/>
          <w:shd w:val="clear" w:color="auto" w:fill="FFFFFF"/>
        </w:rPr>
        <w:t>See</w:t>
      </w:r>
      <w:r w:rsidR="006B6504" w:rsidRPr="00D50F7F">
        <w:rPr>
          <w:szCs w:val="20"/>
          <w:shd w:val="clear" w:color="auto" w:fill="FFFFFF"/>
        </w:rPr>
        <w:t xml:space="preserve"> </w:t>
      </w:r>
      <w:r w:rsidR="00AD1423" w:rsidRPr="00D50F7F">
        <w:rPr>
          <w:szCs w:val="20"/>
          <w:shd w:val="clear" w:color="auto" w:fill="FFFFFF"/>
        </w:rPr>
        <w:t>Eric Budish, Peter Cramton &amp; John Shim,</w:t>
      </w:r>
      <w:r w:rsidR="006B6504" w:rsidRPr="00D50F7F">
        <w:rPr>
          <w:szCs w:val="20"/>
          <w:shd w:val="clear" w:color="auto" w:fill="FFFFFF"/>
        </w:rPr>
        <w:t xml:space="preserve"> </w:t>
      </w:r>
      <w:r w:rsidR="00AD1423" w:rsidRPr="00D50F7F">
        <w:rPr>
          <w:rStyle w:val="Emphasis"/>
          <w:szCs w:val="20"/>
          <w:bdr w:val="none" w:sz="0" w:space="0" w:color="auto" w:frame="1"/>
          <w:shd w:val="clear" w:color="auto" w:fill="FFFFFF"/>
        </w:rPr>
        <w:t>The High-Frequency Trading Arms Race: Frequent Batch Auctions as a Market Design Response</w:t>
      </w:r>
      <w:r w:rsidR="00AD1423" w:rsidRPr="00D50F7F">
        <w:rPr>
          <w:szCs w:val="20"/>
          <w:shd w:val="clear" w:color="auto" w:fill="FFFFFF"/>
        </w:rPr>
        <w:t>, 130</w:t>
      </w:r>
      <w:r w:rsidR="006B6504" w:rsidRPr="00D50F7F">
        <w:rPr>
          <w:szCs w:val="20"/>
          <w:shd w:val="clear" w:color="auto" w:fill="FFFFFF"/>
        </w:rPr>
        <w:t xml:space="preserve"> </w:t>
      </w:r>
      <w:r w:rsidR="00AD1423" w:rsidRPr="00D50F7F">
        <w:rPr>
          <w:rStyle w:val="cosmallcaps"/>
          <w:smallCaps/>
          <w:szCs w:val="20"/>
          <w:bdr w:val="none" w:sz="0" w:space="0" w:color="auto" w:frame="1"/>
          <w:shd w:val="clear" w:color="auto" w:fill="FFFFFF"/>
        </w:rPr>
        <w:t xml:space="preserve">Q.J. </w:t>
      </w:r>
      <w:r w:rsidR="00527349" w:rsidRPr="00D50F7F">
        <w:rPr>
          <w:rStyle w:val="cosmallcaps"/>
          <w:smallCaps/>
          <w:szCs w:val="20"/>
          <w:bdr w:val="none" w:sz="0" w:space="0" w:color="auto" w:frame="1"/>
          <w:shd w:val="clear" w:color="auto" w:fill="FFFFFF"/>
        </w:rPr>
        <w:t>Econ</w:t>
      </w:r>
      <w:r w:rsidR="00AD1423" w:rsidRPr="00D50F7F">
        <w:rPr>
          <w:rStyle w:val="cosmallcaps"/>
          <w:smallCaps/>
          <w:szCs w:val="20"/>
          <w:bdr w:val="none" w:sz="0" w:space="0" w:color="auto" w:frame="1"/>
          <w:shd w:val="clear" w:color="auto" w:fill="FFFFFF"/>
        </w:rPr>
        <w:t>.</w:t>
      </w:r>
      <w:r w:rsidR="006B6504" w:rsidRPr="00D50F7F">
        <w:rPr>
          <w:szCs w:val="20"/>
          <w:shd w:val="clear" w:color="auto" w:fill="FFFFFF"/>
        </w:rPr>
        <w:t xml:space="preserve"> </w:t>
      </w:r>
      <w:r w:rsidR="00AD1423" w:rsidRPr="00D50F7F">
        <w:rPr>
          <w:szCs w:val="20"/>
          <w:shd w:val="clear" w:color="auto" w:fill="FFFFFF"/>
        </w:rPr>
        <w:t>1547, 1548 (2015) (stating that “industry observers remarked that 3 milliseconds is an ‘eternity’ to high-frequency trading (HFT) firms”).</w:t>
      </w:r>
    </w:p>
  </w:footnote>
  <w:footnote w:id="270">
    <w:p w14:paraId="3F7863B6" w14:textId="69913523" w:rsidR="00B879AA" w:rsidRDefault="00B879AA">
      <w:pPr>
        <w:pStyle w:val="FootnoteText"/>
      </w:pPr>
      <w:r>
        <w:rPr>
          <w:rStyle w:val="FootnoteReference"/>
        </w:rPr>
        <w:footnoteRef/>
      </w:r>
      <w:r>
        <w:t xml:space="preserve"> </w:t>
      </w:r>
      <w:r w:rsidR="00AD1423">
        <w:rPr>
          <w:i/>
          <w:iCs/>
        </w:rPr>
        <w:t xml:space="preserve">Id. </w:t>
      </w:r>
      <w:r w:rsidR="00AD1423">
        <w:t>at 1590 (“</w:t>
      </w:r>
      <w:r w:rsidR="00357FE5">
        <w:t>[A]</w:t>
      </w:r>
      <w:r w:rsidR="00AD1423">
        <w:t>ll of the expenditure by trading firms on speed technology [] is ultimately borne by investors via the cost of liquidity.”)</w:t>
      </w:r>
      <w:r>
        <w:t xml:space="preserve">. </w:t>
      </w:r>
    </w:p>
  </w:footnote>
  <w:footnote w:id="271">
    <w:p w14:paraId="12C84AA1" w14:textId="3A4437D2" w:rsidR="00E95911" w:rsidRDefault="00E95911">
      <w:pPr>
        <w:pStyle w:val="FootnoteText"/>
      </w:pPr>
      <w:r>
        <w:rPr>
          <w:rStyle w:val="FootnoteReference"/>
        </w:rPr>
        <w:footnoteRef/>
      </w:r>
      <w:r>
        <w:t xml:space="preserve"> </w:t>
      </w:r>
      <w:r w:rsidRPr="009D345E">
        <w:rPr>
          <w:smallCaps/>
        </w:rPr>
        <w:t>Gordon</w:t>
      </w:r>
      <w:r>
        <w:t xml:space="preserve">, </w:t>
      </w:r>
      <w:r w:rsidRPr="00D50F7F">
        <w:rPr>
          <w:i/>
        </w:rPr>
        <w:t>supra</w:t>
      </w:r>
      <w:r>
        <w:t xml:space="preserve"> note </w:t>
      </w:r>
      <w:r w:rsidR="0061184D">
        <w:fldChar w:fldCharType="begin"/>
      </w:r>
      <w:r w:rsidR="0061184D">
        <w:instrText xml:space="preserve"> NOTEREF _Ref126665751 \h </w:instrText>
      </w:r>
      <w:r w:rsidR="0061184D">
        <w:fldChar w:fldCharType="separate"/>
      </w:r>
      <w:r w:rsidR="00995C7E">
        <w:t>94</w:t>
      </w:r>
      <w:r w:rsidR="0061184D">
        <w:fldChar w:fldCharType="end"/>
      </w:r>
      <w:r>
        <w:t>, at 116</w:t>
      </w:r>
      <w:r w:rsidR="004A183D">
        <w:t>–</w:t>
      </w:r>
      <w:r>
        <w:t xml:space="preserve">20. </w:t>
      </w:r>
    </w:p>
  </w:footnote>
  <w:footnote w:id="272">
    <w:p w14:paraId="3A0A490C" w14:textId="07E25227" w:rsidR="00784BD5" w:rsidRDefault="00784BD5">
      <w:pPr>
        <w:pStyle w:val="FootnoteText"/>
      </w:pPr>
      <w:r>
        <w:rPr>
          <w:rStyle w:val="FootnoteReference"/>
        </w:rPr>
        <w:footnoteRef/>
      </w:r>
      <w:r>
        <w:t xml:space="preserve"> </w:t>
      </w:r>
      <w:r w:rsidR="006B6504" w:rsidRPr="00D50F7F">
        <w:rPr>
          <w:i/>
          <w:iCs/>
        </w:rPr>
        <w:t>See</w:t>
      </w:r>
      <w:r w:rsidR="006B6504">
        <w:t xml:space="preserve"> Derek Thompson, </w:t>
      </w:r>
      <w:r w:rsidR="006B6504" w:rsidRPr="00D50F7F">
        <w:rPr>
          <w:i/>
        </w:rPr>
        <w:t>The Spectacular Rise and Fall of U.S. Whaling: An Innovation Story</w:t>
      </w:r>
      <w:r w:rsidR="006B6504">
        <w:t xml:space="preserve">, </w:t>
      </w:r>
      <w:r w:rsidR="006B6504" w:rsidRPr="00D50F7F">
        <w:rPr>
          <w:smallCaps/>
        </w:rPr>
        <w:t>Atlantic</w:t>
      </w:r>
      <w:r w:rsidR="006B6504">
        <w:t xml:space="preserve"> (Feb. 22, 2012</w:t>
      </w:r>
      <w:r w:rsidR="00C228F6">
        <w:t>)</w:t>
      </w:r>
      <w:r w:rsidR="00924009">
        <w:t xml:space="preserve">, </w:t>
      </w:r>
      <w:r w:rsidR="00924009" w:rsidRPr="00924009">
        <w:t>https://www.theatlantic.com/business/archive/2012/02/the-spectacular-rise-and-fall-of-us-whaling-an-innovation-story/253355</w:t>
      </w:r>
      <w:r w:rsidR="00C228F6">
        <w:t>.</w:t>
      </w:r>
    </w:p>
  </w:footnote>
  <w:footnote w:id="273">
    <w:p w14:paraId="2E2C16CB" w14:textId="3439B462" w:rsidR="00031D44" w:rsidRDefault="00031D44">
      <w:pPr>
        <w:pStyle w:val="FootnoteText"/>
      </w:pPr>
      <w:r>
        <w:rPr>
          <w:rStyle w:val="FootnoteReference"/>
        </w:rPr>
        <w:footnoteRef/>
      </w:r>
      <w:r>
        <w:t xml:space="preserve"> </w:t>
      </w:r>
      <w:r w:rsidRPr="009D345E">
        <w:rPr>
          <w:smallCaps/>
        </w:rPr>
        <w:t>Gordon</w:t>
      </w:r>
      <w:r>
        <w:t xml:space="preserve">, </w:t>
      </w:r>
      <w:r w:rsidRPr="00D50F7F">
        <w:rPr>
          <w:i/>
        </w:rPr>
        <w:t>supra</w:t>
      </w:r>
      <w:r>
        <w:t xml:space="preserve"> note </w:t>
      </w:r>
      <w:r w:rsidR="0061184D">
        <w:fldChar w:fldCharType="begin"/>
      </w:r>
      <w:r w:rsidR="0061184D">
        <w:instrText xml:space="preserve"> NOTEREF _Ref126665751 \h </w:instrText>
      </w:r>
      <w:r w:rsidR="0061184D">
        <w:fldChar w:fldCharType="separate"/>
      </w:r>
      <w:r w:rsidR="00995C7E">
        <w:t>94</w:t>
      </w:r>
      <w:r w:rsidR="0061184D">
        <w:fldChar w:fldCharType="end"/>
      </w:r>
      <w:r>
        <w:t xml:space="preserve">, at 114. </w:t>
      </w:r>
    </w:p>
  </w:footnote>
  <w:footnote w:id="274">
    <w:p w14:paraId="64A3F9D1" w14:textId="5CE9B277" w:rsidR="00784BD5" w:rsidRDefault="00784BD5">
      <w:pPr>
        <w:pStyle w:val="FootnoteText"/>
      </w:pPr>
      <w:r>
        <w:rPr>
          <w:rStyle w:val="FootnoteReference"/>
        </w:rPr>
        <w:footnoteRef/>
      </w:r>
      <w:r>
        <w:t xml:space="preserve"> </w:t>
      </w:r>
      <w:r w:rsidR="004953A3" w:rsidRPr="00C228F6">
        <w:rPr>
          <w:i/>
          <w:iCs/>
        </w:rPr>
        <w:t>See</w:t>
      </w:r>
      <w:r w:rsidR="004953A3" w:rsidRPr="00C228F6">
        <w:rPr>
          <w:i/>
        </w:rPr>
        <w:t xml:space="preserve"> generally</w:t>
      </w:r>
      <w:r w:rsidR="004953A3">
        <w:t xml:space="preserve"> Roxana Mihet, </w:t>
      </w:r>
      <w:r w:rsidR="004953A3">
        <w:rPr>
          <w:i/>
          <w:iCs/>
        </w:rPr>
        <w:t>Financial Technology and the Inequality Gap</w:t>
      </w:r>
      <w:r w:rsidR="004953A3">
        <w:t xml:space="preserve"> (Swiss Fin. Inst. Rsch. Paper Series, Working Paper No. 21-04, 2022)</w:t>
      </w:r>
      <w:r>
        <w:t xml:space="preserve">. </w:t>
      </w:r>
    </w:p>
  </w:footnote>
  <w:footnote w:id="275">
    <w:p w14:paraId="35DA8C1C" w14:textId="5DB93693" w:rsidR="00784BD5" w:rsidRDefault="00784BD5">
      <w:pPr>
        <w:pStyle w:val="FootnoteText"/>
      </w:pPr>
      <w:r>
        <w:rPr>
          <w:rStyle w:val="FootnoteReference"/>
        </w:rPr>
        <w:footnoteRef/>
      </w:r>
      <w:r>
        <w:t xml:space="preserve"> </w:t>
      </w:r>
      <w:r w:rsidR="004953A3" w:rsidRPr="00C228F6">
        <w:rPr>
          <w:i/>
        </w:rPr>
        <w:t>See</w:t>
      </w:r>
      <w:r w:rsidR="005D54DA">
        <w:rPr>
          <w:i/>
          <w:iCs/>
        </w:rPr>
        <w:t xml:space="preserve"> generally</w:t>
      </w:r>
      <w:r w:rsidR="004953A3">
        <w:t xml:space="preserve"> Christopher R. Leslie, </w:t>
      </w:r>
      <w:r w:rsidR="004953A3">
        <w:rPr>
          <w:i/>
          <w:iCs/>
        </w:rPr>
        <w:t>Predatory Pricing Algorithms</w:t>
      </w:r>
      <w:r w:rsidR="004953A3" w:rsidRPr="00E83A5C">
        <w:t xml:space="preserve">, </w:t>
      </w:r>
      <w:r w:rsidR="004953A3" w:rsidRPr="00C971C3">
        <w:rPr>
          <w:smallCaps/>
        </w:rPr>
        <w:t>97 N</w:t>
      </w:r>
      <w:r w:rsidR="00924009">
        <w:rPr>
          <w:smallCaps/>
        </w:rPr>
        <w:t>.</w:t>
      </w:r>
      <w:r w:rsidR="004953A3" w:rsidRPr="00C971C3">
        <w:rPr>
          <w:smallCaps/>
        </w:rPr>
        <w:t>Y</w:t>
      </w:r>
      <w:r w:rsidR="00924009">
        <w:rPr>
          <w:smallCaps/>
        </w:rPr>
        <w:t>.</w:t>
      </w:r>
      <w:r w:rsidR="004953A3" w:rsidRPr="00C971C3">
        <w:rPr>
          <w:smallCaps/>
        </w:rPr>
        <w:t>U</w:t>
      </w:r>
      <w:r w:rsidR="00924009">
        <w:rPr>
          <w:smallCaps/>
        </w:rPr>
        <w:t>.</w:t>
      </w:r>
      <w:r w:rsidR="004953A3" w:rsidRPr="00C971C3">
        <w:rPr>
          <w:smallCaps/>
        </w:rPr>
        <w:t xml:space="preserve"> L. Rev.</w:t>
      </w:r>
      <w:r w:rsidR="004953A3" w:rsidRPr="00E83A5C">
        <w:t xml:space="preserve"> (forthcoming 2023)</w:t>
      </w:r>
      <w:r w:rsidR="004953A3">
        <w:t xml:space="preserve">; Ziad Buchh, </w:t>
      </w:r>
      <w:r w:rsidR="004953A3" w:rsidRPr="00C228F6">
        <w:rPr>
          <w:i/>
        </w:rPr>
        <w:t>Online Pricing Algorithms Are Gaming the System, and Could Mean You Pay More</w:t>
      </w:r>
      <w:r w:rsidR="004953A3">
        <w:t xml:space="preserve">, </w:t>
      </w:r>
      <w:r w:rsidR="0040140E">
        <w:rPr>
          <w:smallCaps/>
        </w:rPr>
        <w:t>NPR</w:t>
      </w:r>
      <w:r w:rsidR="004953A3">
        <w:t xml:space="preserve"> (July 25, 2022), </w:t>
      </w:r>
      <w:r w:rsidR="004953A3" w:rsidRPr="004953A3">
        <w:t>https://www.npr.org/2022/07/25/1113004433/online-shopping-deals-algorithm-pricing-regulation</w:t>
      </w:r>
      <w:r>
        <w:t>.</w:t>
      </w:r>
    </w:p>
  </w:footnote>
  <w:footnote w:id="276">
    <w:p w14:paraId="3EA25F8D" w14:textId="2A8A20E9" w:rsidR="008D6649" w:rsidRDefault="008D6649" w:rsidP="008D6649">
      <w:pPr>
        <w:pStyle w:val="FootnoteText"/>
      </w:pPr>
      <w:r>
        <w:rPr>
          <w:rStyle w:val="FootnoteReference"/>
        </w:rPr>
        <w:footnoteRef/>
      </w:r>
      <w:r>
        <w:t xml:space="preserve"> </w:t>
      </w:r>
      <w:r w:rsidRPr="00C228F6">
        <w:rPr>
          <w:i/>
        </w:rPr>
        <w:t>See</w:t>
      </w:r>
      <w:r>
        <w:t xml:space="preserve"> Renee Shelby et al., Sociotechnical Harms: Scoping a Taxonomy for Harm Reduction</w:t>
      </w:r>
      <w:r w:rsidR="00357FE5">
        <w:t xml:space="preserve"> 15 (unpublished paper) (Oct. 11, 2022), </w:t>
      </w:r>
      <w:r w:rsidR="00357FE5" w:rsidRPr="00357FE5">
        <w:t>https://arxiv.org/abs/2210.05791</w:t>
      </w:r>
      <w:r w:rsidR="00357FE5">
        <w:t>.</w:t>
      </w:r>
    </w:p>
  </w:footnote>
  <w:footnote w:id="277">
    <w:p w14:paraId="1A5A2DCD" w14:textId="3D81BEF0" w:rsidR="008D6649" w:rsidRDefault="008D6649">
      <w:pPr>
        <w:pStyle w:val="FootnoteText"/>
      </w:pPr>
      <w:r>
        <w:rPr>
          <w:rStyle w:val="FootnoteReference"/>
        </w:rPr>
        <w:footnoteRef/>
      </w:r>
      <w:r>
        <w:t xml:space="preserve"> </w:t>
      </w:r>
      <w:r w:rsidRPr="001401D2">
        <w:rPr>
          <w:i/>
        </w:rPr>
        <w:t>Id.</w:t>
      </w:r>
      <w:r>
        <w:t xml:space="preserve"> </w:t>
      </w:r>
      <w:r w:rsidR="00357FE5">
        <w:t>at 12</w:t>
      </w:r>
      <w:r w:rsidR="00E65CC9">
        <w:t>–</w:t>
      </w:r>
      <w:r w:rsidR="00357FE5">
        <w:t>15.</w:t>
      </w:r>
    </w:p>
  </w:footnote>
  <w:footnote w:id="278">
    <w:p w14:paraId="40856E63" w14:textId="547371C9" w:rsidR="008D6649" w:rsidRDefault="008D6649">
      <w:pPr>
        <w:pStyle w:val="FootnoteText"/>
      </w:pPr>
      <w:r>
        <w:rPr>
          <w:rStyle w:val="FootnoteReference"/>
        </w:rPr>
        <w:footnoteRef/>
      </w:r>
      <w:r>
        <w:t xml:space="preserve"> </w:t>
      </w:r>
      <w:r w:rsidRPr="001401D2">
        <w:rPr>
          <w:i/>
        </w:rPr>
        <w:t>Id.</w:t>
      </w:r>
      <w:r>
        <w:t xml:space="preserve"> </w:t>
      </w:r>
      <w:r w:rsidR="00357FE5">
        <w:t>at 11.</w:t>
      </w:r>
    </w:p>
  </w:footnote>
  <w:footnote w:id="279">
    <w:p w14:paraId="14B6673D" w14:textId="41969D84" w:rsidR="00C3588E" w:rsidRDefault="00C3588E">
      <w:pPr>
        <w:pStyle w:val="FootnoteText"/>
      </w:pPr>
      <w:r>
        <w:rPr>
          <w:rStyle w:val="FootnoteReference"/>
        </w:rPr>
        <w:footnoteRef/>
      </w:r>
      <w:r>
        <w:t xml:space="preserve"> </w:t>
      </w:r>
      <w:r w:rsidR="005D06AA" w:rsidRPr="001401D2">
        <w:rPr>
          <w:i/>
          <w:iCs/>
        </w:rPr>
        <w:t>See</w:t>
      </w:r>
      <w:r w:rsidR="005D06AA" w:rsidRPr="001401D2">
        <w:rPr>
          <w:i/>
        </w:rPr>
        <w:t xml:space="preserve"> s</w:t>
      </w:r>
      <w:r w:rsidR="006B6504" w:rsidRPr="001401D2">
        <w:rPr>
          <w:i/>
        </w:rPr>
        <w:t>upra</w:t>
      </w:r>
      <w:r w:rsidR="006B6504">
        <w:t xml:space="preserve"> </w:t>
      </w:r>
      <w:r w:rsidR="0040140E">
        <w:t xml:space="preserve">Parts </w:t>
      </w:r>
      <w:r w:rsidR="005D06AA">
        <w:t>I.B, I.C.</w:t>
      </w:r>
      <w:r>
        <w:t xml:space="preserve"> </w:t>
      </w:r>
    </w:p>
  </w:footnote>
  <w:footnote w:id="280">
    <w:p w14:paraId="137A2673" w14:textId="54A4D30E" w:rsidR="00BB3326" w:rsidRDefault="00BB3326">
      <w:pPr>
        <w:pStyle w:val="FootnoteText"/>
      </w:pPr>
      <w:r>
        <w:rPr>
          <w:rStyle w:val="FootnoteReference"/>
        </w:rPr>
        <w:footnoteRef/>
      </w:r>
      <w:r>
        <w:t xml:space="preserve"> </w:t>
      </w:r>
      <w:r w:rsidR="005D06AA">
        <w:t>Cass R.</w:t>
      </w:r>
      <w:r>
        <w:t xml:space="preserve"> Sunstein, </w:t>
      </w:r>
      <w:r w:rsidR="005D06AA" w:rsidRPr="001401D2">
        <w:rPr>
          <w:i/>
        </w:rPr>
        <w:t>Beyond the Precautionary Principle</w:t>
      </w:r>
      <w:r w:rsidR="005D06AA">
        <w:t xml:space="preserve">, 151 </w:t>
      </w:r>
      <w:r w:rsidR="005D06AA" w:rsidRPr="001401D2">
        <w:rPr>
          <w:smallCaps/>
        </w:rPr>
        <w:t>U. Pa. L. Rev.</w:t>
      </w:r>
      <w:r w:rsidR="005D06AA">
        <w:t xml:space="preserve"> 1003,</w:t>
      </w:r>
      <w:r>
        <w:t xml:space="preserve"> 1</w:t>
      </w:r>
      <w:r w:rsidR="005D06AA">
        <w:t>00</w:t>
      </w:r>
      <w:r>
        <w:t>3</w:t>
      </w:r>
      <w:r w:rsidR="005D06AA">
        <w:t xml:space="preserve"> (2003)</w:t>
      </w:r>
      <w:r>
        <w:t xml:space="preserve">. </w:t>
      </w:r>
    </w:p>
  </w:footnote>
  <w:footnote w:id="281">
    <w:p w14:paraId="0B4DECC1" w14:textId="142BC33E" w:rsidR="00BB3326" w:rsidRDefault="00BB3326">
      <w:pPr>
        <w:pStyle w:val="FootnoteText"/>
      </w:pPr>
      <w:r>
        <w:rPr>
          <w:rStyle w:val="FootnoteReference"/>
        </w:rPr>
        <w:footnoteRef/>
      </w:r>
      <w:r>
        <w:t xml:space="preserve"> </w:t>
      </w:r>
      <w:r w:rsidR="005D06AA" w:rsidRPr="00C50A06">
        <w:rPr>
          <w:i/>
          <w:iCs/>
        </w:rPr>
        <w:t>Id.</w:t>
      </w:r>
      <w:r w:rsidR="004664CC">
        <w:t xml:space="preserve"> at </w:t>
      </w:r>
      <w:r w:rsidR="005D06AA">
        <w:t>1006</w:t>
      </w:r>
      <w:r w:rsidR="004664CC">
        <w:t>.</w:t>
      </w:r>
    </w:p>
  </w:footnote>
  <w:footnote w:id="282">
    <w:p w14:paraId="2A822CBA" w14:textId="4A259B22" w:rsidR="00EF3590" w:rsidRDefault="00EF3590">
      <w:pPr>
        <w:pStyle w:val="FootnoteText"/>
      </w:pPr>
      <w:r>
        <w:rPr>
          <w:rStyle w:val="FootnoteReference"/>
        </w:rPr>
        <w:footnoteRef/>
      </w:r>
      <w:r>
        <w:t xml:space="preserve"> </w:t>
      </w:r>
      <w:r w:rsidR="005D06AA" w:rsidRPr="00C971C3">
        <w:rPr>
          <w:i/>
          <w:iCs/>
        </w:rPr>
        <w:t>See supra</w:t>
      </w:r>
      <w:r w:rsidR="005D06AA">
        <w:t xml:space="preserve"> </w:t>
      </w:r>
      <w:r w:rsidR="008C5091">
        <w:t xml:space="preserve">Parts </w:t>
      </w:r>
      <w:r w:rsidR="005D06AA">
        <w:t>I.B, I.C</w:t>
      </w:r>
      <w:r>
        <w:t>.</w:t>
      </w:r>
    </w:p>
  </w:footnote>
  <w:footnote w:id="283">
    <w:p w14:paraId="2E51323C" w14:textId="5731A200" w:rsidR="00867455" w:rsidRDefault="00867455">
      <w:pPr>
        <w:pStyle w:val="FootnoteText"/>
      </w:pPr>
      <w:r>
        <w:rPr>
          <w:rStyle w:val="FootnoteReference"/>
        </w:rPr>
        <w:footnoteRef/>
      </w:r>
      <w:r>
        <w:t xml:space="preserve"> </w:t>
      </w:r>
      <w:r w:rsidR="009355B2" w:rsidRPr="009355B2">
        <w:t>Michael</w:t>
      </w:r>
      <w:r>
        <w:t xml:space="preserve"> Risch</w:t>
      </w:r>
      <w:r w:rsidR="009355B2" w:rsidRPr="009355B2">
        <w:t xml:space="preserve">, </w:t>
      </w:r>
      <w:r w:rsidR="009355B2" w:rsidRPr="001401D2">
        <w:rPr>
          <w:i/>
        </w:rPr>
        <w:t>A Surprisingly Useful Requirement</w:t>
      </w:r>
      <w:r w:rsidR="009355B2" w:rsidRPr="009355B2">
        <w:t xml:space="preserve">, 19 </w:t>
      </w:r>
      <w:r w:rsidR="009355B2" w:rsidRPr="001401D2">
        <w:rPr>
          <w:smallCaps/>
        </w:rPr>
        <w:t>Geo. Mason L. Rev.</w:t>
      </w:r>
      <w:r w:rsidR="009355B2" w:rsidRPr="009355B2">
        <w:t xml:space="preserve"> 57, 58</w:t>
      </w:r>
      <w:r w:rsidR="00E47AD6">
        <w:t>, 64</w:t>
      </w:r>
      <w:r w:rsidR="009355B2" w:rsidRPr="009355B2">
        <w:t xml:space="preserve"> (2011)</w:t>
      </w:r>
      <w:r w:rsidR="00E47AD6">
        <w:t>.</w:t>
      </w:r>
    </w:p>
  </w:footnote>
  <w:footnote w:id="284">
    <w:p w14:paraId="55CBBFFE" w14:textId="1FBD3A73" w:rsidR="002753D5" w:rsidRDefault="002753D5">
      <w:pPr>
        <w:pStyle w:val="FootnoteText"/>
      </w:pPr>
      <w:r>
        <w:rPr>
          <w:rStyle w:val="FootnoteReference"/>
        </w:rPr>
        <w:footnoteRef/>
      </w:r>
      <w:r>
        <w:t xml:space="preserve"> </w:t>
      </w:r>
      <w:r w:rsidR="00E47AD6" w:rsidRPr="001401D2">
        <w:rPr>
          <w:i/>
        </w:rPr>
        <w:t>Id.</w:t>
      </w:r>
      <w:r w:rsidR="00E47AD6">
        <w:t xml:space="preserve"> at 65</w:t>
      </w:r>
      <w:r w:rsidR="00253EF6">
        <w:t>–</w:t>
      </w:r>
      <w:r w:rsidR="00E47AD6">
        <w:t xml:space="preserve">66, 99; </w:t>
      </w:r>
      <w:r w:rsidR="0082003B" w:rsidRPr="0082003B">
        <w:t xml:space="preserve">Sean B. Seymore, </w:t>
      </w:r>
      <w:r w:rsidR="0082003B" w:rsidRPr="001401D2">
        <w:rPr>
          <w:i/>
        </w:rPr>
        <w:t>Making Patents Useful</w:t>
      </w:r>
      <w:r w:rsidR="0082003B" w:rsidRPr="0082003B">
        <w:t xml:space="preserve">, 98 </w:t>
      </w:r>
      <w:r w:rsidR="0082003B" w:rsidRPr="001401D2">
        <w:rPr>
          <w:smallCaps/>
        </w:rPr>
        <w:t>Minn. L. Rev.</w:t>
      </w:r>
      <w:r w:rsidR="0082003B" w:rsidRPr="0082003B">
        <w:t xml:space="preserve"> 1046, </w:t>
      </w:r>
      <w:r w:rsidR="00E47AD6">
        <w:t xml:space="preserve">1069 n.141, </w:t>
      </w:r>
      <w:r w:rsidR="0082003B" w:rsidRPr="0082003B">
        <w:t>109</w:t>
      </w:r>
      <w:r w:rsidR="00E47AD6">
        <w:t>7 n.340</w:t>
      </w:r>
      <w:r w:rsidR="0082003B" w:rsidRPr="0082003B">
        <w:t xml:space="preserve"> (2014</w:t>
      </w:r>
      <w:r w:rsidR="00E47AD6">
        <w:t>)</w:t>
      </w:r>
      <w:r>
        <w:t>.</w:t>
      </w:r>
    </w:p>
  </w:footnote>
  <w:footnote w:id="285">
    <w:p w14:paraId="796F7173" w14:textId="28EDF385" w:rsidR="00867455" w:rsidRDefault="00867455">
      <w:pPr>
        <w:pStyle w:val="FootnoteText"/>
      </w:pPr>
      <w:r>
        <w:rPr>
          <w:rStyle w:val="FootnoteReference"/>
        </w:rPr>
        <w:footnoteRef/>
      </w:r>
      <w:r w:rsidRPr="006A2C56">
        <w:t xml:space="preserve"> </w:t>
      </w:r>
      <w:r w:rsidR="006A2C56" w:rsidRPr="001401D2">
        <w:rPr>
          <w:i/>
        </w:rPr>
        <w:t>See, e.g.</w:t>
      </w:r>
      <w:r w:rsidR="006A2C56" w:rsidRPr="001401D2">
        <w:t xml:space="preserve">, </w:t>
      </w:r>
      <w:r w:rsidR="006A2C56" w:rsidRPr="006A2C56">
        <w:t>U.S</w:t>
      </w:r>
      <w:r w:rsidR="006A2C56">
        <w:t xml:space="preserve">. Patent No. 9,297,602 B2; </w:t>
      </w:r>
      <w:r w:rsidR="00C93C6B">
        <w:t>U.S. Patent No. 8,955,523 B2.</w:t>
      </w:r>
    </w:p>
  </w:footnote>
  <w:footnote w:id="286">
    <w:p w14:paraId="2A8D53C6" w14:textId="724D9238" w:rsidR="006D7971" w:rsidRDefault="006D7971">
      <w:pPr>
        <w:pStyle w:val="FootnoteText"/>
      </w:pPr>
      <w:r>
        <w:rPr>
          <w:rStyle w:val="FootnoteReference"/>
        </w:rPr>
        <w:footnoteRef/>
      </w:r>
      <w:r>
        <w:t xml:space="preserve"> Buccafusco &amp; Masur, </w:t>
      </w:r>
      <w:r w:rsidRPr="001401D2">
        <w:rPr>
          <w:i/>
        </w:rPr>
        <w:t>supra</w:t>
      </w:r>
      <w:r>
        <w:t xml:space="preserve"> note</w:t>
      </w:r>
      <w:r w:rsidR="009C429A">
        <w:t xml:space="preserve"> </w:t>
      </w:r>
      <w:r w:rsidR="009C429A">
        <w:fldChar w:fldCharType="begin"/>
      </w:r>
      <w:r w:rsidR="009C429A">
        <w:instrText xml:space="preserve"> NOTEREF _Ref126694238 \h </w:instrText>
      </w:r>
      <w:r w:rsidR="009C429A">
        <w:fldChar w:fldCharType="separate"/>
      </w:r>
      <w:r w:rsidR="00995C7E">
        <w:t>168</w:t>
      </w:r>
      <w:r w:rsidR="009C429A">
        <w:fldChar w:fldCharType="end"/>
      </w:r>
      <w:r>
        <w:t>, at 1418.</w:t>
      </w:r>
    </w:p>
  </w:footnote>
  <w:footnote w:id="287">
    <w:p w14:paraId="72758940" w14:textId="781E4A73" w:rsidR="002C3473" w:rsidRDefault="002C3473">
      <w:pPr>
        <w:pStyle w:val="FootnoteText"/>
      </w:pPr>
      <w:r>
        <w:rPr>
          <w:rStyle w:val="FootnoteReference"/>
        </w:rPr>
        <w:footnoteRef/>
      </w:r>
      <w:r>
        <w:t xml:space="preserve"> </w:t>
      </w:r>
      <w:r w:rsidR="006D7971" w:rsidRPr="006D7971">
        <w:rPr>
          <w:i/>
          <w:iCs/>
        </w:rPr>
        <w:t>Id</w:t>
      </w:r>
      <w:r w:rsidR="006D7971">
        <w:t>. at 1426.</w:t>
      </w:r>
    </w:p>
  </w:footnote>
  <w:footnote w:id="288">
    <w:p w14:paraId="1C5EEEB7" w14:textId="5AA21178" w:rsidR="00F92962" w:rsidRDefault="00F92962">
      <w:pPr>
        <w:pStyle w:val="FootnoteText"/>
      </w:pPr>
      <w:r>
        <w:rPr>
          <w:rStyle w:val="FootnoteReference"/>
        </w:rPr>
        <w:footnoteRef/>
      </w:r>
      <w:r>
        <w:t xml:space="preserve"> </w:t>
      </w:r>
      <w:r w:rsidR="009355B2" w:rsidRPr="009355B2">
        <w:t xml:space="preserve">Chi Heem Wong, Kien Wei Siah &amp; Andrew Lo, </w:t>
      </w:r>
      <w:r w:rsidR="009355B2" w:rsidRPr="001401D2">
        <w:rPr>
          <w:i/>
        </w:rPr>
        <w:t>Estimation of Clinical Trial Success Rates and Related Parameters</w:t>
      </w:r>
      <w:r w:rsidR="009355B2" w:rsidRPr="009355B2">
        <w:t xml:space="preserve">, 20 </w:t>
      </w:r>
      <w:r w:rsidR="009355B2" w:rsidRPr="001401D2">
        <w:rPr>
          <w:smallCaps/>
        </w:rPr>
        <w:t>Biostats</w:t>
      </w:r>
      <w:r w:rsidR="0067406D">
        <w:rPr>
          <w:smallCaps/>
        </w:rPr>
        <w:t>.</w:t>
      </w:r>
      <w:r w:rsidR="009355B2" w:rsidRPr="009355B2">
        <w:t xml:space="preserve"> 273, </w:t>
      </w:r>
      <w:r w:rsidR="009355B2">
        <w:t>277</w:t>
      </w:r>
      <w:r w:rsidR="009355B2" w:rsidRPr="009355B2">
        <w:t xml:space="preserve"> (2019)</w:t>
      </w:r>
      <w:r w:rsidR="009355B2">
        <w:t xml:space="preserve">; </w:t>
      </w:r>
      <w:r w:rsidR="009355B2" w:rsidRPr="009355B2">
        <w:t xml:space="preserve">Michael Hay, David W. Thomas, John L. Craighead, Celia Economides &amp; Jesse Rosenthal, </w:t>
      </w:r>
      <w:r w:rsidR="009355B2" w:rsidRPr="001401D2">
        <w:rPr>
          <w:i/>
        </w:rPr>
        <w:t>Clinical Development Success Rates for Investigational Drugs</w:t>
      </w:r>
      <w:r w:rsidR="009355B2" w:rsidRPr="009355B2">
        <w:t xml:space="preserve">, 32 </w:t>
      </w:r>
      <w:r w:rsidR="009355B2" w:rsidRPr="001401D2">
        <w:rPr>
          <w:smallCaps/>
        </w:rPr>
        <w:t>Nature Biotech</w:t>
      </w:r>
      <w:r w:rsidR="009355B2" w:rsidRPr="009355B2">
        <w:t xml:space="preserve">. 40, 48 (2014) (estimating a 10.4% success rate); </w:t>
      </w:r>
      <w:r w:rsidR="009355B2" w:rsidRPr="001401D2">
        <w:rPr>
          <w:smallCaps/>
        </w:rPr>
        <w:t>David W. Thomas, Justin Burns, John Audette, Adam Carroll, Corey Dow-Hygelund &amp; Michael Hay, BIO, Clinical Development Success Rates</w:t>
      </w:r>
      <w:r w:rsidR="009355B2" w:rsidRPr="009355B2">
        <w:t xml:space="preserve"> 2006-2015 3 (2016) (estimating a 9.6% success rate)</w:t>
      </w:r>
      <w:r>
        <w:t>.</w:t>
      </w:r>
    </w:p>
  </w:footnote>
  <w:footnote w:id="289">
    <w:p w14:paraId="1CAAC067" w14:textId="4171DE54" w:rsidR="00F92962" w:rsidRDefault="00F92962">
      <w:pPr>
        <w:pStyle w:val="FootnoteText"/>
      </w:pPr>
      <w:r>
        <w:rPr>
          <w:rStyle w:val="FootnoteReference"/>
        </w:rPr>
        <w:footnoteRef/>
      </w:r>
      <w:r>
        <w:t xml:space="preserve"> </w:t>
      </w:r>
      <w:r w:rsidR="009355B2" w:rsidRPr="009355B2">
        <w:t xml:space="preserve">Asher Mullard, </w:t>
      </w:r>
      <w:r w:rsidR="009355B2" w:rsidRPr="00C971C3">
        <w:rPr>
          <w:i/>
          <w:iCs/>
        </w:rPr>
        <w:t>2019 FDA Drug Approvals</w:t>
      </w:r>
      <w:r w:rsidR="009355B2" w:rsidRPr="009355B2">
        <w:t xml:space="preserve">, 19 </w:t>
      </w:r>
      <w:r w:rsidR="009355B2" w:rsidRPr="00C971C3">
        <w:rPr>
          <w:smallCaps/>
        </w:rPr>
        <w:t>Nature Revs.</w:t>
      </w:r>
      <w:r w:rsidR="009355B2" w:rsidRPr="009355B2">
        <w:t xml:space="preserve"> 79 (2020)</w:t>
      </w:r>
      <w:r>
        <w:t xml:space="preserve">. </w:t>
      </w:r>
    </w:p>
  </w:footnote>
  <w:footnote w:id="290">
    <w:p w14:paraId="5F396600" w14:textId="3125877E" w:rsidR="00C003CB" w:rsidRDefault="00C003CB">
      <w:pPr>
        <w:pStyle w:val="FootnoteText"/>
      </w:pPr>
      <w:r>
        <w:rPr>
          <w:rStyle w:val="FootnoteReference"/>
        </w:rPr>
        <w:footnoteRef/>
      </w:r>
      <w:r>
        <w:t xml:space="preserve"> </w:t>
      </w:r>
      <w:r w:rsidR="001A4BEA" w:rsidRPr="001401D2">
        <w:rPr>
          <w:i/>
          <w:iCs/>
        </w:rPr>
        <w:t>See</w:t>
      </w:r>
      <w:r w:rsidR="001A4BEA" w:rsidRPr="001401D2">
        <w:rPr>
          <w:i/>
        </w:rPr>
        <w:t xml:space="preserve"> </w:t>
      </w:r>
      <w:r w:rsidR="0067406D">
        <w:rPr>
          <w:i/>
          <w:iCs/>
        </w:rPr>
        <w:t>supra</w:t>
      </w:r>
      <w:r w:rsidR="001A4BEA">
        <w:t xml:space="preserve"> </w:t>
      </w:r>
      <w:r w:rsidR="008C5091">
        <w:t xml:space="preserve">Part </w:t>
      </w:r>
      <w:r w:rsidR="001A4BEA">
        <w:t>III.A.1</w:t>
      </w:r>
      <w:r>
        <w:t>.</w:t>
      </w:r>
    </w:p>
  </w:footnote>
  <w:footnote w:id="291">
    <w:p w14:paraId="4D5203AE" w14:textId="07CBC5CB" w:rsidR="00F527F6" w:rsidRDefault="00F527F6">
      <w:pPr>
        <w:pStyle w:val="FootnoteText"/>
      </w:pPr>
      <w:r>
        <w:rPr>
          <w:rStyle w:val="FootnoteReference"/>
        </w:rPr>
        <w:footnoteRef/>
      </w:r>
      <w:r>
        <w:t xml:space="preserve"> </w:t>
      </w:r>
      <w:r w:rsidR="005D06AA" w:rsidRPr="001401D2">
        <w:rPr>
          <w:i/>
          <w:iCs/>
        </w:rPr>
        <w:t>See</w:t>
      </w:r>
      <w:r w:rsidR="005D06AA" w:rsidRPr="001401D2">
        <w:rPr>
          <w:i/>
        </w:rPr>
        <w:t xml:space="preserve"> supra</w:t>
      </w:r>
      <w:r w:rsidR="005D06AA">
        <w:t xml:space="preserve"> </w:t>
      </w:r>
      <w:r w:rsidR="00CC7005">
        <w:t xml:space="preserve">Part </w:t>
      </w:r>
      <w:r w:rsidR="005D06AA">
        <w:t>I.C</w:t>
      </w:r>
      <w:r>
        <w:t>.</w:t>
      </w:r>
    </w:p>
  </w:footnote>
  <w:footnote w:id="292">
    <w:p w14:paraId="725C1973" w14:textId="696DB29A" w:rsidR="00C62623" w:rsidRDefault="00C62623" w:rsidP="00C62623">
      <w:pPr>
        <w:pStyle w:val="FootnoteText"/>
      </w:pPr>
      <w:r>
        <w:rPr>
          <w:rStyle w:val="FootnoteReference"/>
        </w:rPr>
        <w:footnoteRef/>
      </w:r>
      <w:r>
        <w:t xml:space="preserve"> </w:t>
      </w:r>
      <w:r w:rsidR="000B3A91">
        <w:rPr>
          <w:i/>
          <w:iCs/>
        </w:rPr>
        <w:t>See, e.g.</w:t>
      </w:r>
      <w:r w:rsidR="000B3A91">
        <w:t xml:space="preserve">, </w:t>
      </w:r>
      <w:r w:rsidR="000B3A91" w:rsidRPr="00B10A3C">
        <w:rPr>
          <w:smallCaps/>
          <w:szCs w:val="20"/>
        </w:rPr>
        <w:t>U.S. Dep’t of Just. &amp; Fed. Trade Comm’n</w:t>
      </w:r>
      <w:r w:rsidR="000B3A91" w:rsidRPr="00B10A3C">
        <w:rPr>
          <w:szCs w:val="20"/>
        </w:rPr>
        <w:t xml:space="preserve">, </w:t>
      </w:r>
      <w:r w:rsidR="000B3A91" w:rsidRPr="00B10A3C">
        <w:rPr>
          <w:smallCaps/>
          <w:szCs w:val="20"/>
        </w:rPr>
        <w:t>Horizontal Merger Guidelines</w:t>
      </w:r>
      <w:r w:rsidR="000B3A91" w:rsidRPr="00B10A3C">
        <w:rPr>
          <w:szCs w:val="20"/>
        </w:rPr>
        <w:t xml:space="preserve"> 23 (Aug. 19, 2010), https://www.ftc.gov/sites/default/files/attachments/merger-review/100819hmg.pdf [https://perma.cc/6USH-LJ7Z] </w:t>
      </w:r>
      <w:r w:rsidR="000B3A91">
        <w:rPr>
          <w:szCs w:val="20"/>
        </w:rPr>
        <w:t>(“Competition often spurs firms to innovate.”).</w:t>
      </w:r>
    </w:p>
  </w:footnote>
  <w:footnote w:id="293">
    <w:p w14:paraId="52493EEC" w14:textId="3069A293" w:rsidR="00C62623" w:rsidRPr="00B10A3C" w:rsidRDefault="00C62623" w:rsidP="00C62623">
      <w:pPr>
        <w:pStyle w:val="FootnoteText"/>
        <w:rPr>
          <w:szCs w:val="20"/>
        </w:rPr>
      </w:pPr>
      <w:r w:rsidRPr="00B10A3C">
        <w:rPr>
          <w:rStyle w:val="FootnoteReference"/>
          <w:szCs w:val="20"/>
        </w:rPr>
        <w:footnoteRef/>
      </w:r>
      <w:r w:rsidRPr="00B10A3C">
        <w:rPr>
          <w:szCs w:val="20"/>
        </w:rPr>
        <w:t xml:space="preserve"> </w:t>
      </w:r>
      <w:r w:rsidRPr="00B10A3C">
        <w:rPr>
          <w:i/>
          <w:iCs/>
          <w:szCs w:val="20"/>
        </w:rPr>
        <w:t xml:space="preserve">See </w:t>
      </w:r>
      <w:r w:rsidRPr="00B10A3C">
        <w:rPr>
          <w:szCs w:val="20"/>
        </w:rPr>
        <w:t xml:space="preserve">Herbert Hovenkamp, </w:t>
      </w:r>
      <w:r w:rsidRPr="00B10A3C">
        <w:rPr>
          <w:i/>
          <w:iCs/>
          <w:szCs w:val="20"/>
        </w:rPr>
        <w:t>Antitrust and Innovation: Where We Are and Where We Should Be Going</w:t>
      </w:r>
      <w:r w:rsidRPr="00B10A3C">
        <w:rPr>
          <w:szCs w:val="20"/>
        </w:rPr>
        <w:t xml:space="preserve">, 77 </w:t>
      </w:r>
      <w:r w:rsidRPr="001401D2">
        <w:rPr>
          <w:smallCaps/>
        </w:rPr>
        <w:t>Antitrust L.J.</w:t>
      </w:r>
      <w:r w:rsidRPr="00B10A3C">
        <w:rPr>
          <w:szCs w:val="20"/>
        </w:rPr>
        <w:t xml:space="preserve"> 749, 750 (2011) (“Neither antitrust nor intellectual property has any moral content. Their sole purpose is to make the economy bigger.”).</w:t>
      </w:r>
    </w:p>
  </w:footnote>
  <w:footnote w:id="294">
    <w:p w14:paraId="3ED5FE21" w14:textId="0F0C52A5" w:rsidR="000B3A91" w:rsidRDefault="000B3A91">
      <w:pPr>
        <w:pStyle w:val="FootnoteText"/>
      </w:pPr>
      <w:r>
        <w:rPr>
          <w:rStyle w:val="FootnoteReference"/>
        </w:rPr>
        <w:footnoteRef/>
      </w:r>
      <w:r>
        <w:t xml:space="preserve"> </w:t>
      </w:r>
      <w:r>
        <w:rPr>
          <w:i/>
          <w:iCs/>
        </w:rPr>
        <w:t>See, e.g.</w:t>
      </w:r>
      <w:r>
        <w:t xml:space="preserve">, Roger Alford, Deputy Ass’t Att’y Gen., Antitrust Division, U.S. Dep’t of Justice, </w:t>
      </w:r>
      <w:r>
        <w:rPr>
          <w:i/>
          <w:iCs/>
        </w:rPr>
        <w:t xml:space="preserve">The Role of Antitrust in Promoting Innovation </w:t>
      </w:r>
      <w:r>
        <w:t>(2018)</w:t>
      </w:r>
      <w:r w:rsidR="00E16C48">
        <w:t>;</w:t>
      </w:r>
      <w:r>
        <w:t xml:space="preserve"> Baker, </w:t>
      </w:r>
      <w:r>
        <w:rPr>
          <w:i/>
          <w:iCs/>
        </w:rPr>
        <w:t xml:space="preserve">supra </w:t>
      </w:r>
      <w:r>
        <w:t xml:space="preserve">note </w:t>
      </w:r>
      <w:r w:rsidR="005D0390">
        <w:fldChar w:fldCharType="begin"/>
      </w:r>
      <w:r w:rsidR="005D0390">
        <w:instrText xml:space="preserve"> NOTEREF _Ref126789752 \h </w:instrText>
      </w:r>
      <w:r w:rsidR="005D0390">
        <w:fldChar w:fldCharType="separate"/>
      </w:r>
      <w:r w:rsidR="00995C7E">
        <w:t>18</w:t>
      </w:r>
      <w:r w:rsidR="005D0390">
        <w:fldChar w:fldCharType="end"/>
      </w:r>
      <w:r w:rsidR="005D0390">
        <w:t>,</w:t>
      </w:r>
      <w:r>
        <w:t xml:space="preserve"> at 576</w:t>
      </w:r>
      <w:r>
        <w:rPr>
          <w:color w:val="000000"/>
          <w:shd w:val="clear" w:color="auto" w:fill="FFFFFF"/>
        </w:rPr>
        <w:t>.</w:t>
      </w:r>
    </w:p>
  </w:footnote>
  <w:footnote w:id="295">
    <w:p w14:paraId="0411B236" w14:textId="543ADE1A" w:rsidR="00F8161D" w:rsidRDefault="00F8161D">
      <w:pPr>
        <w:pStyle w:val="FootnoteText"/>
      </w:pPr>
      <w:r>
        <w:rPr>
          <w:rStyle w:val="FootnoteReference"/>
        </w:rPr>
        <w:footnoteRef/>
      </w:r>
      <w:r>
        <w:t xml:space="preserve"> </w:t>
      </w:r>
      <w:r w:rsidR="000B3A91">
        <w:rPr>
          <w:i/>
          <w:iCs/>
        </w:rPr>
        <w:t>See, e.g.</w:t>
      </w:r>
      <w:r w:rsidR="000B3A91">
        <w:t>, Allied Orthopedic Appliances, Inc. v. Tyco Health Care Group LP, 592 F.3d 991, 1000 (9</w:t>
      </w:r>
      <w:r w:rsidR="000B3A91" w:rsidRPr="001401D2">
        <w:t>th</w:t>
      </w:r>
      <w:r w:rsidR="000B3A91">
        <w:t xml:space="preserve"> Cir. 2010</w:t>
      </w:r>
      <w:r w:rsidR="000B3A91" w:rsidRPr="004B2FB4">
        <w:t>) (“</w:t>
      </w:r>
      <w:r w:rsidR="000B3A91" w:rsidRPr="001401D2">
        <w:rPr>
          <w:szCs w:val="20"/>
          <w:shd w:val="clear" w:color="auto" w:fill="FFFFFF"/>
        </w:rPr>
        <w:t>To weigh the benefits of an improved product design against the resulting injuries to competitors is not just unwise, it is unadministrable.”)</w:t>
      </w:r>
      <w:r w:rsidR="000B3A91" w:rsidRPr="004B2FB4">
        <w:rPr>
          <w:szCs w:val="20"/>
        </w:rPr>
        <w:t>;</w:t>
      </w:r>
      <w:r w:rsidR="000B3A91" w:rsidRPr="004B2FB4">
        <w:t xml:space="preserve"> U.S. v. Microsoft, 147 F.3d 935, 948 (D.C. Cir. 1998) (“</w:t>
      </w:r>
      <w:r w:rsidR="000B3A91" w:rsidRPr="001401D2">
        <w:rPr>
          <w:szCs w:val="20"/>
          <w:shd w:val="clear" w:color="auto" w:fill="FFFFFF"/>
        </w:rPr>
        <w:t>Antitrust scholars have long recognized the undesirability of having courts oversee product design</w:t>
      </w:r>
      <w:r w:rsidR="000B3A91" w:rsidRPr="004B2FB4">
        <w:t>. . .</w:t>
      </w:r>
      <w:r w:rsidR="004B2FB4" w:rsidRPr="004B2FB4">
        <w:t xml:space="preserve"> </w:t>
      </w:r>
      <w:r w:rsidR="000B3A91" w:rsidRPr="004B2FB4">
        <w:t>.”).</w:t>
      </w:r>
    </w:p>
  </w:footnote>
  <w:footnote w:id="296">
    <w:p w14:paraId="646132BD" w14:textId="55A593A8" w:rsidR="00201260" w:rsidRDefault="00201260">
      <w:pPr>
        <w:pStyle w:val="FootnoteText"/>
      </w:pPr>
      <w:r>
        <w:rPr>
          <w:rStyle w:val="FootnoteReference"/>
        </w:rPr>
        <w:footnoteRef/>
      </w:r>
      <w:r>
        <w:t xml:space="preserve"> </w:t>
      </w:r>
      <w:r w:rsidR="000B3A91" w:rsidRPr="00B10A3C">
        <w:rPr>
          <w:smallCaps/>
          <w:szCs w:val="20"/>
        </w:rPr>
        <w:t>U.S. Dep’t of Just. &amp; Fed. Trade Comm’n</w:t>
      </w:r>
      <w:r w:rsidR="000B3A91" w:rsidRPr="00B10A3C">
        <w:rPr>
          <w:szCs w:val="20"/>
        </w:rPr>
        <w:t xml:space="preserve">, </w:t>
      </w:r>
      <w:r w:rsidR="000B3A91" w:rsidRPr="00B10A3C">
        <w:rPr>
          <w:smallCaps/>
          <w:szCs w:val="20"/>
        </w:rPr>
        <w:t>Horizontal Merger Guidelines</w:t>
      </w:r>
      <w:r w:rsidR="000B3A91" w:rsidRPr="00B10A3C">
        <w:rPr>
          <w:szCs w:val="20"/>
        </w:rPr>
        <w:t xml:space="preserve"> 23 (Aug. 19, 2010), https://www.ftc.gov/sites/default/files/attachments/merger-review/100819hmg.pdf [https://perma.cc/6USH-LJ7Z] </w:t>
      </w:r>
      <w:r w:rsidR="000B3A91">
        <w:rPr>
          <w:szCs w:val="20"/>
        </w:rPr>
        <w:t>(“</w:t>
      </w:r>
      <w:r w:rsidR="000B3A91">
        <w:t>The Agencies may consider whether a merger is likely to diminish innovation competition by encouraging the merged firm to curtail its innovative efforts below the level that would prevail in the absence of the merger.”).</w:t>
      </w:r>
    </w:p>
  </w:footnote>
  <w:footnote w:id="297">
    <w:p w14:paraId="0908F38D" w14:textId="78D2B2A6" w:rsidR="00C80A04" w:rsidRDefault="00C80A04">
      <w:pPr>
        <w:pStyle w:val="FootnoteText"/>
      </w:pPr>
      <w:r>
        <w:rPr>
          <w:rStyle w:val="FootnoteReference"/>
        </w:rPr>
        <w:footnoteRef/>
      </w:r>
      <w:r>
        <w:t xml:space="preserve"> </w:t>
      </w:r>
      <w:r w:rsidR="00357FE5">
        <w:rPr>
          <w:i/>
          <w:iCs/>
        </w:rPr>
        <w:t>See, e.g.</w:t>
      </w:r>
      <w:r w:rsidR="00357FE5">
        <w:t xml:space="preserve">, Andrew Finch, Principal Deputy Ass’t Att’y Gen., Antitrust Division, U.S. Dep’t of Justice, </w:t>
      </w:r>
      <w:r w:rsidR="00357FE5">
        <w:rPr>
          <w:i/>
          <w:iCs/>
        </w:rPr>
        <w:t>Concentrating on Competition: An Antitrust Perspective on Platforms and Industry Consolidation</w:t>
      </w:r>
      <w:r w:rsidR="00357FE5">
        <w:t xml:space="preserve"> (Dec. 14, 2018), </w:t>
      </w:r>
      <w:r w:rsidR="004B2FB4" w:rsidRPr="001401D2">
        <w:t>https://www.justice.gov/opa/speech/principal-deputy-assistant-attorney-general-andrew-finch-delivers-keynote-address-capitol</w:t>
      </w:r>
      <w:r w:rsidR="00357FE5">
        <w:t xml:space="preserve"> (“The whole point of competition is that the market, rather than regulators, pick the winners and losers.”)</w:t>
      </w:r>
      <w:r>
        <w:t>.</w:t>
      </w:r>
    </w:p>
  </w:footnote>
  <w:footnote w:id="298">
    <w:p w14:paraId="440FEBB4" w14:textId="77777777" w:rsidR="00C62623" w:rsidRPr="00B10A3C" w:rsidRDefault="00C62623" w:rsidP="00C62623">
      <w:pPr>
        <w:pStyle w:val="FootnoteText"/>
        <w:rPr>
          <w:szCs w:val="20"/>
        </w:rPr>
      </w:pPr>
      <w:r w:rsidRPr="00B10A3C">
        <w:rPr>
          <w:rStyle w:val="FootnoteReference"/>
          <w:szCs w:val="20"/>
        </w:rPr>
        <w:footnoteRef/>
      </w:r>
      <w:r w:rsidRPr="00B10A3C">
        <w:rPr>
          <w:szCs w:val="20"/>
        </w:rPr>
        <w:t xml:space="preserve"> </w:t>
      </w:r>
      <w:r w:rsidRPr="00B10A3C">
        <w:rPr>
          <w:smallCaps/>
          <w:szCs w:val="20"/>
        </w:rPr>
        <w:t>Fed. Trade Comm’n, Competition Counts: How Consumers Win When Businesses Compete</w:t>
      </w:r>
      <w:r w:rsidRPr="00B10A3C">
        <w:rPr>
          <w:szCs w:val="20"/>
        </w:rPr>
        <w:t xml:space="preserve"> 1 https://www.ftc.gov/system/files/attachments/competition-counts/pdf-0116_competition-counts.pdf</w:t>
      </w:r>
      <w:r w:rsidRPr="00B10A3C" w:rsidDel="00381DF8">
        <w:rPr>
          <w:szCs w:val="20"/>
        </w:rPr>
        <w:t xml:space="preserve"> </w:t>
      </w:r>
      <w:r w:rsidRPr="00B10A3C">
        <w:rPr>
          <w:szCs w:val="20"/>
        </w:rPr>
        <w:t>[https://perma.cc/3GD5-UYN6].</w:t>
      </w:r>
    </w:p>
  </w:footnote>
  <w:footnote w:id="299">
    <w:p w14:paraId="71144133" w14:textId="23F70E72" w:rsidR="009B1AEF" w:rsidRDefault="009B1AEF">
      <w:pPr>
        <w:pStyle w:val="FootnoteText"/>
      </w:pPr>
      <w:r>
        <w:rPr>
          <w:rStyle w:val="FootnoteReference"/>
        </w:rPr>
        <w:footnoteRef/>
      </w:r>
      <w:r>
        <w:t xml:space="preserve"> </w:t>
      </w:r>
      <w:r w:rsidR="00490666">
        <w:t xml:space="preserve">Allied Orthopedic Appliances, Inc. v. </w:t>
      </w:r>
      <w:r w:rsidR="00BF2AAF">
        <w:t>Tyco Health Care Group LP, 592 F.3d 991 (9</w:t>
      </w:r>
      <w:r w:rsidR="00BF2AAF" w:rsidRPr="001401D2">
        <w:t>th</w:t>
      </w:r>
      <w:r w:rsidR="00BF2AAF">
        <w:t xml:space="preserve"> Cir. 201</w:t>
      </w:r>
      <w:r w:rsidR="001353B6">
        <w:t>0</w:t>
      </w:r>
      <w:r w:rsidR="00BF2AAF">
        <w:t>).</w:t>
      </w:r>
    </w:p>
  </w:footnote>
  <w:footnote w:id="300">
    <w:p w14:paraId="320128DF" w14:textId="461C7CF2" w:rsidR="00D11CA0" w:rsidRDefault="00D11CA0">
      <w:pPr>
        <w:pStyle w:val="FootnoteText"/>
      </w:pPr>
      <w:r>
        <w:rPr>
          <w:rStyle w:val="FootnoteReference"/>
        </w:rPr>
        <w:footnoteRef/>
      </w:r>
      <w:r>
        <w:t xml:space="preserve"> </w:t>
      </w:r>
      <w:r w:rsidR="005D06AA">
        <w:rPr>
          <w:i/>
          <w:iCs/>
        </w:rPr>
        <w:t xml:space="preserve">Id. </w:t>
      </w:r>
      <w:r w:rsidR="005D06AA">
        <w:t>at 994</w:t>
      </w:r>
      <w:r>
        <w:t>.</w:t>
      </w:r>
    </w:p>
  </w:footnote>
  <w:footnote w:id="301">
    <w:p w14:paraId="13295B1F" w14:textId="4DF22675" w:rsidR="00201260" w:rsidRDefault="00201260">
      <w:pPr>
        <w:pStyle w:val="FootnoteText"/>
      </w:pPr>
      <w:r>
        <w:rPr>
          <w:rStyle w:val="FootnoteReference"/>
        </w:rPr>
        <w:footnoteRef/>
      </w:r>
      <w:r>
        <w:t xml:space="preserve"> </w:t>
      </w:r>
      <w:r w:rsidR="000B3A91">
        <w:rPr>
          <w:i/>
          <w:iCs/>
        </w:rPr>
        <w:t>Id.</w:t>
      </w:r>
    </w:p>
  </w:footnote>
  <w:footnote w:id="302">
    <w:p w14:paraId="615B461C" w14:textId="5DBA2879" w:rsidR="00DD5E23" w:rsidRDefault="00DD5E23">
      <w:pPr>
        <w:pStyle w:val="FootnoteText"/>
      </w:pPr>
      <w:r>
        <w:rPr>
          <w:rStyle w:val="FootnoteReference"/>
        </w:rPr>
        <w:footnoteRef/>
      </w:r>
      <w:r>
        <w:t xml:space="preserve"> </w:t>
      </w:r>
      <w:r w:rsidR="000B3A91">
        <w:rPr>
          <w:i/>
          <w:iCs/>
        </w:rPr>
        <w:t>Id.</w:t>
      </w:r>
    </w:p>
  </w:footnote>
  <w:footnote w:id="303">
    <w:p w14:paraId="29DADD2A" w14:textId="49AF9F38" w:rsidR="009B15E8" w:rsidRDefault="009B15E8">
      <w:pPr>
        <w:pStyle w:val="FootnoteText"/>
      </w:pPr>
      <w:r>
        <w:rPr>
          <w:rStyle w:val="FootnoteReference"/>
        </w:rPr>
        <w:footnoteRef/>
      </w:r>
      <w:r>
        <w:t xml:space="preserve"> </w:t>
      </w:r>
      <w:r w:rsidR="000B3A91">
        <w:rPr>
          <w:i/>
          <w:iCs/>
        </w:rPr>
        <w:t>Id.</w:t>
      </w:r>
    </w:p>
  </w:footnote>
  <w:footnote w:id="304">
    <w:p w14:paraId="7CC0BB56" w14:textId="3ED00807" w:rsidR="00071845" w:rsidRDefault="00071845">
      <w:pPr>
        <w:pStyle w:val="FootnoteText"/>
      </w:pPr>
      <w:r>
        <w:rPr>
          <w:rStyle w:val="FootnoteReference"/>
        </w:rPr>
        <w:footnoteRef/>
      </w:r>
      <w:r>
        <w:t xml:space="preserve"> </w:t>
      </w:r>
      <w:r w:rsidR="005D06AA">
        <w:rPr>
          <w:i/>
          <w:iCs/>
        </w:rPr>
        <w:t>Id.</w:t>
      </w:r>
    </w:p>
  </w:footnote>
  <w:footnote w:id="305">
    <w:p w14:paraId="55735026" w14:textId="4DD0D8DF" w:rsidR="009B15E8" w:rsidRDefault="009B15E8">
      <w:pPr>
        <w:pStyle w:val="FootnoteText"/>
      </w:pPr>
      <w:r>
        <w:rPr>
          <w:rStyle w:val="FootnoteReference"/>
        </w:rPr>
        <w:footnoteRef/>
      </w:r>
      <w:r>
        <w:t xml:space="preserve"> </w:t>
      </w:r>
      <w:r w:rsidR="000B3A91">
        <w:rPr>
          <w:i/>
          <w:iCs/>
        </w:rPr>
        <w:t>Id.</w:t>
      </w:r>
    </w:p>
  </w:footnote>
  <w:footnote w:id="306">
    <w:p w14:paraId="5DC9F42E" w14:textId="601CC52B" w:rsidR="00071845" w:rsidRDefault="00071845">
      <w:pPr>
        <w:pStyle w:val="FootnoteText"/>
      </w:pPr>
      <w:r>
        <w:rPr>
          <w:rStyle w:val="FootnoteReference"/>
        </w:rPr>
        <w:footnoteRef/>
      </w:r>
      <w:r>
        <w:t xml:space="preserve"> </w:t>
      </w:r>
      <w:r w:rsidR="005D06AA">
        <w:rPr>
          <w:i/>
          <w:iCs/>
        </w:rPr>
        <w:t xml:space="preserve">Id. </w:t>
      </w:r>
      <w:r w:rsidR="005D06AA">
        <w:t>at 995</w:t>
      </w:r>
      <w:r>
        <w:t>.</w:t>
      </w:r>
    </w:p>
  </w:footnote>
  <w:footnote w:id="307">
    <w:p w14:paraId="706AF945" w14:textId="7CFFAFE6" w:rsidR="009E0763" w:rsidRDefault="009E0763">
      <w:pPr>
        <w:pStyle w:val="FootnoteText"/>
      </w:pPr>
      <w:r>
        <w:rPr>
          <w:rStyle w:val="FootnoteReference"/>
        </w:rPr>
        <w:footnoteRef/>
      </w:r>
      <w:r>
        <w:t xml:space="preserve"> </w:t>
      </w:r>
      <w:r w:rsidR="000B3A91">
        <w:rPr>
          <w:i/>
          <w:iCs/>
        </w:rPr>
        <w:t xml:space="preserve">Id. </w:t>
      </w:r>
      <w:r w:rsidR="000B3A91">
        <w:t>at 993</w:t>
      </w:r>
      <w:r w:rsidR="008D2493">
        <w:t>–</w:t>
      </w:r>
      <w:r w:rsidR="000B3A91">
        <w:t>94.</w:t>
      </w:r>
    </w:p>
  </w:footnote>
  <w:footnote w:id="308">
    <w:p w14:paraId="7DB4EAF9" w14:textId="7FC394B4" w:rsidR="00071845" w:rsidRDefault="00071845">
      <w:pPr>
        <w:pStyle w:val="FootnoteText"/>
      </w:pPr>
      <w:r>
        <w:rPr>
          <w:rStyle w:val="FootnoteReference"/>
        </w:rPr>
        <w:footnoteRef/>
      </w:r>
      <w:r>
        <w:t xml:space="preserve"> </w:t>
      </w:r>
      <w:r w:rsidR="005D06AA" w:rsidRPr="001401D2">
        <w:rPr>
          <w:i/>
          <w:iCs/>
        </w:rPr>
        <w:t>Id.</w:t>
      </w:r>
      <w:r w:rsidR="005D06AA">
        <w:t xml:space="preserve"> at 995</w:t>
      </w:r>
      <w:r w:rsidR="008D2493">
        <w:t>–</w:t>
      </w:r>
      <w:r w:rsidR="005D06AA">
        <w:t>96</w:t>
      </w:r>
      <w:r>
        <w:t>.</w:t>
      </w:r>
    </w:p>
  </w:footnote>
  <w:footnote w:id="309">
    <w:p w14:paraId="022F9467" w14:textId="099D3485" w:rsidR="005323D9" w:rsidRDefault="005323D9">
      <w:pPr>
        <w:pStyle w:val="FootnoteText"/>
      </w:pPr>
      <w:r>
        <w:rPr>
          <w:rStyle w:val="FootnoteReference"/>
        </w:rPr>
        <w:footnoteRef/>
      </w:r>
      <w:r>
        <w:t xml:space="preserve"> </w:t>
      </w:r>
      <w:r w:rsidR="000B3A91">
        <w:rPr>
          <w:i/>
          <w:iCs/>
        </w:rPr>
        <w:t xml:space="preserve">Id. </w:t>
      </w:r>
      <w:r w:rsidR="000B3A91">
        <w:t>at 998</w:t>
      </w:r>
      <w:r w:rsidR="008D2493">
        <w:t>–</w:t>
      </w:r>
      <w:r w:rsidR="000B3A91">
        <w:t>99.</w:t>
      </w:r>
    </w:p>
  </w:footnote>
  <w:footnote w:id="310">
    <w:p w14:paraId="71BC5151" w14:textId="35BAAE8C" w:rsidR="00324ADE" w:rsidRDefault="00324ADE">
      <w:pPr>
        <w:pStyle w:val="FootnoteText"/>
      </w:pPr>
      <w:r>
        <w:rPr>
          <w:rStyle w:val="FootnoteReference"/>
        </w:rPr>
        <w:footnoteRef/>
      </w:r>
      <w:r>
        <w:t xml:space="preserve"> </w:t>
      </w:r>
      <w:r w:rsidR="005D06AA" w:rsidRPr="001401D2">
        <w:rPr>
          <w:i/>
          <w:iCs/>
        </w:rPr>
        <w:t>Id.</w:t>
      </w:r>
      <w:r w:rsidR="005D06AA">
        <w:t xml:space="preserve"> at 1001</w:t>
      </w:r>
      <w:r w:rsidR="008D2493">
        <w:t>–</w:t>
      </w:r>
      <w:r w:rsidR="005D06AA">
        <w:t>02</w:t>
      </w:r>
      <w:r>
        <w:t>.</w:t>
      </w:r>
    </w:p>
  </w:footnote>
  <w:footnote w:id="311">
    <w:p w14:paraId="08DAAEE3" w14:textId="55C70E72" w:rsidR="00543748" w:rsidRDefault="00543748">
      <w:pPr>
        <w:pStyle w:val="FootnoteText"/>
      </w:pPr>
      <w:r>
        <w:rPr>
          <w:rStyle w:val="FootnoteReference"/>
        </w:rPr>
        <w:footnoteRef/>
      </w:r>
      <w:r>
        <w:t xml:space="preserve"> </w:t>
      </w:r>
      <w:r w:rsidR="000B3A91">
        <w:rPr>
          <w:i/>
          <w:iCs/>
        </w:rPr>
        <w:t xml:space="preserve">Id. </w:t>
      </w:r>
      <w:r w:rsidR="000B3A91">
        <w:t>at 1001.</w:t>
      </w:r>
    </w:p>
  </w:footnote>
  <w:footnote w:id="312">
    <w:p w14:paraId="79C0237B" w14:textId="5DDCF33C" w:rsidR="00AB5900" w:rsidRPr="00AB5900" w:rsidRDefault="00AB5900">
      <w:pPr>
        <w:pStyle w:val="FootnoteText"/>
      </w:pPr>
      <w:r>
        <w:rPr>
          <w:rStyle w:val="FootnoteReference"/>
        </w:rPr>
        <w:footnoteRef/>
      </w:r>
      <w:r>
        <w:t xml:space="preserve"> </w:t>
      </w:r>
      <w:r>
        <w:rPr>
          <w:i/>
          <w:iCs/>
        </w:rPr>
        <w:t>Id.</w:t>
      </w:r>
    </w:p>
  </w:footnote>
  <w:footnote w:id="313">
    <w:p w14:paraId="7A122303" w14:textId="006C204A" w:rsidR="00543748" w:rsidRDefault="00543748">
      <w:pPr>
        <w:pStyle w:val="FootnoteText"/>
      </w:pPr>
      <w:r>
        <w:rPr>
          <w:rStyle w:val="FootnoteReference"/>
        </w:rPr>
        <w:footnoteRef/>
      </w:r>
      <w:r>
        <w:t xml:space="preserve"> </w:t>
      </w:r>
      <w:r w:rsidR="000B3A91">
        <w:rPr>
          <w:i/>
          <w:iCs/>
        </w:rPr>
        <w:t xml:space="preserve">Id. </w:t>
      </w:r>
      <w:r w:rsidR="000B3A91">
        <w:t>at 1000.</w:t>
      </w:r>
    </w:p>
  </w:footnote>
  <w:footnote w:id="314">
    <w:p w14:paraId="37BBAD06" w14:textId="4F1F620A" w:rsidR="00543748" w:rsidRDefault="00543748">
      <w:pPr>
        <w:pStyle w:val="FootnoteText"/>
      </w:pPr>
      <w:r>
        <w:rPr>
          <w:rStyle w:val="FootnoteReference"/>
        </w:rPr>
        <w:footnoteRef/>
      </w:r>
      <w:r>
        <w:t xml:space="preserve"> </w:t>
      </w:r>
      <w:r w:rsidR="000B3A91">
        <w:rPr>
          <w:i/>
          <w:iCs/>
        </w:rPr>
        <w:t>Id.</w:t>
      </w:r>
    </w:p>
  </w:footnote>
  <w:footnote w:id="315">
    <w:p w14:paraId="040D8044" w14:textId="02010B74" w:rsidR="00543748" w:rsidRDefault="00543748">
      <w:pPr>
        <w:pStyle w:val="FootnoteText"/>
      </w:pPr>
      <w:r>
        <w:rPr>
          <w:rStyle w:val="FootnoteReference"/>
        </w:rPr>
        <w:footnoteRef/>
      </w:r>
      <w:r>
        <w:t xml:space="preserve"> </w:t>
      </w:r>
      <w:r w:rsidR="000B3A91">
        <w:rPr>
          <w:i/>
          <w:iCs/>
        </w:rPr>
        <w:t>Id.</w:t>
      </w:r>
    </w:p>
  </w:footnote>
  <w:footnote w:id="316">
    <w:p w14:paraId="7A1BFDEA" w14:textId="7D211CB5" w:rsidR="00543748" w:rsidRDefault="00543748">
      <w:pPr>
        <w:pStyle w:val="FootnoteText"/>
      </w:pPr>
      <w:r>
        <w:rPr>
          <w:rStyle w:val="FootnoteReference"/>
        </w:rPr>
        <w:footnoteRef/>
      </w:r>
      <w:r>
        <w:t xml:space="preserve"> </w:t>
      </w:r>
      <w:r w:rsidR="000B3A91">
        <w:rPr>
          <w:i/>
          <w:iCs/>
        </w:rPr>
        <w:t>Id.</w:t>
      </w:r>
    </w:p>
  </w:footnote>
  <w:footnote w:id="317">
    <w:p w14:paraId="6291BBFE" w14:textId="7A57351A" w:rsidR="006613BC" w:rsidRDefault="006613BC">
      <w:pPr>
        <w:pStyle w:val="FootnoteText"/>
      </w:pPr>
      <w:r>
        <w:rPr>
          <w:rStyle w:val="FootnoteReference"/>
        </w:rPr>
        <w:footnoteRef/>
      </w:r>
      <w:r>
        <w:t xml:space="preserve"> </w:t>
      </w:r>
      <w:r w:rsidR="00357FE5">
        <w:rPr>
          <w:i/>
          <w:iCs/>
        </w:rPr>
        <w:t xml:space="preserve">Id. </w:t>
      </w:r>
      <w:r w:rsidR="00357FE5">
        <w:t>(explaining that courts evaluating a predatory product design claim will not weigh the benefits of the product improvement against its anticompetitive impact)</w:t>
      </w:r>
      <w:r>
        <w:t>.</w:t>
      </w:r>
    </w:p>
  </w:footnote>
  <w:footnote w:id="318">
    <w:p w14:paraId="729FD214" w14:textId="08748B97" w:rsidR="00A97A7C" w:rsidRDefault="00A97A7C" w:rsidP="001401D2">
      <w:pPr>
        <w:pStyle w:val="FootnoteText"/>
        <w:ind w:firstLine="0"/>
      </w:pPr>
      <w:r>
        <w:rPr>
          <w:rStyle w:val="FootnoteReference"/>
        </w:rPr>
        <w:footnoteRef/>
      </w:r>
      <w:r>
        <w:t xml:space="preserve"> </w:t>
      </w:r>
      <w:r w:rsidR="000B3A91">
        <w:rPr>
          <w:i/>
          <w:iCs/>
        </w:rPr>
        <w:t>See, e.g.</w:t>
      </w:r>
      <w:r w:rsidR="000B3A91">
        <w:t>, Hovenkamp,</w:t>
      </w:r>
      <w:r w:rsidR="0038708C" w:rsidRPr="0038708C">
        <w:rPr>
          <w:i/>
          <w:iCs/>
          <w:szCs w:val="20"/>
        </w:rPr>
        <w:t xml:space="preserve"> </w:t>
      </w:r>
      <w:r w:rsidR="0038708C" w:rsidRPr="00B10A3C">
        <w:rPr>
          <w:i/>
          <w:iCs/>
          <w:szCs w:val="20"/>
        </w:rPr>
        <w:t>Antitrust and Innovation</w:t>
      </w:r>
      <w:r w:rsidR="0038708C" w:rsidRPr="009D345E">
        <w:rPr>
          <w:szCs w:val="20"/>
        </w:rPr>
        <w:t>,</w:t>
      </w:r>
      <w:r w:rsidR="000B3A91">
        <w:t xml:space="preserve"> </w:t>
      </w:r>
      <w:r w:rsidR="000B3A91">
        <w:rPr>
          <w:i/>
          <w:iCs/>
        </w:rPr>
        <w:t xml:space="preserve">supra </w:t>
      </w:r>
      <w:r w:rsidR="000B3A91">
        <w:t>note</w:t>
      </w:r>
      <w:r w:rsidR="0038708C">
        <w:t xml:space="preserve"> </w:t>
      </w:r>
      <w:r w:rsidR="00DB58BF">
        <w:fldChar w:fldCharType="begin"/>
      </w:r>
      <w:r w:rsidR="00DB58BF">
        <w:instrText xml:space="preserve"> NOTEREF _Ref126789899 \h </w:instrText>
      </w:r>
      <w:r w:rsidR="00DB58BF">
        <w:fldChar w:fldCharType="separate"/>
      </w:r>
      <w:r w:rsidR="00995C7E">
        <w:t>295</w:t>
      </w:r>
      <w:r w:rsidR="00DB58BF">
        <w:fldChar w:fldCharType="end"/>
      </w:r>
      <w:r w:rsidR="00FF6653">
        <w:t xml:space="preserve">, </w:t>
      </w:r>
      <w:r w:rsidR="000B3A91">
        <w:t xml:space="preserve">at 750 </w:t>
      </w:r>
      <w:r w:rsidR="000B3A91" w:rsidRPr="00B10A3C">
        <w:rPr>
          <w:szCs w:val="20"/>
        </w:rPr>
        <w:t>(“Neither antitrust nor intellectual property has any moral content. Their sole purpose is to make the economy bigger.”)</w:t>
      </w:r>
      <w:r w:rsidR="000B3A91">
        <w:rPr>
          <w:szCs w:val="20"/>
        </w:rPr>
        <w:t xml:space="preserve">; </w:t>
      </w:r>
      <w:r w:rsidR="000B3A91" w:rsidRPr="001401D2">
        <w:rPr>
          <w:i/>
          <w:szCs w:val="20"/>
        </w:rPr>
        <w:t>cf.</w:t>
      </w:r>
      <w:r w:rsidR="000B3A91">
        <w:rPr>
          <w:szCs w:val="20"/>
        </w:rPr>
        <w:t xml:space="preserve"> Baker, </w:t>
      </w:r>
      <w:r w:rsidR="000B3A91">
        <w:rPr>
          <w:i/>
          <w:iCs/>
          <w:szCs w:val="20"/>
        </w:rPr>
        <w:t xml:space="preserve">supra </w:t>
      </w:r>
      <w:r w:rsidR="000B3A91">
        <w:rPr>
          <w:szCs w:val="20"/>
        </w:rPr>
        <w:t xml:space="preserve">note </w:t>
      </w:r>
      <w:r w:rsidR="00FF6653">
        <w:rPr>
          <w:szCs w:val="20"/>
        </w:rPr>
        <w:fldChar w:fldCharType="begin"/>
      </w:r>
      <w:r w:rsidR="00FF6653">
        <w:rPr>
          <w:szCs w:val="20"/>
        </w:rPr>
        <w:instrText xml:space="preserve"> NOTEREF _Ref126789752 \h </w:instrText>
      </w:r>
      <w:r w:rsidR="00FF6653">
        <w:rPr>
          <w:szCs w:val="20"/>
        </w:rPr>
      </w:r>
      <w:r w:rsidR="00FF6653">
        <w:rPr>
          <w:szCs w:val="20"/>
        </w:rPr>
        <w:fldChar w:fldCharType="separate"/>
      </w:r>
      <w:r w:rsidR="00995C7E">
        <w:rPr>
          <w:szCs w:val="20"/>
        </w:rPr>
        <w:t>18</w:t>
      </w:r>
      <w:r w:rsidR="00FF6653">
        <w:rPr>
          <w:szCs w:val="20"/>
        </w:rPr>
        <w:fldChar w:fldCharType="end"/>
      </w:r>
      <w:r w:rsidR="00FF6653">
        <w:rPr>
          <w:szCs w:val="20"/>
        </w:rPr>
        <w:t>,</w:t>
      </w:r>
      <w:r w:rsidR="000B3A91">
        <w:rPr>
          <w:szCs w:val="20"/>
        </w:rPr>
        <w:t xml:space="preserve"> at 576 (“Underlying this entire discussion [of the relationship between competition and innovation] is the presumption that more innovation is good for society.”).</w:t>
      </w:r>
    </w:p>
  </w:footnote>
  <w:footnote w:id="319">
    <w:p w14:paraId="659F7869" w14:textId="77777777" w:rsidR="00C62623" w:rsidRPr="00C94E01" w:rsidRDefault="00C62623" w:rsidP="001401D2">
      <w:pPr>
        <w:autoSpaceDE w:val="0"/>
        <w:autoSpaceDN w:val="0"/>
        <w:adjustRightInd w:val="0"/>
        <w:jc w:val="left"/>
        <w:rPr>
          <w:rFonts w:eastAsia="Cambria" w:cs="TimesTen-Roman"/>
          <w:sz w:val="20"/>
          <w:szCs w:val="20"/>
        </w:rPr>
      </w:pPr>
      <w:r>
        <w:rPr>
          <w:rStyle w:val="FootnoteReference"/>
        </w:rPr>
        <w:footnoteRef/>
      </w:r>
      <w:r>
        <w:t xml:space="preserve"> </w:t>
      </w:r>
      <w:r w:rsidRPr="00C94E01">
        <w:rPr>
          <w:i/>
          <w:iCs/>
          <w:sz w:val="20"/>
          <w:szCs w:val="20"/>
        </w:rPr>
        <w:t>See, e.g.</w:t>
      </w:r>
      <w:r w:rsidRPr="00C94E01">
        <w:rPr>
          <w:sz w:val="20"/>
          <w:szCs w:val="20"/>
        </w:rPr>
        <w:t xml:space="preserve">, Daniel A. Crane, </w:t>
      </w:r>
      <w:r w:rsidRPr="00C94E01">
        <w:rPr>
          <w:i/>
          <w:iCs/>
          <w:sz w:val="20"/>
          <w:szCs w:val="20"/>
        </w:rPr>
        <w:t>Harmful Output in the Antitrust Domain: Lessons from the Tobacco Industry</w:t>
      </w:r>
      <w:r w:rsidRPr="00C94E01">
        <w:rPr>
          <w:sz w:val="20"/>
          <w:szCs w:val="20"/>
        </w:rPr>
        <w:t xml:space="preserve">, 39 </w:t>
      </w:r>
      <w:r w:rsidRPr="00C94E01">
        <w:rPr>
          <w:smallCaps/>
          <w:sz w:val="20"/>
          <w:szCs w:val="20"/>
        </w:rPr>
        <w:t>Georgia L. Rev</w:t>
      </w:r>
      <w:r w:rsidRPr="00C94E01">
        <w:rPr>
          <w:sz w:val="20"/>
          <w:szCs w:val="20"/>
        </w:rPr>
        <w:t xml:space="preserve">. 321, 344 (arguing that </w:t>
      </w:r>
      <w:r w:rsidRPr="00C94E01">
        <w:rPr>
          <w:rFonts w:eastAsia="Cambria" w:cs="TimesTen-Roman"/>
          <w:sz w:val="20"/>
          <w:szCs w:val="20"/>
        </w:rPr>
        <w:t>“[o]utput maximization remains the dominant goal of antitrust enforcement in the tobacco industry” and that “[i]n general, the antitrust establishment simply ignores the harmful nature of tobacco”).</w:t>
      </w:r>
    </w:p>
  </w:footnote>
  <w:footnote w:id="320">
    <w:p w14:paraId="1FB8B6E2" w14:textId="427889DC" w:rsidR="00F76DBC" w:rsidRDefault="00F76DBC">
      <w:pPr>
        <w:pStyle w:val="FootnoteText"/>
      </w:pPr>
      <w:r>
        <w:rPr>
          <w:rStyle w:val="FootnoteReference"/>
        </w:rPr>
        <w:footnoteRef/>
      </w:r>
      <w:r>
        <w:t xml:space="preserve"> Jonathan B. Wiener, </w:t>
      </w:r>
      <w:r w:rsidRPr="001401D2">
        <w:rPr>
          <w:i/>
        </w:rPr>
        <w:t>Learning to Manage the Multirisk World</w:t>
      </w:r>
      <w:r>
        <w:t xml:space="preserve">, 40 </w:t>
      </w:r>
      <w:r w:rsidRPr="001401D2">
        <w:rPr>
          <w:smallCaps/>
        </w:rPr>
        <w:t>Risk Analysis</w:t>
      </w:r>
      <w:r>
        <w:t xml:space="preserve"> </w:t>
      </w:r>
      <w:r w:rsidR="005D06AA">
        <w:t>2137</w:t>
      </w:r>
      <w:r>
        <w:t>,</w:t>
      </w:r>
      <w:r w:rsidDel="005D06AA">
        <w:t xml:space="preserve"> </w:t>
      </w:r>
      <w:r w:rsidR="005D06AA">
        <w:t>2137</w:t>
      </w:r>
      <w:r>
        <w:t xml:space="preserve"> (2020). </w:t>
      </w:r>
    </w:p>
  </w:footnote>
  <w:footnote w:id="321">
    <w:p w14:paraId="2BA3D40B" w14:textId="162E7095" w:rsidR="0014270C" w:rsidRDefault="0014270C">
      <w:pPr>
        <w:pStyle w:val="FootnoteText"/>
      </w:pPr>
      <w:r>
        <w:rPr>
          <w:rStyle w:val="FootnoteReference"/>
        </w:rPr>
        <w:footnoteRef/>
      </w:r>
      <w:r>
        <w:t xml:space="preserve"> </w:t>
      </w:r>
      <w:r w:rsidRPr="001401D2">
        <w:rPr>
          <w:i/>
        </w:rPr>
        <w:t>See</w:t>
      </w:r>
      <w:r>
        <w:t xml:space="preserve"> Sunstein, </w:t>
      </w:r>
      <w:r w:rsidRPr="001401D2">
        <w:rPr>
          <w:i/>
        </w:rPr>
        <w:t>supra</w:t>
      </w:r>
      <w:r>
        <w:t xml:space="preserve"> note</w:t>
      </w:r>
      <w:r w:rsidR="00DB58BF">
        <w:t xml:space="preserve"> </w:t>
      </w:r>
      <w:r w:rsidR="00DB58BF">
        <w:fldChar w:fldCharType="begin"/>
      </w:r>
      <w:r w:rsidR="00DB58BF">
        <w:instrText xml:space="preserve"> NOTEREF _Ref126660145 \h </w:instrText>
      </w:r>
      <w:r w:rsidR="00DB58BF">
        <w:fldChar w:fldCharType="separate"/>
      </w:r>
      <w:r w:rsidR="00995C7E">
        <w:t>282</w:t>
      </w:r>
      <w:r w:rsidR="00DB58BF">
        <w:fldChar w:fldCharType="end"/>
      </w:r>
      <w:r>
        <w:t xml:space="preserve">, at </w:t>
      </w:r>
      <w:r w:rsidR="00CF153D" w:rsidRPr="00C50A06">
        <w:t>1004</w:t>
      </w:r>
      <w:r w:rsidR="00B939C1">
        <w:t>–</w:t>
      </w:r>
      <w:r w:rsidR="00CF153D" w:rsidRPr="00C50A06">
        <w:t>08</w:t>
      </w:r>
      <w:r>
        <w:t xml:space="preserve">. </w:t>
      </w:r>
    </w:p>
  </w:footnote>
  <w:footnote w:id="322">
    <w:p w14:paraId="7D1C2517" w14:textId="0A2941C1" w:rsidR="00D5706A" w:rsidRDefault="00D5706A">
      <w:pPr>
        <w:pStyle w:val="FootnoteText"/>
      </w:pPr>
      <w:r>
        <w:rPr>
          <w:rStyle w:val="FootnoteReference"/>
        </w:rPr>
        <w:footnoteRef/>
      </w:r>
      <w:r>
        <w:t xml:space="preserve"> </w:t>
      </w:r>
      <w:r w:rsidR="00357FE5" w:rsidRPr="001401D2">
        <w:rPr>
          <w:i/>
          <w:iCs/>
        </w:rPr>
        <w:t>See</w:t>
      </w:r>
      <w:r w:rsidR="00357FE5" w:rsidRPr="001401D2">
        <w:rPr>
          <w:i/>
        </w:rPr>
        <w:t xml:space="preserve"> supra</w:t>
      </w:r>
      <w:r w:rsidR="00357FE5">
        <w:t xml:space="preserve"> Part I.</w:t>
      </w:r>
    </w:p>
  </w:footnote>
  <w:footnote w:id="323">
    <w:p w14:paraId="236E7AC9" w14:textId="7A2F4061" w:rsidR="00D5706A" w:rsidRDefault="00D5706A">
      <w:pPr>
        <w:pStyle w:val="FootnoteText"/>
      </w:pPr>
      <w:r>
        <w:rPr>
          <w:rStyle w:val="FootnoteReference"/>
        </w:rPr>
        <w:footnoteRef/>
      </w:r>
      <w:r>
        <w:t xml:space="preserve"> </w:t>
      </w:r>
      <w:r w:rsidR="00357FE5" w:rsidRPr="001401D2">
        <w:rPr>
          <w:i/>
          <w:iCs/>
        </w:rPr>
        <w:t>See</w:t>
      </w:r>
      <w:r w:rsidR="00357FE5" w:rsidRPr="001401D2">
        <w:rPr>
          <w:i/>
        </w:rPr>
        <w:t xml:space="preserve"> supra</w:t>
      </w:r>
      <w:r w:rsidR="00357FE5">
        <w:t xml:space="preserve"> </w:t>
      </w:r>
      <w:r w:rsidR="00DB58BF">
        <w:t xml:space="preserve">Part </w:t>
      </w:r>
      <w:r w:rsidR="00357FE5">
        <w:t>II.A.2.</w:t>
      </w:r>
    </w:p>
  </w:footnote>
  <w:footnote w:id="324">
    <w:p w14:paraId="61E28BD0" w14:textId="1BBCE58C" w:rsidR="00FD5F50" w:rsidRDefault="00FD5F50">
      <w:pPr>
        <w:pStyle w:val="FootnoteText"/>
      </w:pPr>
      <w:r w:rsidRPr="00586DCE">
        <w:rPr>
          <w:rStyle w:val="FootnoteReference"/>
        </w:rPr>
        <w:footnoteRef/>
      </w:r>
      <w:r w:rsidRPr="00586DCE">
        <w:t xml:space="preserve"> </w:t>
      </w:r>
      <w:r w:rsidR="00586DCE" w:rsidRPr="00586DCE">
        <w:t>In re Katz, 687 F.2d 450, 454, 215 USPQ 14, 17 (CCPA 1982).</w:t>
      </w:r>
    </w:p>
  </w:footnote>
  <w:footnote w:id="325">
    <w:p w14:paraId="0AEDAE92" w14:textId="01C5BBE2" w:rsidR="00FC253E" w:rsidRDefault="00FC253E">
      <w:pPr>
        <w:pStyle w:val="FootnoteText"/>
      </w:pPr>
      <w:r>
        <w:rPr>
          <w:rStyle w:val="FootnoteReference"/>
        </w:rPr>
        <w:footnoteRef/>
      </w:r>
      <w:r>
        <w:t xml:space="preserve"> </w:t>
      </w:r>
      <w:r w:rsidR="00357FE5" w:rsidRPr="00C971C3">
        <w:rPr>
          <w:i/>
          <w:iCs/>
        </w:rPr>
        <w:t>See supra</w:t>
      </w:r>
      <w:r w:rsidR="00357FE5">
        <w:t xml:space="preserve"> </w:t>
      </w:r>
      <w:r w:rsidR="00DB58BF">
        <w:t xml:space="preserve">Part </w:t>
      </w:r>
      <w:r w:rsidR="00357FE5">
        <w:t>II.A.2</w:t>
      </w:r>
      <w:r>
        <w:t>.</w:t>
      </w:r>
    </w:p>
  </w:footnote>
  <w:footnote w:id="326">
    <w:p w14:paraId="415FFE3D" w14:textId="19C57D48" w:rsidR="00825506" w:rsidRDefault="00825506">
      <w:pPr>
        <w:pStyle w:val="FootnoteText"/>
      </w:pPr>
      <w:r>
        <w:rPr>
          <w:rStyle w:val="FootnoteReference"/>
        </w:rPr>
        <w:footnoteRef/>
      </w:r>
      <w:r>
        <w:t xml:space="preserve"> </w:t>
      </w:r>
      <w:r w:rsidR="00357FE5" w:rsidRPr="001401D2">
        <w:rPr>
          <w:i/>
          <w:iCs/>
        </w:rPr>
        <w:t>See</w:t>
      </w:r>
      <w:r w:rsidR="00357FE5" w:rsidRPr="001401D2">
        <w:rPr>
          <w:i/>
        </w:rPr>
        <w:t xml:space="preserve"> supra</w:t>
      </w:r>
      <w:r w:rsidR="00357FE5">
        <w:t xml:space="preserve"> </w:t>
      </w:r>
      <w:r w:rsidR="00DB58BF">
        <w:t xml:space="preserve">Part </w:t>
      </w:r>
      <w:r w:rsidR="00357FE5">
        <w:t>I.D</w:t>
      </w:r>
      <w:r>
        <w:t>.</w:t>
      </w:r>
    </w:p>
  </w:footnote>
  <w:footnote w:id="327">
    <w:p w14:paraId="6B4CC3E4" w14:textId="17AC61E3" w:rsidR="005122E8" w:rsidRDefault="005122E8">
      <w:pPr>
        <w:pStyle w:val="FootnoteText"/>
      </w:pPr>
      <w:r>
        <w:rPr>
          <w:rStyle w:val="FootnoteReference"/>
        </w:rPr>
        <w:footnoteRef/>
      </w:r>
      <w:r>
        <w:t xml:space="preserve"> We assume that all these inventions would meet patent law’s novelty and </w:t>
      </w:r>
      <w:proofErr w:type="spellStart"/>
      <w:r>
        <w:t>nonobviousness</w:t>
      </w:r>
      <w:proofErr w:type="spellEnd"/>
      <w:r>
        <w:t xml:space="preserve"> requirements. </w:t>
      </w:r>
    </w:p>
  </w:footnote>
  <w:footnote w:id="328">
    <w:p w14:paraId="3CED038B" w14:textId="73F2029F" w:rsidR="001C7970" w:rsidRDefault="001C7970">
      <w:pPr>
        <w:pStyle w:val="FootnoteText"/>
      </w:pPr>
      <w:r>
        <w:rPr>
          <w:rStyle w:val="FootnoteReference"/>
        </w:rPr>
        <w:footnoteRef/>
      </w:r>
      <w:r>
        <w:t xml:space="preserve"> Call this the Oprah Approach (“You get a patent! You get a patent! Everybody gets a patent!”).</w:t>
      </w:r>
    </w:p>
  </w:footnote>
  <w:footnote w:id="329">
    <w:p w14:paraId="74BD3212" w14:textId="62FD4789" w:rsidR="00182257" w:rsidRDefault="00182257">
      <w:pPr>
        <w:pStyle w:val="FootnoteText"/>
      </w:pPr>
      <w:r>
        <w:rPr>
          <w:rStyle w:val="FootnoteReference"/>
        </w:rPr>
        <w:footnoteRef/>
      </w:r>
      <w:r>
        <w:t xml:space="preserve"> </w:t>
      </w:r>
      <w:r w:rsidRPr="001401D2">
        <w:rPr>
          <w:i/>
        </w:rPr>
        <w:t>See supra</w:t>
      </w:r>
      <w:r>
        <w:t xml:space="preserve"> Figure X. </w:t>
      </w:r>
    </w:p>
  </w:footnote>
  <w:footnote w:id="330">
    <w:p w14:paraId="1E6B647E" w14:textId="28C509B2" w:rsidR="00464324" w:rsidRDefault="00464324">
      <w:pPr>
        <w:pStyle w:val="FootnoteText"/>
      </w:pPr>
      <w:r>
        <w:rPr>
          <w:rStyle w:val="FootnoteReference"/>
        </w:rPr>
        <w:footnoteRef/>
      </w:r>
      <w:r>
        <w:t xml:space="preserve"> Stuart Minor Benjamin &amp; Arti K. Rai, </w:t>
      </w:r>
      <w:r w:rsidRPr="001401D2">
        <w:rPr>
          <w:i/>
        </w:rPr>
        <w:t>Fixing Innovation Policy: A Structural Perspective</w:t>
      </w:r>
      <w:r>
        <w:t xml:space="preserve">, 77 </w:t>
      </w:r>
      <w:r w:rsidRPr="001401D2">
        <w:rPr>
          <w:smallCaps/>
        </w:rPr>
        <w:t>Geo. Wash. L. Rev.</w:t>
      </w:r>
      <w:r>
        <w:t xml:space="preserve"> 1 (2008). </w:t>
      </w:r>
    </w:p>
  </w:footnote>
  <w:footnote w:id="331">
    <w:p w14:paraId="1FF3D132" w14:textId="1ED018D3" w:rsidR="005D207A" w:rsidRDefault="005D207A">
      <w:pPr>
        <w:pStyle w:val="FootnoteText"/>
      </w:pPr>
      <w:r>
        <w:rPr>
          <w:rStyle w:val="FootnoteReference"/>
        </w:rPr>
        <w:footnoteRef/>
      </w:r>
      <w:r>
        <w:t xml:space="preserve"> </w:t>
      </w:r>
      <w:r w:rsidR="005D06AA" w:rsidRPr="001401D2">
        <w:rPr>
          <w:i/>
          <w:iCs/>
        </w:rPr>
        <w:t>Id.</w:t>
      </w:r>
      <w:r w:rsidR="005D06AA">
        <w:t xml:space="preserve"> at 67</w:t>
      </w:r>
      <w:r w:rsidR="00E14854">
        <w:softHyphen/>
        <w:t>–</w:t>
      </w:r>
      <w:r w:rsidR="005D06AA">
        <w:t>70</w:t>
      </w:r>
      <w:r>
        <w:t>.</w:t>
      </w:r>
    </w:p>
  </w:footnote>
  <w:footnote w:id="332">
    <w:p w14:paraId="790FE83F" w14:textId="48640521" w:rsidR="00D53689" w:rsidRDefault="00D53689">
      <w:pPr>
        <w:pStyle w:val="FootnoteText"/>
      </w:pPr>
      <w:r>
        <w:rPr>
          <w:rStyle w:val="FootnoteReference"/>
        </w:rPr>
        <w:footnoteRef/>
      </w:r>
      <w:r>
        <w:t xml:space="preserve"> </w:t>
      </w:r>
      <w:r w:rsidR="005D06AA" w:rsidRPr="001401D2">
        <w:rPr>
          <w:i/>
          <w:iCs/>
        </w:rPr>
        <w:t>See</w:t>
      </w:r>
      <w:r w:rsidR="005D06AA" w:rsidRPr="001401D2">
        <w:rPr>
          <w:i/>
        </w:rPr>
        <w:t xml:space="preserve"> supra</w:t>
      </w:r>
      <w:r w:rsidR="005D06AA">
        <w:t xml:space="preserve"> </w:t>
      </w:r>
      <w:r w:rsidR="00D77ACE">
        <w:t xml:space="preserve">Part </w:t>
      </w:r>
      <w:r w:rsidR="005D06AA">
        <w:t>I.B.</w:t>
      </w:r>
    </w:p>
  </w:footnote>
  <w:footnote w:id="333">
    <w:p w14:paraId="5C59B597" w14:textId="6F9729C0" w:rsidR="006A068D" w:rsidRDefault="006A068D">
      <w:pPr>
        <w:pStyle w:val="FootnoteText"/>
      </w:pPr>
      <w:r>
        <w:rPr>
          <w:rStyle w:val="FootnoteReference"/>
        </w:rPr>
        <w:footnoteRef/>
      </w:r>
      <w:r>
        <w:t xml:space="preserve"> </w:t>
      </w:r>
      <w:r w:rsidR="00357FE5" w:rsidRPr="001401D2">
        <w:rPr>
          <w:i/>
          <w:iCs/>
        </w:rPr>
        <w:t>See</w:t>
      </w:r>
      <w:r w:rsidR="00E26E64">
        <w:rPr>
          <w:i/>
          <w:iCs/>
        </w:rPr>
        <w:t xml:space="preserve"> generally</w:t>
      </w:r>
      <w:r w:rsidR="00357FE5">
        <w:t xml:space="preserve"> </w:t>
      </w:r>
      <w:proofErr w:type="spellStart"/>
      <w:r w:rsidR="00357FE5">
        <w:t>Risch</w:t>
      </w:r>
      <w:proofErr w:type="spellEnd"/>
      <w:r w:rsidR="00357FE5">
        <w:t xml:space="preserve">, </w:t>
      </w:r>
      <w:r w:rsidR="00357FE5" w:rsidRPr="001401D2">
        <w:rPr>
          <w:i/>
        </w:rPr>
        <w:t>supra</w:t>
      </w:r>
      <w:r w:rsidR="00357FE5">
        <w:t xml:space="preserve"> note</w:t>
      </w:r>
      <w:r w:rsidR="00D77ACE">
        <w:t xml:space="preserve"> </w:t>
      </w:r>
      <w:r w:rsidR="00D77ACE">
        <w:fldChar w:fldCharType="begin"/>
      </w:r>
      <w:r w:rsidR="00D77ACE">
        <w:instrText xml:space="preserve"> NOTEREF _Ref126785588 \h </w:instrText>
      </w:r>
      <w:r w:rsidR="00D77ACE">
        <w:fldChar w:fldCharType="separate"/>
      </w:r>
      <w:r w:rsidR="00995C7E">
        <w:t>285</w:t>
      </w:r>
      <w:r w:rsidR="00D77ACE">
        <w:fldChar w:fldCharType="end"/>
      </w:r>
      <w:r w:rsidR="00E26E64">
        <w:t>.</w:t>
      </w:r>
    </w:p>
  </w:footnote>
  <w:footnote w:id="334">
    <w:p w14:paraId="09500F94" w14:textId="19429117" w:rsidR="00762E38" w:rsidRDefault="00762E38">
      <w:pPr>
        <w:pStyle w:val="FootnoteText"/>
      </w:pPr>
      <w:r>
        <w:rPr>
          <w:rStyle w:val="FootnoteReference"/>
        </w:rPr>
        <w:footnoteRef/>
      </w:r>
      <w:r>
        <w:t xml:space="preserve"> We understand that scholars debate the net welfare effects of e-cigarettes, noting that while they increase harmful nicotine usage by children, they also decrease more harmful cigarette smoking by adults. </w:t>
      </w:r>
      <w:r w:rsidR="00E47AD6" w:rsidRPr="001401D2">
        <w:rPr>
          <w:i/>
        </w:rPr>
        <w:t>See, e.g.</w:t>
      </w:r>
      <w:r w:rsidR="00E47AD6">
        <w:t xml:space="preserve">, Daniel G. Aaron, </w:t>
      </w:r>
      <w:r w:rsidR="00E47AD6" w:rsidRPr="001401D2">
        <w:rPr>
          <w:i/>
        </w:rPr>
        <w:t>Tobacco Reborn: The Rise of E-Cigarettes and Regulatory Approaches</w:t>
      </w:r>
      <w:r w:rsidR="00E47AD6">
        <w:t xml:space="preserve">, 25 </w:t>
      </w:r>
      <w:r w:rsidR="00E47AD6" w:rsidRPr="001401D2">
        <w:rPr>
          <w:smallCaps/>
        </w:rPr>
        <w:t>Lewis &amp; Clark L. Rev.</w:t>
      </w:r>
      <w:r w:rsidR="00E47AD6">
        <w:t xml:space="preserve"> 827 (2021).</w:t>
      </w:r>
    </w:p>
  </w:footnote>
  <w:footnote w:id="335">
    <w:p w14:paraId="1D6EE731" w14:textId="78E6B786" w:rsidR="0070523C" w:rsidRDefault="0070523C">
      <w:pPr>
        <w:pStyle w:val="FootnoteText"/>
      </w:pPr>
      <w:r>
        <w:rPr>
          <w:rStyle w:val="FootnoteReference"/>
        </w:rPr>
        <w:footnoteRef/>
      </w:r>
      <w:r>
        <w:t xml:space="preserve"> Buccafusco &amp; Masur</w:t>
      </w:r>
      <w:r w:rsidR="00E47AD6">
        <w:t xml:space="preserve">, </w:t>
      </w:r>
      <w:r w:rsidR="00E47AD6" w:rsidRPr="001401D2">
        <w:rPr>
          <w:i/>
        </w:rPr>
        <w:t>supra</w:t>
      </w:r>
      <w:r w:rsidR="00E47AD6">
        <w:t xml:space="preserve"> note</w:t>
      </w:r>
      <w:r w:rsidR="00467DF2">
        <w:t xml:space="preserve"> </w:t>
      </w:r>
      <w:r w:rsidR="00467DF2">
        <w:fldChar w:fldCharType="begin"/>
      </w:r>
      <w:r w:rsidR="00467DF2">
        <w:instrText xml:space="preserve"> NOTEREF _Ref126694238 \h </w:instrText>
      </w:r>
      <w:r w:rsidR="00467DF2">
        <w:fldChar w:fldCharType="separate"/>
      </w:r>
      <w:r w:rsidR="00995C7E">
        <w:t>168</w:t>
      </w:r>
      <w:r w:rsidR="00467DF2">
        <w:fldChar w:fldCharType="end"/>
      </w:r>
      <w:r w:rsidR="00E47AD6">
        <w:t>, at 1432</w:t>
      </w:r>
      <w:r w:rsidR="00E14854">
        <w:t>–</w:t>
      </w:r>
      <w:r w:rsidR="00E47AD6">
        <w:t>37</w:t>
      </w:r>
      <w:r>
        <w:t>.</w:t>
      </w:r>
    </w:p>
  </w:footnote>
  <w:footnote w:id="336">
    <w:p w14:paraId="0455AA60" w14:textId="03511395" w:rsidR="00202947" w:rsidRDefault="00202947">
      <w:pPr>
        <w:pStyle w:val="FootnoteText"/>
      </w:pPr>
      <w:r>
        <w:rPr>
          <w:rStyle w:val="FootnoteReference"/>
        </w:rPr>
        <w:footnoteRef/>
      </w:r>
      <w:r>
        <w:t xml:space="preserve"> </w:t>
      </w:r>
      <w:r w:rsidR="005D06AA" w:rsidRPr="001401D2">
        <w:rPr>
          <w:i/>
          <w:iCs/>
        </w:rPr>
        <w:t>See</w:t>
      </w:r>
      <w:r w:rsidR="005D06AA" w:rsidRPr="001401D2">
        <w:rPr>
          <w:i/>
        </w:rPr>
        <w:t xml:space="preserve"> supra</w:t>
      </w:r>
      <w:r w:rsidR="005D06AA">
        <w:t xml:space="preserve"> Part I.</w:t>
      </w:r>
    </w:p>
  </w:footnote>
  <w:footnote w:id="337">
    <w:p w14:paraId="3C7B9B29" w14:textId="2AD03E66" w:rsidR="00202947" w:rsidRDefault="00202947">
      <w:pPr>
        <w:pStyle w:val="FootnoteText"/>
      </w:pPr>
      <w:r>
        <w:rPr>
          <w:rStyle w:val="FootnoteReference"/>
        </w:rPr>
        <w:footnoteRef/>
      </w:r>
      <w:r>
        <w:t xml:space="preserve"> </w:t>
      </w:r>
      <w:r w:rsidR="006A2C56" w:rsidRPr="000A216B">
        <w:t>Hemel &amp; Ouellette,</w:t>
      </w:r>
      <w:r w:rsidR="00467DF2">
        <w:t xml:space="preserve"> </w:t>
      </w:r>
      <w:r w:rsidR="004174F3" w:rsidRPr="000A216B">
        <w:rPr>
          <w:i/>
          <w:iCs/>
        </w:rPr>
        <w:t xml:space="preserve">Beyond the Patents-Prizes </w:t>
      </w:r>
      <w:r w:rsidR="004174F3" w:rsidRPr="003D46E5">
        <w:rPr>
          <w:i/>
          <w:iCs/>
        </w:rPr>
        <w:t>Debate</w:t>
      </w:r>
      <w:r w:rsidR="00467DF2">
        <w:t>,</w:t>
      </w:r>
      <w:r w:rsidR="006A2C56" w:rsidRPr="000A216B">
        <w:t xml:space="preserve"> </w:t>
      </w:r>
      <w:r w:rsidR="006A2C56" w:rsidRPr="000A216B">
        <w:rPr>
          <w:i/>
          <w:iCs/>
        </w:rPr>
        <w:t xml:space="preserve">supra </w:t>
      </w:r>
      <w:r w:rsidR="006A2C56" w:rsidRPr="000A216B">
        <w:t xml:space="preserve">note </w:t>
      </w:r>
      <w:r w:rsidR="00393625">
        <w:fldChar w:fldCharType="begin"/>
      </w:r>
      <w:r w:rsidR="00393625">
        <w:instrText xml:space="preserve"> NOTEREF _Ref126790048 \h </w:instrText>
      </w:r>
      <w:r w:rsidR="00393625">
        <w:fldChar w:fldCharType="separate"/>
      </w:r>
      <w:r w:rsidR="00995C7E">
        <w:t>57</w:t>
      </w:r>
      <w:r w:rsidR="00393625">
        <w:fldChar w:fldCharType="end"/>
      </w:r>
      <w:r w:rsidR="00393625">
        <w:t>,</w:t>
      </w:r>
      <w:r w:rsidR="006A2C56" w:rsidRPr="000A216B">
        <w:t xml:space="preserve"> at</w:t>
      </w:r>
      <w:r w:rsidR="006A2C56">
        <w:t xml:space="preserve"> </w:t>
      </w:r>
      <w:r w:rsidR="00F35ED6">
        <w:t>312</w:t>
      </w:r>
      <w:r w:rsidR="00E14854">
        <w:t>–</w:t>
      </w:r>
      <w:r w:rsidR="00F35ED6">
        <w:t>14</w:t>
      </w:r>
      <w:r>
        <w:t>.</w:t>
      </w:r>
    </w:p>
  </w:footnote>
  <w:footnote w:id="338">
    <w:p w14:paraId="4FDF7098" w14:textId="30519CDC" w:rsidR="005A0814" w:rsidRDefault="005A0814">
      <w:pPr>
        <w:pStyle w:val="FootnoteText"/>
      </w:pPr>
      <w:r>
        <w:rPr>
          <w:rStyle w:val="FootnoteReference"/>
        </w:rPr>
        <w:footnoteRef/>
      </w:r>
      <w:r>
        <w:t xml:space="preserve"> </w:t>
      </w:r>
      <w:r w:rsidR="00E47AD6" w:rsidRPr="001401D2">
        <w:rPr>
          <w:i/>
          <w:iCs/>
        </w:rPr>
        <w:t>See</w:t>
      </w:r>
      <w:r w:rsidR="00E47AD6" w:rsidRPr="001401D2">
        <w:rPr>
          <w:i/>
        </w:rPr>
        <w:t xml:space="preserve"> </w:t>
      </w:r>
      <w:r w:rsidR="00E47AD6" w:rsidRPr="007E3418">
        <w:rPr>
          <w:i/>
          <w:iCs/>
        </w:rPr>
        <w:t>supra</w:t>
      </w:r>
      <w:r w:rsidR="00E47AD6" w:rsidRPr="007E3418">
        <w:t xml:space="preserve"> </w:t>
      </w:r>
      <w:r w:rsidR="002B62DE">
        <w:t>Part</w:t>
      </w:r>
      <w:r w:rsidR="002B62DE" w:rsidRPr="007E3418">
        <w:t xml:space="preserve"> </w:t>
      </w:r>
      <w:r w:rsidR="00E47AD6" w:rsidRPr="007E3418">
        <w:t>II.A</w:t>
      </w:r>
      <w:r>
        <w:t>.</w:t>
      </w:r>
    </w:p>
  </w:footnote>
  <w:footnote w:id="339">
    <w:p w14:paraId="2D72B3DB" w14:textId="45FB7C1D" w:rsidR="002D669E" w:rsidRDefault="002D669E">
      <w:pPr>
        <w:pStyle w:val="FootnoteText"/>
      </w:pPr>
      <w:r>
        <w:rPr>
          <w:rStyle w:val="FootnoteReference"/>
        </w:rPr>
        <w:footnoteRef/>
      </w:r>
      <w:r>
        <w:t xml:space="preserve"> </w:t>
      </w:r>
      <w:r w:rsidR="005D06AA" w:rsidRPr="001401D2">
        <w:rPr>
          <w:i/>
          <w:iCs/>
        </w:rPr>
        <w:t>See</w:t>
      </w:r>
      <w:r w:rsidR="005D06AA" w:rsidRPr="001401D2">
        <w:rPr>
          <w:i/>
        </w:rPr>
        <w:t xml:space="preserve"> supra</w:t>
      </w:r>
      <w:r w:rsidR="005D06AA">
        <w:t xml:space="preserve"> </w:t>
      </w:r>
      <w:r w:rsidR="002B62DE">
        <w:t xml:space="preserve">Part </w:t>
      </w:r>
      <w:r w:rsidR="005D06AA">
        <w:t>II.A.1.</w:t>
      </w:r>
    </w:p>
  </w:footnote>
  <w:footnote w:id="340">
    <w:p w14:paraId="58426F92" w14:textId="5BD5365B" w:rsidR="00464D8C" w:rsidRDefault="00464D8C">
      <w:pPr>
        <w:pStyle w:val="FootnoteText"/>
      </w:pPr>
      <w:r>
        <w:rPr>
          <w:rStyle w:val="FootnoteReference"/>
        </w:rPr>
        <w:footnoteRef/>
      </w:r>
      <w:r>
        <w:t xml:space="preserve"> </w:t>
      </w:r>
      <w:r w:rsidR="005D06AA" w:rsidRPr="001401D2">
        <w:rPr>
          <w:i/>
          <w:iCs/>
        </w:rPr>
        <w:t>See</w:t>
      </w:r>
      <w:r w:rsidR="005D06AA" w:rsidRPr="001401D2">
        <w:rPr>
          <w:i/>
        </w:rPr>
        <w:t xml:space="preserve"> supra</w:t>
      </w:r>
      <w:r w:rsidR="005D06AA">
        <w:t xml:space="preserve"> </w:t>
      </w:r>
      <w:r w:rsidR="002B62DE">
        <w:t xml:space="preserve">Part </w:t>
      </w:r>
      <w:r w:rsidR="005D06AA">
        <w:t>II.A.2.</w:t>
      </w:r>
    </w:p>
  </w:footnote>
  <w:footnote w:id="341">
    <w:p w14:paraId="27767231" w14:textId="77777777" w:rsidR="005409B2" w:rsidRPr="00B10A3C" w:rsidRDefault="005409B2" w:rsidP="005409B2">
      <w:pPr>
        <w:pStyle w:val="FootnoteText"/>
        <w:rPr>
          <w:szCs w:val="20"/>
        </w:rPr>
      </w:pPr>
      <w:r w:rsidRPr="00B10A3C">
        <w:rPr>
          <w:rStyle w:val="FootnoteReference"/>
          <w:szCs w:val="20"/>
        </w:rPr>
        <w:footnoteRef/>
      </w:r>
      <w:r w:rsidRPr="00B10A3C">
        <w:rPr>
          <w:szCs w:val="20"/>
        </w:rPr>
        <w:t xml:space="preserve"> Eric A. Posner &amp; E. Glen Weyl, </w:t>
      </w:r>
      <w:r w:rsidRPr="00B10A3C">
        <w:rPr>
          <w:i/>
          <w:iCs/>
          <w:szCs w:val="20"/>
        </w:rPr>
        <w:t>An FDA for Financial Innovation: Applying the Insurable Interest Doctrine to Twenty-First-Century Financial Markets</w:t>
      </w:r>
      <w:r w:rsidRPr="00B10A3C">
        <w:rPr>
          <w:szCs w:val="20"/>
        </w:rPr>
        <w:t xml:space="preserve">, 107 </w:t>
      </w:r>
      <w:r w:rsidRPr="00B10A3C">
        <w:rPr>
          <w:smallCaps/>
          <w:szCs w:val="20"/>
        </w:rPr>
        <w:t>Nw. U. L. Rev</w:t>
      </w:r>
      <w:r w:rsidRPr="00B10A3C">
        <w:rPr>
          <w:szCs w:val="20"/>
        </w:rPr>
        <w:t>. 1307 (2013).</w:t>
      </w:r>
    </w:p>
  </w:footnote>
  <w:footnote w:id="342">
    <w:p w14:paraId="06077FEC" w14:textId="77777777" w:rsidR="005409B2" w:rsidRPr="00B10A3C" w:rsidRDefault="005409B2" w:rsidP="005409B2">
      <w:pPr>
        <w:pStyle w:val="FootnoteText"/>
        <w:rPr>
          <w:szCs w:val="20"/>
        </w:rPr>
      </w:pPr>
      <w:r w:rsidRPr="00B10A3C">
        <w:rPr>
          <w:rStyle w:val="FootnoteReference"/>
          <w:szCs w:val="20"/>
        </w:rPr>
        <w:footnoteRef/>
      </w:r>
      <w:r w:rsidRPr="00B10A3C">
        <w:rPr>
          <w:szCs w:val="20"/>
        </w:rPr>
        <w:t xml:space="preserve"> </w:t>
      </w:r>
      <w:r w:rsidRPr="00B10A3C">
        <w:rPr>
          <w:i/>
          <w:iCs/>
          <w:szCs w:val="20"/>
        </w:rPr>
        <w:t xml:space="preserve">Id. </w:t>
      </w:r>
      <w:r w:rsidRPr="00B10A3C">
        <w:rPr>
          <w:szCs w:val="20"/>
        </w:rPr>
        <w:t>at 1348 (“The inventor of a financial product will not be able to sell it to the public without first submitting an application to the [Financial Products Agency] and receiving approval.”).</w:t>
      </w:r>
    </w:p>
  </w:footnote>
  <w:footnote w:id="343">
    <w:p w14:paraId="68C32419" w14:textId="77777777" w:rsidR="005409B2" w:rsidRPr="00B10A3C" w:rsidRDefault="005409B2" w:rsidP="005409B2">
      <w:pPr>
        <w:pStyle w:val="FootnoteText"/>
        <w:rPr>
          <w:szCs w:val="20"/>
        </w:rPr>
      </w:pPr>
      <w:r w:rsidRPr="00B10A3C">
        <w:rPr>
          <w:rStyle w:val="FootnoteReference"/>
          <w:szCs w:val="20"/>
        </w:rPr>
        <w:footnoteRef/>
      </w:r>
      <w:r w:rsidRPr="00B10A3C">
        <w:rPr>
          <w:szCs w:val="20"/>
        </w:rPr>
        <w:t xml:space="preserve"> </w:t>
      </w:r>
      <w:r w:rsidRPr="00B10A3C">
        <w:rPr>
          <w:i/>
          <w:iCs/>
          <w:szCs w:val="20"/>
        </w:rPr>
        <w:t xml:space="preserve">Id. </w:t>
      </w:r>
      <w:r w:rsidRPr="00B10A3C">
        <w:rPr>
          <w:szCs w:val="20"/>
        </w:rPr>
        <w:t xml:space="preserve">at 1309 (proposing “a simple test for determining whether a financial instrument is socially valuable or socially costly, and </w:t>
      </w:r>
      <w:proofErr w:type="spellStart"/>
      <w:r w:rsidRPr="00B10A3C">
        <w:rPr>
          <w:szCs w:val="20"/>
        </w:rPr>
        <w:t>argu</w:t>
      </w:r>
      <w:proofErr w:type="spellEnd"/>
      <w:r w:rsidRPr="00B10A3C">
        <w:rPr>
          <w:szCs w:val="20"/>
        </w:rPr>
        <w:t>[</w:t>
      </w:r>
      <w:proofErr w:type="spellStart"/>
      <w:r w:rsidRPr="00B10A3C">
        <w:rPr>
          <w:szCs w:val="20"/>
        </w:rPr>
        <w:t>ing</w:t>
      </w:r>
      <w:proofErr w:type="spellEnd"/>
      <w:r w:rsidRPr="00B10A3C">
        <w:rPr>
          <w:szCs w:val="20"/>
        </w:rPr>
        <w:t>] that socially costly financial instruments should be banned.”).</w:t>
      </w:r>
    </w:p>
  </w:footnote>
  <w:footnote w:id="344">
    <w:p w14:paraId="4C6142E6" w14:textId="2362F5B2" w:rsidR="00596C4D" w:rsidRDefault="00596C4D">
      <w:pPr>
        <w:pStyle w:val="FootnoteText"/>
      </w:pPr>
      <w:r>
        <w:rPr>
          <w:rStyle w:val="FootnoteReference"/>
        </w:rPr>
        <w:footnoteRef/>
      </w:r>
      <w:r>
        <w:t xml:space="preserve"> </w:t>
      </w:r>
      <w:r w:rsidR="005D06AA" w:rsidRPr="001401D2">
        <w:rPr>
          <w:i/>
        </w:rPr>
        <w:t>See</w:t>
      </w:r>
      <w:r>
        <w:t xml:space="preserve"> Wiener, </w:t>
      </w:r>
      <w:r w:rsidRPr="001401D2">
        <w:rPr>
          <w:i/>
        </w:rPr>
        <w:t>supra</w:t>
      </w:r>
      <w:r>
        <w:t xml:space="preserve"> note</w:t>
      </w:r>
      <w:r w:rsidR="00D40AC5">
        <w:t xml:space="preserve"> </w:t>
      </w:r>
      <w:r w:rsidR="00D40AC5">
        <w:fldChar w:fldCharType="begin"/>
      </w:r>
      <w:r w:rsidR="00D40AC5">
        <w:instrText xml:space="preserve"> NOTEREF _Ref126660087 \h </w:instrText>
      </w:r>
      <w:r w:rsidR="00D40AC5">
        <w:fldChar w:fldCharType="separate"/>
      </w:r>
      <w:r w:rsidR="00995C7E">
        <w:t>322</w:t>
      </w:r>
      <w:r w:rsidR="00D40AC5">
        <w:fldChar w:fldCharType="end"/>
      </w:r>
      <w:r>
        <w:t xml:space="preserve">; Sunstein, </w:t>
      </w:r>
      <w:r w:rsidRPr="001401D2">
        <w:rPr>
          <w:i/>
        </w:rPr>
        <w:t>supra</w:t>
      </w:r>
      <w:r>
        <w:t xml:space="preserve"> note</w:t>
      </w:r>
      <w:r w:rsidR="002B62DE">
        <w:t xml:space="preserve"> </w:t>
      </w:r>
      <w:r w:rsidR="00D40AC5">
        <w:fldChar w:fldCharType="begin"/>
      </w:r>
      <w:r w:rsidR="00D40AC5">
        <w:instrText xml:space="preserve"> NOTEREF _Ref126660145 \h </w:instrText>
      </w:r>
      <w:r w:rsidR="00D40AC5">
        <w:fldChar w:fldCharType="separate"/>
      </w:r>
      <w:r w:rsidR="00995C7E">
        <w:t>282</w:t>
      </w:r>
      <w:r w:rsidR="00D40AC5">
        <w:fldChar w:fldCharType="end"/>
      </w:r>
      <w:r>
        <w:t xml:space="preserve">. </w:t>
      </w:r>
    </w:p>
  </w:footnote>
  <w:footnote w:id="345">
    <w:p w14:paraId="586FF72E" w14:textId="45C0563C" w:rsidR="001114FE" w:rsidRDefault="001114FE">
      <w:pPr>
        <w:pStyle w:val="FootnoteText"/>
      </w:pPr>
      <w:r>
        <w:rPr>
          <w:rStyle w:val="FootnoteReference"/>
        </w:rPr>
        <w:footnoteRef/>
      </w:r>
      <w:r>
        <w:t xml:space="preserve"> </w:t>
      </w:r>
      <w:r w:rsidR="007D519F">
        <w:t>New York v. Actavis PLC, 787 F.3d 638 (2d Cir. 2015).</w:t>
      </w:r>
    </w:p>
  </w:footnote>
  <w:footnote w:id="346">
    <w:p w14:paraId="4162CB9B" w14:textId="7EB921C5" w:rsidR="00125E9B" w:rsidRDefault="00125E9B">
      <w:pPr>
        <w:pStyle w:val="FootnoteText"/>
      </w:pPr>
      <w:r>
        <w:rPr>
          <w:rStyle w:val="FootnoteReference"/>
        </w:rPr>
        <w:footnoteRef/>
      </w:r>
      <w:r>
        <w:t xml:space="preserve"> </w:t>
      </w:r>
      <w:r w:rsidR="007D519F">
        <w:rPr>
          <w:i/>
          <w:iCs/>
        </w:rPr>
        <w:t xml:space="preserve">Id. </w:t>
      </w:r>
      <w:r w:rsidR="007D519F">
        <w:t>at 642.</w:t>
      </w:r>
    </w:p>
  </w:footnote>
  <w:footnote w:id="347">
    <w:p w14:paraId="081DC468" w14:textId="6CA63090" w:rsidR="00125E9B" w:rsidRDefault="00125E9B">
      <w:pPr>
        <w:pStyle w:val="FootnoteText"/>
      </w:pPr>
      <w:r>
        <w:rPr>
          <w:rStyle w:val="FootnoteReference"/>
        </w:rPr>
        <w:footnoteRef/>
      </w:r>
      <w:r>
        <w:t xml:space="preserve"> </w:t>
      </w:r>
      <w:r w:rsidR="007D519F">
        <w:rPr>
          <w:i/>
          <w:iCs/>
        </w:rPr>
        <w:t>Id.</w:t>
      </w:r>
    </w:p>
  </w:footnote>
  <w:footnote w:id="348">
    <w:p w14:paraId="2793ABF4" w14:textId="66FEC002" w:rsidR="00F10E12" w:rsidRDefault="00F10E12">
      <w:pPr>
        <w:pStyle w:val="FootnoteText"/>
      </w:pPr>
      <w:r>
        <w:rPr>
          <w:rStyle w:val="FootnoteReference"/>
        </w:rPr>
        <w:footnoteRef/>
      </w:r>
      <w:r>
        <w:t xml:space="preserve"> </w:t>
      </w:r>
      <w:r w:rsidR="005D06AA" w:rsidRPr="001401D2">
        <w:rPr>
          <w:i/>
          <w:iCs/>
        </w:rPr>
        <w:t>Id.</w:t>
      </w:r>
      <w:r w:rsidR="005D06AA">
        <w:t xml:space="preserve"> at 647</w:t>
      </w:r>
      <w:r w:rsidR="00810C4C">
        <w:t>–</w:t>
      </w:r>
      <w:r w:rsidR="005D06AA">
        <w:t>48</w:t>
      </w:r>
      <w:r>
        <w:t>.</w:t>
      </w:r>
    </w:p>
  </w:footnote>
  <w:footnote w:id="349">
    <w:p w14:paraId="40DDB50D" w14:textId="04ED1BD8" w:rsidR="00125E9B" w:rsidRDefault="00125E9B">
      <w:pPr>
        <w:pStyle w:val="FootnoteText"/>
      </w:pPr>
      <w:r>
        <w:rPr>
          <w:rStyle w:val="FootnoteReference"/>
        </w:rPr>
        <w:footnoteRef/>
      </w:r>
      <w:r>
        <w:t xml:space="preserve"> </w:t>
      </w:r>
      <w:r w:rsidR="00F84616">
        <w:rPr>
          <w:i/>
          <w:iCs/>
        </w:rPr>
        <w:t xml:space="preserve">Id. </w:t>
      </w:r>
      <w:r w:rsidR="00F84616">
        <w:t>at 642</w:t>
      </w:r>
      <w:r w:rsidR="00810C4C">
        <w:t>–</w:t>
      </w:r>
      <w:r w:rsidR="00F84616">
        <w:t>43.</w:t>
      </w:r>
    </w:p>
  </w:footnote>
  <w:footnote w:id="350">
    <w:p w14:paraId="1A7F7CAD" w14:textId="1751E824" w:rsidR="00152AAF" w:rsidRDefault="00152AAF">
      <w:pPr>
        <w:pStyle w:val="FootnoteText"/>
      </w:pPr>
      <w:r>
        <w:rPr>
          <w:rStyle w:val="FootnoteReference"/>
        </w:rPr>
        <w:footnoteRef/>
      </w:r>
      <w:r>
        <w:t xml:space="preserve"> </w:t>
      </w:r>
      <w:r w:rsidR="00F84616">
        <w:rPr>
          <w:i/>
          <w:iCs/>
        </w:rPr>
        <w:t>Id.</w:t>
      </w:r>
    </w:p>
  </w:footnote>
  <w:footnote w:id="351">
    <w:p w14:paraId="33F282CD" w14:textId="79FE0BA4" w:rsidR="005E5185" w:rsidRDefault="005E5185">
      <w:pPr>
        <w:pStyle w:val="FootnoteText"/>
      </w:pPr>
      <w:r>
        <w:rPr>
          <w:rStyle w:val="FootnoteReference"/>
        </w:rPr>
        <w:footnoteRef/>
      </w:r>
      <w:r>
        <w:t xml:space="preserve"> </w:t>
      </w:r>
      <w:r w:rsidRPr="005E5185">
        <w:rPr>
          <w:i/>
          <w:iCs/>
        </w:rPr>
        <w:t>Id</w:t>
      </w:r>
      <w:r>
        <w:t>.</w:t>
      </w:r>
    </w:p>
  </w:footnote>
  <w:footnote w:id="352">
    <w:p w14:paraId="31900259" w14:textId="6512B2A7" w:rsidR="00C62623" w:rsidRDefault="00C62623" w:rsidP="00C62623">
      <w:pPr>
        <w:pStyle w:val="FootnoteText"/>
      </w:pPr>
      <w:r>
        <w:rPr>
          <w:rStyle w:val="FootnoteReference"/>
        </w:rPr>
        <w:footnoteRef/>
      </w:r>
      <w:r>
        <w:t xml:space="preserve"> </w:t>
      </w:r>
      <w:r w:rsidR="005D06AA" w:rsidRPr="001401D2">
        <w:rPr>
          <w:i/>
          <w:iCs/>
        </w:rPr>
        <w:t>Id.</w:t>
      </w:r>
      <w:r w:rsidR="005D06AA">
        <w:t xml:space="preserve"> at 663.</w:t>
      </w:r>
    </w:p>
  </w:footnote>
  <w:footnote w:id="353">
    <w:p w14:paraId="7CB6E6B9" w14:textId="6E3BFE9D" w:rsidR="00C62623" w:rsidRPr="00737CF7" w:rsidRDefault="00C62623" w:rsidP="00C62623">
      <w:pPr>
        <w:pStyle w:val="FootnoteText"/>
        <w:rPr>
          <w:i/>
          <w:iCs/>
        </w:rPr>
      </w:pPr>
      <w:r>
        <w:rPr>
          <w:rStyle w:val="FootnoteReference"/>
        </w:rPr>
        <w:footnoteRef/>
      </w:r>
      <w:r>
        <w:t xml:space="preserve"> </w:t>
      </w:r>
      <w:r>
        <w:rPr>
          <w:i/>
          <w:iCs/>
        </w:rPr>
        <w:t>Id.</w:t>
      </w:r>
      <w:r w:rsidR="00F84616">
        <w:rPr>
          <w:i/>
          <w:iCs/>
        </w:rPr>
        <w:t xml:space="preserve"> </w:t>
      </w:r>
      <w:r w:rsidR="00F84616">
        <w:t>at 652.</w:t>
      </w:r>
    </w:p>
  </w:footnote>
  <w:footnote w:id="354">
    <w:p w14:paraId="7A8A6615" w14:textId="39591D43" w:rsidR="00DD6B1C" w:rsidRDefault="00DD6B1C">
      <w:pPr>
        <w:pStyle w:val="FootnoteText"/>
      </w:pPr>
      <w:r>
        <w:rPr>
          <w:rStyle w:val="FootnoteReference"/>
        </w:rPr>
        <w:footnoteRef/>
      </w:r>
      <w:r>
        <w:t xml:space="preserve"> </w:t>
      </w:r>
      <w:r w:rsidR="00F84616">
        <w:rPr>
          <w:i/>
          <w:iCs/>
        </w:rPr>
        <w:t xml:space="preserve">Id. </w:t>
      </w:r>
      <w:r w:rsidR="00F84616">
        <w:t>at 653</w:t>
      </w:r>
      <w:r w:rsidR="00810C4C">
        <w:t>–</w:t>
      </w:r>
      <w:r w:rsidR="00F84616">
        <w:t>54.</w:t>
      </w:r>
    </w:p>
  </w:footnote>
  <w:footnote w:id="355">
    <w:p w14:paraId="4187945F" w14:textId="2AC45714" w:rsidR="00691AFA" w:rsidRDefault="00691AFA">
      <w:pPr>
        <w:pStyle w:val="FootnoteText"/>
      </w:pPr>
      <w:r>
        <w:rPr>
          <w:rStyle w:val="FootnoteReference"/>
        </w:rPr>
        <w:footnoteRef/>
      </w:r>
      <w:r>
        <w:t xml:space="preserve"> </w:t>
      </w:r>
      <w:r w:rsidR="00F84616">
        <w:rPr>
          <w:i/>
          <w:iCs/>
        </w:rPr>
        <w:t xml:space="preserve">Id. </w:t>
      </w:r>
      <w:r w:rsidR="00F84616">
        <w:t>at 659.</w:t>
      </w:r>
    </w:p>
  </w:footnote>
  <w:footnote w:id="356">
    <w:p w14:paraId="0E81DE74" w14:textId="5A730056" w:rsidR="00C62623" w:rsidRPr="00392612" w:rsidRDefault="00C62623" w:rsidP="002E6D5C">
      <w:pPr>
        <w:pStyle w:val="FootnoteText"/>
      </w:pPr>
      <w:r>
        <w:rPr>
          <w:rStyle w:val="FootnoteReference"/>
        </w:rPr>
        <w:footnoteRef/>
      </w:r>
      <w:r>
        <w:t xml:space="preserve"> </w:t>
      </w:r>
      <w:r>
        <w:rPr>
          <w:i/>
          <w:iCs/>
        </w:rPr>
        <w:t xml:space="preserve">Id. </w:t>
      </w:r>
      <w:r>
        <w:t>at 659.</w:t>
      </w:r>
      <w:r w:rsidR="00905307">
        <w:t xml:space="preserve">  </w:t>
      </w:r>
    </w:p>
  </w:footnote>
  <w:footnote w:id="357">
    <w:p w14:paraId="157B88C3" w14:textId="4F8D9B3C" w:rsidR="00C91F31" w:rsidRDefault="00C91F31">
      <w:pPr>
        <w:pStyle w:val="FootnoteText"/>
      </w:pPr>
      <w:r>
        <w:rPr>
          <w:rStyle w:val="FootnoteReference"/>
        </w:rPr>
        <w:footnoteRef/>
      </w:r>
      <w:r>
        <w:t xml:space="preserve"> </w:t>
      </w:r>
      <w:r w:rsidR="00607229">
        <w:t>481 F. Supp. 965 (N.D. Cal. 1979).</w:t>
      </w:r>
    </w:p>
  </w:footnote>
  <w:footnote w:id="358">
    <w:p w14:paraId="2C63E4A1" w14:textId="77777777" w:rsidR="00C62623" w:rsidRPr="00B10A3C" w:rsidRDefault="00C62623" w:rsidP="00C62623">
      <w:pPr>
        <w:pStyle w:val="FootnoteText"/>
        <w:rPr>
          <w:szCs w:val="20"/>
        </w:rPr>
      </w:pPr>
      <w:r w:rsidRPr="00B10A3C">
        <w:rPr>
          <w:rStyle w:val="FootnoteReference"/>
          <w:rFonts w:eastAsia="MS Gothic"/>
          <w:szCs w:val="20"/>
        </w:rPr>
        <w:footnoteRef/>
      </w:r>
      <w:r w:rsidRPr="00B10A3C">
        <w:rPr>
          <w:szCs w:val="20"/>
        </w:rPr>
        <w:t xml:space="preserve"> </w:t>
      </w:r>
      <w:r w:rsidRPr="00B10A3C">
        <w:rPr>
          <w:i/>
          <w:iCs/>
          <w:szCs w:val="20"/>
        </w:rPr>
        <w:t xml:space="preserve">Id. </w:t>
      </w:r>
      <w:r w:rsidRPr="00B10A3C">
        <w:rPr>
          <w:szCs w:val="20"/>
        </w:rPr>
        <w:t>at 1003.</w:t>
      </w:r>
    </w:p>
  </w:footnote>
  <w:footnote w:id="359">
    <w:p w14:paraId="0C717A82" w14:textId="083EDDD7" w:rsidR="004F5207" w:rsidRDefault="004F5207">
      <w:pPr>
        <w:pStyle w:val="FootnoteText"/>
      </w:pPr>
      <w:r>
        <w:rPr>
          <w:rStyle w:val="FootnoteReference"/>
        </w:rPr>
        <w:footnoteRef/>
      </w:r>
      <w:r>
        <w:t xml:space="preserve"> </w:t>
      </w:r>
      <w:r w:rsidR="00F84616">
        <w:rPr>
          <w:i/>
          <w:iCs/>
        </w:rPr>
        <w:t xml:space="preserve">See </w:t>
      </w:r>
      <w:r w:rsidR="00F84616" w:rsidRPr="001401D2">
        <w:t>F.T.C. v. CCC Holdings Inc</w:t>
      </w:r>
      <w:r w:rsidR="00F84616">
        <w:rPr>
          <w:i/>
          <w:iCs/>
        </w:rPr>
        <w:t>.</w:t>
      </w:r>
      <w:r w:rsidR="00F84616">
        <w:t>, 605 F. Supp. 2d 26, 46</w:t>
      </w:r>
      <w:r w:rsidR="00F84616">
        <w:rPr>
          <w:i/>
          <w:iCs/>
        </w:rPr>
        <w:t xml:space="preserve"> </w:t>
      </w:r>
      <w:r w:rsidR="00F84616">
        <w:t>(D.D.C. 2009</w:t>
      </w:r>
      <w:r w:rsidR="00F84616" w:rsidRPr="0004178E">
        <w:t>); U.S. v. Microsoft Corp., 253 F.3d 54, 59 (D.C. Cir. 2001</w:t>
      </w:r>
      <w:r w:rsidR="00F84616" w:rsidRPr="001401D2">
        <w:rPr>
          <w:szCs w:val="20"/>
          <w:shd w:val="clear" w:color="auto" w:fill="FFFFFF"/>
        </w:rPr>
        <w:t>).</w:t>
      </w:r>
    </w:p>
  </w:footnote>
  <w:footnote w:id="360">
    <w:p w14:paraId="7B72CE06" w14:textId="79FD5246" w:rsidR="004F5207" w:rsidRDefault="004F5207">
      <w:pPr>
        <w:pStyle w:val="FootnoteText"/>
      </w:pPr>
      <w:r>
        <w:rPr>
          <w:rStyle w:val="FootnoteReference"/>
        </w:rPr>
        <w:footnoteRef/>
      </w:r>
      <w:r>
        <w:t xml:space="preserve"> </w:t>
      </w:r>
      <w:r w:rsidR="00F84616">
        <w:rPr>
          <w:i/>
          <w:iCs/>
        </w:rPr>
        <w:t xml:space="preserve">See </w:t>
      </w:r>
      <w:r w:rsidR="00F84616" w:rsidRPr="0004178E">
        <w:t xml:space="preserve">James Niels Rosenquist, Fiona Scott Morton &amp; Samuel N. Weinstein, </w:t>
      </w:r>
      <w:r w:rsidR="00F84616" w:rsidRPr="0004178E">
        <w:rPr>
          <w:i/>
          <w:iCs/>
        </w:rPr>
        <w:t>Addictive Technology and its Implications for Antitrust Enforcement</w:t>
      </w:r>
      <w:r w:rsidR="00F84616" w:rsidRPr="0004178E">
        <w:t xml:space="preserve">, 100 </w:t>
      </w:r>
      <w:r w:rsidR="00F84616" w:rsidRPr="001401D2">
        <w:rPr>
          <w:smallCaps/>
        </w:rPr>
        <w:t>N.C. L. Rev.</w:t>
      </w:r>
      <w:r w:rsidR="00F84616" w:rsidRPr="0004178E">
        <w:t xml:space="preserve"> 431, 471 (2022) (“</w:t>
      </w:r>
      <w:r w:rsidR="00F84616" w:rsidRPr="001401D2">
        <w:rPr>
          <w:szCs w:val="20"/>
          <w:shd w:val="clear" w:color="auto" w:fill="FFFFFF"/>
        </w:rPr>
        <w:t>A common shortcut, or summary statistic, that is often used in enforcement is to use change in output as a proxy for consumer welfare.”).</w:t>
      </w:r>
    </w:p>
  </w:footnote>
  <w:footnote w:id="361">
    <w:p w14:paraId="16D150F6" w14:textId="67F5BD57" w:rsidR="00F84616" w:rsidRDefault="00F84616">
      <w:pPr>
        <w:pStyle w:val="FootnoteText"/>
      </w:pPr>
      <w:r>
        <w:rPr>
          <w:rStyle w:val="FootnoteReference"/>
        </w:rPr>
        <w:footnoteRef/>
      </w:r>
      <w:r>
        <w:t xml:space="preserve"> </w:t>
      </w:r>
      <w:r>
        <w:rPr>
          <w:i/>
          <w:iCs/>
        </w:rPr>
        <w:t>Id</w:t>
      </w:r>
      <w:r w:rsidRPr="0004178E">
        <w:rPr>
          <w:i/>
          <w:iCs/>
        </w:rPr>
        <w:t xml:space="preserve">. </w:t>
      </w:r>
      <w:r w:rsidRPr="0004178E">
        <w:t>at 475 (“</w:t>
      </w:r>
      <w:r w:rsidRPr="001401D2">
        <w:rPr>
          <w:szCs w:val="20"/>
          <w:shd w:val="clear" w:color="auto" w:fill="FFFFFF"/>
        </w:rPr>
        <w:t>Because output is a ‘shortcut,’ or proxy, for consumer welfare, it does not give an accurate assessment when some consumption creates disutility.”).</w:t>
      </w:r>
    </w:p>
  </w:footnote>
  <w:footnote w:id="362">
    <w:p w14:paraId="447E6F51" w14:textId="7D73BE3F" w:rsidR="007B3F25" w:rsidRDefault="007B3F25">
      <w:pPr>
        <w:pStyle w:val="FootnoteText"/>
      </w:pPr>
      <w:r>
        <w:rPr>
          <w:rStyle w:val="FootnoteReference"/>
        </w:rPr>
        <w:footnoteRef/>
      </w:r>
      <w:r>
        <w:t xml:space="preserve"> </w:t>
      </w:r>
      <w:r w:rsidR="005D06AA" w:rsidRPr="001401D2">
        <w:rPr>
          <w:i/>
          <w:iCs/>
        </w:rPr>
        <w:t>See</w:t>
      </w:r>
      <w:r w:rsidR="005D06AA" w:rsidRPr="001401D2">
        <w:rPr>
          <w:i/>
        </w:rPr>
        <w:t xml:space="preserve"> id.</w:t>
      </w:r>
      <w:r w:rsidR="005D06AA">
        <w:t xml:space="preserve"> at 484</w:t>
      </w:r>
      <w:r w:rsidR="00ED1EA9">
        <w:t>–</w:t>
      </w:r>
      <w:r w:rsidR="005D06AA">
        <w:t>85.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1A39B" w14:textId="5726B1AA" w:rsidR="000C4FFA" w:rsidRPr="00CA6BC7" w:rsidRDefault="00DF6DA9" w:rsidP="00CA6BC7">
    <w:pPr>
      <w:pStyle w:val="Header"/>
      <w:jc w:val="center"/>
      <w:rPr>
        <w:i/>
        <w:sz w:val="18"/>
        <w:szCs w:val="18"/>
      </w:rPr>
    </w:pPr>
    <w:r>
      <w:rPr>
        <w:i/>
        <w:sz w:val="18"/>
        <w:szCs w:val="18"/>
      </w:rPr>
      <w:t>ANTISOCIAL INNOVATION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B0674CE"/>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B9AA7C2"/>
    <w:lvl w:ilvl="0">
      <w:start w:val="1"/>
      <w:numFmt w:val="decimal"/>
      <w:lvlText w:val="%1."/>
      <w:lvlJc w:val="left"/>
      <w:pPr>
        <w:tabs>
          <w:tab w:val="num" w:pos="1800"/>
        </w:tabs>
        <w:ind w:left="1800" w:hanging="360"/>
      </w:pPr>
      <w:rPr>
        <w:rFonts w:cs="Times New Roman"/>
      </w:rPr>
    </w:lvl>
  </w:abstractNum>
  <w:abstractNum w:abstractNumId="2" w15:restartNumberingAfterBreak="0">
    <w:nsid w:val="FFFFFF7D"/>
    <w:multiLevelType w:val="singleLevel"/>
    <w:tmpl w:val="6F3EF556"/>
    <w:lvl w:ilvl="0">
      <w:start w:val="1"/>
      <w:numFmt w:val="decimal"/>
      <w:lvlText w:val="%1."/>
      <w:lvlJc w:val="left"/>
      <w:pPr>
        <w:tabs>
          <w:tab w:val="num" w:pos="1440"/>
        </w:tabs>
        <w:ind w:left="1440" w:hanging="360"/>
      </w:pPr>
      <w:rPr>
        <w:rFonts w:cs="Times New Roman"/>
      </w:rPr>
    </w:lvl>
  </w:abstractNum>
  <w:abstractNum w:abstractNumId="3" w15:restartNumberingAfterBreak="0">
    <w:nsid w:val="FFFFFF7E"/>
    <w:multiLevelType w:val="singleLevel"/>
    <w:tmpl w:val="8A6CD7A2"/>
    <w:lvl w:ilvl="0">
      <w:start w:val="1"/>
      <w:numFmt w:val="decimal"/>
      <w:lvlText w:val="%1."/>
      <w:lvlJc w:val="left"/>
      <w:pPr>
        <w:tabs>
          <w:tab w:val="num" w:pos="1080"/>
        </w:tabs>
        <w:ind w:left="1080" w:hanging="360"/>
      </w:pPr>
      <w:rPr>
        <w:rFonts w:cs="Times New Roman"/>
      </w:rPr>
    </w:lvl>
  </w:abstractNum>
  <w:abstractNum w:abstractNumId="4" w15:restartNumberingAfterBreak="0">
    <w:nsid w:val="FFFFFF7F"/>
    <w:multiLevelType w:val="singleLevel"/>
    <w:tmpl w:val="05806510"/>
    <w:lvl w:ilvl="0">
      <w:start w:val="1"/>
      <w:numFmt w:val="decimal"/>
      <w:lvlText w:val="%1."/>
      <w:lvlJc w:val="left"/>
      <w:pPr>
        <w:tabs>
          <w:tab w:val="num" w:pos="720"/>
        </w:tabs>
        <w:ind w:left="720" w:hanging="360"/>
      </w:pPr>
      <w:rPr>
        <w:rFonts w:cs="Times New Roman"/>
      </w:rPr>
    </w:lvl>
  </w:abstractNum>
  <w:abstractNum w:abstractNumId="5" w15:restartNumberingAfterBreak="0">
    <w:nsid w:val="FFFFFF80"/>
    <w:multiLevelType w:val="singleLevel"/>
    <w:tmpl w:val="745454B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D4765D96"/>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B622DB3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5A08799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C63C70AE"/>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4F04AD56"/>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E3E234E"/>
    <w:multiLevelType w:val="hybridMultilevel"/>
    <w:tmpl w:val="FA5EA0F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666660"/>
    <w:multiLevelType w:val="multilevel"/>
    <w:tmpl w:val="F566E278"/>
    <w:lvl w:ilvl="0">
      <w:start w:val="1"/>
      <w:numFmt w:val="upperRoman"/>
      <w:pStyle w:val="Heading1"/>
      <w:lvlText w:val="%1."/>
      <w:lvlJc w:val="center"/>
      <w:pPr>
        <w:ind w:left="360" w:firstLine="0"/>
      </w:pPr>
      <w:rPr>
        <w:rFonts w:cs="Times New Roman" w:hint="default"/>
      </w:rPr>
    </w:lvl>
    <w:lvl w:ilvl="1">
      <w:start w:val="1"/>
      <w:numFmt w:val="upperLetter"/>
      <w:pStyle w:val="Heading2"/>
      <w:lvlText w:val="%2."/>
      <w:lvlJc w:val="center"/>
      <w:pPr>
        <w:tabs>
          <w:tab w:val="num" w:pos="360"/>
        </w:tabs>
        <w:ind w:left="360" w:firstLine="0"/>
      </w:pPr>
      <w:rPr>
        <w:rFonts w:cs="Times New Roman" w:hint="default"/>
        <w:i/>
      </w:rPr>
    </w:lvl>
    <w:lvl w:ilvl="2">
      <w:start w:val="1"/>
      <w:numFmt w:val="decimal"/>
      <w:pStyle w:val="Heading3"/>
      <w:lvlText w:val="%3."/>
      <w:lvlJc w:val="left"/>
      <w:pPr>
        <w:tabs>
          <w:tab w:val="num" w:pos="-18"/>
        </w:tabs>
        <w:ind w:left="-18" w:firstLine="288"/>
      </w:pPr>
      <w:rPr>
        <w:rFonts w:cs="Times New Roman" w:hint="default"/>
        <w:u w:val="none"/>
      </w:rPr>
    </w:lvl>
    <w:lvl w:ilvl="3">
      <w:start w:val="1"/>
      <w:numFmt w:val="lowerLetter"/>
      <w:pStyle w:val="Heading4"/>
      <w:lvlText w:val="%4."/>
      <w:lvlJc w:val="left"/>
      <w:pPr>
        <w:tabs>
          <w:tab w:val="num" w:pos="0"/>
        </w:tabs>
        <w:ind w:left="720" w:firstLine="0"/>
      </w:pPr>
      <w:rPr>
        <w:rFonts w:cs="Times New Roman" w:hint="default"/>
      </w:rPr>
    </w:lvl>
    <w:lvl w:ilvl="4">
      <w:start w:val="1"/>
      <w:numFmt w:val="decimal"/>
      <w:pStyle w:val="Heading5"/>
      <w:lvlText w:val="(%5)"/>
      <w:lvlJc w:val="left"/>
      <w:pPr>
        <w:tabs>
          <w:tab w:val="num" w:pos="0"/>
        </w:tabs>
        <w:ind w:left="1440" w:firstLine="0"/>
      </w:pPr>
      <w:rPr>
        <w:rFonts w:cs="Times New Roman" w:hint="default"/>
      </w:rPr>
    </w:lvl>
    <w:lvl w:ilvl="5">
      <w:start w:val="1"/>
      <w:numFmt w:val="lowerLetter"/>
      <w:pStyle w:val="Heading6"/>
      <w:lvlText w:val="(%6)"/>
      <w:lvlJc w:val="left"/>
      <w:pPr>
        <w:tabs>
          <w:tab w:val="num" w:pos="0"/>
        </w:tabs>
        <w:ind w:left="2160" w:firstLine="0"/>
      </w:pPr>
      <w:rPr>
        <w:rFonts w:cs="Times New Roman" w:hint="default"/>
      </w:rPr>
    </w:lvl>
    <w:lvl w:ilvl="6">
      <w:start w:val="1"/>
      <w:numFmt w:val="lowerRoman"/>
      <w:pStyle w:val="Heading7"/>
      <w:lvlText w:val="(%7)"/>
      <w:lvlJc w:val="left"/>
      <w:pPr>
        <w:tabs>
          <w:tab w:val="num" w:pos="0"/>
        </w:tabs>
        <w:ind w:left="2880" w:firstLine="0"/>
      </w:pPr>
      <w:rPr>
        <w:rFonts w:cs="Times New Roman" w:hint="default"/>
      </w:rPr>
    </w:lvl>
    <w:lvl w:ilvl="7">
      <w:start w:val="1"/>
      <w:numFmt w:val="lowerLetter"/>
      <w:pStyle w:val="Heading8"/>
      <w:lvlText w:val="(%8)"/>
      <w:lvlJc w:val="left"/>
      <w:pPr>
        <w:tabs>
          <w:tab w:val="num" w:pos="0"/>
        </w:tabs>
        <w:ind w:left="3600" w:firstLine="0"/>
      </w:pPr>
      <w:rPr>
        <w:rFonts w:cs="Times New Roman" w:hint="default"/>
      </w:rPr>
    </w:lvl>
    <w:lvl w:ilvl="8">
      <w:start w:val="1"/>
      <w:numFmt w:val="lowerRoman"/>
      <w:pStyle w:val="Heading9"/>
      <w:lvlText w:val="(%9)"/>
      <w:lvlJc w:val="left"/>
      <w:pPr>
        <w:tabs>
          <w:tab w:val="num" w:pos="0"/>
        </w:tabs>
        <w:ind w:left="4320" w:firstLine="0"/>
      </w:pPr>
      <w:rPr>
        <w:rFonts w:cs="Times New Roman" w:hint="default"/>
      </w:rPr>
    </w:lvl>
  </w:abstractNum>
  <w:abstractNum w:abstractNumId="13" w15:restartNumberingAfterBreak="0">
    <w:nsid w:val="177B0274"/>
    <w:multiLevelType w:val="multilevel"/>
    <w:tmpl w:val="16E225E8"/>
    <w:lvl w:ilvl="0">
      <w:start w:val="1"/>
      <w:numFmt w:val="upperRoman"/>
      <w:lvlText w:val="%1."/>
      <w:lvlJc w:val="center"/>
      <w:pPr>
        <w:ind w:left="-1440" w:firstLine="1728"/>
      </w:pPr>
      <w:rPr>
        <w:rFonts w:cs="Times New Roman" w:hint="default"/>
      </w:rPr>
    </w:lvl>
    <w:lvl w:ilvl="1">
      <w:start w:val="1"/>
      <w:numFmt w:val="upperLetter"/>
      <w:lvlText w:val="%2."/>
      <w:lvlJc w:val="center"/>
      <w:pPr>
        <w:ind w:left="-720" w:firstLine="1008"/>
      </w:pPr>
      <w:rPr>
        <w:rFonts w:cs="Times New Roman" w:hint="default"/>
      </w:rPr>
    </w:lvl>
    <w:lvl w:ilvl="2">
      <w:start w:val="1"/>
      <w:numFmt w:val="decimal"/>
      <w:lvlText w:val="%3."/>
      <w:lvlJc w:val="center"/>
      <w:pPr>
        <w:ind w:firstLine="288"/>
      </w:pPr>
      <w:rPr>
        <w:rFonts w:cs="Times New Roman" w:hint="default"/>
        <w:u w:val="single"/>
      </w:rPr>
    </w:lvl>
    <w:lvl w:ilvl="3">
      <w:start w:val="1"/>
      <w:numFmt w:val="lowerLetter"/>
      <w:lvlText w:val="%4)"/>
      <w:lvlJc w:val="left"/>
      <w:pPr>
        <w:ind w:left="720"/>
      </w:pPr>
      <w:rPr>
        <w:rFonts w:cs="Times New Roman" w:hint="default"/>
      </w:rPr>
    </w:lvl>
    <w:lvl w:ilvl="4">
      <w:start w:val="1"/>
      <w:numFmt w:val="decimal"/>
      <w:lvlText w:val="(%5)"/>
      <w:lvlJc w:val="left"/>
      <w:pPr>
        <w:ind w:left="1440"/>
      </w:pPr>
      <w:rPr>
        <w:rFonts w:cs="Times New Roman" w:hint="default"/>
      </w:rPr>
    </w:lvl>
    <w:lvl w:ilvl="5">
      <w:start w:val="1"/>
      <w:numFmt w:val="lowerLetter"/>
      <w:lvlText w:val="(%6)"/>
      <w:lvlJc w:val="left"/>
      <w:pPr>
        <w:ind w:left="2160"/>
      </w:pPr>
      <w:rPr>
        <w:rFonts w:cs="Times New Roman" w:hint="default"/>
      </w:rPr>
    </w:lvl>
    <w:lvl w:ilvl="6">
      <w:start w:val="1"/>
      <w:numFmt w:val="lowerRoman"/>
      <w:lvlText w:val="(%7)"/>
      <w:lvlJc w:val="left"/>
      <w:pPr>
        <w:ind w:left="2880"/>
      </w:pPr>
      <w:rPr>
        <w:rFonts w:cs="Times New Roman" w:hint="default"/>
      </w:rPr>
    </w:lvl>
    <w:lvl w:ilvl="7">
      <w:start w:val="1"/>
      <w:numFmt w:val="lowerLetter"/>
      <w:lvlText w:val="(%8)"/>
      <w:lvlJc w:val="left"/>
      <w:pPr>
        <w:ind w:left="3600"/>
      </w:pPr>
      <w:rPr>
        <w:rFonts w:cs="Times New Roman" w:hint="default"/>
      </w:rPr>
    </w:lvl>
    <w:lvl w:ilvl="8">
      <w:start w:val="1"/>
      <w:numFmt w:val="lowerRoman"/>
      <w:lvlText w:val="(%9)"/>
      <w:lvlJc w:val="left"/>
      <w:pPr>
        <w:ind w:left="4320"/>
      </w:pPr>
      <w:rPr>
        <w:rFonts w:cs="Times New Roman" w:hint="default"/>
      </w:rPr>
    </w:lvl>
  </w:abstractNum>
  <w:abstractNum w:abstractNumId="14" w15:restartNumberingAfterBreak="0">
    <w:nsid w:val="29903006"/>
    <w:multiLevelType w:val="multilevel"/>
    <w:tmpl w:val="B906C02E"/>
    <w:lvl w:ilvl="0">
      <w:start w:val="1"/>
      <w:numFmt w:val="upperRoman"/>
      <w:lvlText w:val="%1."/>
      <w:lvlJc w:val="center"/>
      <w:pPr>
        <w:tabs>
          <w:tab w:val="num" w:pos="0"/>
        </w:tabs>
        <w:ind w:left="0" w:firstLine="288"/>
      </w:pPr>
      <w:rPr>
        <w:rFonts w:cs="Times New Roman" w:hint="default"/>
      </w:rPr>
    </w:lvl>
    <w:lvl w:ilvl="1">
      <w:start w:val="1"/>
      <w:numFmt w:val="upperLetter"/>
      <w:lvlText w:val="%2."/>
      <w:lvlJc w:val="center"/>
      <w:pPr>
        <w:tabs>
          <w:tab w:val="num" w:pos="0"/>
        </w:tabs>
        <w:ind w:left="-720" w:firstLine="1008"/>
      </w:pPr>
      <w:rPr>
        <w:rFonts w:cs="Times New Roman" w:hint="default"/>
        <w:i/>
      </w:rPr>
    </w:lvl>
    <w:lvl w:ilvl="2">
      <w:start w:val="1"/>
      <w:numFmt w:val="decimal"/>
      <w:lvlText w:val="%3."/>
      <w:lvlJc w:val="center"/>
      <w:pPr>
        <w:tabs>
          <w:tab w:val="num" w:pos="0"/>
        </w:tabs>
        <w:ind w:left="0" w:firstLine="288"/>
      </w:pPr>
      <w:rPr>
        <w:rFonts w:cs="Times New Roman" w:hint="default"/>
        <w:u w:val="single"/>
      </w:rPr>
    </w:lvl>
    <w:lvl w:ilvl="3">
      <w:start w:val="1"/>
      <w:numFmt w:val="lowerLetter"/>
      <w:lvlText w:val="%4)"/>
      <w:lvlJc w:val="left"/>
      <w:pPr>
        <w:tabs>
          <w:tab w:val="num" w:pos="0"/>
        </w:tabs>
        <w:ind w:left="720" w:firstLine="0"/>
      </w:pPr>
      <w:rPr>
        <w:rFonts w:cs="Times New Roman" w:hint="default"/>
      </w:rPr>
    </w:lvl>
    <w:lvl w:ilvl="4">
      <w:start w:val="1"/>
      <w:numFmt w:val="decimal"/>
      <w:lvlText w:val="(%5)"/>
      <w:lvlJc w:val="left"/>
      <w:pPr>
        <w:tabs>
          <w:tab w:val="num" w:pos="0"/>
        </w:tabs>
        <w:ind w:left="1440" w:firstLine="0"/>
      </w:pPr>
      <w:rPr>
        <w:rFonts w:cs="Times New Roman" w:hint="default"/>
      </w:rPr>
    </w:lvl>
    <w:lvl w:ilvl="5">
      <w:start w:val="1"/>
      <w:numFmt w:val="lowerLetter"/>
      <w:lvlText w:val="(%6)"/>
      <w:lvlJc w:val="left"/>
      <w:pPr>
        <w:tabs>
          <w:tab w:val="num" w:pos="0"/>
        </w:tabs>
        <w:ind w:left="2160" w:firstLine="0"/>
      </w:pPr>
      <w:rPr>
        <w:rFonts w:cs="Times New Roman" w:hint="default"/>
      </w:rPr>
    </w:lvl>
    <w:lvl w:ilvl="6">
      <w:start w:val="1"/>
      <w:numFmt w:val="lowerRoman"/>
      <w:lvlText w:val="(%7)"/>
      <w:lvlJc w:val="left"/>
      <w:pPr>
        <w:tabs>
          <w:tab w:val="num" w:pos="0"/>
        </w:tabs>
        <w:ind w:left="2880" w:firstLine="0"/>
      </w:pPr>
      <w:rPr>
        <w:rFonts w:cs="Times New Roman" w:hint="default"/>
      </w:rPr>
    </w:lvl>
    <w:lvl w:ilvl="7">
      <w:start w:val="1"/>
      <w:numFmt w:val="lowerLetter"/>
      <w:lvlText w:val="(%8)"/>
      <w:lvlJc w:val="left"/>
      <w:pPr>
        <w:tabs>
          <w:tab w:val="num" w:pos="0"/>
        </w:tabs>
        <w:ind w:left="3600" w:firstLine="0"/>
      </w:pPr>
      <w:rPr>
        <w:rFonts w:cs="Times New Roman" w:hint="default"/>
      </w:rPr>
    </w:lvl>
    <w:lvl w:ilvl="8">
      <w:start w:val="1"/>
      <w:numFmt w:val="lowerRoman"/>
      <w:lvlText w:val="(%9)"/>
      <w:lvlJc w:val="left"/>
      <w:pPr>
        <w:tabs>
          <w:tab w:val="num" w:pos="0"/>
        </w:tabs>
        <w:ind w:left="4320" w:firstLine="0"/>
      </w:pPr>
      <w:rPr>
        <w:rFonts w:cs="Times New Roman" w:hint="default"/>
      </w:rPr>
    </w:lvl>
  </w:abstractNum>
  <w:abstractNum w:abstractNumId="15" w15:restartNumberingAfterBreak="0">
    <w:nsid w:val="2D4C748B"/>
    <w:multiLevelType w:val="multilevel"/>
    <w:tmpl w:val="84FAE040"/>
    <w:lvl w:ilvl="0">
      <w:start w:val="1"/>
      <w:numFmt w:val="upperRoman"/>
      <w:lvlText w:val="%1."/>
      <w:lvlJc w:val="center"/>
      <w:pPr>
        <w:ind w:left="-1440" w:firstLine="1728"/>
      </w:pPr>
      <w:rPr>
        <w:rFonts w:cs="Times New Roman" w:hint="default"/>
      </w:rPr>
    </w:lvl>
    <w:lvl w:ilvl="1">
      <w:start w:val="1"/>
      <w:numFmt w:val="upperLetter"/>
      <w:lvlText w:val="%2."/>
      <w:lvlJc w:val="center"/>
      <w:pPr>
        <w:ind w:left="-720" w:firstLine="1008"/>
      </w:pPr>
      <w:rPr>
        <w:rFonts w:cs="Times New Roman" w:hint="default"/>
        <w:i/>
      </w:rPr>
    </w:lvl>
    <w:lvl w:ilvl="2">
      <w:start w:val="1"/>
      <w:numFmt w:val="decimal"/>
      <w:lvlText w:val="%3."/>
      <w:lvlJc w:val="center"/>
      <w:pPr>
        <w:ind w:firstLine="288"/>
      </w:pPr>
      <w:rPr>
        <w:rFonts w:cs="Times New Roman" w:hint="default"/>
        <w:u w:val="single"/>
      </w:rPr>
    </w:lvl>
    <w:lvl w:ilvl="3">
      <w:start w:val="1"/>
      <w:numFmt w:val="lowerLetter"/>
      <w:lvlText w:val="%4)"/>
      <w:lvlJc w:val="left"/>
      <w:pPr>
        <w:ind w:left="720"/>
      </w:pPr>
      <w:rPr>
        <w:rFonts w:cs="Times New Roman" w:hint="default"/>
      </w:rPr>
    </w:lvl>
    <w:lvl w:ilvl="4">
      <w:start w:val="1"/>
      <w:numFmt w:val="decimal"/>
      <w:lvlText w:val="(%5)"/>
      <w:lvlJc w:val="left"/>
      <w:pPr>
        <w:ind w:left="1440"/>
      </w:pPr>
      <w:rPr>
        <w:rFonts w:cs="Times New Roman" w:hint="default"/>
      </w:rPr>
    </w:lvl>
    <w:lvl w:ilvl="5">
      <w:start w:val="1"/>
      <w:numFmt w:val="lowerLetter"/>
      <w:lvlText w:val="(%6)"/>
      <w:lvlJc w:val="left"/>
      <w:pPr>
        <w:ind w:left="2160"/>
      </w:pPr>
      <w:rPr>
        <w:rFonts w:cs="Times New Roman" w:hint="default"/>
      </w:rPr>
    </w:lvl>
    <w:lvl w:ilvl="6">
      <w:start w:val="1"/>
      <w:numFmt w:val="lowerRoman"/>
      <w:lvlText w:val="(%7)"/>
      <w:lvlJc w:val="left"/>
      <w:pPr>
        <w:ind w:left="2880"/>
      </w:pPr>
      <w:rPr>
        <w:rFonts w:cs="Times New Roman" w:hint="default"/>
      </w:rPr>
    </w:lvl>
    <w:lvl w:ilvl="7">
      <w:start w:val="1"/>
      <w:numFmt w:val="lowerLetter"/>
      <w:lvlText w:val="(%8)"/>
      <w:lvlJc w:val="left"/>
      <w:pPr>
        <w:ind w:left="3600"/>
      </w:pPr>
      <w:rPr>
        <w:rFonts w:cs="Times New Roman" w:hint="default"/>
      </w:rPr>
    </w:lvl>
    <w:lvl w:ilvl="8">
      <w:start w:val="1"/>
      <w:numFmt w:val="lowerRoman"/>
      <w:lvlText w:val="(%9)"/>
      <w:lvlJc w:val="left"/>
      <w:pPr>
        <w:ind w:left="4320"/>
      </w:pPr>
      <w:rPr>
        <w:rFonts w:cs="Times New Roman" w:hint="default"/>
      </w:rPr>
    </w:lvl>
  </w:abstractNum>
  <w:abstractNum w:abstractNumId="16" w15:restartNumberingAfterBreak="0">
    <w:nsid w:val="32E53B98"/>
    <w:multiLevelType w:val="multilevel"/>
    <w:tmpl w:val="0AEE9D16"/>
    <w:lvl w:ilvl="0">
      <w:start w:val="1"/>
      <w:numFmt w:val="upperRoman"/>
      <w:lvlText w:val="%1."/>
      <w:lvlJc w:val="center"/>
      <w:pPr>
        <w:ind w:left="360" w:firstLine="0"/>
      </w:pPr>
      <w:rPr>
        <w:rFonts w:cs="Times New Roman" w:hint="default"/>
      </w:rPr>
    </w:lvl>
    <w:lvl w:ilvl="1">
      <w:start w:val="1"/>
      <w:numFmt w:val="upperLetter"/>
      <w:lvlText w:val="%2."/>
      <w:lvlJc w:val="center"/>
      <w:pPr>
        <w:tabs>
          <w:tab w:val="num" w:pos="360"/>
        </w:tabs>
        <w:ind w:left="360" w:firstLine="0"/>
      </w:pPr>
      <w:rPr>
        <w:rFonts w:cs="Times New Roman" w:hint="default"/>
        <w:i/>
      </w:rPr>
    </w:lvl>
    <w:lvl w:ilvl="2">
      <w:start w:val="1"/>
      <w:numFmt w:val="decimal"/>
      <w:lvlText w:val="%3."/>
      <w:lvlJc w:val="center"/>
      <w:pPr>
        <w:tabs>
          <w:tab w:val="num" w:pos="0"/>
        </w:tabs>
        <w:ind w:left="0" w:firstLine="288"/>
      </w:pPr>
      <w:rPr>
        <w:rFonts w:cs="Times New Roman" w:hint="default"/>
        <w:u w:val="none"/>
      </w:rPr>
    </w:lvl>
    <w:lvl w:ilvl="3">
      <w:start w:val="1"/>
      <w:numFmt w:val="lowerLetter"/>
      <w:lvlText w:val="%4."/>
      <w:lvlJc w:val="left"/>
      <w:pPr>
        <w:tabs>
          <w:tab w:val="num" w:pos="0"/>
        </w:tabs>
        <w:ind w:left="720" w:firstLine="0"/>
      </w:pPr>
      <w:rPr>
        <w:rFonts w:cs="Times New Roman" w:hint="default"/>
      </w:rPr>
    </w:lvl>
    <w:lvl w:ilvl="4">
      <w:start w:val="1"/>
      <w:numFmt w:val="decimal"/>
      <w:lvlText w:val="(%5)"/>
      <w:lvlJc w:val="left"/>
      <w:pPr>
        <w:tabs>
          <w:tab w:val="num" w:pos="0"/>
        </w:tabs>
        <w:ind w:left="1440" w:firstLine="0"/>
      </w:pPr>
      <w:rPr>
        <w:rFonts w:cs="Times New Roman" w:hint="default"/>
      </w:rPr>
    </w:lvl>
    <w:lvl w:ilvl="5">
      <w:start w:val="1"/>
      <w:numFmt w:val="lowerLetter"/>
      <w:lvlText w:val="(%6)"/>
      <w:lvlJc w:val="left"/>
      <w:pPr>
        <w:tabs>
          <w:tab w:val="num" w:pos="0"/>
        </w:tabs>
        <w:ind w:left="2160" w:firstLine="0"/>
      </w:pPr>
      <w:rPr>
        <w:rFonts w:cs="Times New Roman" w:hint="default"/>
      </w:rPr>
    </w:lvl>
    <w:lvl w:ilvl="6">
      <w:start w:val="1"/>
      <w:numFmt w:val="lowerRoman"/>
      <w:lvlText w:val="(%7)"/>
      <w:lvlJc w:val="left"/>
      <w:pPr>
        <w:tabs>
          <w:tab w:val="num" w:pos="0"/>
        </w:tabs>
        <w:ind w:left="2880" w:firstLine="0"/>
      </w:pPr>
      <w:rPr>
        <w:rFonts w:cs="Times New Roman" w:hint="default"/>
      </w:rPr>
    </w:lvl>
    <w:lvl w:ilvl="7">
      <w:start w:val="1"/>
      <w:numFmt w:val="lowerLetter"/>
      <w:lvlText w:val="(%8)"/>
      <w:lvlJc w:val="left"/>
      <w:pPr>
        <w:tabs>
          <w:tab w:val="num" w:pos="0"/>
        </w:tabs>
        <w:ind w:left="3600" w:firstLine="0"/>
      </w:pPr>
      <w:rPr>
        <w:rFonts w:cs="Times New Roman" w:hint="default"/>
      </w:rPr>
    </w:lvl>
    <w:lvl w:ilvl="8">
      <w:start w:val="1"/>
      <w:numFmt w:val="lowerRoman"/>
      <w:lvlText w:val="(%9)"/>
      <w:lvlJc w:val="left"/>
      <w:pPr>
        <w:tabs>
          <w:tab w:val="num" w:pos="0"/>
        </w:tabs>
        <w:ind w:left="4320" w:firstLine="0"/>
      </w:pPr>
      <w:rPr>
        <w:rFonts w:cs="Times New Roman" w:hint="default"/>
      </w:rPr>
    </w:lvl>
  </w:abstractNum>
  <w:abstractNum w:abstractNumId="17" w15:restartNumberingAfterBreak="0">
    <w:nsid w:val="393B3EE5"/>
    <w:multiLevelType w:val="hybridMultilevel"/>
    <w:tmpl w:val="52947C7A"/>
    <w:lvl w:ilvl="0" w:tplc="04090015">
      <w:start w:val="1"/>
      <w:numFmt w:val="upperLetter"/>
      <w:lvlText w:val="%1."/>
      <w:lvlJc w:val="left"/>
      <w:pPr>
        <w:ind w:left="2430" w:hanging="360"/>
      </w:pPr>
      <w:rPr>
        <w:rFonts w:cs="Times New Roman" w:hint="default"/>
      </w:rPr>
    </w:lvl>
    <w:lvl w:ilvl="1" w:tplc="04090019" w:tentative="1">
      <w:start w:val="1"/>
      <w:numFmt w:val="lowerLetter"/>
      <w:lvlText w:val="%2."/>
      <w:lvlJc w:val="left"/>
      <w:pPr>
        <w:ind w:left="3150" w:hanging="360"/>
      </w:pPr>
      <w:rPr>
        <w:rFonts w:cs="Times New Roman"/>
      </w:rPr>
    </w:lvl>
    <w:lvl w:ilvl="2" w:tplc="0409001B" w:tentative="1">
      <w:start w:val="1"/>
      <w:numFmt w:val="lowerRoman"/>
      <w:lvlText w:val="%3."/>
      <w:lvlJc w:val="right"/>
      <w:pPr>
        <w:ind w:left="3870" w:hanging="180"/>
      </w:pPr>
      <w:rPr>
        <w:rFonts w:cs="Times New Roman"/>
      </w:rPr>
    </w:lvl>
    <w:lvl w:ilvl="3" w:tplc="0409000F" w:tentative="1">
      <w:start w:val="1"/>
      <w:numFmt w:val="decimal"/>
      <w:lvlText w:val="%4."/>
      <w:lvlJc w:val="left"/>
      <w:pPr>
        <w:ind w:left="4590" w:hanging="360"/>
      </w:pPr>
      <w:rPr>
        <w:rFonts w:cs="Times New Roman"/>
      </w:rPr>
    </w:lvl>
    <w:lvl w:ilvl="4" w:tplc="04090019" w:tentative="1">
      <w:start w:val="1"/>
      <w:numFmt w:val="lowerLetter"/>
      <w:lvlText w:val="%5."/>
      <w:lvlJc w:val="left"/>
      <w:pPr>
        <w:ind w:left="5310" w:hanging="360"/>
      </w:pPr>
      <w:rPr>
        <w:rFonts w:cs="Times New Roman"/>
      </w:rPr>
    </w:lvl>
    <w:lvl w:ilvl="5" w:tplc="0409001B" w:tentative="1">
      <w:start w:val="1"/>
      <w:numFmt w:val="lowerRoman"/>
      <w:lvlText w:val="%6."/>
      <w:lvlJc w:val="right"/>
      <w:pPr>
        <w:ind w:left="6030" w:hanging="180"/>
      </w:pPr>
      <w:rPr>
        <w:rFonts w:cs="Times New Roman"/>
      </w:rPr>
    </w:lvl>
    <w:lvl w:ilvl="6" w:tplc="0409000F" w:tentative="1">
      <w:start w:val="1"/>
      <w:numFmt w:val="decimal"/>
      <w:lvlText w:val="%7."/>
      <w:lvlJc w:val="left"/>
      <w:pPr>
        <w:ind w:left="6750" w:hanging="360"/>
      </w:pPr>
      <w:rPr>
        <w:rFonts w:cs="Times New Roman"/>
      </w:rPr>
    </w:lvl>
    <w:lvl w:ilvl="7" w:tplc="04090019" w:tentative="1">
      <w:start w:val="1"/>
      <w:numFmt w:val="lowerLetter"/>
      <w:lvlText w:val="%8."/>
      <w:lvlJc w:val="left"/>
      <w:pPr>
        <w:ind w:left="7470" w:hanging="360"/>
      </w:pPr>
      <w:rPr>
        <w:rFonts w:cs="Times New Roman"/>
      </w:rPr>
    </w:lvl>
    <w:lvl w:ilvl="8" w:tplc="0409001B" w:tentative="1">
      <w:start w:val="1"/>
      <w:numFmt w:val="lowerRoman"/>
      <w:lvlText w:val="%9."/>
      <w:lvlJc w:val="right"/>
      <w:pPr>
        <w:ind w:left="8190" w:hanging="180"/>
      </w:pPr>
      <w:rPr>
        <w:rFonts w:cs="Times New Roman"/>
      </w:rPr>
    </w:lvl>
  </w:abstractNum>
  <w:abstractNum w:abstractNumId="18" w15:restartNumberingAfterBreak="0">
    <w:nsid w:val="467400CF"/>
    <w:multiLevelType w:val="multilevel"/>
    <w:tmpl w:val="60E49AC8"/>
    <w:lvl w:ilvl="0">
      <w:start w:val="1"/>
      <w:numFmt w:val="upperRoman"/>
      <w:lvlText w:val="%1."/>
      <w:lvlJc w:val="center"/>
      <w:pPr>
        <w:ind w:left="-1440" w:firstLine="1728"/>
      </w:pPr>
      <w:rPr>
        <w:rFonts w:cs="Times New Roman" w:hint="default"/>
      </w:rPr>
    </w:lvl>
    <w:lvl w:ilvl="1">
      <w:start w:val="1"/>
      <w:numFmt w:val="upperLetter"/>
      <w:lvlText w:val="%2."/>
      <w:lvlJc w:val="center"/>
      <w:pPr>
        <w:ind w:left="-720" w:firstLine="1008"/>
      </w:pPr>
      <w:rPr>
        <w:rFonts w:cs="Times New Roman" w:hint="default"/>
      </w:rPr>
    </w:lvl>
    <w:lvl w:ilvl="2">
      <w:start w:val="1"/>
      <w:numFmt w:val="decimal"/>
      <w:lvlText w:val="%3."/>
      <w:lvlJc w:val="center"/>
      <w:pPr>
        <w:ind w:firstLine="288"/>
      </w:pPr>
      <w:rPr>
        <w:rFonts w:cs="Times New Roman" w:hint="default"/>
        <w:u w:val="none"/>
      </w:rPr>
    </w:lvl>
    <w:lvl w:ilvl="3">
      <w:start w:val="1"/>
      <w:numFmt w:val="lowerLetter"/>
      <w:lvlText w:val="%4)"/>
      <w:lvlJc w:val="left"/>
      <w:pPr>
        <w:ind w:left="720"/>
      </w:pPr>
      <w:rPr>
        <w:rFonts w:cs="Times New Roman" w:hint="default"/>
      </w:rPr>
    </w:lvl>
    <w:lvl w:ilvl="4">
      <w:start w:val="1"/>
      <w:numFmt w:val="decimal"/>
      <w:lvlText w:val="(%5)"/>
      <w:lvlJc w:val="left"/>
      <w:pPr>
        <w:ind w:left="1440"/>
      </w:pPr>
      <w:rPr>
        <w:rFonts w:cs="Times New Roman" w:hint="default"/>
      </w:rPr>
    </w:lvl>
    <w:lvl w:ilvl="5">
      <w:start w:val="1"/>
      <w:numFmt w:val="lowerLetter"/>
      <w:lvlText w:val="(%6)"/>
      <w:lvlJc w:val="left"/>
      <w:pPr>
        <w:ind w:left="2160"/>
      </w:pPr>
      <w:rPr>
        <w:rFonts w:cs="Times New Roman" w:hint="default"/>
      </w:rPr>
    </w:lvl>
    <w:lvl w:ilvl="6">
      <w:start w:val="1"/>
      <w:numFmt w:val="lowerRoman"/>
      <w:lvlText w:val="(%7)"/>
      <w:lvlJc w:val="left"/>
      <w:pPr>
        <w:ind w:left="2880"/>
      </w:pPr>
      <w:rPr>
        <w:rFonts w:cs="Times New Roman" w:hint="default"/>
      </w:rPr>
    </w:lvl>
    <w:lvl w:ilvl="7">
      <w:start w:val="1"/>
      <w:numFmt w:val="lowerLetter"/>
      <w:lvlText w:val="(%8)"/>
      <w:lvlJc w:val="left"/>
      <w:pPr>
        <w:ind w:left="3600"/>
      </w:pPr>
      <w:rPr>
        <w:rFonts w:cs="Times New Roman" w:hint="default"/>
      </w:rPr>
    </w:lvl>
    <w:lvl w:ilvl="8">
      <w:start w:val="1"/>
      <w:numFmt w:val="lowerRoman"/>
      <w:lvlText w:val="(%9)"/>
      <w:lvlJc w:val="left"/>
      <w:pPr>
        <w:ind w:left="4320"/>
      </w:pPr>
      <w:rPr>
        <w:rFonts w:cs="Times New Roman" w:hint="default"/>
      </w:rPr>
    </w:lvl>
  </w:abstractNum>
  <w:abstractNum w:abstractNumId="19" w15:restartNumberingAfterBreak="0">
    <w:nsid w:val="4BCD4C08"/>
    <w:multiLevelType w:val="multilevel"/>
    <w:tmpl w:val="23086416"/>
    <w:lvl w:ilvl="0">
      <w:start w:val="1"/>
      <w:numFmt w:val="upperRoman"/>
      <w:lvlText w:val="%1."/>
      <w:lvlJc w:val="center"/>
      <w:pPr>
        <w:tabs>
          <w:tab w:val="num" w:pos="0"/>
        </w:tabs>
        <w:ind w:left="0" w:firstLine="288"/>
      </w:pPr>
      <w:rPr>
        <w:rFonts w:cs="Times New Roman" w:hint="default"/>
      </w:rPr>
    </w:lvl>
    <w:lvl w:ilvl="1">
      <w:start w:val="1"/>
      <w:numFmt w:val="upperLetter"/>
      <w:lvlText w:val="%2."/>
      <w:lvlJc w:val="center"/>
      <w:pPr>
        <w:tabs>
          <w:tab w:val="num" w:pos="0"/>
        </w:tabs>
        <w:ind w:left="0" w:firstLine="288"/>
      </w:pPr>
      <w:rPr>
        <w:rFonts w:cs="Times New Roman" w:hint="default"/>
        <w:i/>
      </w:rPr>
    </w:lvl>
    <w:lvl w:ilvl="2">
      <w:start w:val="1"/>
      <w:numFmt w:val="decimal"/>
      <w:lvlText w:val="%3."/>
      <w:lvlJc w:val="center"/>
      <w:pPr>
        <w:tabs>
          <w:tab w:val="num" w:pos="0"/>
        </w:tabs>
        <w:ind w:left="0" w:firstLine="288"/>
      </w:pPr>
      <w:rPr>
        <w:rFonts w:cs="Times New Roman" w:hint="default"/>
        <w:u w:val="single"/>
      </w:rPr>
    </w:lvl>
    <w:lvl w:ilvl="3">
      <w:start w:val="1"/>
      <w:numFmt w:val="lowerLetter"/>
      <w:lvlText w:val="%4)"/>
      <w:lvlJc w:val="left"/>
      <w:pPr>
        <w:tabs>
          <w:tab w:val="num" w:pos="0"/>
        </w:tabs>
        <w:ind w:left="720" w:firstLine="0"/>
      </w:pPr>
      <w:rPr>
        <w:rFonts w:cs="Times New Roman" w:hint="default"/>
      </w:rPr>
    </w:lvl>
    <w:lvl w:ilvl="4">
      <w:start w:val="1"/>
      <w:numFmt w:val="decimal"/>
      <w:lvlText w:val="(%5)"/>
      <w:lvlJc w:val="left"/>
      <w:pPr>
        <w:tabs>
          <w:tab w:val="num" w:pos="0"/>
        </w:tabs>
        <w:ind w:left="1440" w:firstLine="0"/>
      </w:pPr>
      <w:rPr>
        <w:rFonts w:cs="Times New Roman" w:hint="default"/>
      </w:rPr>
    </w:lvl>
    <w:lvl w:ilvl="5">
      <w:start w:val="1"/>
      <w:numFmt w:val="lowerLetter"/>
      <w:lvlText w:val="(%6)"/>
      <w:lvlJc w:val="left"/>
      <w:pPr>
        <w:tabs>
          <w:tab w:val="num" w:pos="0"/>
        </w:tabs>
        <w:ind w:left="2160" w:firstLine="0"/>
      </w:pPr>
      <w:rPr>
        <w:rFonts w:cs="Times New Roman" w:hint="default"/>
      </w:rPr>
    </w:lvl>
    <w:lvl w:ilvl="6">
      <w:start w:val="1"/>
      <w:numFmt w:val="lowerRoman"/>
      <w:lvlText w:val="(%7)"/>
      <w:lvlJc w:val="left"/>
      <w:pPr>
        <w:tabs>
          <w:tab w:val="num" w:pos="0"/>
        </w:tabs>
        <w:ind w:left="2880" w:firstLine="0"/>
      </w:pPr>
      <w:rPr>
        <w:rFonts w:cs="Times New Roman" w:hint="default"/>
      </w:rPr>
    </w:lvl>
    <w:lvl w:ilvl="7">
      <w:start w:val="1"/>
      <w:numFmt w:val="lowerLetter"/>
      <w:lvlText w:val="(%8)"/>
      <w:lvlJc w:val="left"/>
      <w:pPr>
        <w:tabs>
          <w:tab w:val="num" w:pos="0"/>
        </w:tabs>
        <w:ind w:left="3600" w:firstLine="0"/>
      </w:pPr>
      <w:rPr>
        <w:rFonts w:cs="Times New Roman" w:hint="default"/>
      </w:rPr>
    </w:lvl>
    <w:lvl w:ilvl="8">
      <w:start w:val="1"/>
      <w:numFmt w:val="lowerRoman"/>
      <w:lvlText w:val="(%9)"/>
      <w:lvlJc w:val="left"/>
      <w:pPr>
        <w:tabs>
          <w:tab w:val="num" w:pos="0"/>
        </w:tabs>
        <w:ind w:left="4320" w:firstLine="0"/>
      </w:pPr>
      <w:rPr>
        <w:rFonts w:cs="Times New Roman" w:hint="default"/>
      </w:rPr>
    </w:lvl>
  </w:abstractNum>
  <w:abstractNum w:abstractNumId="20" w15:restartNumberingAfterBreak="0">
    <w:nsid w:val="62D965AE"/>
    <w:multiLevelType w:val="multilevel"/>
    <w:tmpl w:val="43D84BCE"/>
    <w:lvl w:ilvl="0">
      <w:start w:val="1"/>
      <w:numFmt w:val="upperRoman"/>
      <w:lvlText w:val="%1."/>
      <w:lvlJc w:val="center"/>
      <w:pPr>
        <w:ind w:left="-1440" w:firstLine="1728"/>
      </w:pPr>
      <w:rPr>
        <w:rFonts w:cs="Times New Roman" w:hint="default"/>
      </w:rPr>
    </w:lvl>
    <w:lvl w:ilvl="1">
      <w:start w:val="1"/>
      <w:numFmt w:val="upperLetter"/>
      <w:lvlText w:val="%2."/>
      <w:lvlJc w:val="center"/>
      <w:pPr>
        <w:ind w:left="-720" w:firstLine="1008"/>
      </w:pPr>
      <w:rPr>
        <w:rFonts w:cs="Times New Roman" w:hint="default"/>
      </w:rPr>
    </w:lvl>
    <w:lvl w:ilvl="2">
      <w:start w:val="1"/>
      <w:numFmt w:val="decimal"/>
      <w:lvlText w:val="%3."/>
      <w:lvlJc w:val="center"/>
      <w:pPr>
        <w:ind w:firstLine="288"/>
      </w:pPr>
      <w:rPr>
        <w:rFonts w:cs="Times New Roman" w:hint="default"/>
        <w:u w:val="single"/>
      </w:rPr>
    </w:lvl>
    <w:lvl w:ilvl="3">
      <w:start w:val="1"/>
      <w:numFmt w:val="lowerLetter"/>
      <w:lvlText w:val="%4)"/>
      <w:lvlJc w:val="left"/>
      <w:pPr>
        <w:ind w:left="720"/>
      </w:pPr>
      <w:rPr>
        <w:rFonts w:cs="Times New Roman" w:hint="default"/>
      </w:rPr>
    </w:lvl>
    <w:lvl w:ilvl="4">
      <w:start w:val="1"/>
      <w:numFmt w:val="decimal"/>
      <w:lvlText w:val="(%5)"/>
      <w:lvlJc w:val="left"/>
      <w:pPr>
        <w:ind w:left="1440"/>
      </w:pPr>
      <w:rPr>
        <w:rFonts w:cs="Times New Roman" w:hint="default"/>
      </w:rPr>
    </w:lvl>
    <w:lvl w:ilvl="5">
      <w:start w:val="1"/>
      <w:numFmt w:val="lowerLetter"/>
      <w:lvlText w:val="(%6)"/>
      <w:lvlJc w:val="left"/>
      <w:pPr>
        <w:ind w:left="2160"/>
      </w:pPr>
      <w:rPr>
        <w:rFonts w:cs="Times New Roman" w:hint="default"/>
      </w:rPr>
    </w:lvl>
    <w:lvl w:ilvl="6">
      <w:start w:val="1"/>
      <w:numFmt w:val="lowerRoman"/>
      <w:lvlText w:val="(%7)"/>
      <w:lvlJc w:val="left"/>
      <w:pPr>
        <w:ind w:left="2880"/>
      </w:pPr>
      <w:rPr>
        <w:rFonts w:cs="Times New Roman" w:hint="default"/>
      </w:rPr>
    </w:lvl>
    <w:lvl w:ilvl="7">
      <w:start w:val="1"/>
      <w:numFmt w:val="lowerLetter"/>
      <w:lvlText w:val="(%8)"/>
      <w:lvlJc w:val="left"/>
      <w:pPr>
        <w:ind w:left="3600"/>
      </w:pPr>
      <w:rPr>
        <w:rFonts w:cs="Times New Roman" w:hint="default"/>
      </w:rPr>
    </w:lvl>
    <w:lvl w:ilvl="8">
      <w:start w:val="1"/>
      <w:numFmt w:val="lowerRoman"/>
      <w:lvlText w:val="(%9)"/>
      <w:lvlJc w:val="left"/>
      <w:pPr>
        <w:ind w:left="4320"/>
      </w:pPr>
      <w:rPr>
        <w:rFonts w:cs="Times New Roman" w:hint="default"/>
      </w:rPr>
    </w:lvl>
  </w:abstractNum>
  <w:abstractNum w:abstractNumId="21" w15:restartNumberingAfterBreak="0">
    <w:nsid w:val="63CD72DE"/>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15:restartNumberingAfterBreak="0">
    <w:nsid w:val="6560653E"/>
    <w:multiLevelType w:val="multilevel"/>
    <w:tmpl w:val="A0903E36"/>
    <w:lvl w:ilvl="0">
      <w:start w:val="1"/>
      <w:numFmt w:val="upperRoman"/>
      <w:lvlText w:val="%1."/>
      <w:lvlJc w:val="left"/>
      <w:rPr>
        <w:rFonts w:cs="Times New Roman"/>
      </w:rPr>
    </w:lvl>
    <w:lvl w:ilvl="1">
      <w:start w:val="1"/>
      <w:numFmt w:val="upperLetter"/>
      <w:lvlText w:val="%2."/>
      <w:lvlJc w:val="left"/>
      <w:pPr>
        <w:ind w:left="720"/>
      </w:pPr>
      <w:rPr>
        <w:rFonts w:cs="Times New Roman"/>
      </w:rPr>
    </w:lvl>
    <w:lvl w:ilvl="2">
      <w:start w:val="1"/>
      <w:numFmt w:val="decimal"/>
      <w:lvlText w:val="%3."/>
      <w:lvlJc w:val="left"/>
      <w:pPr>
        <w:ind w:left="1440"/>
      </w:pPr>
      <w:rPr>
        <w:rFonts w:cs="Times New Roman"/>
      </w:rPr>
    </w:lvl>
    <w:lvl w:ilvl="3">
      <w:start w:val="1"/>
      <w:numFmt w:val="lowerLetter"/>
      <w:lvlText w:val="%4)"/>
      <w:lvlJc w:val="left"/>
      <w:pPr>
        <w:ind w:left="2160"/>
      </w:pPr>
      <w:rPr>
        <w:rFonts w:cs="Times New Roman"/>
      </w:rPr>
    </w:lvl>
    <w:lvl w:ilvl="4">
      <w:start w:val="1"/>
      <w:numFmt w:val="decimal"/>
      <w:lvlText w:val="(%5)"/>
      <w:lvlJc w:val="left"/>
      <w:pPr>
        <w:ind w:left="2880"/>
      </w:pPr>
      <w:rPr>
        <w:rFonts w:cs="Times New Roman"/>
      </w:rPr>
    </w:lvl>
    <w:lvl w:ilvl="5">
      <w:start w:val="1"/>
      <w:numFmt w:val="lowerLetter"/>
      <w:lvlText w:val="(%6)"/>
      <w:lvlJc w:val="left"/>
      <w:pPr>
        <w:ind w:left="3600"/>
      </w:pPr>
      <w:rPr>
        <w:rFonts w:cs="Times New Roman"/>
      </w:rPr>
    </w:lvl>
    <w:lvl w:ilvl="6">
      <w:start w:val="1"/>
      <w:numFmt w:val="lowerRoman"/>
      <w:lvlText w:val="(%7)"/>
      <w:lvlJc w:val="left"/>
      <w:pPr>
        <w:ind w:left="4320"/>
      </w:pPr>
      <w:rPr>
        <w:rFonts w:cs="Times New Roman"/>
      </w:rPr>
    </w:lvl>
    <w:lvl w:ilvl="7">
      <w:start w:val="1"/>
      <w:numFmt w:val="lowerLetter"/>
      <w:lvlText w:val="(%8)"/>
      <w:lvlJc w:val="left"/>
      <w:pPr>
        <w:ind w:left="5040"/>
      </w:pPr>
      <w:rPr>
        <w:rFonts w:cs="Times New Roman"/>
      </w:rPr>
    </w:lvl>
    <w:lvl w:ilvl="8">
      <w:start w:val="1"/>
      <w:numFmt w:val="lowerRoman"/>
      <w:lvlText w:val="(%9)"/>
      <w:lvlJc w:val="left"/>
      <w:pPr>
        <w:ind w:left="5760"/>
      </w:pPr>
      <w:rPr>
        <w:rFonts w:cs="Times New Roman"/>
      </w:rPr>
    </w:lvl>
  </w:abstractNum>
  <w:abstractNum w:abstractNumId="23" w15:restartNumberingAfterBreak="0">
    <w:nsid w:val="6F6700D2"/>
    <w:multiLevelType w:val="multilevel"/>
    <w:tmpl w:val="16E225E8"/>
    <w:lvl w:ilvl="0">
      <w:start w:val="1"/>
      <w:numFmt w:val="upperRoman"/>
      <w:lvlText w:val="%1."/>
      <w:lvlJc w:val="center"/>
      <w:pPr>
        <w:ind w:left="-1440" w:firstLine="1728"/>
      </w:pPr>
      <w:rPr>
        <w:rFonts w:cs="Times New Roman" w:hint="default"/>
      </w:rPr>
    </w:lvl>
    <w:lvl w:ilvl="1">
      <w:start w:val="1"/>
      <w:numFmt w:val="upperLetter"/>
      <w:lvlText w:val="%2."/>
      <w:lvlJc w:val="center"/>
      <w:pPr>
        <w:ind w:left="-720" w:firstLine="1008"/>
      </w:pPr>
      <w:rPr>
        <w:rFonts w:cs="Times New Roman" w:hint="default"/>
      </w:rPr>
    </w:lvl>
    <w:lvl w:ilvl="2">
      <w:start w:val="1"/>
      <w:numFmt w:val="decimal"/>
      <w:lvlText w:val="%3."/>
      <w:lvlJc w:val="center"/>
      <w:pPr>
        <w:ind w:firstLine="288"/>
      </w:pPr>
      <w:rPr>
        <w:rFonts w:cs="Times New Roman" w:hint="default"/>
        <w:u w:val="single"/>
      </w:rPr>
    </w:lvl>
    <w:lvl w:ilvl="3">
      <w:start w:val="1"/>
      <w:numFmt w:val="lowerLetter"/>
      <w:lvlText w:val="%4)"/>
      <w:lvlJc w:val="left"/>
      <w:pPr>
        <w:ind w:left="720"/>
      </w:pPr>
      <w:rPr>
        <w:rFonts w:cs="Times New Roman" w:hint="default"/>
      </w:rPr>
    </w:lvl>
    <w:lvl w:ilvl="4">
      <w:start w:val="1"/>
      <w:numFmt w:val="decimal"/>
      <w:lvlText w:val="(%5)"/>
      <w:lvlJc w:val="left"/>
      <w:pPr>
        <w:ind w:left="1440"/>
      </w:pPr>
      <w:rPr>
        <w:rFonts w:cs="Times New Roman" w:hint="default"/>
      </w:rPr>
    </w:lvl>
    <w:lvl w:ilvl="5">
      <w:start w:val="1"/>
      <w:numFmt w:val="lowerLetter"/>
      <w:lvlText w:val="(%6)"/>
      <w:lvlJc w:val="left"/>
      <w:pPr>
        <w:ind w:left="2160"/>
      </w:pPr>
      <w:rPr>
        <w:rFonts w:cs="Times New Roman" w:hint="default"/>
      </w:rPr>
    </w:lvl>
    <w:lvl w:ilvl="6">
      <w:start w:val="1"/>
      <w:numFmt w:val="lowerRoman"/>
      <w:lvlText w:val="(%7)"/>
      <w:lvlJc w:val="left"/>
      <w:pPr>
        <w:ind w:left="2880"/>
      </w:pPr>
      <w:rPr>
        <w:rFonts w:cs="Times New Roman" w:hint="default"/>
      </w:rPr>
    </w:lvl>
    <w:lvl w:ilvl="7">
      <w:start w:val="1"/>
      <w:numFmt w:val="lowerLetter"/>
      <w:lvlText w:val="(%8)"/>
      <w:lvlJc w:val="left"/>
      <w:pPr>
        <w:ind w:left="3600"/>
      </w:pPr>
      <w:rPr>
        <w:rFonts w:cs="Times New Roman" w:hint="default"/>
      </w:rPr>
    </w:lvl>
    <w:lvl w:ilvl="8">
      <w:start w:val="1"/>
      <w:numFmt w:val="lowerRoman"/>
      <w:lvlText w:val="(%9)"/>
      <w:lvlJc w:val="left"/>
      <w:pPr>
        <w:ind w:left="4320"/>
      </w:pPr>
      <w:rPr>
        <w:rFonts w:cs="Times New Roman" w:hint="default"/>
      </w:rPr>
    </w:lvl>
  </w:abstractNum>
  <w:abstractNum w:abstractNumId="24" w15:restartNumberingAfterBreak="0">
    <w:nsid w:val="712E4BE2"/>
    <w:multiLevelType w:val="multilevel"/>
    <w:tmpl w:val="AF3E8E30"/>
    <w:lvl w:ilvl="0">
      <w:start w:val="1"/>
      <w:numFmt w:val="upperRoman"/>
      <w:lvlText w:val="%1."/>
      <w:lvlJc w:val="center"/>
      <w:pPr>
        <w:ind w:left="360" w:firstLine="0"/>
      </w:pPr>
      <w:rPr>
        <w:rFonts w:cs="Times New Roman" w:hint="default"/>
      </w:rPr>
    </w:lvl>
    <w:lvl w:ilvl="1">
      <w:start w:val="1"/>
      <w:numFmt w:val="upperLetter"/>
      <w:lvlText w:val="%2."/>
      <w:lvlJc w:val="center"/>
      <w:pPr>
        <w:tabs>
          <w:tab w:val="num" w:pos="360"/>
        </w:tabs>
        <w:ind w:left="360" w:firstLine="0"/>
      </w:pPr>
      <w:rPr>
        <w:rFonts w:cs="Times New Roman" w:hint="default"/>
        <w:i/>
      </w:rPr>
    </w:lvl>
    <w:lvl w:ilvl="2">
      <w:start w:val="1"/>
      <w:numFmt w:val="decimal"/>
      <w:lvlText w:val="%3."/>
      <w:lvlJc w:val="center"/>
      <w:pPr>
        <w:tabs>
          <w:tab w:val="num" w:pos="0"/>
        </w:tabs>
        <w:ind w:left="0" w:firstLine="288"/>
      </w:pPr>
      <w:rPr>
        <w:rFonts w:cs="Times New Roman" w:hint="default"/>
        <w:u w:val="single"/>
      </w:rPr>
    </w:lvl>
    <w:lvl w:ilvl="3">
      <w:start w:val="1"/>
      <w:numFmt w:val="lowerLetter"/>
      <w:lvlText w:val="%4."/>
      <w:lvlJc w:val="left"/>
      <w:pPr>
        <w:tabs>
          <w:tab w:val="num" w:pos="0"/>
        </w:tabs>
        <w:ind w:left="720" w:firstLine="0"/>
      </w:pPr>
      <w:rPr>
        <w:rFonts w:cs="Times New Roman" w:hint="default"/>
      </w:rPr>
    </w:lvl>
    <w:lvl w:ilvl="4">
      <w:start w:val="1"/>
      <w:numFmt w:val="decimal"/>
      <w:lvlText w:val="(%5)"/>
      <w:lvlJc w:val="left"/>
      <w:pPr>
        <w:tabs>
          <w:tab w:val="num" w:pos="0"/>
        </w:tabs>
        <w:ind w:left="1440" w:firstLine="0"/>
      </w:pPr>
      <w:rPr>
        <w:rFonts w:cs="Times New Roman" w:hint="default"/>
      </w:rPr>
    </w:lvl>
    <w:lvl w:ilvl="5">
      <w:start w:val="1"/>
      <w:numFmt w:val="lowerLetter"/>
      <w:lvlText w:val="(%6)"/>
      <w:lvlJc w:val="left"/>
      <w:pPr>
        <w:tabs>
          <w:tab w:val="num" w:pos="0"/>
        </w:tabs>
        <w:ind w:left="2160" w:firstLine="0"/>
      </w:pPr>
      <w:rPr>
        <w:rFonts w:cs="Times New Roman" w:hint="default"/>
      </w:rPr>
    </w:lvl>
    <w:lvl w:ilvl="6">
      <w:start w:val="1"/>
      <w:numFmt w:val="lowerRoman"/>
      <w:lvlText w:val="(%7)"/>
      <w:lvlJc w:val="left"/>
      <w:pPr>
        <w:tabs>
          <w:tab w:val="num" w:pos="0"/>
        </w:tabs>
        <w:ind w:left="2880" w:firstLine="0"/>
      </w:pPr>
      <w:rPr>
        <w:rFonts w:cs="Times New Roman" w:hint="default"/>
      </w:rPr>
    </w:lvl>
    <w:lvl w:ilvl="7">
      <w:start w:val="1"/>
      <w:numFmt w:val="lowerLetter"/>
      <w:lvlText w:val="(%8)"/>
      <w:lvlJc w:val="left"/>
      <w:pPr>
        <w:tabs>
          <w:tab w:val="num" w:pos="0"/>
        </w:tabs>
        <w:ind w:left="3600" w:firstLine="0"/>
      </w:pPr>
      <w:rPr>
        <w:rFonts w:cs="Times New Roman" w:hint="default"/>
      </w:rPr>
    </w:lvl>
    <w:lvl w:ilvl="8">
      <w:start w:val="1"/>
      <w:numFmt w:val="lowerRoman"/>
      <w:lvlText w:val="(%9)"/>
      <w:lvlJc w:val="left"/>
      <w:pPr>
        <w:tabs>
          <w:tab w:val="num" w:pos="0"/>
        </w:tabs>
        <w:ind w:left="4320" w:firstLine="0"/>
      </w:pPr>
      <w:rPr>
        <w:rFonts w:cs="Times New Roman" w:hint="default"/>
      </w:rPr>
    </w:lvl>
  </w:abstractNum>
  <w:abstractNum w:abstractNumId="25" w15:restartNumberingAfterBreak="0">
    <w:nsid w:val="728F2EB7"/>
    <w:multiLevelType w:val="multilevel"/>
    <w:tmpl w:val="A0903E36"/>
    <w:lvl w:ilvl="0">
      <w:start w:val="1"/>
      <w:numFmt w:val="upperRoman"/>
      <w:lvlText w:val="%1."/>
      <w:lvlJc w:val="left"/>
      <w:rPr>
        <w:rFonts w:cs="Times New Roman"/>
      </w:rPr>
    </w:lvl>
    <w:lvl w:ilvl="1">
      <w:start w:val="1"/>
      <w:numFmt w:val="upperLetter"/>
      <w:lvlText w:val="%2."/>
      <w:lvlJc w:val="left"/>
      <w:pPr>
        <w:ind w:left="720"/>
      </w:pPr>
      <w:rPr>
        <w:rFonts w:cs="Times New Roman"/>
      </w:rPr>
    </w:lvl>
    <w:lvl w:ilvl="2">
      <w:start w:val="1"/>
      <w:numFmt w:val="decimal"/>
      <w:lvlText w:val="%3."/>
      <w:lvlJc w:val="left"/>
      <w:pPr>
        <w:ind w:left="1440"/>
      </w:pPr>
      <w:rPr>
        <w:rFonts w:cs="Times New Roman"/>
      </w:rPr>
    </w:lvl>
    <w:lvl w:ilvl="3">
      <w:start w:val="1"/>
      <w:numFmt w:val="lowerLetter"/>
      <w:lvlText w:val="%4)"/>
      <w:lvlJc w:val="left"/>
      <w:pPr>
        <w:ind w:left="2160"/>
      </w:pPr>
      <w:rPr>
        <w:rFonts w:cs="Times New Roman"/>
      </w:rPr>
    </w:lvl>
    <w:lvl w:ilvl="4">
      <w:start w:val="1"/>
      <w:numFmt w:val="decimal"/>
      <w:lvlText w:val="(%5)"/>
      <w:lvlJc w:val="left"/>
      <w:pPr>
        <w:ind w:left="2880"/>
      </w:pPr>
      <w:rPr>
        <w:rFonts w:cs="Times New Roman"/>
      </w:rPr>
    </w:lvl>
    <w:lvl w:ilvl="5">
      <w:start w:val="1"/>
      <w:numFmt w:val="lowerLetter"/>
      <w:lvlText w:val="(%6)"/>
      <w:lvlJc w:val="left"/>
      <w:pPr>
        <w:ind w:left="3600"/>
      </w:pPr>
      <w:rPr>
        <w:rFonts w:cs="Times New Roman"/>
      </w:rPr>
    </w:lvl>
    <w:lvl w:ilvl="6">
      <w:start w:val="1"/>
      <w:numFmt w:val="lowerRoman"/>
      <w:lvlText w:val="(%7)"/>
      <w:lvlJc w:val="left"/>
      <w:pPr>
        <w:ind w:left="4320"/>
      </w:pPr>
      <w:rPr>
        <w:rFonts w:cs="Times New Roman"/>
      </w:rPr>
    </w:lvl>
    <w:lvl w:ilvl="7">
      <w:start w:val="1"/>
      <w:numFmt w:val="lowerLetter"/>
      <w:lvlText w:val="(%8)"/>
      <w:lvlJc w:val="left"/>
      <w:pPr>
        <w:ind w:left="5040"/>
      </w:pPr>
      <w:rPr>
        <w:rFonts w:cs="Times New Roman"/>
      </w:rPr>
    </w:lvl>
    <w:lvl w:ilvl="8">
      <w:start w:val="1"/>
      <w:numFmt w:val="lowerRoman"/>
      <w:lvlText w:val="(%9)"/>
      <w:lvlJc w:val="left"/>
      <w:pPr>
        <w:ind w:left="5760"/>
      </w:pPr>
      <w:rPr>
        <w:rFonts w:cs="Times New Roman"/>
      </w:rPr>
    </w:lvl>
  </w:abstractNum>
  <w:num w:numId="1" w16cid:durableId="479200822">
    <w:abstractNumId w:val="10"/>
  </w:num>
  <w:num w:numId="2" w16cid:durableId="934559739">
    <w:abstractNumId w:val="17"/>
  </w:num>
  <w:num w:numId="3" w16cid:durableId="1103571421">
    <w:abstractNumId w:val="10"/>
  </w:num>
  <w:num w:numId="4" w16cid:durableId="304431650">
    <w:abstractNumId w:val="8"/>
  </w:num>
  <w:num w:numId="5" w16cid:durableId="693269013">
    <w:abstractNumId w:val="7"/>
  </w:num>
  <w:num w:numId="6" w16cid:durableId="1703896909">
    <w:abstractNumId w:val="6"/>
  </w:num>
  <w:num w:numId="7" w16cid:durableId="485166018">
    <w:abstractNumId w:val="9"/>
  </w:num>
  <w:num w:numId="8" w16cid:durableId="330912259">
    <w:abstractNumId w:val="4"/>
  </w:num>
  <w:num w:numId="9" w16cid:durableId="486243547">
    <w:abstractNumId w:val="3"/>
  </w:num>
  <w:num w:numId="10" w16cid:durableId="1522664795">
    <w:abstractNumId w:val="5"/>
  </w:num>
  <w:num w:numId="11" w16cid:durableId="987246230">
    <w:abstractNumId w:val="2"/>
  </w:num>
  <w:num w:numId="12" w16cid:durableId="1967076223">
    <w:abstractNumId w:val="1"/>
  </w:num>
  <w:num w:numId="13" w16cid:durableId="2082216455">
    <w:abstractNumId w:val="12"/>
  </w:num>
  <w:num w:numId="14" w16cid:durableId="1653631326">
    <w:abstractNumId w:val="22"/>
  </w:num>
  <w:num w:numId="15" w16cid:durableId="1261186578">
    <w:abstractNumId w:val="25"/>
  </w:num>
  <w:num w:numId="16" w16cid:durableId="2117283929">
    <w:abstractNumId w:val="21"/>
  </w:num>
  <w:num w:numId="17" w16cid:durableId="1530608671">
    <w:abstractNumId w:val="13"/>
  </w:num>
  <w:num w:numId="18" w16cid:durableId="596788522">
    <w:abstractNumId w:val="23"/>
  </w:num>
  <w:num w:numId="19" w16cid:durableId="1955793499">
    <w:abstractNumId w:val="18"/>
  </w:num>
  <w:num w:numId="20" w16cid:durableId="1702591254">
    <w:abstractNumId w:val="0"/>
  </w:num>
  <w:num w:numId="21" w16cid:durableId="530999972">
    <w:abstractNumId w:val="20"/>
  </w:num>
  <w:num w:numId="22" w16cid:durableId="45224665">
    <w:abstractNumId w:val="15"/>
  </w:num>
  <w:num w:numId="23" w16cid:durableId="933246275">
    <w:abstractNumId w:val="14"/>
  </w:num>
  <w:num w:numId="24" w16cid:durableId="839349136">
    <w:abstractNumId w:val="19"/>
  </w:num>
  <w:num w:numId="25" w16cid:durableId="969017629">
    <w:abstractNumId w:val="12"/>
    <w:lvlOverride w:ilvl="0">
      <w:lvl w:ilvl="0">
        <w:start w:val="1"/>
        <w:numFmt w:val="upperRoman"/>
        <w:pStyle w:val="Heading1"/>
        <w:lvlText w:val="%1."/>
        <w:lvlJc w:val="center"/>
        <w:pPr>
          <w:ind w:left="360" w:hanging="360"/>
        </w:pPr>
        <w:rPr>
          <w:rFonts w:cs="Times New Roman" w:hint="default"/>
        </w:rPr>
      </w:lvl>
    </w:lvlOverride>
    <w:lvlOverride w:ilvl="1">
      <w:lvl w:ilvl="1">
        <w:start w:val="1"/>
        <w:numFmt w:val="upperLetter"/>
        <w:pStyle w:val="Heading2"/>
        <w:lvlText w:val="%2."/>
        <w:lvlJc w:val="center"/>
        <w:pPr>
          <w:tabs>
            <w:tab w:val="num" w:pos="360"/>
          </w:tabs>
          <w:ind w:left="360" w:firstLine="0"/>
        </w:pPr>
        <w:rPr>
          <w:rFonts w:cs="Times New Roman" w:hint="default"/>
          <w:i/>
        </w:rPr>
      </w:lvl>
    </w:lvlOverride>
    <w:lvlOverride w:ilvl="2">
      <w:lvl w:ilvl="2">
        <w:start w:val="1"/>
        <w:numFmt w:val="decimal"/>
        <w:pStyle w:val="Heading3"/>
        <w:lvlText w:val="%3."/>
        <w:lvlJc w:val="center"/>
        <w:pPr>
          <w:tabs>
            <w:tab w:val="num" w:pos="0"/>
          </w:tabs>
          <w:ind w:left="0" w:firstLine="288"/>
        </w:pPr>
        <w:rPr>
          <w:rFonts w:cs="Times New Roman" w:hint="default"/>
          <w:u w:val="single"/>
        </w:rPr>
      </w:lvl>
    </w:lvlOverride>
    <w:lvlOverride w:ilvl="3">
      <w:lvl w:ilvl="3">
        <w:start w:val="1"/>
        <w:numFmt w:val="lowerLetter"/>
        <w:pStyle w:val="Heading4"/>
        <w:lvlText w:val="%4."/>
        <w:lvlJc w:val="left"/>
        <w:pPr>
          <w:tabs>
            <w:tab w:val="num" w:pos="0"/>
          </w:tabs>
          <w:ind w:left="720" w:firstLine="0"/>
        </w:pPr>
        <w:rPr>
          <w:rFonts w:cs="Times New Roman" w:hint="default"/>
        </w:rPr>
      </w:lvl>
    </w:lvlOverride>
    <w:lvlOverride w:ilvl="4">
      <w:lvl w:ilvl="4">
        <w:start w:val="1"/>
        <w:numFmt w:val="decimal"/>
        <w:pStyle w:val="Heading5"/>
        <w:lvlText w:val="(%5)"/>
        <w:lvlJc w:val="left"/>
        <w:pPr>
          <w:tabs>
            <w:tab w:val="num" w:pos="0"/>
          </w:tabs>
          <w:ind w:left="1440" w:firstLine="0"/>
        </w:pPr>
        <w:rPr>
          <w:rFonts w:cs="Times New Roman" w:hint="default"/>
        </w:rPr>
      </w:lvl>
    </w:lvlOverride>
    <w:lvlOverride w:ilvl="5">
      <w:lvl w:ilvl="5">
        <w:start w:val="1"/>
        <w:numFmt w:val="lowerLetter"/>
        <w:pStyle w:val="Heading6"/>
        <w:lvlText w:val="(%6)"/>
        <w:lvlJc w:val="left"/>
        <w:pPr>
          <w:tabs>
            <w:tab w:val="num" w:pos="0"/>
          </w:tabs>
          <w:ind w:left="2160" w:firstLine="0"/>
        </w:pPr>
        <w:rPr>
          <w:rFonts w:cs="Times New Roman" w:hint="default"/>
        </w:rPr>
      </w:lvl>
    </w:lvlOverride>
    <w:lvlOverride w:ilvl="6">
      <w:lvl w:ilvl="6">
        <w:start w:val="1"/>
        <w:numFmt w:val="lowerRoman"/>
        <w:pStyle w:val="Heading7"/>
        <w:lvlText w:val="(%7)"/>
        <w:lvlJc w:val="left"/>
        <w:pPr>
          <w:tabs>
            <w:tab w:val="num" w:pos="0"/>
          </w:tabs>
          <w:ind w:left="2880" w:firstLine="0"/>
        </w:pPr>
        <w:rPr>
          <w:rFonts w:cs="Times New Roman" w:hint="default"/>
        </w:rPr>
      </w:lvl>
    </w:lvlOverride>
    <w:lvlOverride w:ilvl="7">
      <w:lvl w:ilvl="7">
        <w:start w:val="1"/>
        <w:numFmt w:val="lowerLetter"/>
        <w:pStyle w:val="Heading8"/>
        <w:lvlText w:val="(%8)"/>
        <w:lvlJc w:val="left"/>
        <w:pPr>
          <w:tabs>
            <w:tab w:val="num" w:pos="0"/>
          </w:tabs>
          <w:ind w:left="3600" w:firstLine="0"/>
        </w:pPr>
        <w:rPr>
          <w:rFonts w:cs="Times New Roman" w:hint="default"/>
        </w:rPr>
      </w:lvl>
    </w:lvlOverride>
    <w:lvlOverride w:ilvl="8">
      <w:lvl w:ilvl="8">
        <w:start w:val="1"/>
        <w:numFmt w:val="lowerRoman"/>
        <w:pStyle w:val="Heading9"/>
        <w:lvlText w:val="(%9)"/>
        <w:lvlJc w:val="left"/>
        <w:pPr>
          <w:tabs>
            <w:tab w:val="num" w:pos="0"/>
          </w:tabs>
          <w:ind w:left="4320" w:firstLine="0"/>
        </w:pPr>
        <w:rPr>
          <w:rFonts w:cs="Times New Roman" w:hint="default"/>
        </w:rPr>
      </w:lvl>
    </w:lvlOverride>
  </w:num>
  <w:num w:numId="26" w16cid:durableId="175584890">
    <w:abstractNumId w:val="24"/>
  </w:num>
  <w:num w:numId="27" w16cid:durableId="1677459493">
    <w:abstractNumId w:val="16"/>
  </w:num>
  <w:num w:numId="28" w16cid:durableId="751791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activeWritingStyle w:appName="MSWord" w:lang="en-US" w:vendorID="64" w:dllVersion="6" w:nlCheck="1" w:checkStyle="0"/>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2" w:dllVersion="6" w:checkStyle="1"/>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C92"/>
    <w:rsid w:val="000004BD"/>
    <w:rsid w:val="00000859"/>
    <w:rsid w:val="000015AA"/>
    <w:rsid w:val="00001C31"/>
    <w:rsid w:val="00001D6B"/>
    <w:rsid w:val="00002695"/>
    <w:rsid w:val="00002B3E"/>
    <w:rsid w:val="00002D09"/>
    <w:rsid w:val="00003B26"/>
    <w:rsid w:val="00003C28"/>
    <w:rsid w:val="000043D8"/>
    <w:rsid w:val="00004981"/>
    <w:rsid w:val="00004A32"/>
    <w:rsid w:val="0000509C"/>
    <w:rsid w:val="0000537E"/>
    <w:rsid w:val="000059BC"/>
    <w:rsid w:val="00005C74"/>
    <w:rsid w:val="000065BC"/>
    <w:rsid w:val="00006F97"/>
    <w:rsid w:val="00007993"/>
    <w:rsid w:val="000104F8"/>
    <w:rsid w:val="00010F1A"/>
    <w:rsid w:val="000115A7"/>
    <w:rsid w:val="00011E03"/>
    <w:rsid w:val="00011F8F"/>
    <w:rsid w:val="0001211D"/>
    <w:rsid w:val="000121AE"/>
    <w:rsid w:val="00012E58"/>
    <w:rsid w:val="000130F8"/>
    <w:rsid w:val="0001350E"/>
    <w:rsid w:val="000140B3"/>
    <w:rsid w:val="000149D6"/>
    <w:rsid w:val="00014AEA"/>
    <w:rsid w:val="00014B85"/>
    <w:rsid w:val="00014BFA"/>
    <w:rsid w:val="00015C86"/>
    <w:rsid w:val="00015CCF"/>
    <w:rsid w:val="00016FF7"/>
    <w:rsid w:val="000170AA"/>
    <w:rsid w:val="00017341"/>
    <w:rsid w:val="00017497"/>
    <w:rsid w:val="000174EC"/>
    <w:rsid w:val="000179E9"/>
    <w:rsid w:val="00020207"/>
    <w:rsid w:val="00020362"/>
    <w:rsid w:val="00021C99"/>
    <w:rsid w:val="00021FA7"/>
    <w:rsid w:val="00022BA3"/>
    <w:rsid w:val="000238CC"/>
    <w:rsid w:val="00024D37"/>
    <w:rsid w:val="00024E2C"/>
    <w:rsid w:val="00025173"/>
    <w:rsid w:val="00025EFA"/>
    <w:rsid w:val="00027287"/>
    <w:rsid w:val="0002784B"/>
    <w:rsid w:val="00030731"/>
    <w:rsid w:val="00030FA9"/>
    <w:rsid w:val="00031278"/>
    <w:rsid w:val="00031A3A"/>
    <w:rsid w:val="00031D44"/>
    <w:rsid w:val="000320F0"/>
    <w:rsid w:val="000322EC"/>
    <w:rsid w:val="00032625"/>
    <w:rsid w:val="0003273D"/>
    <w:rsid w:val="00032966"/>
    <w:rsid w:val="000329CB"/>
    <w:rsid w:val="00032D5A"/>
    <w:rsid w:val="00033290"/>
    <w:rsid w:val="000335D9"/>
    <w:rsid w:val="00033727"/>
    <w:rsid w:val="00033854"/>
    <w:rsid w:val="00033B98"/>
    <w:rsid w:val="00034485"/>
    <w:rsid w:val="00034756"/>
    <w:rsid w:val="00034A4E"/>
    <w:rsid w:val="00034A98"/>
    <w:rsid w:val="00035192"/>
    <w:rsid w:val="00035509"/>
    <w:rsid w:val="0003607D"/>
    <w:rsid w:val="00036271"/>
    <w:rsid w:val="000364D9"/>
    <w:rsid w:val="000366A4"/>
    <w:rsid w:val="00036CF4"/>
    <w:rsid w:val="00037061"/>
    <w:rsid w:val="00037111"/>
    <w:rsid w:val="00041529"/>
    <w:rsid w:val="0004173A"/>
    <w:rsid w:val="0004178E"/>
    <w:rsid w:val="000417AA"/>
    <w:rsid w:val="000423C3"/>
    <w:rsid w:val="00042F64"/>
    <w:rsid w:val="00043224"/>
    <w:rsid w:val="00043E74"/>
    <w:rsid w:val="000448EF"/>
    <w:rsid w:val="00044CF8"/>
    <w:rsid w:val="000457DB"/>
    <w:rsid w:val="00045B4C"/>
    <w:rsid w:val="00045C26"/>
    <w:rsid w:val="00045CD5"/>
    <w:rsid w:val="00045CDA"/>
    <w:rsid w:val="00045D04"/>
    <w:rsid w:val="00046F71"/>
    <w:rsid w:val="00047622"/>
    <w:rsid w:val="00050508"/>
    <w:rsid w:val="0005060C"/>
    <w:rsid w:val="00051493"/>
    <w:rsid w:val="0005174B"/>
    <w:rsid w:val="0005174E"/>
    <w:rsid w:val="0005192A"/>
    <w:rsid w:val="00051A90"/>
    <w:rsid w:val="00051AD8"/>
    <w:rsid w:val="00051CB0"/>
    <w:rsid w:val="00051E8B"/>
    <w:rsid w:val="0005263F"/>
    <w:rsid w:val="00052BA0"/>
    <w:rsid w:val="00053CD2"/>
    <w:rsid w:val="00054300"/>
    <w:rsid w:val="000544C4"/>
    <w:rsid w:val="00054796"/>
    <w:rsid w:val="00054809"/>
    <w:rsid w:val="000550F0"/>
    <w:rsid w:val="00055736"/>
    <w:rsid w:val="00055882"/>
    <w:rsid w:val="00057615"/>
    <w:rsid w:val="00060211"/>
    <w:rsid w:val="000603BD"/>
    <w:rsid w:val="00060B56"/>
    <w:rsid w:val="00060FEB"/>
    <w:rsid w:val="000612FA"/>
    <w:rsid w:val="00061409"/>
    <w:rsid w:val="00061655"/>
    <w:rsid w:val="00061979"/>
    <w:rsid w:val="0006276B"/>
    <w:rsid w:val="00062D56"/>
    <w:rsid w:val="00063AD4"/>
    <w:rsid w:val="00064595"/>
    <w:rsid w:val="000649BA"/>
    <w:rsid w:val="00064A86"/>
    <w:rsid w:val="00064C62"/>
    <w:rsid w:val="000654C4"/>
    <w:rsid w:val="00065AD6"/>
    <w:rsid w:val="00065B6C"/>
    <w:rsid w:val="00065BC5"/>
    <w:rsid w:val="000667AF"/>
    <w:rsid w:val="00066C6C"/>
    <w:rsid w:val="000673F5"/>
    <w:rsid w:val="00067E0E"/>
    <w:rsid w:val="00067E4E"/>
    <w:rsid w:val="000701A5"/>
    <w:rsid w:val="00070463"/>
    <w:rsid w:val="00070C7B"/>
    <w:rsid w:val="00071845"/>
    <w:rsid w:val="000719DA"/>
    <w:rsid w:val="00071BB2"/>
    <w:rsid w:val="000722DD"/>
    <w:rsid w:val="0007233A"/>
    <w:rsid w:val="000736D6"/>
    <w:rsid w:val="00073A47"/>
    <w:rsid w:val="00074817"/>
    <w:rsid w:val="00074C99"/>
    <w:rsid w:val="000750BB"/>
    <w:rsid w:val="00075715"/>
    <w:rsid w:val="00075FAE"/>
    <w:rsid w:val="000764F1"/>
    <w:rsid w:val="00076B28"/>
    <w:rsid w:val="00077CB6"/>
    <w:rsid w:val="00080932"/>
    <w:rsid w:val="00080ACD"/>
    <w:rsid w:val="00081365"/>
    <w:rsid w:val="000813E3"/>
    <w:rsid w:val="00081EE2"/>
    <w:rsid w:val="00082819"/>
    <w:rsid w:val="00083885"/>
    <w:rsid w:val="0008432E"/>
    <w:rsid w:val="00084FFB"/>
    <w:rsid w:val="0008560C"/>
    <w:rsid w:val="00086061"/>
    <w:rsid w:val="00086158"/>
    <w:rsid w:val="00086A69"/>
    <w:rsid w:val="00086AB5"/>
    <w:rsid w:val="00086B42"/>
    <w:rsid w:val="0008703A"/>
    <w:rsid w:val="000875DF"/>
    <w:rsid w:val="000905CD"/>
    <w:rsid w:val="0009113F"/>
    <w:rsid w:val="000913FF"/>
    <w:rsid w:val="000915D8"/>
    <w:rsid w:val="000916C7"/>
    <w:rsid w:val="000918C7"/>
    <w:rsid w:val="000920CC"/>
    <w:rsid w:val="0009254E"/>
    <w:rsid w:val="0009254F"/>
    <w:rsid w:val="00092B6D"/>
    <w:rsid w:val="00092C65"/>
    <w:rsid w:val="000936C1"/>
    <w:rsid w:val="00094172"/>
    <w:rsid w:val="000948D5"/>
    <w:rsid w:val="00094E1D"/>
    <w:rsid w:val="000961E4"/>
    <w:rsid w:val="00096507"/>
    <w:rsid w:val="00096B11"/>
    <w:rsid w:val="00096E4E"/>
    <w:rsid w:val="000973C4"/>
    <w:rsid w:val="0009750B"/>
    <w:rsid w:val="00097716"/>
    <w:rsid w:val="00097A0B"/>
    <w:rsid w:val="00097FD4"/>
    <w:rsid w:val="000A01EE"/>
    <w:rsid w:val="000A0749"/>
    <w:rsid w:val="000A096F"/>
    <w:rsid w:val="000A1173"/>
    <w:rsid w:val="000A1337"/>
    <w:rsid w:val="000A1560"/>
    <w:rsid w:val="000A1CF3"/>
    <w:rsid w:val="000A20A1"/>
    <w:rsid w:val="000A216B"/>
    <w:rsid w:val="000A2831"/>
    <w:rsid w:val="000A3123"/>
    <w:rsid w:val="000A4371"/>
    <w:rsid w:val="000A4A8A"/>
    <w:rsid w:val="000A4F7C"/>
    <w:rsid w:val="000A501B"/>
    <w:rsid w:val="000A5C50"/>
    <w:rsid w:val="000A66EF"/>
    <w:rsid w:val="000A67B6"/>
    <w:rsid w:val="000A6845"/>
    <w:rsid w:val="000A70B0"/>
    <w:rsid w:val="000A7A30"/>
    <w:rsid w:val="000B0076"/>
    <w:rsid w:val="000B04B9"/>
    <w:rsid w:val="000B0716"/>
    <w:rsid w:val="000B0BC0"/>
    <w:rsid w:val="000B0E6B"/>
    <w:rsid w:val="000B1683"/>
    <w:rsid w:val="000B1867"/>
    <w:rsid w:val="000B1AFF"/>
    <w:rsid w:val="000B1BFC"/>
    <w:rsid w:val="000B22E4"/>
    <w:rsid w:val="000B2898"/>
    <w:rsid w:val="000B2B1E"/>
    <w:rsid w:val="000B2C44"/>
    <w:rsid w:val="000B343F"/>
    <w:rsid w:val="000B3A91"/>
    <w:rsid w:val="000B4438"/>
    <w:rsid w:val="000B4F51"/>
    <w:rsid w:val="000B51C7"/>
    <w:rsid w:val="000B5475"/>
    <w:rsid w:val="000B5B9E"/>
    <w:rsid w:val="000B6838"/>
    <w:rsid w:val="000B6EE2"/>
    <w:rsid w:val="000B78C2"/>
    <w:rsid w:val="000B7B67"/>
    <w:rsid w:val="000B7CC0"/>
    <w:rsid w:val="000B7D7D"/>
    <w:rsid w:val="000B7E1E"/>
    <w:rsid w:val="000C0358"/>
    <w:rsid w:val="000C0AA3"/>
    <w:rsid w:val="000C15A0"/>
    <w:rsid w:val="000C1E53"/>
    <w:rsid w:val="000C2A0D"/>
    <w:rsid w:val="000C2B76"/>
    <w:rsid w:val="000C2EE8"/>
    <w:rsid w:val="000C41DD"/>
    <w:rsid w:val="000C4A30"/>
    <w:rsid w:val="000C4FFA"/>
    <w:rsid w:val="000C52E3"/>
    <w:rsid w:val="000C567F"/>
    <w:rsid w:val="000C585E"/>
    <w:rsid w:val="000C653E"/>
    <w:rsid w:val="000C768A"/>
    <w:rsid w:val="000C76EF"/>
    <w:rsid w:val="000C77A3"/>
    <w:rsid w:val="000C7BA8"/>
    <w:rsid w:val="000C7BB3"/>
    <w:rsid w:val="000C7EC8"/>
    <w:rsid w:val="000D01B0"/>
    <w:rsid w:val="000D01DE"/>
    <w:rsid w:val="000D0876"/>
    <w:rsid w:val="000D099C"/>
    <w:rsid w:val="000D0D73"/>
    <w:rsid w:val="000D0FA1"/>
    <w:rsid w:val="000D2C96"/>
    <w:rsid w:val="000D310A"/>
    <w:rsid w:val="000D3819"/>
    <w:rsid w:val="000D41FD"/>
    <w:rsid w:val="000D4A03"/>
    <w:rsid w:val="000D4CA2"/>
    <w:rsid w:val="000D4DBC"/>
    <w:rsid w:val="000D5C15"/>
    <w:rsid w:val="000D6F89"/>
    <w:rsid w:val="000D777A"/>
    <w:rsid w:val="000D7D98"/>
    <w:rsid w:val="000D7F2C"/>
    <w:rsid w:val="000E046B"/>
    <w:rsid w:val="000E0A2C"/>
    <w:rsid w:val="000E0CC4"/>
    <w:rsid w:val="000E0F15"/>
    <w:rsid w:val="000E4601"/>
    <w:rsid w:val="000E5299"/>
    <w:rsid w:val="000E59CB"/>
    <w:rsid w:val="000E5AB2"/>
    <w:rsid w:val="000E5C25"/>
    <w:rsid w:val="000E6000"/>
    <w:rsid w:val="000E6505"/>
    <w:rsid w:val="000E674E"/>
    <w:rsid w:val="000E681A"/>
    <w:rsid w:val="000E71F6"/>
    <w:rsid w:val="000E766F"/>
    <w:rsid w:val="000E7999"/>
    <w:rsid w:val="000F06D7"/>
    <w:rsid w:val="000F075B"/>
    <w:rsid w:val="000F0D7D"/>
    <w:rsid w:val="000F12C5"/>
    <w:rsid w:val="000F194F"/>
    <w:rsid w:val="000F2028"/>
    <w:rsid w:val="000F2BB4"/>
    <w:rsid w:val="000F3B52"/>
    <w:rsid w:val="000F3E82"/>
    <w:rsid w:val="000F448C"/>
    <w:rsid w:val="000F4627"/>
    <w:rsid w:val="000F4D06"/>
    <w:rsid w:val="000F5637"/>
    <w:rsid w:val="000F5971"/>
    <w:rsid w:val="000F686A"/>
    <w:rsid w:val="000F6CFC"/>
    <w:rsid w:val="000F7271"/>
    <w:rsid w:val="000F7657"/>
    <w:rsid w:val="000F7917"/>
    <w:rsid w:val="000F7F7D"/>
    <w:rsid w:val="000F7FF5"/>
    <w:rsid w:val="00100847"/>
    <w:rsid w:val="00100D1A"/>
    <w:rsid w:val="00101096"/>
    <w:rsid w:val="00102984"/>
    <w:rsid w:val="00102CC1"/>
    <w:rsid w:val="00103877"/>
    <w:rsid w:val="0010387D"/>
    <w:rsid w:val="00103E4B"/>
    <w:rsid w:val="00104655"/>
    <w:rsid w:val="00104A66"/>
    <w:rsid w:val="00104AFE"/>
    <w:rsid w:val="00105074"/>
    <w:rsid w:val="001050A5"/>
    <w:rsid w:val="001101E3"/>
    <w:rsid w:val="00110380"/>
    <w:rsid w:val="00110AF0"/>
    <w:rsid w:val="00111143"/>
    <w:rsid w:val="001114FE"/>
    <w:rsid w:val="0011170E"/>
    <w:rsid w:val="00112569"/>
    <w:rsid w:val="001127E2"/>
    <w:rsid w:val="00113946"/>
    <w:rsid w:val="0011394A"/>
    <w:rsid w:val="00114A14"/>
    <w:rsid w:val="00114AFA"/>
    <w:rsid w:val="00114CFC"/>
    <w:rsid w:val="00114DB1"/>
    <w:rsid w:val="001158BF"/>
    <w:rsid w:val="00116395"/>
    <w:rsid w:val="0011672A"/>
    <w:rsid w:val="00116B7C"/>
    <w:rsid w:val="00117143"/>
    <w:rsid w:val="00117870"/>
    <w:rsid w:val="00120B0C"/>
    <w:rsid w:val="00120D18"/>
    <w:rsid w:val="00120D5F"/>
    <w:rsid w:val="001215E3"/>
    <w:rsid w:val="00121EA1"/>
    <w:rsid w:val="00122084"/>
    <w:rsid w:val="00122927"/>
    <w:rsid w:val="00122FB7"/>
    <w:rsid w:val="001239EF"/>
    <w:rsid w:val="0012445D"/>
    <w:rsid w:val="001248B1"/>
    <w:rsid w:val="00125B51"/>
    <w:rsid w:val="00125E9B"/>
    <w:rsid w:val="00125EB3"/>
    <w:rsid w:val="001261A7"/>
    <w:rsid w:val="001267C0"/>
    <w:rsid w:val="00126E7B"/>
    <w:rsid w:val="00127C67"/>
    <w:rsid w:val="00130555"/>
    <w:rsid w:val="00130817"/>
    <w:rsid w:val="0013109C"/>
    <w:rsid w:val="0013139D"/>
    <w:rsid w:val="00131C67"/>
    <w:rsid w:val="001326C9"/>
    <w:rsid w:val="001327F3"/>
    <w:rsid w:val="00132ABB"/>
    <w:rsid w:val="0013390F"/>
    <w:rsid w:val="00133A5F"/>
    <w:rsid w:val="00133FE0"/>
    <w:rsid w:val="001340AD"/>
    <w:rsid w:val="001342E0"/>
    <w:rsid w:val="00134B04"/>
    <w:rsid w:val="001353B6"/>
    <w:rsid w:val="001354CA"/>
    <w:rsid w:val="001357E3"/>
    <w:rsid w:val="00136D53"/>
    <w:rsid w:val="00136E91"/>
    <w:rsid w:val="00136F3C"/>
    <w:rsid w:val="00137C9A"/>
    <w:rsid w:val="00137D1F"/>
    <w:rsid w:val="001401D2"/>
    <w:rsid w:val="0014129D"/>
    <w:rsid w:val="001417F5"/>
    <w:rsid w:val="00142376"/>
    <w:rsid w:val="001425BD"/>
    <w:rsid w:val="0014270C"/>
    <w:rsid w:val="00142BC1"/>
    <w:rsid w:val="00142D2A"/>
    <w:rsid w:val="00143014"/>
    <w:rsid w:val="00143141"/>
    <w:rsid w:val="00143272"/>
    <w:rsid w:val="00143DC2"/>
    <w:rsid w:val="00144951"/>
    <w:rsid w:val="00145169"/>
    <w:rsid w:val="0014557F"/>
    <w:rsid w:val="00145873"/>
    <w:rsid w:val="00145B4D"/>
    <w:rsid w:val="00145C10"/>
    <w:rsid w:val="0014616C"/>
    <w:rsid w:val="001468D0"/>
    <w:rsid w:val="00146DE7"/>
    <w:rsid w:val="00147339"/>
    <w:rsid w:val="001511BC"/>
    <w:rsid w:val="00151476"/>
    <w:rsid w:val="001525B8"/>
    <w:rsid w:val="0015268C"/>
    <w:rsid w:val="00152AAF"/>
    <w:rsid w:val="00152C09"/>
    <w:rsid w:val="00152DFE"/>
    <w:rsid w:val="00153346"/>
    <w:rsid w:val="001539CC"/>
    <w:rsid w:val="00154A75"/>
    <w:rsid w:val="00154E5C"/>
    <w:rsid w:val="00155056"/>
    <w:rsid w:val="00155342"/>
    <w:rsid w:val="00155348"/>
    <w:rsid w:val="00155527"/>
    <w:rsid w:val="001565C1"/>
    <w:rsid w:val="001568CC"/>
    <w:rsid w:val="00156929"/>
    <w:rsid w:val="001577F6"/>
    <w:rsid w:val="0015796B"/>
    <w:rsid w:val="00157DFA"/>
    <w:rsid w:val="00157FAA"/>
    <w:rsid w:val="00160026"/>
    <w:rsid w:val="00160DCC"/>
    <w:rsid w:val="00161574"/>
    <w:rsid w:val="00161860"/>
    <w:rsid w:val="001637D4"/>
    <w:rsid w:val="001640F6"/>
    <w:rsid w:val="00164AE9"/>
    <w:rsid w:val="001653A8"/>
    <w:rsid w:val="001654A9"/>
    <w:rsid w:val="0016557A"/>
    <w:rsid w:val="00165ADF"/>
    <w:rsid w:val="00165B9E"/>
    <w:rsid w:val="00165CB5"/>
    <w:rsid w:val="00165E07"/>
    <w:rsid w:val="00165E21"/>
    <w:rsid w:val="00166462"/>
    <w:rsid w:val="00167376"/>
    <w:rsid w:val="001677A3"/>
    <w:rsid w:val="00167947"/>
    <w:rsid w:val="00167D91"/>
    <w:rsid w:val="00170ACE"/>
    <w:rsid w:val="00170C90"/>
    <w:rsid w:val="00170D3C"/>
    <w:rsid w:val="00171199"/>
    <w:rsid w:val="00171685"/>
    <w:rsid w:val="00171864"/>
    <w:rsid w:val="00171BEC"/>
    <w:rsid w:val="001728DB"/>
    <w:rsid w:val="00173765"/>
    <w:rsid w:val="001745CC"/>
    <w:rsid w:val="0017472B"/>
    <w:rsid w:val="00175094"/>
    <w:rsid w:val="00175127"/>
    <w:rsid w:val="001766A5"/>
    <w:rsid w:val="0017691B"/>
    <w:rsid w:val="0017745B"/>
    <w:rsid w:val="00180569"/>
    <w:rsid w:val="00180611"/>
    <w:rsid w:val="0018143A"/>
    <w:rsid w:val="00181A74"/>
    <w:rsid w:val="00182257"/>
    <w:rsid w:val="00182DE7"/>
    <w:rsid w:val="00183051"/>
    <w:rsid w:val="0018343E"/>
    <w:rsid w:val="00183603"/>
    <w:rsid w:val="00183744"/>
    <w:rsid w:val="001837C8"/>
    <w:rsid w:val="001839F3"/>
    <w:rsid w:val="00183AE9"/>
    <w:rsid w:val="00183BC4"/>
    <w:rsid w:val="00183FFB"/>
    <w:rsid w:val="00184186"/>
    <w:rsid w:val="00184247"/>
    <w:rsid w:val="001853A3"/>
    <w:rsid w:val="00185662"/>
    <w:rsid w:val="001859A6"/>
    <w:rsid w:val="0018625D"/>
    <w:rsid w:val="00186569"/>
    <w:rsid w:val="0018659C"/>
    <w:rsid w:val="001867BA"/>
    <w:rsid w:val="00186CC6"/>
    <w:rsid w:val="00186ECF"/>
    <w:rsid w:val="0018769A"/>
    <w:rsid w:val="0018771F"/>
    <w:rsid w:val="00187860"/>
    <w:rsid w:val="00187E43"/>
    <w:rsid w:val="001900B1"/>
    <w:rsid w:val="00190413"/>
    <w:rsid w:val="00190767"/>
    <w:rsid w:val="00190912"/>
    <w:rsid w:val="00190926"/>
    <w:rsid w:val="00190EA6"/>
    <w:rsid w:val="00191733"/>
    <w:rsid w:val="00192380"/>
    <w:rsid w:val="00192A54"/>
    <w:rsid w:val="0019332A"/>
    <w:rsid w:val="00193644"/>
    <w:rsid w:val="0019428A"/>
    <w:rsid w:val="00194DA9"/>
    <w:rsid w:val="001952AC"/>
    <w:rsid w:val="00195383"/>
    <w:rsid w:val="00195A56"/>
    <w:rsid w:val="00196052"/>
    <w:rsid w:val="00196148"/>
    <w:rsid w:val="001967D3"/>
    <w:rsid w:val="00196BBE"/>
    <w:rsid w:val="00196F28"/>
    <w:rsid w:val="00196FE1"/>
    <w:rsid w:val="0019773A"/>
    <w:rsid w:val="00197EF8"/>
    <w:rsid w:val="001A0048"/>
    <w:rsid w:val="001A052C"/>
    <w:rsid w:val="001A10F2"/>
    <w:rsid w:val="001A12E8"/>
    <w:rsid w:val="001A1A60"/>
    <w:rsid w:val="001A1DC6"/>
    <w:rsid w:val="001A20D1"/>
    <w:rsid w:val="001A2ADF"/>
    <w:rsid w:val="001A2CC2"/>
    <w:rsid w:val="001A36C5"/>
    <w:rsid w:val="001A411B"/>
    <w:rsid w:val="001A4428"/>
    <w:rsid w:val="001A49BC"/>
    <w:rsid w:val="001A4BEA"/>
    <w:rsid w:val="001A4EA9"/>
    <w:rsid w:val="001A5274"/>
    <w:rsid w:val="001A5ECA"/>
    <w:rsid w:val="001A6200"/>
    <w:rsid w:val="001A62F1"/>
    <w:rsid w:val="001A6B0A"/>
    <w:rsid w:val="001A6CDF"/>
    <w:rsid w:val="001A734A"/>
    <w:rsid w:val="001A773F"/>
    <w:rsid w:val="001A77CB"/>
    <w:rsid w:val="001B07D7"/>
    <w:rsid w:val="001B127A"/>
    <w:rsid w:val="001B228A"/>
    <w:rsid w:val="001B26F8"/>
    <w:rsid w:val="001B2C9F"/>
    <w:rsid w:val="001B32E4"/>
    <w:rsid w:val="001B340C"/>
    <w:rsid w:val="001B4501"/>
    <w:rsid w:val="001B45EA"/>
    <w:rsid w:val="001B4644"/>
    <w:rsid w:val="001B46D8"/>
    <w:rsid w:val="001B47EC"/>
    <w:rsid w:val="001B525B"/>
    <w:rsid w:val="001B5298"/>
    <w:rsid w:val="001B5345"/>
    <w:rsid w:val="001B5A5F"/>
    <w:rsid w:val="001B6682"/>
    <w:rsid w:val="001B6DB5"/>
    <w:rsid w:val="001B7588"/>
    <w:rsid w:val="001B7C6B"/>
    <w:rsid w:val="001C0853"/>
    <w:rsid w:val="001C0980"/>
    <w:rsid w:val="001C0A69"/>
    <w:rsid w:val="001C1457"/>
    <w:rsid w:val="001C1935"/>
    <w:rsid w:val="001C1981"/>
    <w:rsid w:val="001C19E3"/>
    <w:rsid w:val="001C3774"/>
    <w:rsid w:val="001C3BA3"/>
    <w:rsid w:val="001C3E06"/>
    <w:rsid w:val="001C448E"/>
    <w:rsid w:val="001C44CF"/>
    <w:rsid w:val="001C47F1"/>
    <w:rsid w:val="001C4A7C"/>
    <w:rsid w:val="001C5E09"/>
    <w:rsid w:val="001C5F0B"/>
    <w:rsid w:val="001C60AB"/>
    <w:rsid w:val="001C6936"/>
    <w:rsid w:val="001C7739"/>
    <w:rsid w:val="001C7970"/>
    <w:rsid w:val="001C7B93"/>
    <w:rsid w:val="001C7BF6"/>
    <w:rsid w:val="001D0085"/>
    <w:rsid w:val="001D162A"/>
    <w:rsid w:val="001D1AB0"/>
    <w:rsid w:val="001D1D56"/>
    <w:rsid w:val="001D1DFA"/>
    <w:rsid w:val="001D21EF"/>
    <w:rsid w:val="001D288B"/>
    <w:rsid w:val="001D2E58"/>
    <w:rsid w:val="001D3338"/>
    <w:rsid w:val="001D35E4"/>
    <w:rsid w:val="001D3B37"/>
    <w:rsid w:val="001D405B"/>
    <w:rsid w:val="001D498C"/>
    <w:rsid w:val="001D4AE7"/>
    <w:rsid w:val="001D501D"/>
    <w:rsid w:val="001D6089"/>
    <w:rsid w:val="001D66C8"/>
    <w:rsid w:val="001D6DF0"/>
    <w:rsid w:val="001D73A7"/>
    <w:rsid w:val="001D7EDD"/>
    <w:rsid w:val="001E01AB"/>
    <w:rsid w:val="001E0845"/>
    <w:rsid w:val="001E0B08"/>
    <w:rsid w:val="001E0FD7"/>
    <w:rsid w:val="001E14D4"/>
    <w:rsid w:val="001E1677"/>
    <w:rsid w:val="001E18FF"/>
    <w:rsid w:val="001E1DF0"/>
    <w:rsid w:val="001E2104"/>
    <w:rsid w:val="001E21DE"/>
    <w:rsid w:val="001E2CC1"/>
    <w:rsid w:val="001E3375"/>
    <w:rsid w:val="001E33C3"/>
    <w:rsid w:val="001E40AA"/>
    <w:rsid w:val="001E43B2"/>
    <w:rsid w:val="001E43BC"/>
    <w:rsid w:val="001E440D"/>
    <w:rsid w:val="001E4768"/>
    <w:rsid w:val="001E6269"/>
    <w:rsid w:val="001E7351"/>
    <w:rsid w:val="001E73AD"/>
    <w:rsid w:val="001E7D78"/>
    <w:rsid w:val="001F056F"/>
    <w:rsid w:val="001F084D"/>
    <w:rsid w:val="001F1CCB"/>
    <w:rsid w:val="001F1D26"/>
    <w:rsid w:val="001F2190"/>
    <w:rsid w:val="001F21B0"/>
    <w:rsid w:val="001F2838"/>
    <w:rsid w:val="001F2B41"/>
    <w:rsid w:val="001F2DC8"/>
    <w:rsid w:val="001F2FCC"/>
    <w:rsid w:val="001F334B"/>
    <w:rsid w:val="001F3551"/>
    <w:rsid w:val="001F3C6A"/>
    <w:rsid w:val="001F416E"/>
    <w:rsid w:val="001F4478"/>
    <w:rsid w:val="001F4CE4"/>
    <w:rsid w:val="001F4D41"/>
    <w:rsid w:val="001F57FE"/>
    <w:rsid w:val="001F5D05"/>
    <w:rsid w:val="001F5EA5"/>
    <w:rsid w:val="001F6752"/>
    <w:rsid w:val="001F6755"/>
    <w:rsid w:val="001F6B9D"/>
    <w:rsid w:val="001F6CDC"/>
    <w:rsid w:val="001F73A5"/>
    <w:rsid w:val="00200773"/>
    <w:rsid w:val="00200A9B"/>
    <w:rsid w:val="00200F4E"/>
    <w:rsid w:val="0020111E"/>
    <w:rsid w:val="00201260"/>
    <w:rsid w:val="00201812"/>
    <w:rsid w:val="00202069"/>
    <w:rsid w:val="0020276F"/>
    <w:rsid w:val="00202947"/>
    <w:rsid w:val="00202B21"/>
    <w:rsid w:val="0020378E"/>
    <w:rsid w:val="002043FD"/>
    <w:rsid w:val="002045CE"/>
    <w:rsid w:val="00204D9C"/>
    <w:rsid w:val="002054EB"/>
    <w:rsid w:val="002055C9"/>
    <w:rsid w:val="002066BC"/>
    <w:rsid w:val="002075BE"/>
    <w:rsid w:val="00207965"/>
    <w:rsid w:val="002100E8"/>
    <w:rsid w:val="002101CA"/>
    <w:rsid w:val="00210B06"/>
    <w:rsid w:val="002114E7"/>
    <w:rsid w:val="00212440"/>
    <w:rsid w:val="0021352B"/>
    <w:rsid w:val="00213F07"/>
    <w:rsid w:val="00214042"/>
    <w:rsid w:val="002142CA"/>
    <w:rsid w:val="002149F3"/>
    <w:rsid w:val="00215EB6"/>
    <w:rsid w:val="00216007"/>
    <w:rsid w:val="0021615F"/>
    <w:rsid w:val="00216435"/>
    <w:rsid w:val="00216AE4"/>
    <w:rsid w:val="00216B34"/>
    <w:rsid w:val="00216C89"/>
    <w:rsid w:val="002170AE"/>
    <w:rsid w:val="00217249"/>
    <w:rsid w:val="002175B6"/>
    <w:rsid w:val="002204C1"/>
    <w:rsid w:val="002207FA"/>
    <w:rsid w:val="002210CA"/>
    <w:rsid w:val="00222C65"/>
    <w:rsid w:val="00222E2C"/>
    <w:rsid w:val="002230C5"/>
    <w:rsid w:val="0022312A"/>
    <w:rsid w:val="0022342E"/>
    <w:rsid w:val="00223CDC"/>
    <w:rsid w:val="00223F75"/>
    <w:rsid w:val="00224523"/>
    <w:rsid w:val="0022587F"/>
    <w:rsid w:val="00225B15"/>
    <w:rsid w:val="00226EBB"/>
    <w:rsid w:val="002271F4"/>
    <w:rsid w:val="00227FAF"/>
    <w:rsid w:val="00230739"/>
    <w:rsid w:val="0023082B"/>
    <w:rsid w:val="00230A30"/>
    <w:rsid w:val="00230B86"/>
    <w:rsid w:val="00230E18"/>
    <w:rsid w:val="0023110E"/>
    <w:rsid w:val="00231165"/>
    <w:rsid w:val="00231690"/>
    <w:rsid w:val="00232ABE"/>
    <w:rsid w:val="00232CDB"/>
    <w:rsid w:val="00233138"/>
    <w:rsid w:val="00234492"/>
    <w:rsid w:val="0023484F"/>
    <w:rsid w:val="002353AF"/>
    <w:rsid w:val="0023639B"/>
    <w:rsid w:val="002368C1"/>
    <w:rsid w:val="0023697F"/>
    <w:rsid w:val="00236A7B"/>
    <w:rsid w:val="0023712D"/>
    <w:rsid w:val="0023780A"/>
    <w:rsid w:val="00240321"/>
    <w:rsid w:val="00240D37"/>
    <w:rsid w:val="002419AA"/>
    <w:rsid w:val="00241BBA"/>
    <w:rsid w:val="00241DA3"/>
    <w:rsid w:val="00242D53"/>
    <w:rsid w:val="002430DE"/>
    <w:rsid w:val="0024325E"/>
    <w:rsid w:val="002432AE"/>
    <w:rsid w:val="0024370A"/>
    <w:rsid w:val="002444F3"/>
    <w:rsid w:val="00244731"/>
    <w:rsid w:val="00244B63"/>
    <w:rsid w:val="00244BC5"/>
    <w:rsid w:val="0024509B"/>
    <w:rsid w:val="002450F3"/>
    <w:rsid w:val="00245C89"/>
    <w:rsid w:val="00245F08"/>
    <w:rsid w:val="002462C8"/>
    <w:rsid w:val="002463E4"/>
    <w:rsid w:val="0024696E"/>
    <w:rsid w:val="00246CF7"/>
    <w:rsid w:val="00246F93"/>
    <w:rsid w:val="002470BE"/>
    <w:rsid w:val="00247401"/>
    <w:rsid w:val="00247866"/>
    <w:rsid w:val="00247F72"/>
    <w:rsid w:val="0025040B"/>
    <w:rsid w:val="002516FB"/>
    <w:rsid w:val="0025172F"/>
    <w:rsid w:val="00251B26"/>
    <w:rsid w:val="00251B75"/>
    <w:rsid w:val="00252CE5"/>
    <w:rsid w:val="0025304F"/>
    <w:rsid w:val="002530BE"/>
    <w:rsid w:val="00253297"/>
    <w:rsid w:val="00253935"/>
    <w:rsid w:val="00253EF6"/>
    <w:rsid w:val="002541C0"/>
    <w:rsid w:val="00254599"/>
    <w:rsid w:val="00254B12"/>
    <w:rsid w:val="00254CFE"/>
    <w:rsid w:val="00254DCC"/>
    <w:rsid w:val="00255111"/>
    <w:rsid w:val="00255210"/>
    <w:rsid w:val="00256A9B"/>
    <w:rsid w:val="00256CFE"/>
    <w:rsid w:val="00256ED0"/>
    <w:rsid w:val="00257277"/>
    <w:rsid w:val="00257287"/>
    <w:rsid w:val="00257798"/>
    <w:rsid w:val="00257DCF"/>
    <w:rsid w:val="00257E34"/>
    <w:rsid w:val="00260D55"/>
    <w:rsid w:val="00260F4C"/>
    <w:rsid w:val="0026138A"/>
    <w:rsid w:val="002617EB"/>
    <w:rsid w:val="00261CC8"/>
    <w:rsid w:val="00261D55"/>
    <w:rsid w:val="00261F0D"/>
    <w:rsid w:val="002625D3"/>
    <w:rsid w:val="00262ABF"/>
    <w:rsid w:val="00263030"/>
    <w:rsid w:val="002633CE"/>
    <w:rsid w:val="00263739"/>
    <w:rsid w:val="0026377D"/>
    <w:rsid w:val="0026466C"/>
    <w:rsid w:val="002646B0"/>
    <w:rsid w:val="002648B5"/>
    <w:rsid w:val="00264B3E"/>
    <w:rsid w:val="002651C9"/>
    <w:rsid w:val="00265211"/>
    <w:rsid w:val="002652FB"/>
    <w:rsid w:val="00265F53"/>
    <w:rsid w:val="00265F8E"/>
    <w:rsid w:val="00266300"/>
    <w:rsid w:val="00266D04"/>
    <w:rsid w:val="00267BCA"/>
    <w:rsid w:val="00267C73"/>
    <w:rsid w:val="00267EA2"/>
    <w:rsid w:val="00267F12"/>
    <w:rsid w:val="002702B9"/>
    <w:rsid w:val="002704A3"/>
    <w:rsid w:val="0027092A"/>
    <w:rsid w:val="00270B79"/>
    <w:rsid w:val="00272582"/>
    <w:rsid w:val="00272692"/>
    <w:rsid w:val="00272AA7"/>
    <w:rsid w:val="00273B46"/>
    <w:rsid w:val="00273C28"/>
    <w:rsid w:val="00274496"/>
    <w:rsid w:val="002748C5"/>
    <w:rsid w:val="00274EC1"/>
    <w:rsid w:val="002753D5"/>
    <w:rsid w:val="00275ABF"/>
    <w:rsid w:val="00275C33"/>
    <w:rsid w:val="00275E9B"/>
    <w:rsid w:val="002760FC"/>
    <w:rsid w:val="00276B19"/>
    <w:rsid w:val="00277094"/>
    <w:rsid w:val="00277426"/>
    <w:rsid w:val="0027743D"/>
    <w:rsid w:val="002777CA"/>
    <w:rsid w:val="00277818"/>
    <w:rsid w:val="0027795C"/>
    <w:rsid w:val="00277CDC"/>
    <w:rsid w:val="002801FF"/>
    <w:rsid w:val="00280F32"/>
    <w:rsid w:val="00280F41"/>
    <w:rsid w:val="00281335"/>
    <w:rsid w:val="00281583"/>
    <w:rsid w:val="0028183A"/>
    <w:rsid w:val="00281A7C"/>
    <w:rsid w:val="002822DD"/>
    <w:rsid w:val="00282323"/>
    <w:rsid w:val="0028394F"/>
    <w:rsid w:val="00283E89"/>
    <w:rsid w:val="00284FB8"/>
    <w:rsid w:val="002853AC"/>
    <w:rsid w:val="002855FF"/>
    <w:rsid w:val="002857DD"/>
    <w:rsid w:val="00285C02"/>
    <w:rsid w:val="0028633B"/>
    <w:rsid w:val="00286D76"/>
    <w:rsid w:val="00287C24"/>
    <w:rsid w:val="002902F6"/>
    <w:rsid w:val="0029071D"/>
    <w:rsid w:val="00290E35"/>
    <w:rsid w:val="00290FF0"/>
    <w:rsid w:val="00291A39"/>
    <w:rsid w:val="00291BCF"/>
    <w:rsid w:val="002920F0"/>
    <w:rsid w:val="002925B4"/>
    <w:rsid w:val="00292DB1"/>
    <w:rsid w:val="002935E5"/>
    <w:rsid w:val="00294510"/>
    <w:rsid w:val="00294DEF"/>
    <w:rsid w:val="00294FC8"/>
    <w:rsid w:val="002959D4"/>
    <w:rsid w:val="0029796D"/>
    <w:rsid w:val="002A0119"/>
    <w:rsid w:val="002A09C6"/>
    <w:rsid w:val="002A0AC4"/>
    <w:rsid w:val="002A0D48"/>
    <w:rsid w:val="002A204B"/>
    <w:rsid w:val="002A38F4"/>
    <w:rsid w:val="002A3AA8"/>
    <w:rsid w:val="002A3C3F"/>
    <w:rsid w:val="002A440F"/>
    <w:rsid w:val="002A51D8"/>
    <w:rsid w:val="002A59BA"/>
    <w:rsid w:val="002A5A4D"/>
    <w:rsid w:val="002A5D38"/>
    <w:rsid w:val="002A60C7"/>
    <w:rsid w:val="002A6919"/>
    <w:rsid w:val="002A6B97"/>
    <w:rsid w:val="002A75F1"/>
    <w:rsid w:val="002A79C1"/>
    <w:rsid w:val="002A7AA5"/>
    <w:rsid w:val="002B0572"/>
    <w:rsid w:val="002B0A4B"/>
    <w:rsid w:val="002B0DEC"/>
    <w:rsid w:val="002B2A59"/>
    <w:rsid w:val="002B2BA4"/>
    <w:rsid w:val="002B2C7F"/>
    <w:rsid w:val="002B2DFA"/>
    <w:rsid w:val="002B2ECB"/>
    <w:rsid w:val="002B3390"/>
    <w:rsid w:val="002B38B5"/>
    <w:rsid w:val="002B3CD2"/>
    <w:rsid w:val="002B3E0D"/>
    <w:rsid w:val="002B3EB9"/>
    <w:rsid w:val="002B460D"/>
    <w:rsid w:val="002B469B"/>
    <w:rsid w:val="002B49A6"/>
    <w:rsid w:val="002B4E5E"/>
    <w:rsid w:val="002B5A57"/>
    <w:rsid w:val="002B5BCE"/>
    <w:rsid w:val="002B607E"/>
    <w:rsid w:val="002B62DE"/>
    <w:rsid w:val="002B6744"/>
    <w:rsid w:val="002B6DD9"/>
    <w:rsid w:val="002B7028"/>
    <w:rsid w:val="002B70E8"/>
    <w:rsid w:val="002B7F1C"/>
    <w:rsid w:val="002C0312"/>
    <w:rsid w:val="002C0AF8"/>
    <w:rsid w:val="002C11EA"/>
    <w:rsid w:val="002C1215"/>
    <w:rsid w:val="002C1345"/>
    <w:rsid w:val="002C156E"/>
    <w:rsid w:val="002C158D"/>
    <w:rsid w:val="002C163B"/>
    <w:rsid w:val="002C17B0"/>
    <w:rsid w:val="002C1F0D"/>
    <w:rsid w:val="002C2101"/>
    <w:rsid w:val="002C2D39"/>
    <w:rsid w:val="002C2FC1"/>
    <w:rsid w:val="002C3046"/>
    <w:rsid w:val="002C3473"/>
    <w:rsid w:val="002C3B1B"/>
    <w:rsid w:val="002C3ECE"/>
    <w:rsid w:val="002C4244"/>
    <w:rsid w:val="002C4388"/>
    <w:rsid w:val="002C53CA"/>
    <w:rsid w:val="002C5C1F"/>
    <w:rsid w:val="002C6231"/>
    <w:rsid w:val="002C63ED"/>
    <w:rsid w:val="002C6485"/>
    <w:rsid w:val="002C7C25"/>
    <w:rsid w:val="002C7EEE"/>
    <w:rsid w:val="002D005A"/>
    <w:rsid w:val="002D0D3B"/>
    <w:rsid w:val="002D14F0"/>
    <w:rsid w:val="002D1B38"/>
    <w:rsid w:val="002D228D"/>
    <w:rsid w:val="002D33E6"/>
    <w:rsid w:val="002D3EEE"/>
    <w:rsid w:val="002D47C2"/>
    <w:rsid w:val="002D5603"/>
    <w:rsid w:val="002D56FC"/>
    <w:rsid w:val="002D5E12"/>
    <w:rsid w:val="002D669E"/>
    <w:rsid w:val="002D6928"/>
    <w:rsid w:val="002D6B73"/>
    <w:rsid w:val="002D6C58"/>
    <w:rsid w:val="002D765B"/>
    <w:rsid w:val="002D7E2A"/>
    <w:rsid w:val="002E022E"/>
    <w:rsid w:val="002E0377"/>
    <w:rsid w:val="002E05B1"/>
    <w:rsid w:val="002E05D7"/>
    <w:rsid w:val="002E1799"/>
    <w:rsid w:val="002E1871"/>
    <w:rsid w:val="002E1DAB"/>
    <w:rsid w:val="002E2050"/>
    <w:rsid w:val="002E20A9"/>
    <w:rsid w:val="002E2335"/>
    <w:rsid w:val="002E281B"/>
    <w:rsid w:val="002E2B29"/>
    <w:rsid w:val="002E2E0A"/>
    <w:rsid w:val="002E3176"/>
    <w:rsid w:val="002E3962"/>
    <w:rsid w:val="002E43AE"/>
    <w:rsid w:val="002E4C73"/>
    <w:rsid w:val="002E6820"/>
    <w:rsid w:val="002E683B"/>
    <w:rsid w:val="002E6D5C"/>
    <w:rsid w:val="002E6F8C"/>
    <w:rsid w:val="002E6FAE"/>
    <w:rsid w:val="002E72BC"/>
    <w:rsid w:val="002E78C8"/>
    <w:rsid w:val="002F008A"/>
    <w:rsid w:val="002F03CD"/>
    <w:rsid w:val="002F0855"/>
    <w:rsid w:val="002F0B8E"/>
    <w:rsid w:val="002F0C0F"/>
    <w:rsid w:val="002F1423"/>
    <w:rsid w:val="002F1B39"/>
    <w:rsid w:val="002F1DAA"/>
    <w:rsid w:val="002F22CA"/>
    <w:rsid w:val="002F279C"/>
    <w:rsid w:val="002F32DE"/>
    <w:rsid w:val="002F39AC"/>
    <w:rsid w:val="002F3E47"/>
    <w:rsid w:val="002F4103"/>
    <w:rsid w:val="002F46DC"/>
    <w:rsid w:val="002F4BF2"/>
    <w:rsid w:val="002F5581"/>
    <w:rsid w:val="002F5EE4"/>
    <w:rsid w:val="002F641B"/>
    <w:rsid w:val="002F7D45"/>
    <w:rsid w:val="00300312"/>
    <w:rsid w:val="00301986"/>
    <w:rsid w:val="0030226C"/>
    <w:rsid w:val="0030232F"/>
    <w:rsid w:val="00302346"/>
    <w:rsid w:val="003029FF"/>
    <w:rsid w:val="003035F2"/>
    <w:rsid w:val="00304358"/>
    <w:rsid w:val="00304732"/>
    <w:rsid w:val="00304DC8"/>
    <w:rsid w:val="00304DD0"/>
    <w:rsid w:val="0030537E"/>
    <w:rsid w:val="00305888"/>
    <w:rsid w:val="00305A9B"/>
    <w:rsid w:val="00305AEA"/>
    <w:rsid w:val="00305FA1"/>
    <w:rsid w:val="003061AB"/>
    <w:rsid w:val="00310282"/>
    <w:rsid w:val="003118C3"/>
    <w:rsid w:val="00311C18"/>
    <w:rsid w:val="0031227A"/>
    <w:rsid w:val="00312E5B"/>
    <w:rsid w:val="0031330F"/>
    <w:rsid w:val="0031372E"/>
    <w:rsid w:val="003139C0"/>
    <w:rsid w:val="003141D5"/>
    <w:rsid w:val="00314708"/>
    <w:rsid w:val="00314D8D"/>
    <w:rsid w:val="003160E6"/>
    <w:rsid w:val="003161A7"/>
    <w:rsid w:val="003169B6"/>
    <w:rsid w:val="00317005"/>
    <w:rsid w:val="00317A24"/>
    <w:rsid w:val="00317A54"/>
    <w:rsid w:val="00317BA7"/>
    <w:rsid w:val="00317F53"/>
    <w:rsid w:val="00320072"/>
    <w:rsid w:val="00320474"/>
    <w:rsid w:val="0032056E"/>
    <w:rsid w:val="00321165"/>
    <w:rsid w:val="00321573"/>
    <w:rsid w:val="003217CE"/>
    <w:rsid w:val="0032227C"/>
    <w:rsid w:val="003225FA"/>
    <w:rsid w:val="00322FD3"/>
    <w:rsid w:val="00324ADE"/>
    <w:rsid w:val="00326628"/>
    <w:rsid w:val="003276AD"/>
    <w:rsid w:val="00330298"/>
    <w:rsid w:val="00330459"/>
    <w:rsid w:val="0033056F"/>
    <w:rsid w:val="00330C87"/>
    <w:rsid w:val="00330EFB"/>
    <w:rsid w:val="00330F09"/>
    <w:rsid w:val="003310A2"/>
    <w:rsid w:val="003317E6"/>
    <w:rsid w:val="0033183C"/>
    <w:rsid w:val="00331A9F"/>
    <w:rsid w:val="00331D31"/>
    <w:rsid w:val="00332278"/>
    <w:rsid w:val="003323D5"/>
    <w:rsid w:val="0033291C"/>
    <w:rsid w:val="00332CDB"/>
    <w:rsid w:val="003337C5"/>
    <w:rsid w:val="003337F5"/>
    <w:rsid w:val="00333B7D"/>
    <w:rsid w:val="00333C4A"/>
    <w:rsid w:val="00334D96"/>
    <w:rsid w:val="00334DCF"/>
    <w:rsid w:val="00335419"/>
    <w:rsid w:val="003368BC"/>
    <w:rsid w:val="00336B79"/>
    <w:rsid w:val="00336EC3"/>
    <w:rsid w:val="0033764A"/>
    <w:rsid w:val="003379A3"/>
    <w:rsid w:val="00337A0B"/>
    <w:rsid w:val="00337C13"/>
    <w:rsid w:val="00340273"/>
    <w:rsid w:val="0034027C"/>
    <w:rsid w:val="003403FF"/>
    <w:rsid w:val="00340B72"/>
    <w:rsid w:val="00340BF0"/>
    <w:rsid w:val="00341687"/>
    <w:rsid w:val="00341808"/>
    <w:rsid w:val="0034195A"/>
    <w:rsid w:val="00341A4C"/>
    <w:rsid w:val="00342358"/>
    <w:rsid w:val="00343635"/>
    <w:rsid w:val="003437A2"/>
    <w:rsid w:val="00343CCB"/>
    <w:rsid w:val="00343D7C"/>
    <w:rsid w:val="003441A5"/>
    <w:rsid w:val="00344711"/>
    <w:rsid w:val="00344E5A"/>
    <w:rsid w:val="00345448"/>
    <w:rsid w:val="00345FB7"/>
    <w:rsid w:val="00346104"/>
    <w:rsid w:val="00346122"/>
    <w:rsid w:val="003468A1"/>
    <w:rsid w:val="00346AA3"/>
    <w:rsid w:val="00346BA5"/>
    <w:rsid w:val="00347202"/>
    <w:rsid w:val="00350076"/>
    <w:rsid w:val="00350677"/>
    <w:rsid w:val="00351147"/>
    <w:rsid w:val="0035178A"/>
    <w:rsid w:val="00351DD5"/>
    <w:rsid w:val="00351DFA"/>
    <w:rsid w:val="003522B8"/>
    <w:rsid w:val="003526B1"/>
    <w:rsid w:val="0035290A"/>
    <w:rsid w:val="00352ACB"/>
    <w:rsid w:val="0035393E"/>
    <w:rsid w:val="00353E71"/>
    <w:rsid w:val="00353FC5"/>
    <w:rsid w:val="0035425A"/>
    <w:rsid w:val="00354496"/>
    <w:rsid w:val="003547DC"/>
    <w:rsid w:val="00354C14"/>
    <w:rsid w:val="00354E2C"/>
    <w:rsid w:val="00354E80"/>
    <w:rsid w:val="0035501E"/>
    <w:rsid w:val="003551FC"/>
    <w:rsid w:val="0035577C"/>
    <w:rsid w:val="00355970"/>
    <w:rsid w:val="00355C77"/>
    <w:rsid w:val="00355EEC"/>
    <w:rsid w:val="00355FCF"/>
    <w:rsid w:val="00357388"/>
    <w:rsid w:val="00357442"/>
    <w:rsid w:val="00357686"/>
    <w:rsid w:val="00357FE5"/>
    <w:rsid w:val="003605B0"/>
    <w:rsid w:val="00360965"/>
    <w:rsid w:val="00360DE0"/>
    <w:rsid w:val="0036108D"/>
    <w:rsid w:val="003611D8"/>
    <w:rsid w:val="0036139F"/>
    <w:rsid w:val="00361805"/>
    <w:rsid w:val="00361930"/>
    <w:rsid w:val="00362177"/>
    <w:rsid w:val="00364076"/>
    <w:rsid w:val="003649E4"/>
    <w:rsid w:val="00366BBB"/>
    <w:rsid w:val="003672D7"/>
    <w:rsid w:val="00367C92"/>
    <w:rsid w:val="003701F3"/>
    <w:rsid w:val="00370BBA"/>
    <w:rsid w:val="00370DA8"/>
    <w:rsid w:val="00370F98"/>
    <w:rsid w:val="003717F1"/>
    <w:rsid w:val="0037197D"/>
    <w:rsid w:val="00371CA1"/>
    <w:rsid w:val="0037299C"/>
    <w:rsid w:val="00372A63"/>
    <w:rsid w:val="00372DC3"/>
    <w:rsid w:val="00372F2E"/>
    <w:rsid w:val="0037319A"/>
    <w:rsid w:val="003736E4"/>
    <w:rsid w:val="00373B5C"/>
    <w:rsid w:val="00373EBE"/>
    <w:rsid w:val="00373F87"/>
    <w:rsid w:val="00373FB5"/>
    <w:rsid w:val="00374052"/>
    <w:rsid w:val="0037422B"/>
    <w:rsid w:val="00374526"/>
    <w:rsid w:val="00375E05"/>
    <w:rsid w:val="00375E0C"/>
    <w:rsid w:val="00376AE2"/>
    <w:rsid w:val="00377E11"/>
    <w:rsid w:val="00377FD4"/>
    <w:rsid w:val="003811C5"/>
    <w:rsid w:val="00381565"/>
    <w:rsid w:val="00381A72"/>
    <w:rsid w:val="003824A2"/>
    <w:rsid w:val="003824AE"/>
    <w:rsid w:val="00382546"/>
    <w:rsid w:val="003825BE"/>
    <w:rsid w:val="00382B34"/>
    <w:rsid w:val="00382FCC"/>
    <w:rsid w:val="003839C2"/>
    <w:rsid w:val="00383AB8"/>
    <w:rsid w:val="00383B3E"/>
    <w:rsid w:val="00383F9E"/>
    <w:rsid w:val="00384D87"/>
    <w:rsid w:val="00384DF1"/>
    <w:rsid w:val="00384DFB"/>
    <w:rsid w:val="0038511B"/>
    <w:rsid w:val="0038520C"/>
    <w:rsid w:val="00385B84"/>
    <w:rsid w:val="00385FC2"/>
    <w:rsid w:val="0038662E"/>
    <w:rsid w:val="003869F6"/>
    <w:rsid w:val="00386D51"/>
    <w:rsid w:val="0038702A"/>
    <w:rsid w:val="0038708C"/>
    <w:rsid w:val="00387B95"/>
    <w:rsid w:val="00387BA9"/>
    <w:rsid w:val="003906BE"/>
    <w:rsid w:val="00390C4F"/>
    <w:rsid w:val="003911CA"/>
    <w:rsid w:val="0039165F"/>
    <w:rsid w:val="00392612"/>
    <w:rsid w:val="00392699"/>
    <w:rsid w:val="00392D2A"/>
    <w:rsid w:val="00392DC9"/>
    <w:rsid w:val="003933FF"/>
    <w:rsid w:val="00393625"/>
    <w:rsid w:val="00393A47"/>
    <w:rsid w:val="00393F78"/>
    <w:rsid w:val="00394536"/>
    <w:rsid w:val="00394974"/>
    <w:rsid w:val="00394AA9"/>
    <w:rsid w:val="00394B47"/>
    <w:rsid w:val="00395540"/>
    <w:rsid w:val="00395637"/>
    <w:rsid w:val="00395831"/>
    <w:rsid w:val="00395A05"/>
    <w:rsid w:val="00396927"/>
    <w:rsid w:val="003972EB"/>
    <w:rsid w:val="00397E0F"/>
    <w:rsid w:val="003A00B8"/>
    <w:rsid w:val="003A05DF"/>
    <w:rsid w:val="003A0D4F"/>
    <w:rsid w:val="003A0FD7"/>
    <w:rsid w:val="003A1109"/>
    <w:rsid w:val="003A17F3"/>
    <w:rsid w:val="003A1A5D"/>
    <w:rsid w:val="003A1F9C"/>
    <w:rsid w:val="003A210F"/>
    <w:rsid w:val="003A24DC"/>
    <w:rsid w:val="003A2E8B"/>
    <w:rsid w:val="003A3C45"/>
    <w:rsid w:val="003A40EB"/>
    <w:rsid w:val="003A6BBB"/>
    <w:rsid w:val="003A77CB"/>
    <w:rsid w:val="003A7B51"/>
    <w:rsid w:val="003B01F9"/>
    <w:rsid w:val="003B06EC"/>
    <w:rsid w:val="003B110D"/>
    <w:rsid w:val="003B358E"/>
    <w:rsid w:val="003B3878"/>
    <w:rsid w:val="003B3C3D"/>
    <w:rsid w:val="003B3E8D"/>
    <w:rsid w:val="003B4AF4"/>
    <w:rsid w:val="003B52D1"/>
    <w:rsid w:val="003B5D14"/>
    <w:rsid w:val="003B7086"/>
    <w:rsid w:val="003B749A"/>
    <w:rsid w:val="003C05A3"/>
    <w:rsid w:val="003C0681"/>
    <w:rsid w:val="003C08D8"/>
    <w:rsid w:val="003C0BA6"/>
    <w:rsid w:val="003C1423"/>
    <w:rsid w:val="003C170B"/>
    <w:rsid w:val="003C1DB5"/>
    <w:rsid w:val="003C2A98"/>
    <w:rsid w:val="003C2EAB"/>
    <w:rsid w:val="003C3297"/>
    <w:rsid w:val="003C3772"/>
    <w:rsid w:val="003C3DFA"/>
    <w:rsid w:val="003C3F41"/>
    <w:rsid w:val="003C42C5"/>
    <w:rsid w:val="003C43D7"/>
    <w:rsid w:val="003C48E1"/>
    <w:rsid w:val="003C5058"/>
    <w:rsid w:val="003C54E0"/>
    <w:rsid w:val="003C5578"/>
    <w:rsid w:val="003C5921"/>
    <w:rsid w:val="003C6094"/>
    <w:rsid w:val="003C6DA4"/>
    <w:rsid w:val="003C71B3"/>
    <w:rsid w:val="003C7297"/>
    <w:rsid w:val="003C7E1F"/>
    <w:rsid w:val="003D00D1"/>
    <w:rsid w:val="003D0833"/>
    <w:rsid w:val="003D0C75"/>
    <w:rsid w:val="003D1128"/>
    <w:rsid w:val="003D120A"/>
    <w:rsid w:val="003D1986"/>
    <w:rsid w:val="003D1E33"/>
    <w:rsid w:val="003D1E6D"/>
    <w:rsid w:val="003D207C"/>
    <w:rsid w:val="003D28E8"/>
    <w:rsid w:val="003D2D3F"/>
    <w:rsid w:val="003D32CD"/>
    <w:rsid w:val="003D3785"/>
    <w:rsid w:val="003D381A"/>
    <w:rsid w:val="003D3EC8"/>
    <w:rsid w:val="003D56BD"/>
    <w:rsid w:val="003D6571"/>
    <w:rsid w:val="003D7039"/>
    <w:rsid w:val="003D7084"/>
    <w:rsid w:val="003D714A"/>
    <w:rsid w:val="003E0B64"/>
    <w:rsid w:val="003E0C13"/>
    <w:rsid w:val="003E0CF5"/>
    <w:rsid w:val="003E0F02"/>
    <w:rsid w:val="003E11BC"/>
    <w:rsid w:val="003E1521"/>
    <w:rsid w:val="003E1863"/>
    <w:rsid w:val="003E24A3"/>
    <w:rsid w:val="003E27A3"/>
    <w:rsid w:val="003E2AFD"/>
    <w:rsid w:val="003E2B76"/>
    <w:rsid w:val="003E3AF2"/>
    <w:rsid w:val="003E3F86"/>
    <w:rsid w:val="003E4046"/>
    <w:rsid w:val="003E41B5"/>
    <w:rsid w:val="003E48A8"/>
    <w:rsid w:val="003E4BD0"/>
    <w:rsid w:val="003E4F95"/>
    <w:rsid w:val="003E53CD"/>
    <w:rsid w:val="003E5E94"/>
    <w:rsid w:val="003E67C3"/>
    <w:rsid w:val="003E69DA"/>
    <w:rsid w:val="003E6C0E"/>
    <w:rsid w:val="003E6D3B"/>
    <w:rsid w:val="003F0FFD"/>
    <w:rsid w:val="003F187E"/>
    <w:rsid w:val="003F1A08"/>
    <w:rsid w:val="003F1B57"/>
    <w:rsid w:val="003F1E86"/>
    <w:rsid w:val="003F2462"/>
    <w:rsid w:val="003F3023"/>
    <w:rsid w:val="003F32AF"/>
    <w:rsid w:val="003F3819"/>
    <w:rsid w:val="003F3934"/>
    <w:rsid w:val="003F423D"/>
    <w:rsid w:val="003F57DF"/>
    <w:rsid w:val="003F5CEE"/>
    <w:rsid w:val="003F66FF"/>
    <w:rsid w:val="003F6C1B"/>
    <w:rsid w:val="003F6CB2"/>
    <w:rsid w:val="003F7079"/>
    <w:rsid w:val="003F70A2"/>
    <w:rsid w:val="003F74D3"/>
    <w:rsid w:val="00400118"/>
    <w:rsid w:val="004002A6"/>
    <w:rsid w:val="00401242"/>
    <w:rsid w:val="0040140E"/>
    <w:rsid w:val="00401652"/>
    <w:rsid w:val="0040169B"/>
    <w:rsid w:val="0040192F"/>
    <w:rsid w:val="0040204C"/>
    <w:rsid w:val="00402D10"/>
    <w:rsid w:val="00402F1A"/>
    <w:rsid w:val="00404163"/>
    <w:rsid w:val="00404F97"/>
    <w:rsid w:val="00405B04"/>
    <w:rsid w:val="00405C4C"/>
    <w:rsid w:val="0040708A"/>
    <w:rsid w:val="004071F7"/>
    <w:rsid w:val="004077F0"/>
    <w:rsid w:val="00410183"/>
    <w:rsid w:val="004101A6"/>
    <w:rsid w:val="00410FDB"/>
    <w:rsid w:val="00411D71"/>
    <w:rsid w:val="00411EEF"/>
    <w:rsid w:val="00411F2E"/>
    <w:rsid w:val="00412A70"/>
    <w:rsid w:val="00412B9C"/>
    <w:rsid w:val="0041340D"/>
    <w:rsid w:val="00413843"/>
    <w:rsid w:val="00413B4A"/>
    <w:rsid w:val="00413BE5"/>
    <w:rsid w:val="00413DEB"/>
    <w:rsid w:val="00414626"/>
    <w:rsid w:val="00414671"/>
    <w:rsid w:val="00414DC5"/>
    <w:rsid w:val="0041507C"/>
    <w:rsid w:val="00415B3D"/>
    <w:rsid w:val="004166C2"/>
    <w:rsid w:val="004169EB"/>
    <w:rsid w:val="00416BA2"/>
    <w:rsid w:val="00416E46"/>
    <w:rsid w:val="004174F3"/>
    <w:rsid w:val="00417B77"/>
    <w:rsid w:val="00417CD1"/>
    <w:rsid w:val="0042003F"/>
    <w:rsid w:val="0042054C"/>
    <w:rsid w:val="00421225"/>
    <w:rsid w:val="0042150F"/>
    <w:rsid w:val="004215DF"/>
    <w:rsid w:val="00421B99"/>
    <w:rsid w:val="004221BF"/>
    <w:rsid w:val="00422F28"/>
    <w:rsid w:val="0042330E"/>
    <w:rsid w:val="00424223"/>
    <w:rsid w:val="00424E6F"/>
    <w:rsid w:val="00426C55"/>
    <w:rsid w:val="00426C84"/>
    <w:rsid w:val="004275BF"/>
    <w:rsid w:val="0042788C"/>
    <w:rsid w:val="00427BF7"/>
    <w:rsid w:val="00430A08"/>
    <w:rsid w:val="00430D9C"/>
    <w:rsid w:val="00431549"/>
    <w:rsid w:val="00431B36"/>
    <w:rsid w:val="00431E15"/>
    <w:rsid w:val="00432ACC"/>
    <w:rsid w:val="00432B19"/>
    <w:rsid w:val="00432D9F"/>
    <w:rsid w:val="004336DE"/>
    <w:rsid w:val="00433E89"/>
    <w:rsid w:val="004343BA"/>
    <w:rsid w:val="00434C47"/>
    <w:rsid w:val="00434D68"/>
    <w:rsid w:val="00435181"/>
    <w:rsid w:val="004351CE"/>
    <w:rsid w:val="004352A6"/>
    <w:rsid w:val="004356D1"/>
    <w:rsid w:val="00435AB6"/>
    <w:rsid w:val="00435E13"/>
    <w:rsid w:val="004365D9"/>
    <w:rsid w:val="00437476"/>
    <w:rsid w:val="0043761A"/>
    <w:rsid w:val="00437A82"/>
    <w:rsid w:val="00440000"/>
    <w:rsid w:val="0044041B"/>
    <w:rsid w:val="0044067E"/>
    <w:rsid w:val="00441239"/>
    <w:rsid w:val="0044151E"/>
    <w:rsid w:val="00441661"/>
    <w:rsid w:val="00441785"/>
    <w:rsid w:val="004419D6"/>
    <w:rsid w:val="00441CEB"/>
    <w:rsid w:val="00441D96"/>
    <w:rsid w:val="004425A2"/>
    <w:rsid w:val="0044267A"/>
    <w:rsid w:val="004427FE"/>
    <w:rsid w:val="00442CBF"/>
    <w:rsid w:val="00442ED5"/>
    <w:rsid w:val="00443095"/>
    <w:rsid w:val="00444DD6"/>
    <w:rsid w:val="00445192"/>
    <w:rsid w:val="004452E4"/>
    <w:rsid w:val="0044574C"/>
    <w:rsid w:val="00445C36"/>
    <w:rsid w:val="00445C94"/>
    <w:rsid w:val="004461A6"/>
    <w:rsid w:val="004466CF"/>
    <w:rsid w:val="00446FEB"/>
    <w:rsid w:val="00447061"/>
    <w:rsid w:val="0044777D"/>
    <w:rsid w:val="00447795"/>
    <w:rsid w:val="00447B11"/>
    <w:rsid w:val="0045060E"/>
    <w:rsid w:val="00451259"/>
    <w:rsid w:val="0045170F"/>
    <w:rsid w:val="00451812"/>
    <w:rsid w:val="00451F79"/>
    <w:rsid w:val="00452DF9"/>
    <w:rsid w:val="00452F78"/>
    <w:rsid w:val="0045325E"/>
    <w:rsid w:val="00454BB6"/>
    <w:rsid w:val="00454C43"/>
    <w:rsid w:val="0045533F"/>
    <w:rsid w:val="00456642"/>
    <w:rsid w:val="00456921"/>
    <w:rsid w:val="00456C6E"/>
    <w:rsid w:val="00456D33"/>
    <w:rsid w:val="004576DC"/>
    <w:rsid w:val="00457B34"/>
    <w:rsid w:val="004603F3"/>
    <w:rsid w:val="0046096F"/>
    <w:rsid w:val="0046113F"/>
    <w:rsid w:val="00461568"/>
    <w:rsid w:val="00461917"/>
    <w:rsid w:val="00461B4C"/>
    <w:rsid w:val="00461C51"/>
    <w:rsid w:val="00461EAC"/>
    <w:rsid w:val="00462F52"/>
    <w:rsid w:val="00463746"/>
    <w:rsid w:val="0046394D"/>
    <w:rsid w:val="00463A3F"/>
    <w:rsid w:val="00463FE5"/>
    <w:rsid w:val="00464324"/>
    <w:rsid w:val="00464D8C"/>
    <w:rsid w:val="0046576F"/>
    <w:rsid w:val="0046648D"/>
    <w:rsid w:val="004664CC"/>
    <w:rsid w:val="00466AEA"/>
    <w:rsid w:val="0046737E"/>
    <w:rsid w:val="00467B97"/>
    <w:rsid w:val="00467D59"/>
    <w:rsid w:val="00467DF2"/>
    <w:rsid w:val="00470616"/>
    <w:rsid w:val="0047067C"/>
    <w:rsid w:val="00470AB5"/>
    <w:rsid w:val="00471420"/>
    <w:rsid w:val="004715DF"/>
    <w:rsid w:val="00471A96"/>
    <w:rsid w:val="00472574"/>
    <w:rsid w:val="00472A3B"/>
    <w:rsid w:val="00472B0D"/>
    <w:rsid w:val="00472CBA"/>
    <w:rsid w:val="0047393F"/>
    <w:rsid w:val="004739FD"/>
    <w:rsid w:val="00473DA9"/>
    <w:rsid w:val="0047526A"/>
    <w:rsid w:val="00475631"/>
    <w:rsid w:val="0047575B"/>
    <w:rsid w:val="00475F23"/>
    <w:rsid w:val="00476434"/>
    <w:rsid w:val="004768C1"/>
    <w:rsid w:val="00476A43"/>
    <w:rsid w:val="004777AA"/>
    <w:rsid w:val="00477C1F"/>
    <w:rsid w:val="00480B32"/>
    <w:rsid w:val="0048123E"/>
    <w:rsid w:val="004817F1"/>
    <w:rsid w:val="00481C0C"/>
    <w:rsid w:val="00481FF2"/>
    <w:rsid w:val="00482460"/>
    <w:rsid w:val="004825D8"/>
    <w:rsid w:val="004828C1"/>
    <w:rsid w:val="00482964"/>
    <w:rsid w:val="00482B3C"/>
    <w:rsid w:val="00483587"/>
    <w:rsid w:val="00483B1E"/>
    <w:rsid w:val="0048605E"/>
    <w:rsid w:val="004863CF"/>
    <w:rsid w:val="00486F44"/>
    <w:rsid w:val="0048749B"/>
    <w:rsid w:val="00487B1C"/>
    <w:rsid w:val="0049014E"/>
    <w:rsid w:val="0049035E"/>
    <w:rsid w:val="00490422"/>
    <w:rsid w:val="00490666"/>
    <w:rsid w:val="00491624"/>
    <w:rsid w:val="00491A53"/>
    <w:rsid w:val="00492788"/>
    <w:rsid w:val="00492982"/>
    <w:rsid w:val="00492CC1"/>
    <w:rsid w:val="0049324A"/>
    <w:rsid w:val="004938A7"/>
    <w:rsid w:val="00493C91"/>
    <w:rsid w:val="00493E2D"/>
    <w:rsid w:val="004942CD"/>
    <w:rsid w:val="00494744"/>
    <w:rsid w:val="00494AD8"/>
    <w:rsid w:val="004953A3"/>
    <w:rsid w:val="004953E6"/>
    <w:rsid w:val="004953F1"/>
    <w:rsid w:val="00496488"/>
    <w:rsid w:val="00496683"/>
    <w:rsid w:val="00496B36"/>
    <w:rsid w:val="00497867"/>
    <w:rsid w:val="004A04AC"/>
    <w:rsid w:val="004A0580"/>
    <w:rsid w:val="004A099F"/>
    <w:rsid w:val="004A183D"/>
    <w:rsid w:val="004A1F87"/>
    <w:rsid w:val="004A3314"/>
    <w:rsid w:val="004A35E3"/>
    <w:rsid w:val="004A3629"/>
    <w:rsid w:val="004A39E7"/>
    <w:rsid w:val="004A3DA4"/>
    <w:rsid w:val="004A465C"/>
    <w:rsid w:val="004A52C3"/>
    <w:rsid w:val="004A6493"/>
    <w:rsid w:val="004A66E4"/>
    <w:rsid w:val="004A6E67"/>
    <w:rsid w:val="004A7380"/>
    <w:rsid w:val="004A74EE"/>
    <w:rsid w:val="004A7D4F"/>
    <w:rsid w:val="004B02A1"/>
    <w:rsid w:val="004B0377"/>
    <w:rsid w:val="004B044E"/>
    <w:rsid w:val="004B05EF"/>
    <w:rsid w:val="004B0C60"/>
    <w:rsid w:val="004B0E43"/>
    <w:rsid w:val="004B1A2B"/>
    <w:rsid w:val="004B1B02"/>
    <w:rsid w:val="004B1D9D"/>
    <w:rsid w:val="004B2FB4"/>
    <w:rsid w:val="004B37E2"/>
    <w:rsid w:val="004B38D6"/>
    <w:rsid w:val="004B3AD2"/>
    <w:rsid w:val="004B4044"/>
    <w:rsid w:val="004B4102"/>
    <w:rsid w:val="004B6350"/>
    <w:rsid w:val="004B6BBB"/>
    <w:rsid w:val="004B6DD9"/>
    <w:rsid w:val="004C0298"/>
    <w:rsid w:val="004C032D"/>
    <w:rsid w:val="004C0527"/>
    <w:rsid w:val="004C09A7"/>
    <w:rsid w:val="004C0AAF"/>
    <w:rsid w:val="004C0D8D"/>
    <w:rsid w:val="004C11BE"/>
    <w:rsid w:val="004C145C"/>
    <w:rsid w:val="004C1CE5"/>
    <w:rsid w:val="004C2788"/>
    <w:rsid w:val="004C39C2"/>
    <w:rsid w:val="004C3DAF"/>
    <w:rsid w:val="004C41AE"/>
    <w:rsid w:val="004C48DA"/>
    <w:rsid w:val="004C4E7C"/>
    <w:rsid w:val="004C50B5"/>
    <w:rsid w:val="004C7A72"/>
    <w:rsid w:val="004C7CEA"/>
    <w:rsid w:val="004C7E14"/>
    <w:rsid w:val="004C7F89"/>
    <w:rsid w:val="004D1157"/>
    <w:rsid w:val="004D1605"/>
    <w:rsid w:val="004D1A8F"/>
    <w:rsid w:val="004D1C8D"/>
    <w:rsid w:val="004D1D5E"/>
    <w:rsid w:val="004D28DA"/>
    <w:rsid w:val="004D36FA"/>
    <w:rsid w:val="004D398A"/>
    <w:rsid w:val="004D3AB5"/>
    <w:rsid w:val="004D3ACE"/>
    <w:rsid w:val="004D3D83"/>
    <w:rsid w:val="004D3FB3"/>
    <w:rsid w:val="004D4504"/>
    <w:rsid w:val="004D4C45"/>
    <w:rsid w:val="004D4F9C"/>
    <w:rsid w:val="004D571E"/>
    <w:rsid w:val="004D5EDB"/>
    <w:rsid w:val="004D5FEA"/>
    <w:rsid w:val="004D628D"/>
    <w:rsid w:val="004D661B"/>
    <w:rsid w:val="004D6656"/>
    <w:rsid w:val="004D6E62"/>
    <w:rsid w:val="004D77C5"/>
    <w:rsid w:val="004D7F70"/>
    <w:rsid w:val="004E0622"/>
    <w:rsid w:val="004E06B3"/>
    <w:rsid w:val="004E0E1A"/>
    <w:rsid w:val="004E193F"/>
    <w:rsid w:val="004E1A11"/>
    <w:rsid w:val="004E2073"/>
    <w:rsid w:val="004E2450"/>
    <w:rsid w:val="004E2464"/>
    <w:rsid w:val="004E2E12"/>
    <w:rsid w:val="004E357D"/>
    <w:rsid w:val="004E3910"/>
    <w:rsid w:val="004E3963"/>
    <w:rsid w:val="004E3D31"/>
    <w:rsid w:val="004E4814"/>
    <w:rsid w:val="004E4AB3"/>
    <w:rsid w:val="004E4ACF"/>
    <w:rsid w:val="004E530C"/>
    <w:rsid w:val="004E5845"/>
    <w:rsid w:val="004E6AB2"/>
    <w:rsid w:val="004E6CD5"/>
    <w:rsid w:val="004E728C"/>
    <w:rsid w:val="004E7315"/>
    <w:rsid w:val="004E7339"/>
    <w:rsid w:val="004E764B"/>
    <w:rsid w:val="004E76B9"/>
    <w:rsid w:val="004E770C"/>
    <w:rsid w:val="004E7A16"/>
    <w:rsid w:val="004E7D9D"/>
    <w:rsid w:val="004F0861"/>
    <w:rsid w:val="004F12FB"/>
    <w:rsid w:val="004F18CB"/>
    <w:rsid w:val="004F259A"/>
    <w:rsid w:val="004F2A52"/>
    <w:rsid w:val="004F2FEC"/>
    <w:rsid w:val="004F3566"/>
    <w:rsid w:val="004F3C7D"/>
    <w:rsid w:val="004F494C"/>
    <w:rsid w:val="004F5207"/>
    <w:rsid w:val="004F5299"/>
    <w:rsid w:val="004F536F"/>
    <w:rsid w:val="004F5A21"/>
    <w:rsid w:val="004F5DBB"/>
    <w:rsid w:val="004F5FA4"/>
    <w:rsid w:val="004F609E"/>
    <w:rsid w:val="004F6862"/>
    <w:rsid w:val="004F6942"/>
    <w:rsid w:val="004F6A02"/>
    <w:rsid w:val="004F6C3A"/>
    <w:rsid w:val="004F6D0E"/>
    <w:rsid w:val="004F7BE8"/>
    <w:rsid w:val="00500A0F"/>
    <w:rsid w:val="00500E9D"/>
    <w:rsid w:val="005011E7"/>
    <w:rsid w:val="005018D2"/>
    <w:rsid w:val="00501BF6"/>
    <w:rsid w:val="00501E24"/>
    <w:rsid w:val="00502C4C"/>
    <w:rsid w:val="00503565"/>
    <w:rsid w:val="00503740"/>
    <w:rsid w:val="00503839"/>
    <w:rsid w:val="00503972"/>
    <w:rsid w:val="00503A6D"/>
    <w:rsid w:val="00503B14"/>
    <w:rsid w:val="00503B6B"/>
    <w:rsid w:val="00503F76"/>
    <w:rsid w:val="00504334"/>
    <w:rsid w:val="00504F78"/>
    <w:rsid w:val="00505108"/>
    <w:rsid w:val="005065F7"/>
    <w:rsid w:val="00507045"/>
    <w:rsid w:val="005101C2"/>
    <w:rsid w:val="00510A7C"/>
    <w:rsid w:val="0051128A"/>
    <w:rsid w:val="005112E6"/>
    <w:rsid w:val="005122E8"/>
    <w:rsid w:val="005122F4"/>
    <w:rsid w:val="00512473"/>
    <w:rsid w:val="00512D0B"/>
    <w:rsid w:val="005136D2"/>
    <w:rsid w:val="00514905"/>
    <w:rsid w:val="00514D42"/>
    <w:rsid w:val="005152B6"/>
    <w:rsid w:val="0051600F"/>
    <w:rsid w:val="005169A2"/>
    <w:rsid w:val="00516FBA"/>
    <w:rsid w:val="00516FD7"/>
    <w:rsid w:val="00517860"/>
    <w:rsid w:val="00517CEE"/>
    <w:rsid w:val="00520539"/>
    <w:rsid w:val="00520547"/>
    <w:rsid w:val="00520A3B"/>
    <w:rsid w:val="00520E45"/>
    <w:rsid w:val="00521050"/>
    <w:rsid w:val="00521986"/>
    <w:rsid w:val="0052198D"/>
    <w:rsid w:val="00521A3D"/>
    <w:rsid w:val="00522136"/>
    <w:rsid w:val="005224F4"/>
    <w:rsid w:val="005229C8"/>
    <w:rsid w:val="00522E94"/>
    <w:rsid w:val="0052367A"/>
    <w:rsid w:val="00523985"/>
    <w:rsid w:val="00523A71"/>
    <w:rsid w:val="00523ADA"/>
    <w:rsid w:val="00525EF8"/>
    <w:rsid w:val="00526C06"/>
    <w:rsid w:val="00527349"/>
    <w:rsid w:val="00527504"/>
    <w:rsid w:val="00527B42"/>
    <w:rsid w:val="00527BE5"/>
    <w:rsid w:val="00527F06"/>
    <w:rsid w:val="00530078"/>
    <w:rsid w:val="00530BD2"/>
    <w:rsid w:val="0053114E"/>
    <w:rsid w:val="00531520"/>
    <w:rsid w:val="005321C0"/>
    <w:rsid w:val="00532369"/>
    <w:rsid w:val="005323D9"/>
    <w:rsid w:val="00532DE2"/>
    <w:rsid w:val="00533811"/>
    <w:rsid w:val="0053433F"/>
    <w:rsid w:val="005344AE"/>
    <w:rsid w:val="00534D21"/>
    <w:rsid w:val="0053500B"/>
    <w:rsid w:val="00535113"/>
    <w:rsid w:val="0053579C"/>
    <w:rsid w:val="005359C2"/>
    <w:rsid w:val="00535A4C"/>
    <w:rsid w:val="0053669C"/>
    <w:rsid w:val="0053779B"/>
    <w:rsid w:val="00537E18"/>
    <w:rsid w:val="0054049B"/>
    <w:rsid w:val="0054073F"/>
    <w:rsid w:val="005409B2"/>
    <w:rsid w:val="00540F29"/>
    <w:rsid w:val="005416D0"/>
    <w:rsid w:val="00541E37"/>
    <w:rsid w:val="005425E8"/>
    <w:rsid w:val="00543028"/>
    <w:rsid w:val="00543748"/>
    <w:rsid w:val="00544F36"/>
    <w:rsid w:val="0054518F"/>
    <w:rsid w:val="00545BAF"/>
    <w:rsid w:val="00546CB3"/>
    <w:rsid w:val="0054779B"/>
    <w:rsid w:val="00550518"/>
    <w:rsid w:val="00550B53"/>
    <w:rsid w:val="00550E4D"/>
    <w:rsid w:val="00551101"/>
    <w:rsid w:val="0055125C"/>
    <w:rsid w:val="00551343"/>
    <w:rsid w:val="005514B2"/>
    <w:rsid w:val="00551812"/>
    <w:rsid w:val="00551F31"/>
    <w:rsid w:val="00553373"/>
    <w:rsid w:val="0055398E"/>
    <w:rsid w:val="00553BAC"/>
    <w:rsid w:val="00553F4E"/>
    <w:rsid w:val="0055460B"/>
    <w:rsid w:val="00554772"/>
    <w:rsid w:val="0055495E"/>
    <w:rsid w:val="005549E8"/>
    <w:rsid w:val="00554E42"/>
    <w:rsid w:val="005553E9"/>
    <w:rsid w:val="0055657B"/>
    <w:rsid w:val="0055659B"/>
    <w:rsid w:val="005571A4"/>
    <w:rsid w:val="005578F0"/>
    <w:rsid w:val="00557F75"/>
    <w:rsid w:val="005600D4"/>
    <w:rsid w:val="00560E0F"/>
    <w:rsid w:val="00560E1F"/>
    <w:rsid w:val="00561443"/>
    <w:rsid w:val="005619E9"/>
    <w:rsid w:val="00561FC1"/>
    <w:rsid w:val="0056221D"/>
    <w:rsid w:val="005623EC"/>
    <w:rsid w:val="00562796"/>
    <w:rsid w:val="0056282E"/>
    <w:rsid w:val="00563E15"/>
    <w:rsid w:val="0056451F"/>
    <w:rsid w:val="00564701"/>
    <w:rsid w:val="005652F2"/>
    <w:rsid w:val="0056574D"/>
    <w:rsid w:val="00565D0A"/>
    <w:rsid w:val="005665F8"/>
    <w:rsid w:val="00566C44"/>
    <w:rsid w:val="0056758B"/>
    <w:rsid w:val="00567625"/>
    <w:rsid w:val="005676C3"/>
    <w:rsid w:val="005678A1"/>
    <w:rsid w:val="005679D6"/>
    <w:rsid w:val="00570116"/>
    <w:rsid w:val="0057023C"/>
    <w:rsid w:val="00570737"/>
    <w:rsid w:val="00570A4F"/>
    <w:rsid w:val="00570BB1"/>
    <w:rsid w:val="005723D8"/>
    <w:rsid w:val="00572C92"/>
    <w:rsid w:val="005739A2"/>
    <w:rsid w:val="00573E9C"/>
    <w:rsid w:val="00573EF1"/>
    <w:rsid w:val="00574763"/>
    <w:rsid w:val="00574773"/>
    <w:rsid w:val="005749FC"/>
    <w:rsid w:val="00574B48"/>
    <w:rsid w:val="00574B6A"/>
    <w:rsid w:val="00574C3B"/>
    <w:rsid w:val="00575173"/>
    <w:rsid w:val="00575E0A"/>
    <w:rsid w:val="00575F55"/>
    <w:rsid w:val="005763E3"/>
    <w:rsid w:val="005764D5"/>
    <w:rsid w:val="00576528"/>
    <w:rsid w:val="00576665"/>
    <w:rsid w:val="005767DD"/>
    <w:rsid w:val="00576E1D"/>
    <w:rsid w:val="0057708F"/>
    <w:rsid w:val="0058012F"/>
    <w:rsid w:val="005814A1"/>
    <w:rsid w:val="00581606"/>
    <w:rsid w:val="005816D6"/>
    <w:rsid w:val="005817CC"/>
    <w:rsid w:val="00581B1C"/>
    <w:rsid w:val="00581DC4"/>
    <w:rsid w:val="0058213B"/>
    <w:rsid w:val="00582191"/>
    <w:rsid w:val="00582A76"/>
    <w:rsid w:val="00582E7F"/>
    <w:rsid w:val="00583B60"/>
    <w:rsid w:val="0058406F"/>
    <w:rsid w:val="005846C2"/>
    <w:rsid w:val="00585090"/>
    <w:rsid w:val="00585418"/>
    <w:rsid w:val="0058547F"/>
    <w:rsid w:val="00585C53"/>
    <w:rsid w:val="00585EA3"/>
    <w:rsid w:val="005862A2"/>
    <w:rsid w:val="0058687C"/>
    <w:rsid w:val="00586B45"/>
    <w:rsid w:val="00586DCE"/>
    <w:rsid w:val="005872A4"/>
    <w:rsid w:val="0058779B"/>
    <w:rsid w:val="00587C7B"/>
    <w:rsid w:val="00587EEE"/>
    <w:rsid w:val="005901B7"/>
    <w:rsid w:val="00590927"/>
    <w:rsid w:val="00590C37"/>
    <w:rsid w:val="00590F02"/>
    <w:rsid w:val="00591699"/>
    <w:rsid w:val="005918BF"/>
    <w:rsid w:val="00591A4B"/>
    <w:rsid w:val="00591FF8"/>
    <w:rsid w:val="00592270"/>
    <w:rsid w:val="005934A9"/>
    <w:rsid w:val="00593521"/>
    <w:rsid w:val="0059378D"/>
    <w:rsid w:val="00593944"/>
    <w:rsid w:val="005943E9"/>
    <w:rsid w:val="0059446F"/>
    <w:rsid w:val="00594B53"/>
    <w:rsid w:val="00594EA5"/>
    <w:rsid w:val="00595074"/>
    <w:rsid w:val="00595500"/>
    <w:rsid w:val="00595851"/>
    <w:rsid w:val="005960BC"/>
    <w:rsid w:val="00596B36"/>
    <w:rsid w:val="00596C4D"/>
    <w:rsid w:val="0059757C"/>
    <w:rsid w:val="00597A9B"/>
    <w:rsid w:val="00597F75"/>
    <w:rsid w:val="005A072A"/>
    <w:rsid w:val="005A0814"/>
    <w:rsid w:val="005A0F05"/>
    <w:rsid w:val="005A0FBC"/>
    <w:rsid w:val="005A0FF9"/>
    <w:rsid w:val="005A1EF2"/>
    <w:rsid w:val="005A21E8"/>
    <w:rsid w:val="005A3564"/>
    <w:rsid w:val="005A365C"/>
    <w:rsid w:val="005A3AB5"/>
    <w:rsid w:val="005A4230"/>
    <w:rsid w:val="005A460A"/>
    <w:rsid w:val="005A4626"/>
    <w:rsid w:val="005A4FC8"/>
    <w:rsid w:val="005A4FE7"/>
    <w:rsid w:val="005A573B"/>
    <w:rsid w:val="005A5CCF"/>
    <w:rsid w:val="005A5D1D"/>
    <w:rsid w:val="005A664F"/>
    <w:rsid w:val="005A6697"/>
    <w:rsid w:val="005A68CC"/>
    <w:rsid w:val="005A6E8A"/>
    <w:rsid w:val="005A7D20"/>
    <w:rsid w:val="005A7EB8"/>
    <w:rsid w:val="005B01EF"/>
    <w:rsid w:val="005B05E7"/>
    <w:rsid w:val="005B095C"/>
    <w:rsid w:val="005B0ABA"/>
    <w:rsid w:val="005B0B6E"/>
    <w:rsid w:val="005B10F0"/>
    <w:rsid w:val="005B1B4A"/>
    <w:rsid w:val="005B1E95"/>
    <w:rsid w:val="005B1FAB"/>
    <w:rsid w:val="005B4073"/>
    <w:rsid w:val="005B4235"/>
    <w:rsid w:val="005B55E0"/>
    <w:rsid w:val="005B58B8"/>
    <w:rsid w:val="005B5BCC"/>
    <w:rsid w:val="005B6774"/>
    <w:rsid w:val="005B7144"/>
    <w:rsid w:val="005B764F"/>
    <w:rsid w:val="005B78F5"/>
    <w:rsid w:val="005B7924"/>
    <w:rsid w:val="005B7B62"/>
    <w:rsid w:val="005C036A"/>
    <w:rsid w:val="005C04F8"/>
    <w:rsid w:val="005C0C2D"/>
    <w:rsid w:val="005C1460"/>
    <w:rsid w:val="005C1A9F"/>
    <w:rsid w:val="005C2768"/>
    <w:rsid w:val="005C2A61"/>
    <w:rsid w:val="005C2E09"/>
    <w:rsid w:val="005C32A7"/>
    <w:rsid w:val="005C43BB"/>
    <w:rsid w:val="005C4BB5"/>
    <w:rsid w:val="005C4DB5"/>
    <w:rsid w:val="005C506E"/>
    <w:rsid w:val="005C5CC2"/>
    <w:rsid w:val="005C6148"/>
    <w:rsid w:val="005C620A"/>
    <w:rsid w:val="005C62F3"/>
    <w:rsid w:val="005C68F5"/>
    <w:rsid w:val="005C6E14"/>
    <w:rsid w:val="005C735C"/>
    <w:rsid w:val="005C78D9"/>
    <w:rsid w:val="005D0107"/>
    <w:rsid w:val="005D0390"/>
    <w:rsid w:val="005D0560"/>
    <w:rsid w:val="005D0585"/>
    <w:rsid w:val="005D06AA"/>
    <w:rsid w:val="005D0BCA"/>
    <w:rsid w:val="005D1934"/>
    <w:rsid w:val="005D1F2E"/>
    <w:rsid w:val="005D207A"/>
    <w:rsid w:val="005D283E"/>
    <w:rsid w:val="005D3534"/>
    <w:rsid w:val="005D379B"/>
    <w:rsid w:val="005D4229"/>
    <w:rsid w:val="005D4407"/>
    <w:rsid w:val="005D458C"/>
    <w:rsid w:val="005D4922"/>
    <w:rsid w:val="005D4A57"/>
    <w:rsid w:val="005D4AD3"/>
    <w:rsid w:val="005D54DA"/>
    <w:rsid w:val="005D5AE5"/>
    <w:rsid w:val="005D5C38"/>
    <w:rsid w:val="005D5CC4"/>
    <w:rsid w:val="005D5CD4"/>
    <w:rsid w:val="005D672C"/>
    <w:rsid w:val="005D6863"/>
    <w:rsid w:val="005D6A90"/>
    <w:rsid w:val="005D6BEB"/>
    <w:rsid w:val="005D6ED2"/>
    <w:rsid w:val="005D6ED6"/>
    <w:rsid w:val="005D72C4"/>
    <w:rsid w:val="005D7E20"/>
    <w:rsid w:val="005E0068"/>
    <w:rsid w:val="005E045E"/>
    <w:rsid w:val="005E0FF7"/>
    <w:rsid w:val="005E127A"/>
    <w:rsid w:val="005E1629"/>
    <w:rsid w:val="005E171C"/>
    <w:rsid w:val="005E21EC"/>
    <w:rsid w:val="005E22EA"/>
    <w:rsid w:val="005E2369"/>
    <w:rsid w:val="005E248D"/>
    <w:rsid w:val="005E2C0F"/>
    <w:rsid w:val="005E3818"/>
    <w:rsid w:val="005E39D4"/>
    <w:rsid w:val="005E409A"/>
    <w:rsid w:val="005E4627"/>
    <w:rsid w:val="005E4F8F"/>
    <w:rsid w:val="005E5185"/>
    <w:rsid w:val="005E57C9"/>
    <w:rsid w:val="005E58F8"/>
    <w:rsid w:val="005E5F5E"/>
    <w:rsid w:val="005E604D"/>
    <w:rsid w:val="005E6177"/>
    <w:rsid w:val="005E7491"/>
    <w:rsid w:val="005E7502"/>
    <w:rsid w:val="005E7B6F"/>
    <w:rsid w:val="005E7FB3"/>
    <w:rsid w:val="005F00D5"/>
    <w:rsid w:val="005F1E8A"/>
    <w:rsid w:val="005F1F14"/>
    <w:rsid w:val="005F30F9"/>
    <w:rsid w:val="005F31CE"/>
    <w:rsid w:val="005F3BEC"/>
    <w:rsid w:val="005F3DDC"/>
    <w:rsid w:val="005F404C"/>
    <w:rsid w:val="005F42D6"/>
    <w:rsid w:val="005F435D"/>
    <w:rsid w:val="005F4686"/>
    <w:rsid w:val="005F4F0B"/>
    <w:rsid w:val="005F741D"/>
    <w:rsid w:val="005F78DB"/>
    <w:rsid w:val="005F7D39"/>
    <w:rsid w:val="006000D6"/>
    <w:rsid w:val="00600762"/>
    <w:rsid w:val="00600B48"/>
    <w:rsid w:val="006012E2"/>
    <w:rsid w:val="0060136E"/>
    <w:rsid w:val="006013C2"/>
    <w:rsid w:val="00601689"/>
    <w:rsid w:val="0060173E"/>
    <w:rsid w:val="006028F1"/>
    <w:rsid w:val="00602A6E"/>
    <w:rsid w:val="00603913"/>
    <w:rsid w:val="00603C17"/>
    <w:rsid w:val="00603CF5"/>
    <w:rsid w:val="00604323"/>
    <w:rsid w:val="00604525"/>
    <w:rsid w:val="00604B15"/>
    <w:rsid w:val="006057DF"/>
    <w:rsid w:val="00605A6B"/>
    <w:rsid w:val="00605C32"/>
    <w:rsid w:val="00605F24"/>
    <w:rsid w:val="0060610D"/>
    <w:rsid w:val="006061BE"/>
    <w:rsid w:val="00606300"/>
    <w:rsid w:val="00606364"/>
    <w:rsid w:val="00607229"/>
    <w:rsid w:val="00607F76"/>
    <w:rsid w:val="00610CB4"/>
    <w:rsid w:val="00610CD6"/>
    <w:rsid w:val="006114A6"/>
    <w:rsid w:val="006115B2"/>
    <w:rsid w:val="006116D2"/>
    <w:rsid w:val="0061184D"/>
    <w:rsid w:val="00612053"/>
    <w:rsid w:val="0061221D"/>
    <w:rsid w:val="006127FD"/>
    <w:rsid w:val="006135C8"/>
    <w:rsid w:val="006136EE"/>
    <w:rsid w:val="00613C4B"/>
    <w:rsid w:val="00613DC5"/>
    <w:rsid w:val="00613EC5"/>
    <w:rsid w:val="006145A7"/>
    <w:rsid w:val="00615F75"/>
    <w:rsid w:val="006167CA"/>
    <w:rsid w:val="00617334"/>
    <w:rsid w:val="006176DB"/>
    <w:rsid w:val="0061785F"/>
    <w:rsid w:val="00617A90"/>
    <w:rsid w:val="00617C2C"/>
    <w:rsid w:val="00617E65"/>
    <w:rsid w:val="00617F18"/>
    <w:rsid w:val="006206CA"/>
    <w:rsid w:val="00620718"/>
    <w:rsid w:val="00621099"/>
    <w:rsid w:val="006212AC"/>
    <w:rsid w:val="006214BB"/>
    <w:rsid w:val="0062169C"/>
    <w:rsid w:val="006219E7"/>
    <w:rsid w:val="00621BC1"/>
    <w:rsid w:val="0062245C"/>
    <w:rsid w:val="0062340E"/>
    <w:rsid w:val="0062355A"/>
    <w:rsid w:val="006241FA"/>
    <w:rsid w:val="0062581C"/>
    <w:rsid w:val="006260B2"/>
    <w:rsid w:val="006265B3"/>
    <w:rsid w:val="00627017"/>
    <w:rsid w:val="00627410"/>
    <w:rsid w:val="00627C01"/>
    <w:rsid w:val="00630208"/>
    <w:rsid w:val="0063026C"/>
    <w:rsid w:val="006307E7"/>
    <w:rsid w:val="00631392"/>
    <w:rsid w:val="00631400"/>
    <w:rsid w:val="00631BE2"/>
    <w:rsid w:val="0063255F"/>
    <w:rsid w:val="0063347C"/>
    <w:rsid w:val="006334D5"/>
    <w:rsid w:val="0063455D"/>
    <w:rsid w:val="00634A26"/>
    <w:rsid w:val="00634A8D"/>
    <w:rsid w:val="00634CD1"/>
    <w:rsid w:val="00634E85"/>
    <w:rsid w:val="006355DC"/>
    <w:rsid w:val="00635BA4"/>
    <w:rsid w:val="00635EB7"/>
    <w:rsid w:val="0063631B"/>
    <w:rsid w:val="00636A3E"/>
    <w:rsid w:val="00636F1E"/>
    <w:rsid w:val="0063740D"/>
    <w:rsid w:val="00637C42"/>
    <w:rsid w:val="006401C9"/>
    <w:rsid w:val="00640B93"/>
    <w:rsid w:val="006412EC"/>
    <w:rsid w:val="0064151C"/>
    <w:rsid w:val="00641778"/>
    <w:rsid w:val="00642570"/>
    <w:rsid w:val="00642626"/>
    <w:rsid w:val="00643C06"/>
    <w:rsid w:val="00644136"/>
    <w:rsid w:val="006444DE"/>
    <w:rsid w:val="006453FE"/>
    <w:rsid w:val="00645D49"/>
    <w:rsid w:val="00645FE4"/>
    <w:rsid w:val="00646078"/>
    <w:rsid w:val="00646175"/>
    <w:rsid w:val="00646CA3"/>
    <w:rsid w:val="006475B9"/>
    <w:rsid w:val="00647F86"/>
    <w:rsid w:val="00650225"/>
    <w:rsid w:val="00650A7A"/>
    <w:rsid w:val="00651700"/>
    <w:rsid w:val="006517EC"/>
    <w:rsid w:val="00651FA2"/>
    <w:rsid w:val="00652049"/>
    <w:rsid w:val="0065223D"/>
    <w:rsid w:val="006524B3"/>
    <w:rsid w:val="006524E7"/>
    <w:rsid w:val="00652721"/>
    <w:rsid w:val="00652AE0"/>
    <w:rsid w:val="00652CD9"/>
    <w:rsid w:val="00653EBD"/>
    <w:rsid w:val="00654531"/>
    <w:rsid w:val="0065453D"/>
    <w:rsid w:val="0065454F"/>
    <w:rsid w:val="006549F9"/>
    <w:rsid w:val="00654B62"/>
    <w:rsid w:val="006555ED"/>
    <w:rsid w:val="00656B37"/>
    <w:rsid w:val="00657329"/>
    <w:rsid w:val="00657698"/>
    <w:rsid w:val="00657947"/>
    <w:rsid w:val="00657C0A"/>
    <w:rsid w:val="00660407"/>
    <w:rsid w:val="0066096D"/>
    <w:rsid w:val="00661012"/>
    <w:rsid w:val="006613BC"/>
    <w:rsid w:val="006619C5"/>
    <w:rsid w:val="00661BAE"/>
    <w:rsid w:val="00661D12"/>
    <w:rsid w:val="00661F63"/>
    <w:rsid w:val="0066327A"/>
    <w:rsid w:val="0066328D"/>
    <w:rsid w:val="006634AA"/>
    <w:rsid w:val="00663692"/>
    <w:rsid w:val="0066408A"/>
    <w:rsid w:val="006641C3"/>
    <w:rsid w:val="00664D58"/>
    <w:rsid w:val="0066507A"/>
    <w:rsid w:val="006650D6"/>
    <w:rsid w:val="00665373"/>
    <w:rsid w:val="00665786"/>
    <w:rsid w:val="006657DA"/>
    <w:rsid w:val="00665FFE"/>
    <w:rsid w:val="00666B28"/>
    <w:rsid w:val="00666E68"/>
    <w:rsid w:val="00667630"/>
    <w:rsid w:val="00667826"/>
    <w:rsid w:val="00667B72"/>
    <w:rsid w:val="00667C25"/>
    <w:rsid w:val="0067008D"/>
    <w:rsid w:val="00670104"/>
    <w:rsid w:val="00670526"/>
    <w:rsid w:val="006706D1"/>
    <w:rsid w:val="0067094E"/>
    <w:rsid w:val="0067300A"/>
    <w:rsid w:val="0067406D"/>
    <w:rsid w:val="00674F14"/>
    <w:rsid w:val="00674F7B"/>
    <w:rsid w:val="00675BD7"/>
    <w:rsid w:val="0067610F"/>
    <w:rsid w:val="00676474"/>
    <w:rsid w:val="00676FFE"/>
    <w:rsid w:val="0067784B"/>
    <w:rsid w:val="00680BF8"/>
    <w:rsid w:val="00680C30"/>
    <w:rsid w:val="00681258"/>
    <w:rsid w:val="00681888"/>
    <w:rsid w:val="006823E4"/>
    <w:rsid w:val="0068246A"/>
    <w:rsid w:val="006829C6"/>
    <w:rsid w:val="00683812"/>
    <w:rsid w:val="006840EF"/>
    <w:rsid w:val="00684341"/>
    <w:rsid w:val="00684552"/>
    <w:rsid w:val="0068471B"/>
    <w:rsid w:val="0068492E"/>
    <w:rsid w:val="006863C9"/>
    <w:rsid w:val="0068690F"/>
    <w:rsid w:val="00686A8B"/>
    <w:rsid w:val="00686BD6"/>
    <w:rsid w:val="006878FD"/>
    <w:rsid w:val="00687F29"/>
    <w:rsid w:val="00691AFA"/>
    <w:rsid w:val="00691BDC"/>
    <w:rsid w:val="00691E00"/>
    <w:rsid w:val="00692494"/>
    <w:rsid w:val="00692615"/>
    <w:rsid w:val="006934A9"/>
    <w:rsid w:val="00693D58"/>
    <w:rsid w:val="006943DD"/>
    <w:rsid w:val="00694756"/>
    <w:rsid w:val="00695A60"/>
    <w:rsid w:val="00695A86"/>
    <w:rsid w:val="00696653"/>
    <w:rsid w:val="006971C5"/>
    <w:rsid w:val="006971E7"/>
    <w:rsid w:val="00697234"/>
    <w:rsid w:val="00697B7B"/>
    <w:rsid w:val="006A003E"/>
    <w:rsid w:val="006A068D"/>
    <w:rsid w:val="006A06E5"/>
    <w:rsid w:val="006A09BC"/>
    <w:rsid w:val="006A0A09"/>
    <w:rsid w:val="006A1624"/>
    <w:rsid w:val="006A1B08"/>
    <w:rsid w:val="006A1B2F"/>
    <w:rsid w:val="006A24A1"/>
    <w:rsid w:val="006A296E"/>
    <w:rsid w:val="006A2C56"/>
    <w:rsid w:val="006A3133"/>
    <w:rsid w:val="006A33A6"/>
    <w:rsid w:val="006A345E"/>
    <w:rsid w:val="006A38C0"/>
    <w:rsid w:val="006A3956"/>
    <w:rsid w:val="006A39DD"/>
    <w:rsid w:val="006A3CB5"/>
    <w:rsid w:val="006A3DA5"/>
    <w:rsid w:val="006A51EA"/>
    <w:rsid w:val="006A5D3A"/>
    <w:rsid w:val="006A64DB"/>
    <w:rsid w:val="006A7040"/>
    <w:rsid w:val="006A7A36"/>
    <w:rsid w:val="006B0151"/>
    <w:rsid w:val="006B01B7"/>
    <w:rsid w:val="006B045E"/>
    <w:rsid w:val="006B0C26"/>
    <w:rsid w:val="006B0EE9"/>
    <w:rsid w:val="006B1340"/>
    <w:rsid w:val="006B17FC"/>
    <w:rsid w:val="006B1B11"/>
    <w:rsid w:val="006B1BE8"/>
    <w:rsid w:val="006B2421"/>
    <w:rsid w:val="006B2E6E"/>
    <w:rsid w:val="006B2E9D"/>
    <w:rsid w:val="006B339E"/>
    <w:rsid w:val="006B416B"/>
    <w:rsid w:val="006B4210"/>
    <w:rsid w:val="006B4796"/>
    <w:rsid w:val="006B493E"/>
    <w:rsid w:val="006B50D3"/>
    <w:rsid w:val="006B5C62"/>
    <w:rsid w:val="006B6504"/>
    <w:rsid w:val="006B6579"/>
    <w:rsid w:val="006B65B1"/>
    <w:rsid w:val="006B72C8"/>
    <w:rsid w:val="006B7699"/>
    <w:rsid w:val="006B7FC5"/>
    <w:rsid w:val="006C00EC"/>
    <w:rsid w:val="006C0213"/>
    <w:rsid w:val="006C066A"/>
    <w:rsid w:val="006C0B26"/>
    <w:rsid w:val="006C0C69"/>
    <w:rsid w:val="006C1517"/>
    <w:rsid w:val="006C205F"/>
    <w:rsid w:val="006C2357"/>
    <w:rsid w:val="006C2FE3"/>
    <w:rsid w:val="006C3464"/>
    <w:rsid w:val="006C37DC"/>
    <w:rsid w:val="006C3A7C"/>
    <w:rsid w:val="006C4490"/>
    <w:rsid w:val="006C449B"/>
    <w:rsid w:val="006C5193"/>
    <w:rsid w:val="006C5341"/>
    <w:rsid w:val="006C62E4"/>
    <w:rsid w:val="006C677C"/>
    <w:rsid w:val="006C68C1"/>
    <w:rsid w:val="006D0912"/>
    <w:rsid w:val="006D0A09"/>
    <w:rsid w:val="006D0F82"/>
    <w:rsid w:val="006D1485"/>
    <w:rsid w:val="006D1CF5"/>
    <w:rsid w:val="006D1F48"/>
    <w:rsid w:val="006D1F6B"/>
    <w:rsid w:val="006D200C"/>
    <w:rsid w:val="006D22A0"/>
    <w:rsid w:val="006D27D2"/>
    <w:rsid w:val="006D2F51"/>
    <w:rsid w:val="006D3443"/>
    <w:rsid w:val="006D3855"/>
    <w:rsid w:val="006D3C24"/>
    <w:rsid w:val="006D404A"/>
    <w:rsid w:val="006D492F"/>
    <w:rsid w:val="006D4AE2"/>
    <w:rsid w:val="006D4C68"/>
    <w:rsid w:val="006D4F16"/>
    <w:rsid w:val="006D4FAA"/>
    <w:rsid w:val="006D50B0"/>
    <w:rsid w:val="006D5AE3"/>
    <w:rsid w:val="006D5D40"/>
    <w:rsid w:val="006D6255"/>
    <w:rsid w:val="006D6611"/>
    <w:rsid w:val="006D6878"/>
    <w:rsid w:val="006D6BD5"/>
    <w:rsid w:val="006D6DE6"/>
    <w:rsid w:val="006D74CE"/>
    <w:rsid w:val="006D7971"/>
    <w:rsid w:val="006D7E29"/>
    <w:rsid w:val="006E0237"/>
    <w:rsid w:val="006E031B"/>
    <w:rsid w:val="006E0A1E"/>
    <w:rsid w:val="006E13EF"/>
    <w:rsid w:val="006E1F0F"/>
    <w:rsid w:val="006E239A"/>
    <w:rsid w:val="006E2BCB"/>
    <w:rsid w:val="006E3BB8"/>
    <w:rsid w:val="006E44D6"/>
    <w:rsid w:val="006E46AF"/>
    <w:rsid w:val="006E4C09"/>
    <w:rsid w:val="006E4F3E"/>
    <w:rsid w:val="006E5256"/>
    <w:rsid w:val="006E6545"/>
    <w:rsid w:val="006E683F"/>
    <w:rsid w:val="006E739E"/>
    <w:rsid w:val="006E796C"/>
    <w:rsid w:val="006F01D2"/>
    <w:rsid w:val="006F0361"/>
    <w:rsid w:val="006F05FD"/>
    <w:rsid w:val="006F0770"/>
    <w:rsid w:val="006F0DD1"/>
    <w:rsid w:val="006F1067"/>
    <w:rsid w:val="006F1186"/>
    <w:rsid w:val="006F1E7D"/>
    <w:rsid w:val="006F2BB7"/>
    <w:rsid w:val="006F3219"/>
    <w:rsid w:val="006F3388"/>
    <w:rsid w:val="006F400C"/>
    <w:rsid w:val="006F432C"/>
    <w:rsid w:val="006F4C61"/>
    <w:rsid w:val="006F52C1"/>
    <w:rsid w:val="006F53CC"/>
    <w:rsid w:val="006F5721"/>
    <w:rsid w:val="006F5FA0"/>
    <w:rsid w:val="006F69DD"/>
    <w:rsid w:val="006F73AF"/>
    <w:rsid w:val="006F7F46"/>
    <w:rsid w:val="007004DA"/>
    <w:rsid w:val="00700960"/>
    <w:rsid w:val="00700A4E"/>
    <w:rsid w:val="00700DED"/>
    <w:rsid w:val="00700FA2"/>
    <w:rsid w:val="00700FF7"/>
    <w:rsid w:val="00701046"/>
    <w:rsid w:val="00701157"/>
    <w:rsid w:val="0070178B"/>
    <w:rsid w:val="00702021"/>
    <w:rsid w:val="007034B9"/>
    <w:rsid w:val="00703588"/>
    <w:rsid w:val="00704309"/>
    <w:rsid w:val="0070456E"/>
    <w:rsid w:val="00704B66"/>
    <w:rsid w:val="00704E9F"/>
    <w:rsid w:val="0070523C"/>
    <w:rsid w:val="00705E47"/>
    <w:rsid w:val="00706191"/>
    <w:rsid w:val="007064DF"/>
    <w:rsid w:val="00706736"/>
    <w:rsid w:val="00706D73"/>
    <w:rsid w:val="00707A10"/>
    <w:rsid w:val="00707CF7"/>
    <w:rsid w:val="00710492"/>
    <w:rsid w:val="00710992"/>
    <w:rsid w:val="00710E03"/>
    <w:rsid w:val="00711004"/>
    <w:rsid w:val="00711434"/>
    <w:rsid w:val="007116C0"/>
    <w:rsid w:val="007129FB"/>
    <w:rsid w:val="00712BAC"/>
    <w:rsid w:val="00712FF6"/>
    <w:rsid w:val="00713560"/>
    <w:rsid w:val="00713796"/>
    <w:rsid w:val="00713FE1"/>
    <w:rsid w:val="00715451"/>
    <w:rsid w:val="00715679"/>
    <w:rsid w:val="00715F8C"/>
    <w:rsid w:val="00716010"/>
    <w:rsid w:val="0071652D"/>
    <w:rsid w:val="00716B28"/>
    <w:rsid w:val="00716CEC"/>
    <w:rsid w:val="00716E71"/>
    <w:rsid w:val="007170B3"/>
    <w:rsid w:val="00717125"/>
    <w:rsid w:val="00717641"/>
    <w:rsid w:val="00717934"/>
    <w:rsid w:val="00717D1A"/>
    <w:rsid w:val="00717D9F"/>
    <w:rsid w:val="00717E7B"/>
    <w:rsid w:val="00717ED4"/>
    <w:rsid w:val="007206C1"/>
    <w:rsid w:val="007208AA"/>
    <w:rsid w:val="0072144F"/>
    <w:rsid w:val="007214BA"/>
    <w:rsid w:val="0072184A"/>
    <w:rsid w:val="00721A49"/>
    <w:rsid w:val="00722162"/>
    <w:rsid w:val="00722648"/>
    <w:rsid w:val="00722DA8"/>
    <w:rsid w:val="00723835"/>
    <w:rsid w:val="00723837"/>
    <w:rsid w:val="007240F8"/>
    <w:rsid w:val="007246EF"/>
    <w:rsid w:val="0072547D"/>
    <w:rsid w:val="00726A06"/>
    <w:rsid w:val="00726F96"/>
    <w:rsid w:val="007271BE"/>
    <w:rsid w:val="00727576"/>
    <w:rsid w:val="0073077E"/>
    <w:rsid w:val="007307FC"/>
    <w:rsid w:val="00730C34"/>
    <w:rsid w:val="00731108"/>
    <w:rsid w:val="0073119B"/>
    <w:rsid w:val="00731509"/>
    <w:rsid w:val="0073162B"/>
    <w:rsid w:val="007338F4"/>
    <w:rsid w:val="00733A99"/>
    <w:rsid w:val="00733C0E"/>
    <w:rsid w:val="007344BF"/>
    <w:rsid w:val="00735B75"/>
    <w:rsid w:val="00735CC4"/>
    <w:rsid w:val="00736A5E"/>
    <w:rsid w:val="00736A64"/>
    <w:rsid w:val="00737731"/>
    <w:rsid w:val="00737CF7"/>
    <w:rsid w:val="007425F8"/>
    <w:rsid w:val="0074284C"/>
    <w:rsid w:val="00742B04"/>
    <w:rsid w:val="00743260"/>
    <w:rsid w:val="007448B1"/>
    <w:rsid w:val="00745B16"/>
    <w:rsid w:val="00745E99"/>
    <w:rsid w:val="00747663"/>
    <w:rsid w:val="00747B0C"/>
    <w:rsid w:val="00750C8E"/>
    <w:rsid w:val="007512E7"/>
    <w:rsid w:val="00751599"/>
    <w:rsid w:val="0075179A"/>
    <w:rsid w:val="00751D6B"/>
    <w:rsid w:val="0075227A"/>
    <w:rsid w:val="00752980"/>
    <w:rsid w:val="00752F68"/>
    <w:rsid w:val="007540D0"/>
    <w:rsid w:val="0075482E"/>
    <w:rsid w:val="0075506B"/>
    <w:rsid w:val="0075536B"/>
    <w:rsid w:val="00755678"/>
    <w:rsid w:val="00755ABE"/>
    <w:rsid w:val="00755AE9"/>
    <w:rsid w:val="00755C58"/>
    <w:rsid w:val="00756312"/>
    <w:rsid w:val="0075637A"/>
    <w:rsid w:val="007566D6"/>
    <w:rsid w:val="00756A3D"/>
    <w:rsid w:val="0075753D"/>
    <w:rsid w:val="0075795D"/>
    <w:rsid w:val="007579FD"/>
    <w:rsid w:val="00757BDD"/>
    <w:rsid w:val="00757FEB"/>
    <w:rsid w:val="007604BC"/>
    <w:rsid w:val="00760E3D"/>
    <w:rsid w:val="00760FC3"/>
    <w:rsid w:val="00761363"/>
    <w:rsid w:val="0076141C"/>
    <w:rsid w:val="00761632"/>
    <w:rsid w:val="007616EF"/>
    <w:rsid w:val="00761CA8"/>
    <w:rsid w:val="00761F2C"/>
    <w:rsid w:val="007623B5"/>
    <w:rsid w:val="00762762"/>
    <w:rsid w:val="00762E38"/>
    <w:rsid w:val="00762F3B"/>
    <w:rsid w:val="00763056"/>
    <w:rsid w:val="00763366"/>
    <w:rsid w:val="00763C63"/>
    <w:rsid w:val="00763CDD"/>
    <w:rsid w:val="0076435B"/>
    <w:rsid w:val="00764D06"/>
    <w:rsid w:val="00764E54"/>
    <w:rsid w:val="007659BC"/>
    <w:rsid w:val="00765F4D"/>
    <w:rsid w:val="00766224"/>
    <w:rsid w:val="0076637B"/>
    <w:rsid w:val="007664E6"/>
    <w:rsid w:val="007669E3"/>
    <w:rsid w:val="00766AC4"/>
    <w:rsid w:val="00767802"/>
    <w:rsid w:val="007700F4"/>
    <w:rsid w:val="0077026A"/>
    <w:rsid w:val="00770CBC"/>
    <w:rsid w:val="00770F7B"/>
    <w:rsid w:val="00771A14"/>
    <w:rsid w:val="00771ED5"/>
    <w:rsid w:val="00772C0F"/>
    <w:rsid w:val="007740CC"/>
    <w:rsid w:val="00774385"/>
    <w:rsid w:val="00774544"/>
    <w:rsid w:val="007746A4"/>
    <w:rsid w:val="007747D8"/>
    <w:rsid w:val="00774882"/>
    <w:rsid w:val="00774998"/>
    <w:rsid w:val="00774C07"/>
    <w:rsid w:val="0077578B"/>
    <w:rsid w:val="00775B3F"/>
    <w:rsid w:val="0077633F"/>
    <w:rsid w:val="0077660F"/>
    <w:rsid w:val="00777607"/>
    <w:rsid w:val="00777B1F"/>
    <w:rsid w:val="00777CB7"/>
    <w:rsid w:val="007800CA"/>
    <w:rsid w:val="007802A6"/>
    <w:rsid w:val="007806C0"/>
    <w:rsid w:val="007806DC"/>
    <w:rsid w:val="00780BA7"/>
    <w:rsid w:val="00780C09"/>
    <w:rsid w:val="007812B2"/>
    <w:rsid w:val="00782294"/>
    <w:rsid w:val="00782447"/>
    <w:rsid w:val="007824FB"/>
    <w:rsid w:val="00782F16"/>
    <w:rsid w:val="0078338D"/>
    <w:rsid w:val="007840C7"/>
    <w:rsid w:val="00784466"/>
    <w:rsid w:val="007846FC"/>
    <w:rsid w:val="00784BD5"/>
    <w:rsid w:val="00784E53"/>
    <w:rsid w:val="007850A0"/>
    <w:rsid w:val="0078555E"/>
    <w:rsid w:val="00786FF4"/>
    <w:rsid w:val="00787388"/>
    <w:rsid w:val="007877B5"/>
    <w:rsid w:val="00787E3E"/>
    <w:rsid w:val="00790E7F"/>
    <w:rsid w:val="007918D7"/>
    <w:rsid w:val="00791DF4"/>
    <w:rsid w:val="0079220F"/>
    <w:rsid w:val="00792737"/>
    <w:rsid w:val="00792DFA"/>
    <w:rsid w:val="00793307"/>
    <w:rsid w:val="0079330D"/>
    <w:rsid w:val="007938F1"/>
    <w:rsid w:val="00793941"/>
    <w:rsid w:val="00793E5B"/>
    <w:rsid w:val="0079432F"/>
    <w:rsid w:val="007945CF"/>
    <w:rsid w:val="00794BCD"/>
    <w:rsid w:val="00794DC4"/>
    <w:rsid w:val="00795381"/>
    <w:rsid w:val="007954AA"/>
    <w:rsid w:val="00795E4B"/>
    <w:rsid w:val="007962B4"/>
    <w:rsid w:val="007965F3"/>
    <w:rsid w:val="00796C5C"/>
    <w:rsid w:val="00796CC4"/>
    <w:rsid w:val="00796E57"/>
    <w:rsid w:val="00796FA8"/>
    <w:rsid w:val="007970E0"/>
    <w:rsid w:val="007976DF"/>
    <w:rsid w:val="00797AA6"/>
    <w:rsid w:val="00797B98"/>
    <w:rsid w:val="00797D01"/>
    <w:rsid w:val="007A025F"/>
    <w:rsid w:val="007A0A0F"/>
    <w:rsid w:val="007A0B5B"/>
    <w:rsid w:val="007A0D65"/>
    <w:rsid w:val="007A15C6"/>
    <w:rsid w:val="007A1B91"/>
    <w:rsid w:val="007A247F"/>
    <w:rsid w:val="007A290E"/>
    <w:rsid w:val="007A291B"/>
    <w:rsid w:val="007A2CC5"/>
    <w:rsid w:val="007A37EC"/>
    <w:rsid w:val="007A3FFA"/>
    <w:rsid w:val="007A473B"/>
    <w:rsid w:val="007A4B97"/>
    <w:rsid w:val="007A4CCB"/>
    <w:rsid w:val="007A4FA7"/>
    <w:rsid w:val="007A5AD4"/>
    <w:rsid w:val="007A5B52"/>
    <w:rsid w:val="007A5C7A"/>
    <w:rsid w:val="007A5D79"/>
    <w:rsid w:val="007A5DF1"/>
    <w:rsid w:val="007A6365"/>
    <w:rsid w:val="007A6508"/>
    <w:rsid w:val="007A6E2B"/>
    <w:rsid w:val="007A7341"/>
    <w:rsid w:val="007A7754"/>
    <w:rsid w:val="007A7B1F"/>
    <w:rsid w:val="007A7D1F"/>
    <w:rsid w:val="007A7F12"/>
    <w:rsid w:val="007B0145"/>
    <w:rsid w:val="007B02B5"/>
    <w:rsid w:val="007B0C60"/>
    <w:rsid w:val="007B1344"/>
    <w:rsid w:val="007B14C1"/>
    <w:rsid w:val="007B1564"/>
    <w:rsid w:val="007B1FA4"/>
    <w:rsid w:val="007B22FA"/>
    <w:rsid w:val="007B2308"/>
    <w:rsid w:val="007B244D"/>
    <w:rsid w:val="007B2E12"/>
    <w:rsid w:val="007B30D2"/>
    <w:rsid w:val="007B353C"/>
    <w:rsid w:val="007B397A"/>
    <w:rsid w:val="007B39BF"/>
    <w:rsid w:val="007B3A63"/>
    <w:rsid w:val="007B3D64"/>
    <w:rsid w:val="007B3DC6"/>
    <w:rsid w:val="007B3EEB"/>
    <w:rsid w:val="007B3EFE"/>
    <w:rsid w:val="007B3F25"/>
    <w:rsid w:val="007B489D"/>
    <w:rsid w:val="007B4B0F"/>
    <w:rsid w:val="007B50AD"/>
    <w:rsid w:val="007B5D4E"/>
    <w:rsid w:val="007C005E"/>
    <w:rsid w:val="007C0874"/>
    <w:rsid w:val="007C0875"/>
    <w:rsid w:val="007C0BC5"/>
    <w:rsid w:val="007C11F7"/>
    <w:rsid w:val="007C12C2"/>
    <w:rsid w:val="007C178D"/>
    <w:rsid w:val="007C2710"/>
    <w:rsid w:val="007C3671"/>
    <w:rsid w:val="007C3804"/>
    <w:rsid w:val="007C382D"/>
    <w:rsid w:val="007C3B32"/>
    <w:rsid w:val="007C3DC1"/>
    <w:rsid w:val="007C4369"/>
    <w:rsid w:val="007C4736"/>
    <w:rsid w:val="007C4BB6"/>
    <w:rsid w:val="007C5E18"/>
    <w:rsid w:val="007C60B8"/>
    <w:rsid w:val="007C615F"/>
    <w:rsid w:val="007C639E"/>
    <w:rsid w:val="007C65CA"/>
    <w:rsid w:val="007C7394"/>
    <w:rsid w:val="007C76AB"/>
    <w:rsid w:val="007C7B6C"/>
    <w:rsid w:val="007C7FA9"/>
    <w:rsid w:val="007D03A8"/>
    <w:rsid w:val="007D05E8"/>
    <w:rsid w:val="007D134C"/>
    <w:rsid w:val="007D1CBB"/>
    <w:rsid w:val="007D1E4B"/>
    <w:rsid w:val="007D27D6"/>
    <w:rsid w:val="007D3115"/>
    <w:rsid w:val="007D3315"/>
    <w:rsid w:val="007D3838"/>
    <w:rsid w:val="007D3C78"/>
    <w:rsid w:val="007D4027"/>
    <w:rsid w:val="007D42CB"/>
    <w:rsid w:val="007D4538"/>
    <w:rsid w:val="007D47ED"/>
    <w:rsid w:val="007D519F"/>
    <w:rsid w:val="007D5207"/>
    <w:rsid w:val="007D52BC"/>
    <w:rsid w:val="007D52C5"/>
    <w:rsid w:val="007D585A"/>
    <w:rsid w:val="007D6816"/>
    <w:rsid w:val="007D69EC"/>
    <w:rsid w:val="007D7885"/>
    <w:rsid w:val="007E217C"/>
    <w:rsid w:val="007E276B"/>
    <w:rsid w:val="007E2B0F"/>
    <w:rsid w:val="007E2BF3"/>
    <w:rsid w:val="007E2CAF"/>
    <w:rsid w:val="007E2FA8"/>
    <w:rsid w:val="007E3418"/>
    <w:rsid w:val="007E3A1D"/>
    <w:rsid w:val="007E3AA3"/>
    <w:rsid w:val="007E4021"/>
    <w:rsid w:val="007E4556"/>
    <w:rsid w:val="007E45A1"/>
    <w:rsid w:val="007E4976"/>
    <w:rsid w:val="007E4E44"/>
    <w:rsid w:val="007E552F"/>
    <w:rsid w:val="007E5BD9"/>
    <w:rsid w:val="007E5C53"/>
    <w:rsid w:val="007E7055"/>
    <w:rsid w:val="007E7928"/>
    <w:rsid w:val="007F02AB"/>
    <w:rsid w:val="007F043E"/>
    <w:rsid w:val="007F0DF4"/>
    <w:rsid w:val="007F10E3"/>
    <w:rsid w:val="007F1316"/>
    <w:rsid w:val="007F1694"/>
    <w:rsid w:val="007F19F4"/>
    <w:rsid w:val="007F207B"/>
    <w:rsid w:val="007F23DF"/>
    <w:rsid w:val="007F3767"/>
    <w:rsid w:val="007F3A5B"/>
    <w:rsid w:val="007F3AD3"/>
    <w:rsid w:val="007F4572"/>
    <w:rsid w:val="007F4A93"/>
    <w:rsid w:val="007F4EA7"/>
    <w:rsid w:val="007F5435"/>
    <w:rsid w:val="007F5C47"/>
    <w:rsid w:val="007F660A"/>
    <w:rsid w:val="007F6A43"/>
    <w:rsid w:val="007F6BB4"/>
    <w:rsid w:val="007F6BFA"/>
    <w:rsid w:val="007F752D"/>
    <w:rsid w:val="008004F5"/>
    <w:rsid w:val="00800581"/>
    <w:rsid w:val="008005B0"/>
    <w:rsid w:val="00800615"/>
    <w:rsid w:val="00800F3F"/>
    <w:rsid w:val="008016D4"/>
    <w:rsid w:val="00801C92"/>
    <w:rsid w:val="008020F8"/>
    <w:rsid w:val="0080223D"/>
    <w:rsid w:val="008031CE"/>
    <w:rsid w:val="008033C9"/>
    <w:rsid w:val="008033DA"/>
    <w:rsid w:val="0080343B"/>
    <w:rsid w:val="008034CB"/>
    <w:rsid w:val="008038F0"/>
    <w:rsid w:val="00803AB5"/>
    <w:rsid w:val="00803B32"/>
    <w:rsid w:val="00804101"/>
    <w:rsid w:val="00804653"/>
    <w:rsid w:val="0080478C"/>
    <w:rsid w:val="00804DA1"/>
    <w:rsid w:val="008051EA"/>
    <w:rsid w:val="008055F9"/>
    <w:rsid w:val="00805EFC"/>
    <w:rsid w:val="008060C0"/>
    <w:rsid w:val="00806B3F"/>
    <w:rsid w:val="00806C13"/>
    <w:rsid w:val="008075BD"/>
    <w:rsid w:val="008075F7"/>
    <w:rsid w:val="00807779"/>
    <w:rsid w:val="00807A5F"/>
    <w:rsid w:val="0081036A"/>
    <w:rsid w:val="008103BA"/>
    <w:rsid w:val="00810643"/>
    <w:rsid w:val="00810C4C"/>
    <w:rsid w:val="00810C5D"/>
    <w:rsid w:val="00810D2C"/>
    <w:rsid w:val="00810FB3"/>
    <w:rsid w:val="00811BD0"/>
    <w:rsid w:val="00812DCE"/>
    <w:rsid w:val="00812EFB"/>
    <w:rsid w:val="008130A7"/>
    <w:rsid w:val="00813517"/>
    <w:rsid w:val="00814CFC"/>
    <w:rsid w:val="008153C7"/>
    <w:rsid w:val="008157C2"/>
    <w:rsid w:val="00815F12"/>
    <w:rsid w:val="0081632C"/>
    <w:rsid w:val="008163AA"/>
    <w:rsid w:val="00816728"/>
    <w:rsid w:val="008168BA"/>
    <w:rsid w:val="0081799D"/>
    <w:rsid w:val="00817C73"/>
    <w:rsid w:val="00817CB4"/>
    <w:rsid w:val="00817CBC"/>
    <w:rsid w:val="0082003B"/>
    <w:rsid w:val="00820F31"/>
    <w:rsid w:val="00821602"/>
    <w:rsid w:val="00821D9C"/>
    <w:rsid w:val="00822CDC"/>
    <w:rsid w:val="0082338B"/>
    <w:rsid w:val="008234C3"/>
    <w:rsid w:val="00823564"/>
    <w:rsid w:val="008236E4"/>
    <w:rsid w:val="008238C1"/>
    <w:rsid w:val="00823A26"/>
    <w:rsid w:val="00824373"/>
    <w:rsid w:val="00824865"/>
    <w:rsid w:val="00825506"/>
    <w:rsid w:val="008255E9"/>
    <w:rsid w:val="00826174"/>
    <w:rsid w:val="00826290"/>
    <w:rsid w:val="008262DC"/>
    <w:rsid w:val="00826612"/>
    <w:rsid w:val="00826820"/>
    <w:rsid w:val="008275BA"/>
    <w:rsid w:val="00827BA3"/>
    <w:rsid w:val="00827C4D"/>
    <w:rsid w:val="00830AE1"/>
    <w:rsid w:val="008318BB"/>
    <w:rsid w:val="00831CF2"/>
    <w:rsid w:val="00832AF4"/>
    <w:rsid w:val="00832D60"/>
    <w:rsid w:val="0083411F"/>
    <w:rsid w:val="00834678"/>
    <w:rsid w:val="00834E54"/>
    <w:rsid w:val="008353F8"/>
    <w:rsid w:val="0083562B"/>
    <w:rsid w:val="008365EF"/>
    <w:rsid w:val="00836AE9"/>
    <w:rsid w:val="00837266"/>
    <w:rsid w:val="00837768"/>
    <w:rsid w:val="00840721"/>
    <w:rsid w:val="00841C12"/>
    <w:rsid w:val="0084223B"/>
    <w:rsid w:val="008426BB"/>
    <w:rsid w:val="008426C6"/>
    <w:rsid w:val="0084375F"/>
    <w:rsid w:val="008438EF"/>
    <w:rsid w:val="00843B0A"/>
    <w:rsid w:val="00844146"/>
    <w:rsid w:val="00844A4E"/>
    <w:rsid w:val="00844FB4"/>
    <w:rsid w:val="008461D2"/>
    <w:rsid w:val="00846641"/>
    <w:rsid w:val="008469D8"/>
    <w:rsid w:val="00846AAF"/>
    <w:rsid w:val="008472A4"/>
    <w:rsid w:val="00847928"/>
    <w:rsid w:val="00847D95"/>
    <w:rsid w:val="00847EB2"/>
    <w:rsid w:val="00850348"/>
    <w:rsid w:val="00850C6D"/>
    <w:rsid w:val="00850E1E"/>
    <w:rsid w:val="008511F8"/>
    <w:rsid w:val="00851D7A"/>
    <w:rsid w:val="008523B0"/>
    <w:rsid w:val="00852683"/>
    <w:rsid w:val="00852D61"/>
    <w:rsid w:val="00853103"/>
    <w:rsid w:val="00853275"/>
    <w:rsid w:val="0085368B"/>
    <w:rsid w:val="00853B6D"/>
    <w:rsid w:val="00855277"/>
    <w:rsid w:val="00855E05"/>
    <w:rsid w:val="0085739A"/>
    <w:rsid w:val="00857E42"/>
    <w:rsid w:val="00857FDD"/>
    <w:rsid w:val="00860558"/>
    <w:rsid w:val="00860BC2"/>
    <w:rsid w:val="00860F89"/>
    <w:rsid w:val="00861011"/>
    <w:rsid w:val="00861513"/>
    <w:rsid w:val="00861ADE"/>
    <w:rsid w:val="00861BD2"/>
    <w:rsid w:val="00861CD9"/>
    <w:rsid w:val="00861E87"/>
    <w:rsid w:val="0086204C"/>
    <w:rsid w:val="00862083"/>
    <w:rsid w:val="00862180"/>
    <w:rsid w:val="00862302"/>
    <w:rsid w:val="00862DE6"/>
    <w:rsid w:val="00862F91"/>
    <w:rsid w:val="008635AB"/>
    <w:rsid w:val="008639DB"/>
    <w:rsid w:val="00863AA6"/>
    <w:rsid w:val="00864423"/>
    <w:rsid w:val="00864893"/>
    <w:rsid w:val="00864C97"/>
    <w:rsid w:val="008659FE"/>
    <w:rsid w:val="0086641C"/>
    <w:rsid w:val="008669BC"/>
    <w:rsid w:val="00866B07"/>
    <w:rsid w:val="00867455"/>
    <w:rsid w:val="0087009F"/>
    <w:rsid w:val="008706E2"/>
    <w:rsid w:val="00871399"/>
    <w:rsid w:val="008713C8"/>
    <w:rsid w:val="00871592"/>
    <w:rsid w:val="00871A13"/>
    <w:rsid w:val="0087249A"/>
    <w:rsid w:val="008739B9"/>
    <w:rsid w:val="00873CBD"/>
    <w:rsid w:val="00874A06"/>
    <w:rsid w:val="00875718"/>
    <w:rsid w:val="008757B3"/>
    <w:rsid w:val="00875BD6"/>
    <w:rsid w:val="0087603D"/>
    <w:rsid w:val="00876AE6"/>
    <w:rsid w:val="0087780B"/>
    <w:rsid w:val="00877916"/>
    <w:rsid w:val="008808A2"/>
    <w:rsid w:val="00880F84"/>
    <w:rsid w:val="0088115D"/>
    <w:rsid w:val="008811D0"/>
    <w:rsid w:val="00881806"/>
    <w:rsid w:val="00881F47"/>
    <w:rsid w:val="008820AC"/>
    <w:rsid w:val="00882430"/>
    <w:rsid w:val="00883076"/>
    <w:rsid w:val="00883EB4"/>
    <w:rsid w:val="00884794"/>
    <w:rsid w:val="00884FDD"/>
    <w:rsid w:val="008850A6"/>
    <w:rsid w:val="008857C1"/>
    <w:rsid w:val="00885F96"/>
    <w:rsid w:val="00886027"/>
    <w:rsid w:val="008866D0"/>
    <w:rsid w:val="00886EFC"/>
    <w:rsid w:val="00887298"/>
    <w:rsid w:val="00887DDD"/>
    <w:rsid w:val="0089044E"/>
    <w:rsid w:val="00891599"/>
    <w:rsid w:val="008919FC"/>
    <w:rsid w:val="00891A39"/>
    <w:rsid w:val="00891E80"/>
    <w:rsid w:val="00891ECD"/>
    <w:rsid w:val="008922F9"/>
    <w:rsid w:val="00892922"/>
    <w:rsid w:val="00892991"/>
    <w:rsid w:val="00893060"/>
    <w:rsid w:val="00893A29"/>
    <w:rsid w:val="00893A6D"/>
    <w:rsid w:val="00893B47"/>
    <w:rsid w:val="008956A5"/>
    <w:rsid w:val="0089587F"/>
    <w:rsid w:val="00895C57"/>
    <w:rsid w:val="00895F46"/>
    <w:rsid w:val="00896299"/>
    <w:rsid w:val="0089647D"/>
    <w:rsid w:val="00896AE4"/>
    <w:rsid w:val="0089705C"/>
    <w:rsid w:val="00897098"/>
    <w:rsid w:val="008974D9"/>
    <w:rsid w:val="00897832"/>
    <w:rsid w:val="00897919"/>
    <w:rsid w:val="00897F3F"/>
    <w:rsid w:val="008A01BA"/>
    <w:rsid w:val="008A0422"/>
    <w:rsid w:val="008A0677"/>
    <w:rsid w:val="008A0719"/>
    <w:rsid w:val="008A14B0"/>
    <w:rsid w:val="008A168F"/>
    <w:rsid w:val="008A1849"/>
    <w:rsid w:val="008A24F7"/>
    <w:rsid w:val="008A25C9"/>
    <w:rsid w:val="008A2659"/>
    <w:rsid w:val="008A3594"/>
    <w:rsid w:val="008A371E"/>
    <w:rsid w:val="008A3820"/>
    <w:rsid w:val="008A3BBF"/>
    <w:rsid w:val="008A3C18"/>
    <w:rsid w:val="008A3DA2"/>
    <w:rsid w:val="008A4AD3"/>
    <w:rsid w:val="008A50F2"/>
    <w:rsid w:val="008A51CF"/>
    <w:rsid w:val="008A5414"/>
    <w:rsid w:val="008A6A64"/>
    <w:rsid w:val="008A6DAC"/>
    <w:rsid w:val="008A6F6A"/>
    <w:rsid w:val="008A70BC"/>
    <w:rsid w:val="008A7B82"/>
    <w:rsid w:val="008A7D19"/>
    <w:rsid w:val="008A7F23"/>
    <w:rsid w:val="008B1228"/>
    <w:rsid w:val="008B1559"/>
    <w:rsid w:val="008B1643"/>
    <w:rsid w:val="008B1882"/>
    <w:rsid w:val="008B1BDB"/>
    <w:rsid w:val="008B2834"/>
    <w:rsid w:val="008B2858"/>
    <w:rsid w:val="008B2F25"/>
    <w:rsid w:val="008B4732"/>
    <w:rsid w:val="008B4874"/>
    <w:rsid w:val="008B4F89"/>
    <w:rsid w:val="008B5079"/>
    <w:rsid w:val="008B5654"/>
    <w:rsid w:val="008B5897"/>
    <w:rsid w:val="008B687B"/>
    <w:rsid w:val="008B6B59"/>
    <w:rsid w:val="008B6D93"/>
    <w:rsid w:val="008B770D"/>
    <w:rsid w:val="008B7A86"/>
    <w:rsid w:val="008B7CD5"/>
    <w:rsid w:val="008C08DC"/>
    <w:rsid w:val="008C0A9F"/>
    <w:rsid w:val="008C0B36"/>
    <w:rsid w:val="008C0E6C"/>
    <w:rsid w:val="008C152E"/>
    <w:rsid w:val="008C167A"/>
    <w:rsid w:val="008C21AA"/>
    <w:rsid w:val="008C26CD"/>
    <w:rsid w:val="008C2ACA"/>
    <w:rsid w:val="008C2BA4"/>
    <w:rsid w:val="008C35D3"/>
    <w:rsid w:val="008C3629"/>
    <w:rsid w:val="008C3ED2"/>
    <w:rsid w:val="008C40DD"/>
    <w:rsid w:val="008C4442"/>
    <w:rsid w:val="008C45E9"/>
    <w:rsid w:val="008C4881"/>
    <w:rsid w:val="008C4ADA"/>
    <w:rsid w:val="008C4FB0"/>
    <w:rsid w:val="008C4FE3"/>
    <w:rsid w:val="008C5074"/>
    <w:rsid w:val="008C5091"/>
    <w:rsid w:val="008C5FDE"/>
    <w:rsid w:val="008C7460"/>
    <w:rsid w:val="008D0BF3"/>
    <w:rsid w:val="008D0CB4"/>
    <w:rsid w:val="008D0D5C"/>
    <w:rsid w:val="008D0FDF"/>
    <w:rsid w:val="008D19CD"/>
    <w:rsid w:val="008D2493"/>
    <w:rsid w:val="008D2AA9"/>
    <w:rsid w:val="008D40FD"/>
    <w:rsid w:val="008D58AF"/>
    <w:rsid w:val="008D6045"/>
    <w:rsid w:val="008D629D"/>
    <w:rsid w:val="008D6649"/>
    <w:rsid w:val="008D6CD1"/>
    <w:rsid w:val="008D79EF"/>
    <w:rsid w:val="008E03A5"/>
    <w:rsid w:val="008E0491"/>
    <w:rsid w:val="008E04BF"/>
    <w:rsid w:val="008E098D"/>
    <w:rsid w:val="008E0B03"/>
    <w:rsid w:val="008E0B16"/>
    <w:rsid w:val="008E13B1"/>
    <w:rsid w:val="008E1C0B"/>
    <w:rsid w:val="008E1E2F"/>
    <w:rsid w:val="008E2359"/>
    <w:rsid w:val="008E2AA5"/>
    <w:rsid w:val="008E2DA0"/>
    <w:rsid w:val="008E2DD6"/>
    <w:rsid w:val="008E3A90"/>
    <w:rsid w:val="008E3C4D"/>
    <w:rsid w:val="008E4211"/>
    <w:rsid w:val="008E4DC5"/>
    <w:rsid w:val="008E54A5"/>
    <w:rsid w:val="008E5DA5"/>
    <w:rsid w:val="008E5F27"/>
    <w:rsid w:val="008E648A"/>
    <w:rsid w:val="008E66BE"/>
    <w:rsid w:val="008E6D9E"/>
    <w:rsid w:val="008E6E99"/>
    <w:rsid w:val="008E710D"/>
    <w:rsid w:val="008E720B"/>
    <w:rsid w:val="008E7435"/>
    <w:rsid w:val="008E75ED"/>
    <w:rsid w:val="008E7B08"/>
    <w:rsid w:val="008F00F5"/>
    <w:rsid w:val="008F06E8"/>
    <w:rsid w:val="008F0872"/>
    <w:rsid w:val="008F0FC4"/>
    <w:rsid w:val="008F1EE9"/>
    <w:rsid w:val="008F211C"/>
    <w:rsid w:val="008F25A6"/>
    <w:rsid w:val="008F2950"/>
    <w:rsid w:val="008F2E24"/>
    <w:rsid w:val="008F38CA"/>
    <w:rsid w:val="008F42BC"/>
    <w:rsid w:val="008F42C7"/>
    <w:rsid w:val="008F4351"/>
    <w:rsid w:val="008F45BA"/>
    <w:rsid w:val="008F4A10"/>
    <w:rsid w:val="008F6BE2"/>
    <w:rsid w:val="008F73C0"/>
    <w:rsid w:val="008F75FC"/>
    <w:rsid w:val="008F77A1"/>
    <w:rsid w:val="008F7862"/>
    <w:rsid w:val="00900517"/>
    <w:rsid w:val="009005BB"/>
    <w:rsid w:val="009007AF"/>
    <w:rsid w:val="00900DE2"/>
    <w:rsid w:val="009016F7"/>
    <w:rsid w:val="00901745"/>
    <w:rsid w:val="00901ACF"/>
    <w:rsid w:val="0090229C"/>
    <w:rsid w:val="00902508"/>
    <w:rsid w:val="00902BD4"/>
    <w:rsid w:val="009039A5"/>
    <w:rsid w:val="00903ECF"/>
    <w:rsid w:val="00904C0E"/>
    <w:rsid w:val="009050A0"/>
    <w:rsid w:val="00905307"/>
    <w:rsid w:val="0090581A"/>
    <w:rsid w:val="00905B7D"/>
    <w:rsid w:val="009068A2"/>
    <w:rsid w:val="00906B71"/>
    <w:rsid w:val="00906E6A"/>
    <w:rsid w:val="00907117"/>
    <w:rsid w:val="009075F8"/>
    <w:rsid w:val="0091032A"/>
    <w:rsid w:val="009105E0"/>
    <w:rsid w:val="0091062C"/>
    <w:rsid w:val="009109B8"/>
    <w:rsid w:val="00910AB4"/>
    <w:rsid w:val="009122A5"/>
    <w:rsid w:val="00912402"/>
    <w:rsid w:val="009128DE"/>
    <w:rsid w:val="00912B7A"/>
    <w:rsid w:val="00912D3A"/>
    <w:rsid w:val="00913718"/>
    <w:rsid w:val="00913A3F"/>
    <w:rsid w:val="00914579"/>
    <w:rsid w:val="00914923"/>
    <w:rsid w:val="0091548C"/>
    <w:rsid w:val="009161FD"/>
    <w:rsid w:val="0091669A"/>
    <w:rsid w:val="00916725"/>
    <w:rsid w:val="009171AB"/>
    <w:rsid w:val="00917334"/>
    <w:rsid w:val="00917A94"/>
    <w:rsid w:val="00917E70"/>
    <w:rsid w:val="00920C20"/>
    <w:rsid w:val="00920C25"/>
    <w:rsid w:val="00922437"/>
    <w:rsid w:val="00922E58"/>
    <w:rsid w:val="00924009"/>
    <w:rsid w:val="0092412E"/>
    <w:rsid w:val="00924DE8"/>
    <w:rsid w:val="0092614D"/>
    <w:rsid w:val="009268B4"/>
    <w:rsid w:val="009269E8"/>
    <w:rsid w:val="00926BC8"/>
    <w:rsid w:val="00927181"/>
    <w:rsid w:val="0092718F"/>
    <w:rsid w:val="0092760A"/>
    <w:rsid w:val="00927859"/>
    <w:rsid w:val="00927864"/>
    <w:rsid w:val="0093015E"/>
    <w:rsid w:val="00930721"/>
    <w:rsid w:val="00930D9E"/>
    <w:rsid w:val="0093116F"/>
    <w:rsid w:val="00931BF6"/>
    <w:rsid w:val="00932023"/>
    <w:rsid w:val="0093264B"/>
    <w:rsid w:val="009326DF"/>
    <w:rsid w:val="00932ADF"/>
    <w:rsid w:val="00932DDC"/>
    <w:rsid w:val="00933AF8"/>
    <w:rsid w:val="00933D6E"/>
    <w:rsid w:val="00934009"/>
    <w:rsid w:val="009340A9"/>
    <w:rsid w:val="009342F8"/>
    <w:rsid w:val="00934B57"/>
    <w:rsid w:val="0093512A"/>
    <w:rsid w:val="009354B5"/>
    <w:rsid w:val="009355B2"/>
    <w:rsid w:val="00935ED4"/>
    <w:rsid w:val="0093642E"/>
    <w:rsid w:val="009367E4"/>
    <w:rsid w:val="00936A0D"/>
    <w:rsid w:val="00936A2C"/>
    <w:rsid w:val="00936A39"/>
    <w:rsid w:val="00936C02"/>
    <w:rsid w:val="00936FC1"/>
    <w:rsid w:val="00937CA3"/>
    <w:rsid w:val="00937F2B"/>
    <w:rsid w:val="00940072"/>
    <w:rsid w:val="009409F2"/>
    <w:rsid w:val="0094115F"/>
    <w:rsid w:val="00941424"/>
    <w:rsid w:val="0094172C"/>
    <w:rsid w:val="00941BED"/>
    <w:rsid w:val="00942666"/>
    <w:rsid w:val="009433A9"/>
    <w:rsid w:val="00943733"/>
    <w:rsid w:val="00943F22"/>
    <w:rsid w:val="00943F62"/>
    <w:rsid w:val="00944182"/>
    <w:rsid w:val="00945398"/>
    <w:rsid w:val="00945A36"/>
    <w:rsid w:val="00946ABA"/>
    <w:rsid w:val="00946DD3"/>
    <w:rsid w:val="009470F0"/>
    <w:rsid w:val="009474A8"/>
    <w:rsid w:val="00947CE8"/>
    <w:rsid w:val="00950B57"/>
    <w:rsid w:val="00950D30"/>
    <w:rsid w:val="0095154B"/>
    <w:rsid w:val="0095166C"/>
    <w:rsid w:val="009520F3"/>
    <w:rsid w:val="0095242D"/>
    <w:rsid w:val="00952B75"/>
    <w:rsid w:val="00952FA5"/>
    <w:rsid w:val="00953347"/>
    <w:rsid w:val="009536A9"/>
    <w:rsid w:val="00953727"/>
    <w:rsid w:val="00953DD7"/>
    <w:rsid w:val="0095489A"/>
    <w:rsid w:val="00954E94"/>
    <w:rsid w:val="00955102"/>
    <w:rsid w:val="0095617C"/>
    <w:rsid w:val="00956307"/>
    <w:rsid w:val="009563E2"/>
    <w:rsid w:val="00956E46"/>
    <w:rsid w:val="009570AA"/>
    <w:rsid w:val="0096012C"/>
    <w:rsid w:val="00960577"/>
    <w:rsid w:val="00960A9E"/>
    <w:rsid w:val="0096162E"/>
    <w:rsid w:val="00961D2E"/>
    <w:rsid w:val="00962865"/>
    <w:rsid w:val="00962EB5"/>
    <w:rsid w:val="00964143"/>
    <w:rsid w:val="009649AA"/>
    <w:rsid w:val="00965896"/>
    <w:rsid w:val="00965927"/>
    <w:rsid w:val="00965A9A"/>
    <w:rsid w:val="00965E09"/>
    <w:rsid w:val="00966040"/>
    <w:rsid w:val="0096612B"/>
    <w:rsid w:val="009671C1"/>
    <w:rsid w:val="0096796E"/>
    <w:rsid w:val="00967BD6"/>
    <w:rsid w:val="00967DDB"/>
    <w:rsid w:val="009701B2"/>
    <w:rsid w:val="0097031F"/>
    <w:rsid w:val="00970331"/>
    <w:rsid w:val="00970AD1"/>
    <w:rsid w:val="0097165B"/>
    <w:rsid w:val="00971712"/>
    <w:rsid w:val="00971A44"/>
    <w:rsid w:val="00972A4A"/>
    <w:rsid w:val="00972D7C"/>
    <w:rsid w:val="0097370F"/>
    <w:rsid w:val="009742DC"/>
    <w:rsid w:val="00974AE5"/>
    <w:rsid w:val="00974BE5"/>
    <w:rsid w:val="00975081"/>
    <w:rsid w:val="0097525E"/>
    <w:rsid w:val="00975496"/>
    <w:rsid w:val="0097559D"/>
    <w:rsid w:val="00975B6B"/>
    <w:rsid w:val="00976038"/>
    <w:rsid w:val="009769EE"/>
    <w:rsid w:val="0097767A"/>
    <w:rsid w:val="009779B9"/>
    <w:rsid w:val="00977D36"/>
    <w:rsid w:val="00980041"/>
    <w:rsid w:val="00980637"/>
    <w:rsid w:val="00980642"/>
    <w:rsid w:val="00980FD4"/>
    <w:rsid w:val="00981930"/>
    <w:rsid w:val="00981E82"/>
    <w:rsid w:val="00984339"/>
    <w:rsid w:val="00984C58"/>
    <w:rsid w:val="00984CFB"/>
    <w:rsid w:val="009851CD"/>
    <w:rsid w:val="009853B5"/>
    <w:rsid w:val="0098597A"/>
    <w:rsid w:val="00985C1C"/>
    <w:rsid w:val="00985EC6"/>
    <w:rsid w:val="0098628B"/>
    <w:rsid w:val="00986591"/>
    <w:rsid w:val="00986693"/>
    <w:rsid w:val="00986892"/>
    <w:rsid w:val="00986E8D"/>
    <w:rsid w:val="00986F80"/>
    <w:rsid w:val="00987146"/>
    <w:rsid w:val="0098766D"/>
    <w:rsid w:val="00987797"/>
    <w:rsid w:val="00987850"/>
    <w:rsid w:val="00987CCD"/>
    <w:rsid w:val="00987D05"/>
    <w:rsid w:val="0099028F"/>
    <w:rsid w:val="00990376"/>
    <w:rsid w:val="0099069C"/>
    <w:rsid w:val="009907F4"/>
    <w:rsid w:val="00990B38"/>
    <w:rsid w:val="009913F8"/>
    <w:rsid w:val="0099154E"/>
    <w:rsid w:val="00991649"/>
    <w:rsid w:val="00991915"/>
    <w:rsid w:val="00991923"/>
    <w:rsid w:val="00992A1B"/>
    <w:rsid w:val="00992A77"/>
    <w:rsid w:val="00992F44"/>
    <w:rsid w:val="0099351C"/>
    <w:rsid w:val="00994544"/>
    <w:rsid w:val="00994B06"/>
    <w:rsid w:val="00994DBC"/>
    <w:rsid w:val="00995763"/>
    <w:rsid w:val="0099578F"/>
    <w:rsid w:val="00995BD6"/>
    <w:rsid w:val="00995C7E"/>
    <w:rsid w:val="0099631D"/>
    <w:rsid w:val="00996668"/>
    <w:rsid w:val="00996CC4"/>
    <w:rsid w:val="0099700A"/>
    <w:rsid w:val="009976BD"/>
    <w:rsid w:val="00997AC6"/>
    <w:rsid w:val="00997E24"/>
    <w:rsid w:val="009A01C8"/>
    <w:rsid w:val="009A0462"/>
    <w:rsid w:val="009A0A8D"/>
    <w:rsid w:val="009A0F23"/>
    <w:rsid w:val="009A1F27"/>
    <w:rsid w:val="009A24E9"/>
    <w:rsid w:val="009A2664"/>
    <w:rsid w:val="009A3254"/>
    <w:rsid w:val="009A3459"/>
    <w:rsid w:val="009A3897"/>
    <w:rsid w:val="009A38FD"/>
    <w:rsid w:val="009A3C56"/>
    <w:rsid w:val="009A47E3"/>
    <w:rsid w:val="009A4ED4"/>
    <w:rsid w:val="009A5969"/>
    <w:rsid w:val="009A5F05"/>
    <w:rsid w:val="009A5FC4"/>
    <w:rsid w:val="009A600F"/>
    <w:rsid w:val="009A65E7"/>
    <w:rsid w:val="009A71BE"/>
    <w:rsid w:val="009A720A"/>
    <w:rsid w:val="009A728B"/>
    <w:rsid w:val="009A736D"/>
    <w:rsid w:val="009A77A6"/>
    <w:rsid w:val="009A7D2C"/>
    <w:rsid w:val="009A7D44"/>
    <w:rsid w:val="009B06B2"/>
    <w:rsid w:val="009B0897"/>
    <w:rsid w:val="009B094F"/>
    <w:rsid w:val="009B112C"/>
    <w:rsid w:val="009B137D"/>
    <w:rsid w:val="009B141F"/>
    <w:rsid w:val="009B15E8"/>
    <w:rsid w:val="009B1AEF"/>
    <w:rsid w:val="009B22DD"/>
    <w:rsid w:val="009B2377"/>
    <w:rsid w:val="009B2A2D"/>
    <w:rsid w:val="009B2B50"/>
    <w:rsid w:val="009B2C39"/>
    <w:rsid w:val="009B2CA9"/>
    <w:rsid w:val="009B2F72"/>
    <w:rsid w:val="009B3CB3"/>
    <w:rsid w:val="009B3F26"/>
    <w:rsid w:val="009B5279"/>
    <w:rsid w:val="009B5283"/>
    <w:rsid w:val="009B531E"/>
    <w:rsid w:val="009B53CC"/>
    <w:rsid w:val="009B5553"/>
    <w:rsid w:val="009B68AF"/>
    <w:rsid w:val="009B7797"/>
    <w:rsid w:val="009C0368"/>
    <w:rsid w:val="009C08DB"/>
    <w:rsid w:val="009C094D"/>
    <w:rsid w:val="009C10DF"/>
    <w:rsid w:val="009C11B4"/>
    <w:rsid w:val="009C11BC"/>
    <w:rsid w:val="009C11FD"/>
    <w:rsid w:val="009C12EC"/>
    <w:rsid w:val="009C1D0E"/>
    <w:rsid w:val="009C1F57"/>
    <w:rsid w:val="009C2079"/>
    <w:rsid w:val="009C37CC"/>
    <w:rsid w:val="009C423A"/>
    <w:rsid w:val="009C429A"/>
    <w:rsid w:val="009C4FB6"/>
    <w:rsid w:val="009C51FE"/>
    <w:rsid w:val="009C5C9F"/>
    <w:rsid w:val="009C618A"/>
    <w:rsid w:val="009C67E3"/>
    <w:rsid w:val="009C7416"/>
    <w:rsid w:val="009C7A12"/>
    <w:rsid w:val="009C7E08"/>
    <w:rsid w:val="009C7E46"/>
    <w:rsid w:val="009D066C"/>
    <w:rsid w:val="009D080E"/>
    <w:rsid w:val="009D089E"/>
    <w:rsid w:val="009D0F1F"/>
    <w:rsid w:val="009D10A4"/>
    <w:rsid w:val="009D14F2"/>
    <w:rsid w:val="009D1732"/>
    <w:rsid w:val="009D2136"/>
    <w:rsid w:val="009D2D0E"/>
    <w:rsid w:val="009D2F24"/>
    <w:rsid w:val="009D345E"/>
    <w:rsid w:val="009D398A"/>
    <w:rsid w:val="009D4542"/>
    <w:rsid w:val="009D5208"/>
    <w:rsid w:val="009D5E13"/>
    <w:rsid w:val="009D5FDB"/>
    <w:rsid w:val="009D6BBE"/>
    <w:rsid w:val="009D7026"/>
    <w:rsid w:val="009D738A"/>
    <w:rsid w:val="009D7463"/>
    <w:rsid w:val="009E0561"/>
    <w:rsid w:val="009E06C4"/>
    <w:rsid w:val="009E0763"/>
    <w:rsid w:val="009E0E62"/>
    <w:rsid w:val="009E146E"/>
    <w:rsid w:val="009E1845"/>
    <w:rsid w:val="009E2746"/>
    <w:rsid w:val="009E2C3F"/>
    <w:rsid w:val="009E2E0E"/>
    <w:rsid w:val="009E3019"/>
    <w:rsid w:val="009E30E0"/>
    <w:rsid w:val="009E3750"/>
    <w:rsid w:val="009E3B65"/>
    <w:rsid w:val="009E417F"/>
    <w:rsid w:val="009E6475"/>
    <w:rsid w:val="009E674F"/>
    <w:rsid w:val="009E6D95"/>
    <w:rsid w:val="009E785A"/>
    <w:rsid w:val="009E7968"/>
    <w:rsid w:val="009F005F"/>
    <w:rsid w:val="009F020C"/>
    <w:rsid w:val="009F166C"/>
    <w:rsid w:val="009F2232"/>
    <w:rsid w:val="009F36CA"/>
    <w:rsid w:val="009F39B3"/>
    <w:rsid w:val="009F3A48"/>
    <w:rsid w:val="009F3ABB"/>
    <w:rsid w:val="009F3E0D"/>
    <w:rsid w:val="009F4115"/>
    <w:rsid w:val="009F41D5"/>
    <w:rsid w:val="009F550E"/>
    <w:rsid w:val="009F599C"/>
    <w:rsid w:val="009F62A2"/>
    <w:rsid w:val="009F6315"/>
    <w:rsid w:val="009F640A"/>
    <w:rsid w:val="009F7AC9"/>
    <w:rsid w:val="009F7FDD"/>
    <w:rsid w:val="00A00008"/>
    <w:rsid w:val="00A00EFB"/>
    <w:rsid w:val="00A00F17"/>
    <w:rsid w:val="00A01182"/>
    <w:rsid w:val="00A029B1"/>
    <w:rsid w:val="00A029F5"/>
    <w:rsid w:val="00A02AD0"/>
    <w:rsid w:val="00A02CE2"/>
    <w:rsid w:val="00A043A9"/>
    <w:rsid w:val="00A04758"/>
    <w:rsid w:val="00A0525C"/>
    <w:rsid w:val="00A06275"/>
    <w:rsid w:val="00A06701"/>
    <w:rsid w:val="00A0695B"/>
    <w:rsid w:val="00A07127"/>
    <w:rsid w:val="00A10D37"/>
    <w:rsid w:val="00A114C1"/>
    <w:rsid w:val="00A11712"/>
    <w:rsid w:val="00A11D42"/>
    <w:rsid w:val="00A12A3B"/>
    <w:rsid w:val="00A133BC"/>
    <w:rsid w:val="00A13EDF"/>
    <w:rsid w:val="00A13F39"/>
    <w:rsid w:val="00A14155"/>
    <w:rsid w:val="00A1465E"/>
    <w:rsid w:val="00A148B3"/>
    <w:rsid w:val="00A15673"/>
    <w:rsid w:val="00A1580E"/>
    <w:rsid w:val="00A15E65"/>
    <w:rsid w:val="00A16239"/>
    <w:rsid w:val="00A169ED"/>
    <w:rsid w:val="00A17069"/>
    <w:rsid w:val="00A17256"/>
    <w:rsid w:val="00A1789E"/>
    <w:rsid w:val="00A178AD"/>
    <w:rsid w:val="00A20716"/>
    <w:rsid w:val="00A20D91"/>
    <w:rsid w:val="00A210C4"/>
    <w:rsid w:val="00A21F55"/>
    <w:rsid w:val="00A22379"/>
    <w:rsid w:val="00A22441"/>
    <w:rsid w:val="00A228F6"/>
    <w:rsid w:val="00A22F22"/>
    <w:rsid w:val="00A23957"/>
    <w:rsid w:val="00A25934"/>
    <w:rsid w:val="00A25CB2"/>
    <w:rsid w:val="00A25D68"/>
    <w:rsid w:val="00A26824"/>
    <w:rsid w:val="00A274F2"/>
    <w:rsid w:val="00A30131"/>
    <w:rsid w:val="00A30236"/>
    <w:rsid w:val="00A305CB"/>
    <w:rsid w:val="00A308E7"/>
    <w:rsid w:val="00A30CC0"/>
    <w:rsid w:val="00A31274"/>
    <w:rsid w:val="00A316CB"/>
    <w:rsid w:val="00A31DFB"/>
    <w:rsid w:val="00A32097"/>
    <w:rsid w:val="00A32266"/>
    <w:rsid w:val="00A32419"/>
    <w:rsid w:val="00A32689"/>
    <w:rsid w:val="00A32709"/>
    <w:rsid w:val="00A32747"/>
    <w:rsid w:val="00A33018"/>
    <w:rsid w:val="00A33060"/>
    <w:rsid w:val="00A344B0"/>
    <w:rsid w:val="00A35C95"/>
    <w:rsid w:val="00A3665E"/>
    <w:rsid w:val="00A36B7F"/>
    <w:rsid w:val="00A36C91"/>
    <w:rsid w:val="00A36C98"/>
    <w:rsid w:val="00A36CC6"/>
    <w:rsid w:val="00A374F8"/>
    <w:rsid w:val="00A37984"/>
    <w:rsid w:val="00A379B6"/>
    <w:rsid w:val="00A37A18"/>
    <w:rsid w:val="00A40474"/>
    <w:rsid w:val="00A4061D"/>
    <w:rsid w:val="00A4171F"/>
    <w:rsid w:val="00A41D24"/>
    <w:rsid w:val="00A420EE"/>
    <w:rsid w:val="00A42426"/>
    <w:rsid w:val="00A42713"/>
    <w:rsid w:val="00A429C9"/>
    <w:rsid w:val="00A42C6B"/>
    <w:rsid w:val="00A42CD8"/>
    <w:rsid w:val="00A43292"/>
    <w:rsid w:val="00A43B36"/>
    <w:rsid w:val="00A43C51"/>
    <w:rsid w:val="00A44398"/>
    <w:rsid w:val="00A44DFD"/>
    <w:rsid w:val="00A4513E"/>
    <w:rsid w:val="00A4621C"/>
    <w:rsid w:val="00A476A6"/>
    <w:rsid w:val="00A47894"/>
    <w:rsid w:val="00A47F15"/>
    <w:rsid w:val="00A50701"/>
    <w:rsid w:val="00A5084A"/>
    <w:rsid w:val="00A50D54"/>
    <w:rsid w:val="00A51038"/>
    <w:rsid w:val="00A510A6"/>
    <w:rsid w:val="00A5118E"/>
    <w:rsid w:val="00A5183A"/>
    <w:rsid w:val="00A51AD4"/>
    <w:rsid w:val="00A51E89"/>
    <w:rsid w:val="00A52007"/>
    <w:rsid w:val="00A520C9"/>
    <w:rsid w:val="00A52145"/>
    <w:rsid w:val="00A524FA"/>
    <w:rsid w:val="00A52869"/>
    <w:rsid w:val="00A52CAB"/>
    <w:rsid w:val="00A5348C"/>
    <w:rsid w:val="00A534AB"/>
    <w:rsid w:val="00A5475A"/>
    <w:rsid w:val="00A54A80"/>
    <w:rsid w:val="00A54D69"/>
    <w:rsid w:val="00A54FC8"/>
    <w:rsid w:val="00A55472"/>
    <w:rsid w:val="00A55D92"/>
    <w:rsid w:val="00A56C29"/>
    <w:rsid w:val="00A56EAE"/>
    <w:rsid w:val="00A56F4C"/>
    <w:rsid w:val="00A578C7"/>
    <w:rsid w:val="00A57B21"/>
    <w:rsid w:val="00A57B46"/>
    <w:rsid w:val="00A60577"/>
    <w:rsid w:val="00A6113F"/>
    <w:rsid w:val="00A61327"/>
    <w:rsid w:val="00A61D5D"/>
    <w:rsid w:val="00A61DE3"/>
    <w:rsid w:val="00A625E6"/>
    <w:rsid w:val="00A62B6D"/>
    <w:rsid w:val="00A6351F"/>
    <w:rsid w:val="00A63591"/>
    <w:rsid w:val="00A63726"/>
    <w:rsid w:val="00A63772"/>
    <w:rsid w:val="00A63776"/>
    <w:rsid w:val="00A63BFA"/>
    <w:rsid w:val="00A63C4F"/>
    <w:rsid w:val="00A63CFE"/>
    <w:rsid w:val="00A65113"/>
    <w:rsid w:val="00A65666"/>
    <w:rsid w:val="00A65D2D"/>
    <w:rsid w:val="00A66281"/>
    <w:rsid w:val="00A670A3"/>
    <w:rsid w:val="00A67464"/>
    <w:rsid w:val="00A675DC"/>
    <w:rsid w:val="00A67ACA"/>
    <w:rsid w:val="00A702E9"/>
    <w:rsid w:val="00A709EA"/>
    <w:rsid w:val="00A723DA"/>
    <w:rsid w:val="00A72560"/>
    <w:rsid w:val="00A72C92"/>
    <w:rsid w:val="00A73C3D"/>
    <w:rsid w:val="00A73D27"/>
    <w:rsid w:val="00A73E14"/>
    <w:rsid w:val="00A74CC9"/>
    <w:rsid w:val="00A74F4C"/>
    <w:rsid w:val="00A75327"/>
    <w:rsid w:val="00A755E9"/>
    <w:rsid w:val="00A7568D"/>
    <w:rsid w:val="00A75B05"/>
    <w:rsid w:val="00A75B28"/>
    <w:rsid w:val="00A75D4C"/>
    <w:rsid w:val="00A7643C"/>
    <w:rsid w:val="00A764B6"/>
    <w:rsid w:val="00A7667B"/>
    <w:rsid w:val="00A77AF1"/>
    <w:rsid w:val="00A77B71"/>
    <w:rsid w:val="00A801A7"/>
    <w:rsid w:val="00A80A4F"/>
    <w:rsid w:val="00A80E68"/>
    <w:rsid w:val="00A8106D"/>
    <w:rsid w:val="00A81F33"/>
    <w:rsid w:val="00A81FA6"/>
    <w:rsid w:val="00A8277E"/>
    <w:rsid w:val="00A834B2"/>
    <w:rsid w:val="00A84370"/>
    <w:rsid w:val="00A8449C"/>
    <w:rsid w:val="00A84C63"/>
    <w:rsid w:val="00A84E06"/>
    <w:rsid w:val="00A857CA"/>
    <w:rsid w:val="00A8580F"/>
    <w:rsid w:val="00A86A95"/>
    <w:rsid w:val="00A86F19"/>
    <w:rsid w:val="00A870FC"/>
    <w:rsid w:val="00A8747B"/>
    <w:rsid w:val="00A8756C"/>
    <w:rsid w:val="00A914C1"/>
    <w:rsid w:val="00A91E04"/>
    <w:rsid w:val="00A91F4D"/>
    <w:rsid w:val="00A92C13"/>
    <w:rsid w:val="00A92CD4"/>
    <w:rsid w:val="00A93602"/>
    <w:rsid w:val="00A9400E"/>
    <w:rsid w:val="00A94454"/>
    <w:rsid w:val="00A94618"/>
    <w:rsid w:val="00A955B9"/>
    <w:rsid w:val="00A95A99"/>
    <w:rsid w:val="00A96538"/>
    <w:rsid w:val="00A96FCF"/>
    <w:rsid w:val="00A97A7C"/>
    <w:rsid w:val="00A97BC4"/>
    <w:rsid w:val="00A97FB6"/>
    <w:rsid w:val="00AA018E"/>
    <w:rsid w:val="00AA05F7"/>
    <w:rsid w:val="00AA1667"/>
    <w:rsid w:val="00AA1799"/>
    <w:rsid w:val="00AA3281"/>
    <w:rsid w:val="00AA3AEB"/>
    <w:rsid w:val="00AA3B6D"/>
    <w:rsid w:val="00AA3C5A"/>
    <w:rsid w:val="00AA3E24"/>
    <w:rsid w:val="00AA408B"/>
    <w:rsid w:val="00AA43F5"/>
    <w:rsid w:val="00AA46E9"/>
    <w:rsid w:val="00AA5E13"/>
    <w:rsid w:val="00AA6264"/>
    <w:rsid w:val="00AA6FB2"/>
    <w:rsid w:val="00AA75F4"/>
    <w:rsid w:val="00AB0171"/>
    <w:rsid w:val="00AB01B7"/>
    <w:rsid w:val="00AB0677"/>
    <w:rsid w:val="00AB08E7"/>
    <w:rsid w:val="00AB10E1"/>
    <w:rsid w:val="00AB2420"/>
    <w:rsid w:val="00AB2842"/>
    <w:rsid w:val="00AB2C50"/>
    <w:rsid w:val="00AB2D39"/>
    <w:rsid w:val="00AB3C00"/>
    <w:rsid w:val="00AB460F"/>
    <w:rsid w:val="00AB4617"/>
    <w:rsid w:val="00AB4931"/>
    <w:rsid w:val="00AB4D7A"/>
    <w:rsid w:val="00AB5900"/>
    <w:rsid w:val="00AB5BBB"/>
    <w:rsid w:val="00AB6060"/>
    <w:rsid w:val="00AB6C5A"/>
    <w:rsid w:val="00AB6DD7"/>
    <w:rsid w:val="00AB7304"/>
    <w:rsid w:val="00AC0012"/>
    <w:rsid w:val="00AC011A"/>
    <w:rsid w:val="00AC02F6"/>
    <w:rsid w:val="00AC09E8"/>
    <w:rsid w:val="00AC0D36"/>
    <w:rsid w:val="00AC0EC6"/>
    <w:rsid w:val="00AC2613"/>
    <w:rsid w:val="00AC2F13"/>
    <w:rsid w:val="00AC2F2E"/>
    <w:rsid w:val="00AC3018"/>
    <w:rsid w:val="00AC3211"/>
    <w:rsid w:val="00AC3513"/>
    <w:rsid w:val="00AC449C"/>
    <w:rsid w:val="00AC5CC1"/>
    <w:rsid w:val="00AC5EFC"/>
    <w:rsid w:val="00AC6064"/>
    <w:rsid w:val="00AC6EEA"/>
    <w:rsid w:val="00AC70D7"/>
    <w:rsid w:val="00AC7278"/>
    <w:rsid w:val="00AC7311"/>
    <w:rsid w:val="00AD01E8"/>
    <w:rsid w:val="00AD07BE"/>
    <w:rsid w:val="00AD0B57"/>
    <w:rsid w:val="00AD1423"/>
    <w:rsid w:val="00AD1F8A"/>
    <w:rsid w:val="00AD21F1"/>
    <w:rsid w:val="00AD30E2"/>
    <w:rsid w:val="00AD36E3"/>
    <w:rsid w:val="00AD41A1"/>
    <w:rsid w:val="00AD467D"/>
    <w:rsid w:val="00AD478C"/>
    <w:rsid w:val="00AD6066"/>
    <w:rsid w:val="00AD6603"/>
    <w:rsid w:val="00AD762A"/>
    <w:rsid w:val="00AE0695"/>
    <w:rsid w:val="00AE0CD2"/>
    <w:rsid w:val="00AE14B1"/>
    <w:rsid w:val="00AE1B42"/>
    <w:rsid w:val="00AE1B45"/>
    <w:rsid w:val="00AE2366"/>
    <w:rsid w:val="00AE26AE"/>
    <w:rsid w:val="00AE277D"/>
    <w:rsid w:val="00AE29FA"/>
    <w:rsid w:val="00AE2B46"/>
    <w:rsid w:val="00AE3076"/>
    <w:rsid w:val="00AE3289"/>
    <w:rsid w:val="00AE38B5"/>
    <w:rsid w:val="00AE3CEA"/>
    <w:rsid w:val="00AE42FE"/>
    <w:rsid w:val="00AE565A"/>
    <w:rsid w:val="00AE56C5"/>
    <w:rsid w:val="00AE5731"/>
    <w:rsid w:val="00AE5F03"/>
    <w:rsid w:val="00AE638B"/>
    <w:rsid w:val="00AE695E"/>
    <w:rsid w:val="00AE6F39"/>
    <w:rsid w:val="00AE7B46"/>
    <w:rsid w:val="00AE7E50"/>
    <w:rsid w:val="00AF1034"/>
    <w:rsid w:val="00AF1562"/>
    <w:rsid w:val="00AF15E7"/>
    <w:rsid w:val="00AF194D"/>
    <w:rsid w:val="00AF1A39"/>
    <w:rsid w:val="00AF2415"/>
    <w:rsid w:val="00AF28EB"/>
    <w:rsid w:val="00AF2E51"/>
    <w:rsid w:val="00AF30A4"/>
    <w:rsid w:val="00AF311A"/>
    <w:rsid w:val="00AF419B"/>
    <w:rsid w:val="00AF4517"/>
    <w:rsid w:val="00AF46AE"/>
    <w:rsid w:val="00AF4E2E"/>
    <w:rsid w:val="00AF5C43"/>
    <w:rsid w:val="00AF63FA"/>
    <w:rsid w:val="00AF6E15"/>
    <w:rsid w:val="00AF744A"/>
    <w:rsid w:val="00AF75E2"/>
    <w:rsid w:val="00AF79FC"/>
    <w:rsid w:val="00AF7A1A"/>
    <w:rsid w:val="00AF7AB8"/>
    <w:rsid w:val="00B0048F"/>
    <w:rsid w:val="00B01094"/>
    <w:rsid w:val="00B01492"/>
    <w:rsid w:val="00B01FCE"/>
    <w:rsid w:val="00B02199"/>
    <w:rsid w:val="00B02343"/>
    <w:rsid w:val="00B02AE2"/>
    <w:rsid w:val="00B0349B"/>
    <w:rsid w:val="00B04F86"/>
    <w:rsid w:val="00B0525E"/>
    <w:rsid w:val="00B059D1"/>
    <w:rsid w:val="00B05DFF"/>
    <w:rsid w:val="00B074BC"/>
    <w:rsid w:val="00B07660"/>
    <w:rsid w:val="00B0796E"/>
    <w:rsid w:val="00B07DA4"/>
    <w:rsid w:val="00B07E8C"/>
    <w:rsid w:val="00B10474"/>
    <w:rsid w:val="00B10781"/>
    <w:rsid w:val="00B10A3C"/>
    <w:rsid w:val="00B1220D"/>
    <w:rsid w:val="00B12420"/>
    <w:rsid w:val="00B128FD"/>
    <w:rsid w:val="00B12C55"/>
    <w:rsid w:val="00B13405"/>
    <w:rsid w:val="00B135F7"/>
    <w:rsid w:val="00B13B60"/>
    <w:rsid w:val="00B13C8B"/>
    <w:rsid w:val="00B142AB"/>
    <w:rsid w:val="00B144BE"/>
    <w:rsid w:val="00B14794"/>
    <w:rsid w:val="00B14A3B"/>
    <w:rsid w:val="00B151C2"/>
    <w:rsid w:val="00B1648B"/>
    <w:rsid w:val="00B16F09"/>
    <w:rsid w:val="00B16FC4"/>
    <w:rsid w:val="00B17823"/>
    <w:rsid w:val="00B17F33"/>
    <w:rsid w:val="00B20312"/>
    <w:rsid w:val="00B21A53"/>
    <w:rsid w:val="00B22681"/>
    <w:rsid w:val="00B2326A"/>
    <w:rsid w:val="00B23A22"/>
    <w:rsid w:val="00B23B0F"/>
    <w:rsid w:val="00B23CFC"/>
    <w:rsid w:val="00B24323"/>
    <w:rsid w:val="00B24A47"/>
    <w:rsid w:val="00B24A80"/>
    <w:rsid w:val="00B24D81"/>
    <w:rsid w:val="00B2579B"/>
    <w:rsid w:val="00B258FD"/>
    <w:rsid w:val="00B25A60"/>
    <w:rsid w:val="00B25CCE"/>
    <w:rsid w:val="00B26024"/>
    <w:rsid w:val="00B262D7"/>
    <w:rsid w:val="00B266B8"/>
    <w:rsid w:val="00B26978"/>
    <w:rsid w:val="00B26992"/>
    <w:rsid w:val="00B26AEF"/>
    <w:rsid w:val="00B26C63"/>
    <w:rsid w:val="00B26E5B"/>
    <w:rsid w:val="00B26F80"/>
    <w:rsid w:val="00B277C1"/>
    <w:rsid w:val="00B27D6E"/>
    <w:rsid w:val="00B3038B"/>
    <w:rsid w:val="00B30A1F"/>
    <w:rsid w:val="00B30D46"/>
    <w:rsid w:val="00B30E69"/>
    <w:rsid w:val="00B314C8"/>
    <w:rsid w:val="00B31DA3"/>
    <w:rsid w:val="00B32118"/>
    <w:rsid w:val="00B32122"/>
    <w:rsid w:val="00B32A32"/>
    <w:rsid w:val="00B33931"/>
    <w:rsid w:val="00B33C70"/>
    <w:rsid w:val="00B3429C"/>
    <w:rsid w:val="00B34C8A"/>
    <w:rsid w:val="00B357EE"/>
    <w:rsid w:val="00B3581D"/>
    <w:rsid w:val="00B35A3E"/>
    <w:rsid w:val="00B35CFF"/>
    <w:rsid w:val="00B3663C"/>
    <w:rsid w:val="00B3672B"/>
    <w:rsid w:val="00B36AD6"/>
    <w:rsid w:val="00B36BCA"/>
    <w:rsid w:val="00B36C59"/>
    <w:rsid w:val="00B36CF5"/>
    <w:rsid w:val="00B375B5"/>
    <w:rsid w:val="00B40049"/>
    <w:rsid w:val="00B41799"/>
    <w:rsid w:val="00B41931"/>
    <w:rsid w:val="00B41ED4"/>
    <w:rsid w:val="00B42AE0"/>
    <w:rsid w:val="00B43631"/>
    <w:rsid w:val="00B4369A"/>
    <w:rsid w:val="00B44384"/>
    <w:rsid w:val="00B444FA"/>
    <w:rsid w:val="00B451BB"/>
    <w:rsid w:val="00B454B0"/>
    <w:rsid w:val="00B46010"/>
    <w:rsid w:val="00B46977"/>
    <w:rsid w:val="00B502FD"/>
    <w:rsid w:val="00B504C0"/>
    <w:rsid w:val="00B509BC"/>
    <w:rsid w:val="00B50D75"/>
    <w:rsid w:val="00B52602"/>
    <w:rsid w:val="00B52D41"/>
    <w:rsid w:val="00B52E3D"/>
    <w:rsid w:val="00B52F94"/>
    <w:rsid w:val="00B52FEF"/>
    <w:rsid w:val="00B53BA6"/>
    <w:rsid w:val="00B54785"/>
    <w:rsid w:val="00B54AFA"/>
    <w:rsid w:val="00B55379"/>
    <w:rsid w:val="00B5581D"/>
    <w:rsid w:val="00B5596C"/>
    <w:rsid w:val="00B55EC6"/>
    <w:rsid w:val="00B560CE"/>
    <w:rsid w:val="00B5618D"/>
    <w:rsid w:val="00B566BC"/>
    <w:rsid w:val="00B56E0E"/>
    <w:rsid w:val="00B5735A"/>
    <w:rsid w:val="00B60102"/>
    <w:rsid w:val="00B60A55"/>
    <w:rsid w:val="00B61045"/>
    <w:rsid w:val="00B61282"/>
    <w:rsid w:val="00B6185B"/>
    <w:rsid w:val="00B62334"/>
    <w:rsid w:val="00B6276C"/>
    <w:rsid w:val="00B64142"/>
    <w:rsid w:val="00B644AD"/>
    <w:rsid w:val="00B64689"/>
    <w:rsid w:val="00B64959"/>
    <w:rsid w:val="00B6502A"/>
    <w:rsid w:val="00B650B1"/>
    <w:rsid w:val="00B65E17"/>
    <w:rsid w:val="00B668B4"/>
    <w:rsid w:val="00B66AB6"/>
    <w:rsid w:val="00B66B73"/>
    <w:rsid w:val="00B6773D"/>
    <w:rsid w:val="00B6785B"/>
    <w:rsid w:val="00B67AE8"/>
    <w:rsid w:val="00B7057E"/>
    <w:rsid w:val="00B70D27"/>
    <w:rsid w:val="00B71260"/>
    <w:rsid w:val="00B716A4"/>
    <w:rsid w:val="00B719BD"/>
    <w:rsid w:val="00B72626"/>
    <w:rsid w:val="00B72E0E"/>
    <w:rsid w:val="00B730D3"/>
    <w:rsid w:val="00B734CC"/>
    <w:rsid w:val="00B73CDB"/>
    <w:rsid w:val="00B73DBD"/>
    <w:rsid w:val="00B745F0"/>
    <w:rsid w:val="00B7490C"/>
    <w:rsid w:val="00B749D0"/>
    <w:rsid w:val="00B74E54"/>
    <w:rsid w:val="00B7520F"/>
    <w:rsid w:val="00B75922"/>
    <w:rsid w:val="00B75C2A"/>
    <w:rsid w:val="00B7670D"/>
    <w:rsid w:val="00B76A5C"/>
    <w:rsid w:val="00B76ADE"/>
    <w:rsid w:val="00B76C48"/>
    <w:rsid w:val="00B77253"/>
    <w:rsid w:val="00B77424"/>
    <w:rsid w:val="00B77EF0"/>
    <w:rsid w:val="00B80185"/>
    <w:rsid w:val="00B805C6"/>
    <w:rsid w:val="00B80991"/>
    <w:rsid w:val="00B80D47"/>
    <w:rsid w:val="00B811C6"/>
    <w:rsid w:val="00B8150A"/>
    <w:rsid w:val="00B825D2"/>
    <w:rsid w:val="00B8345A"/>
    <w:rsid w:val="00B83F97"/>
    <w:rsid w:val="00B84A9F"/>
    <w:rsid w:val="00B84CB4"/>
    <w:rsid w:val="00B84CC7"/>
    <w:rsid w:val="00B84DB1"/>
    <w:rsid w:val="00B84F33"/>
    <w:rsid w:val="00B850EF"/>
    <w:rsid w:val="00B852A2"/>
    <w:rsid w:val="00B85AF8"/>
    <w:rsid w:val="00B85BEA"/>
    <w:rsid w:val="00B85CA7"/>
    <w:rsid w:val="00B863BF"/>
    <w:rsid w:val="00B86ED6"/>
    <w:rsid w:val="00B86FB8"/>
    <w:rsid w:val="00B870C0"/>
    <w:rsid w:val="00B879AA"/>
    <w:rsid w:val="00B87B4C"/>
    <w:rsid w:val="00B90509"/>
    <w:rsid w:val="00B90F3F"/>
    <w:rsid w:val="00B913B3"/>
    <w:rsid w:val="00B91483"/>
    <w:rsid w:val="00B9170E"/>
    <w:rsid w:val="00B92CEA"/>
    <w:rsid w:val="00B92D80"/>
    <w:rsid w:val="00B92FDA"/>
    <w:rsid w:val="00B939C1"/>
    <w:rsid w:val="00B95067"/>
    <w:rsid w:val="00B95464"/>
    <w:rsid w:val="00B9572F"/>
    <w:rsid w:val="00B962A0"/>
    <w:rsid w:val="00B966AC"/>
    <w:rsid w:val="00B96B1F"/>
    <w:rsid w:val="00B97980"/>
    <w:rsid w:val="00BA0A36"/>
    <w:rsid w:val="00BA0B47"/>
    <w:rsid w:val="00BA0F85"/>
    <w:rsid w:val="00BA1975"/>
    <w:rsid w:val="00BA1A05"/>
    <w:rsid w:val="00BA21D1"/>
    <w:rsid w:val="00BA3144"/>
    <w:rsid w:val="00BA3AFC"/>
    <w:rsid w:val="00BA3D8E"/>
    <w:rsid w:val="00BA3F2C"/>
    <w:rsid w:val="00BA4C03"/>
    <w:rsid w:val="00BA52D0"/>
    <w:rsid w:val="00BA5A95"/>
    <w:rsid w:val="00BA5C1E"/>
    <w:rsid w:val="00BA5C74"/>
    <w:rsid w:val="00BA5D5D"/>
    <w:rsid w:val="00BA5D9D"/>
    <w:rsid w:val="00BA6685"/>
    <w:rsid w:val="00BA7929"/>
    <w:rsid w:val="00BA7BEE"/>
    <w:rsid w:val="00BB0354"/>
    <w:rsid w:val="00BB0426"/>
    <w:rsid w:val="00BB1027"/>
    <w:rsid w:val="00BB10B6"/>
    <w:rsid w:val="00BB10EB"/>
    <w:rsid w:val="00BB1368"/>
    <w:rsid w:val="00BB1CAB"/>
    <w:rsid w:val="00BB213E"/>
    <w:rsid w:val="00BB22FA"/>
    <w:rsid w:val="00BB3326"/>
    <w:rsid w:val="00BB3CE2"/>
    <w:rsid w:val="00BB3D2A"/>
    <w:rsid w:val="00BB3FEE"/>
    <w:rsid w:val="00BB4203"/>
    <w:rsid w:val="00BB42A8"/>
    <w:rsid w:val="00BB4BC7"/>
    <w:rsid w:val="00BB53AA"/>
    <w:rsid w:val="00BB6E9B"/>
    <w:rsid w:val="00BB6F37"/>
    <w:rsid w:val="00BB6F41"/>
    <w:rsid w:val="00BB772C"/>
    <w:rsid w:val="00BB794A"/>
    <w:rsid w:val="00BB7D83"/>
    <w:rsid w:val="00BC1972"/>
    <w:rsid w:val="00BC1EB2"/>
    <w:rsid w:val="00BC1EB7"/>
    <w:rsid w:val="00BC2303"/>
    <w:rsid w:val="00BC25C5"/>
    <w:rsid w:val="00BC29B1"/>
    <w:rsid w:val="00BC3149"/>
    <w:rsid w:val="00BC3A44"/>
    <w:rsid w:val="00BC48D6"/>
    <w:rsid w:val="00BC4C2B"/>
    <w:rsid w:val="00BC5970"/>
    <w:rsid w:val="00BC5A6E"/>
    <w:rsid w:val="00BC5EB3"/>
    <w:rsid w:val="00BC614B"/>
    <w:rsid w:val="00BC651C"/>
    <w:rsid w:val="00BC6F17"/>
    <w:rsid w:val="00BC7BD0"/>
    <w:rsid w:val="00BD03F5"/>
    <w:rsid w:val="00BD07F2"/>
    <w:rsid w:val="00BD19F4"/>
    <w:rsid w:val="00BD2A8D"/>
    <w:rsid w:val="00BD3A23"/>
    <w:rsid w:val="00BD414B"/>
    <w:rsid w:val="00BD4288"/>
    <w:rsid w:val="00BD4CF4"/>
    <w:rsid w:val="00BD7395"/>
    <w:rsid w:val="00BD7B41"/>
    <w:rsid w:val="00BD7E90"/>
    <w:rsid w:val="00BD7F95"/>
    <w:rsid w:val="00BD7FD3"/>
    <w:rsid w:val="00BE0124"/>
    <w:rsid w:val="00BE0697"/>
    <w:rsid w:val="00BE0797"/>
    <w:rsid w:val="00BE092F"/>
    <w:rsid w:val="00BE1907"/>
    <w:rsid w:val="00BE1BDE"/>
    <w:rsid w:val="00BE1D48"/>
    <w:rsid w:val="00BE2136"/>
    <w:rsid w:val="00BE31BC"/>
    <w:rsid w:val="00BE3629"/>
    <w:rsid w:val="00BE36CD"/>
    <w:rsid w:val="00BE3860"/>
    <w:rsid w:val="00BE3B7E"/>
    <w:rsid w:val="00BE3C2D"/>
    <w:rsid w:val="00BE3FED"/>
    <w:rsid w:val="00BE4717"/>
    <w:rsid w:val="00BE4B62"/>
    <w:rsid w:val="00BE4FA3"/>
    <w:rsid w:val="00BE6386"/>
    <w:rsid w:val="00BE665A"/>
    <w:rsid w:val="00BE6689"/>
    <w:rsid w:val="00BE6D56"/>
    <w:rsid w:val="00BE7674"/>
    <w:rsid w:val="00BE787F"/>
    <w:rsid w:val="00BE790F"/>
    <w:rsid w:val="00BE7953"/>
    <w:rsid w:val="00BF0259"/>
    <w:rsid w:val="00BF030A"/>
    <w:rsid w:val="00BF109A"/>
    <w:rsid w:val="00BF20DD"/>
    <w:rsid w:val="00BF216A"/>
    <w:rsid w:val="00BF2AAF"/>
    <w:rsid w:val="00BF2E0F"/>
    <w:rsid w:val="00BF2E49"/>
    <w:rsid w:val="00BF3BF0"/>
    <w:rsid w:val="00BF4409"/>
    <w:rsid w:val="00BF484B"/>
    <w:rsid w:val="00BF4C52"/>
    <w:rsid w:val="00BF52D7"/>
    <w:rsid w:val="00BF65EF"/>
    <w:rsid w:val="00BF71EC"/>
    <w:rsid w:val="00BF7767"/>
    <w:rsid w:val="00BF7A0C"/>
    <w:rsid w:val="00BF7E81"/>
    <w:rsid w:val="00C00349"/>
    <w:rsid w:val="00C003CB"/>
    <w:rsid w:val="00C0054C"/>
    <w:rsid w:val="00C0097E"/>
    <w:rsid w:val="00C02483"/>
    <w:rsid w:val="00C02664"/>
    <w:rsid w:val="00C02B1F"/>
    <w:rsid w:val="00C02F1B"/>
    <w:rsid w:val="00C03534"/>
    <w:rsid w:val="00C0376C"/>
    <w:rsid w:val="00C0383D"/>
    <w:rsid w:val="00C03D7A"/>
    <w:rsid w:val="00C0438D"/>
    <w:rsid w:val="00C0465F"/>
    <w:rsid w:val="00C04C06"/>
    <w:rsid w:val="00C05A0F"/>
    <w:rsid w:val="00C05F05"/>
    <w:rsid w:val="00C06A5C"/>
    <w:rsid w:val="00C07DA1"/>
    <w:rsid w:val="00C10773"/>
    <w:rsid w:val="00C111EC"/>
    <w:rsid w:val="00C112E3"/>
    <w:rsid w:val="00C118EB"/>
    <w:rsid w:val="00C11AB2"/>
    <w:rsid w:val="00C11DEA"/>
    <w:rsid w:val="00C12052"/>
    <w:rsid w:val="00C1262C"/>
    <w:rsid w:val="00C12A88"/>
    <w:rsid w:val="00C12C2C"/>
    <w:rsid w:val="00C12C35"/>
    <w:rsid w:val="00C12CC0"/>
    <w:rsid w:val="00C13099"/>
    <w:rsid w:val="00C13264"/>
    <w:rsid w:val="00C13402"/>
    <w:rsid w:val="00C13BB8"/>
    <w:rsid w:val="00C14113"/>
    <w:rsid w:val="00C14216"/>
    <w:rsid w:val="00C142C5"/>
    <w:rsid w:val="00C14637"/>
    <w:rsid w:val="00C14E4B"/>
    <w:rsid w:val="00C1576A"/>
    <w:rsid w:val="00C1593F"/>
    <w:rsid w:val="00C16E50"/>
    <w:rsid w:val="00C20021"/>
    <w:rsid w:val="00C2053F"/>
    <w:rsid w:val="00C207C0"/>
    <w:rsid w:val="00C21261"/>
    <w:rsid w:val="00C21D1D"/>
    <w:rsid w:val="00C21DC7"/>
    <w:rsid w:val="00C21E44"/>
    <w:rsid w:val="00C228F6"/>
    <w:rsid w:val="00C22AF8"/>
    <w:rsid w:val="00C22BE8"/>
    <w:rsid w:val="00C22C65"/>
    <w:rsid w:val="00C23427"/>
    <w:rsid w:val="00C23483"/>
    <w:rsid w:val="00C23BD9"/>
    <w:rsid w:val="00C23C59"/>
    <w:rsid w:val="00C23E6A"/>
    <w:rsid w:val="00C240CC"/>
    <w:rsid w:val="00C24498"/>
    <w:rsid w:val="00C24649"/>
    <w:rsid w:val="00C24B07"/>
    <w:rsid w:val="00C24FDD"/>
    <w:rsid w:val="00C251F9"/>
    <w:rsid w:val="00C258F4"/>
    <w:rsid w:val="00C262A7"/>
    <w:rsid w:val="00C271E8"/>
    <w:rsid w:val="00C27688"/>
    <w:rsid w:val="00C27861"/>
    <w:rsid w:val="00C27C83"/>
    <w:rsid w:val="00C27FA6"/>
    <w:rsid w:val="00C30025"/>
    <w:rsid w:val="00C302C8"/>
    <w:rsid w:val="00C30D5F"/>
    <w:rsid w:val="00C30F45"/>
    <w:rsid w:val="00C3103C"/>
    <w:rsid w:val="00C322F8"/>
    <w:rsid w:val="00C32D1F"/>
    <w:rsid w:val="00C33491"/>
    <w:rsid w:val="00C335BD"/>
    <w:rsid w:val="00C33876"/>
    <w:rsid w:val="00C339A5"/>
    <w:rsid w:val="00C33E9A"/>
    <w:rsid w:val="00C34666"/>
    <w:rsid w:val="00C3494A"/>
    <w:rsid w:val="00C34C99"/>
    <w:rsid w:val="00C34E97"/>
    <w:rsid w:val="00C351D9"/>
    <w:rsid w:val="00C3560A"/>
    <w:rsid w:val="00C3588E"/>
    <w:rsid w:val="00C35D5B"/>
    <w:rsid w:val="00C36469"/>
    <w:rsid w:val="00C364ED"/>
    <w:rsid w:val="00C365AE"/>
    <w:rsid w:val="00C36AD5"/>
    <w:rsid w:val="00C36F83"/>
    <w:rsid w:val="00C37AC2"/>
    <w:rsid w:val="00C37D6F"/>
    <w:rsid w:val="00C40374"/>
    <w:rsid w:val="00C4078E"/>
    <w:rsid w:val="00C40A46"/>
    <w:rsid w:val="00C40B5C"/>
    <w:rsid w:val="00C40E46"/>
    <w:rsid w:val="00C4115F"/>
    <w:rsid w:val="00C41762"/>
    <w:rsid w:val="00C4276A"/>
    <w:rsid w:val="00C43709"/>
    <w:rsid w:val="00C43E22"/>
    <w:rsid w:val="00C44816"/>
    <w:rsid w:val="00C44A52"/>
    <w:rsid w:val="00C44F2C"/>
    <w:rsid w:val="00C45280"/>
    <w:rsid w:val="00C45407"/>
    <w:rsid w:val="00C45D3F"/>
    <w:rsid w:val="00C45E1C"/>
    <w:rsid w:val="00C46185"/>
    <w:rsid w:val="00C4660B"/>
    <w:rsid w:val="00C46736"/>
    <w:rsid w:val="00C46CA3"/>
    <w:rsid w:val="00C47AB0"/>
    <w:rsid w:val="00C5065B"/>
    <w:rsid w:val="00C50A06"/>
    <w:rsid w:val="00C5115D"/>
    <w:rsid w:val="00C515A0"/>
    <w:rsid w:val="00C522B9"/>
    <w:rsid w:val="00C52722"/>
    <w:rsid w:val="00C5276A"/>
    <w:rsid w:val="00C52D4C"/>
    <w:rsid w:val="00C53032"/>
    <w:rsid w:val="00C5305E"/>
    <w:rsid w:val="00C5313B"/>
    <w:rsid w:val="00C53165"/>
    <w:rsid w:val="00C53A34"/>
    <w:rsid w:val="00C53C82"/>
    <w:rsid w:val="00C543D9"/>
    <w:rsid w:val="00C55730"/>
    <w:rsid w:val="00C558FE"/>
    <w:rsid w:val="00C55D42"/>
    <w:rsid w:val="00C55F14"/>
    <w:rsid w:val="00C56061"/>
    <w:rsid w:val="00C56717"/>
    <w:rsid w:val="00C56D36"/>
    <w:rsid w:val="00C604D4"/>
    <w:rsid w:val="00C606E0"/>
    <w:rsid w:val="00C60CAA"/>
    <w:rsid w:val="00C60CEF"/>
    <w:rsid w:val="00C60D79"/>
    <w:rsid w:val="00C611BB"/>
    <w:rsid w:val="00C61B55"/>
    <w:rsid w:val="00C61D20"/>
    <w:rsid w:val="00C61EED"/>
    <w:rsid w:val="00C62623"/>
    <w:rsid w:val="00C62900"/>
    <w:rsid w:val="00C62AF5"/>
    <w:rsid w:val="00C6314D"/>
    <w:rsid w:val="00C6365D"/>
    <w:rsid w:val="00C63D5E"/>
    <w:rsid w:val="00C63DCA"/>
    <w:rsid w:val="00C63FE1"/>
    <w:rsid w:val="00C6400D"/>
    <w:rsid w:val="00C6430D"/>
    <w:rsid w:val="00C65370"/>
    <w:rsid w:val="00C65790"/>
    <w:rsid w:val="00C65A38"/>
    <w:rsid w:val="00C66F67"/>
    <w:rsid w:val="00C675E9"/>
    <w:rsid w:val="00C67696"/>
    <w:rsid w:val="00C67E6A"/>
    <w:rsid w:val="00C7006B"/>
    <w:rsid w:val="00C701DD"/>
    <w:rsid w:val="00C7030C"/>
    <w:rsid w:val="00C711E8"/>
    <w:rsid w:val="00C722FC"/>
    <w:rsid w:val="00C72AD5"/>
    <w:rsid w:val="00C73048"/>
    <w:rsid w:val="00C732C9"/>
    <w:rsid w:val="00C73D17"/>
    <w:rsid w:val="00C73F36"/>
    <w:rsid w:val="00C74108"/>
    <w:rsid w:val="00C74CDA"/>
    <w:rsid w:val="00C755B6"/>
    <w:rsid w:val="00C75691"/>
    <w:rsid w:val="00C75C38"/>
    <w:rsid w:val="00C767FA"/>
    <w:rsid w:val="00C769C0"/>
    <w:rsid w:val="00C76CB5"/>
    <w:rsid w:val="00C778E9"/>
    <w:rsid w:val="00C77941"/>
    <w:rsid w:val="00C779AF"/>
    <w:rsid w:val="00C77A11"/>
    <w:rsid w:val="00C8058E"/>
    <w:rsid w:val="00C80700"/>
    <w:rsid w:val="00C8078F"/>
    <w:rsid w:val="00C80A04"/>
    <w:rsid w:val="00C80B0B"/>
    <w:rsid w:val="00C814C8"/>
    <w:rsid w:val="00C81B61"/>
    <w:rsid w:val="00C8230C"/>
    <w:rsid w:val="00C825F0"/>
    <w:rsid w:val="00C82E9B"/>
    <w:rsid w:val="00C834EF"/>
    <w:rsid w:val="00C840FF"/>
    <w:rsid w:val="00C8438E"/>
    <w:rsid w:val="00C843BA"/>
    <w:rsid w:val="00C843EB"/>
    <w:rsid w:val="00C858F1"/>
    <w:rsid w:val="00C85A90"/>
    <w:rsid w:val="00C86926"/>
    <w:rsid w:val="00C86941"/>
    <w:rsid w:val="00C86948"/>
    <w:rsid w:val="00C87F9C"/>
    <w:rsid w:val="00C87FC0"/>
    <w:rsid w:val="00C9004F"/>
    <w:rsid w:val="00C904C1"/>
    <w:rsid w:val="00C90647"/>
    <w:rsid w:val="00C910A0"/>
    <w:rsid w:val="00C91560"/>
    <w:rsid w:val="00C919A3"/>
    <w:rsid w:val="00C91C27"/>
    <w:rsid w:val="00C91F31"/>
    <w:rsid w:val="00C92046"/>
    <w:rsid w:val="00C92C26"/>
    <w:rsid w:val="00C9340D"/>
    <w:rsid w:val="00C934F6"/>
    <w:rsid w:val="00C937C7"/>
    <w:rsid w:val="00C93C6B"/>
    <w:rsid w:val="00C942A6"/>
    <w:rsid w:val="00C94E01"/>
    <w:rsid w:val="00C951FA"/>
    <w:rsid w:val="00C9525B"/>
    <w:rsid w:val="00C969D4"/>
    <w:rsid w:val="00C97389"/>
    <w:rsid w:val="00C9753E"/>
    <w:rsid w:val="00C97E79"/>
    <w:rsid w:val="00CA01A1"/>
    <w:rsid w:val="00CA0FF9"/>
    <w:rsid w:val="00CA136B"/>
    <w:rsid w:val="00CA166A"/>
    <w:rsid w:val="00CA1C2D"/>
    <w:rsid w:val="00CA1E0B"/>
    <w:rsid w:val="00CA2204"/>
    <w:rsid w:val="00CA3A87"/>
    <w:rsid w:val="00CA5E70"/>
    <w:rsid w:val="00CA6310"/>
    <w:rsid w:val="00CA68EA"/>
    <w:rsid w:val="00CA6BC7"/>
    <w:rsid w:val="00CA7D4F"/>
    <w:rsid w:val="00CB0339"/>
    <w:rsid w:val="00CB0676"/>
    <w:rsid w:val="00CB09CE"/>
    <w:rsid w:val="00CB0A2C"/>
    <w:rsid w:val="00CB143C"/>
    <w:rsid w:val="00CB2403"/>
    <w:rsid w:val="00CB2430"/>
    <w:rsid w:val="00CB3765"/>
    <w:rsid w:val="00CB3869"/>
    <w:rsid w:val="00CB4578"/>
    <w:rsid w:val="00CB4728"/>
    <w:rsid w:val="00CB48ED"/>
    <w:rsid w:val="00CB49DA"/>
    <w:rsid w:val="00CB56C5"/>
    <w:rsid w:val="00CB6133"/>
    <w:rsid w:val="00CB6291"/>
    <w:rsid w:val="00CB6B72"/>
    <w:rsid w:val="00CB6E74"/>
    <w:rsid w:val="00CB7269"/>
    <w:rsid w:val="00CB7B71"/>
    <w:rsid w:val="00CC009B"/>
    <w:rsid w:val="00CC0C18"/>
    <w:rsid w:val="00CC1DF7"/>
    <w:rsid w:val="00CC2196"/>
    <w:rsid w:val="00CC2392"/>
    <w:rsid w:val="00CC2559"/>
    <w:rsid w:val="00CC258E"/>
    <w:rsid w:val="00CC29E0"/>
    <w:rsid w:val="00CC29EB"/>
    <w:rsid w:val="00CC2EB7"/>
    <w:rsid w:val="00CC3C58"/>
    <w:rsid w:val="00CC3D6B"/>
    <w:rsid w:val="00CC44C9"/>
    <w:rsid w:val="00CC45AA"/>
    <w:rsid w:val="00CC4B48"/>
    <w:rsid w:val="00CC4CC3"/>
    <w:rsid w:val="00CC5586"/>
    <w:rsid w:val="00CC5CDD"/>
    <w:rsid w:val="00CC6017"/>
    <w:rsid w:val="00CC61CD"/>
    <w:rsid w:val="00CC7005"/>
    <w:rsid w:val="00CC737C"/>
    <w:rsid w:val="00CC7A03"/>
    <w:rsid w:val="00CC7C49"/>
    <w:rsid w:val="00CC7C86"/>
    <w:rsid w:val="00CC7CDF"/>
    <w:rsid w:val="00CD16C8"/>
    <w:rsid w:val="00CD1835"/>
    <w:rsid w:val="00CD1AEF"/>
    <w:rsid w:val="00CD22CA"/>
    <w:rsid w:val="00CD2953"/>
    <w:rsid w:val="00CD2987"/>
    <w:rsid w:val="00CD302D"/>
    <w:rsid w:val="00CD376C"/>
    <w:rsid w:val="00CD387A"/>
    <w:rsid w:val="00CD3B1C"/>
    <w:rsid w:val="00CD3DE0"/>
    <w:rsid w:val="00CD49A1"/>
    <w:rsid w:val="00CD5C96"/>
    <w:rsid w:val="00CD5F72"/>
    <w:rsid w:val="00CD626B"/>
    <w:rsid w:val="00CD6ACA"/>
    <w:rsid w:val="00CD751E"/>
    <w:rsid w:val="00CD7DE1"/>
    <w:rsid w:val="00CE0E1E"/>
    <w:rsid w:val="00CE1098"/>
    <w:rsid w:val="00CE119C"/>
    <w:rsid w:val="00CE19F8"/>
    <w:rsid w:val="00CE25B7"/>
    <w:rsid w:val="00CE2650"/>
    <w:rsid w:val="00CE26A1"/>
    <w:rsid w:val="00CE2934"/>
    <w:rsid w:val="00CE3369"/>
    <w:rsid w:val="00CE39B2"/>
    <w:rsid w:val="00CE4577"/>
    <w:rsid w:val="00CE49CE"/>
    <w:rsid w:val="00CE4F99"/>
    <w:rsid w:val="00CE5117"/>
    <w:rsid w:val="00CE5347"/>
    <w:rsid w:val="00CE5442"/>
    <w:rsid w:val="00CE6396"/>
    <w:rsid w:val="00CE6486"/>
    <w:rsid w:val="00CE6505"/>
    <w:rsid w:val="00CE662D"/>
    <w:rsid w:val="00CE74A4"/>
    <w:rsid w:val="00CF0A5B"/>
    <w:rsid w:val="00CF0D4B"/>
    <w:rsid w:val="00CF0DDA"/>
    <w:rsid w:val="00CF105F"/>
    <w:rsid w:val="00CF1523"/>
    <w:rsid w:val="00CF153D"/>
    <w:rsid w:val="00CF1DF7"/>
    <w:rsid w:val="00CF29C5"/>
    <w:rsid w:val="00CF4544"/>
    <w:rsid w:val="00CF47D8"/>
    <w:rsid w:val="00CF47EA"/>
    <w:rsid w:val="00CF4B1C"/>
    <w:rsid w:val="00CF4EEB"/>
    <w:rsid w:val="00CF5FF7"/>
    <w:rsid w:val="00D0027A"/>
    <w:rsid w:val="00D00744"/>
    <w:rsid w:val="00D00798"/>
    <w:rsid w:val="00D0142B"/>
    <w:rsid w:val="00D015B1"/>
    <w:rsid w:val="00D01FBA"/>
    <w:rsid w:val="00D02662"/>
    <w:rsid w:val="00D027B7"/>
    <w:rsid w:val="00D0280E"/>
    <w:rsid w:val="00D0300B"/>
    <w:rsid w:val="00D03BE6"/>
    <w:rsid w:val="00D04A34"/>
    <w:rsid w:val="00D05695"/>
    <w:rsid w:val="00D0632A"/>
    <w:rsid w:val="00D066C4"/>
    <w:rsid w:val="00D066F4"/>
    <w:rsid w:val="00D06846"/>
    <w:rsid w:val="00D070DA"/>
    <w:rsid w:val="00D07F77"/>
    <w:rsid w:val="00D1070E"/>
    <w:rsid w:val="00D10B2E"/>
    <w:rsid w:val="00D10BBB"/>
    <w:rsid w:val="00D114CF"/>
    <w:rsid w:val="00D116F3"/>
    <w:rsid w:val="00D11771"/>
    <w:rsid w:val="00D11AAF"/>
    <w:rsid w:val="00D11B12"/>
    <w:rsid w:val="00D11CA0"/>
    <w:rsid w:val="00D1261A"/>
    <w:rsid w:val="00D1349E"/>
    <w:rsid w:val="00D13688"/>
    <w:rsid w:val="00D13764"/>
    <w:rsid w:val="00D139C5"/>
    <w:rsid w:val="00D13C4E"/>
    <w:rsid w:val="00D14264"/>
    <w:rsid w:val="00D1592E"/>
    <w:rsid w:val="00D163EC"/>
    <w:rsid w:val="00D165E4"/>
    <w:rsid w:val="00D16921"/>
    <w:rsid w:val="00D16B96"/>
    <w:rsid w:val="00D1723E"/>
    <w:rsid w:val="00D20DA7"/>
    <w:rsid w:val="00D21016"/>
    <w:rsid w:val="00D217CF"/>
    <w:rsid w:val="00D21C29"/>
    <w:rsid w:val="00D21F04"/>
    <w:rsid w:val="00D22434"/>
    <w:rsid w:val="00D22ECF"/>
    <w:rsid w:val="00D2479B"/>
    <w:rsid w:val="00D24850"/>
    <w:rsid w:val="00D24AAA"/>
    <w:rsid w:val="00D24BEA"/>
    <w:rsid w:val="00D24C68"/>
    <w:rsid w:val="00D24E41"/>
    <w:rsid w:val="00D25BAD"/>
    <w:rsid w:val="00D25FD9"/>
    <w:rsid w:val="00D2629B"/>
    <w:rsid w:val="00D263C0"/>
    <w:rsid w:val="00D26552"/>
    <w:rsid w:val="00D26605"/>
    <w:rsid w:val="00D26BF5"/>
    <w:rsid w:val="00D272D8"/>
    <w:rsid w:val="00D273BE"/>
    <w:rsid w:val="00D30163"/>
    <w:rsid w:val="00D3075C"/>
    <w:rsid w:val="00D309F0"/>
    <w:rsid w:val="00D314DE"/>
    <w:rsid w:val="00D3260D"/>
    <w:rsid w:val="00D32701"/>
    <w:rsid w:val="00D32FE8"/>
    <w:rsid w:val="00D33389"/>
    <w:rsid w:val="00D33E1B"/>
    <w:rsid w:val="00D3471E"/>
    <w:rsid w:val="00D349A7"/>
    <w:rsid w:val="00D34C1C"/>
    <w:rsid w:val="00D34CF9"/>
    <w:rsid w:val="00D34E9F"/>
    <w:rsid w:val="00D35D00"/>
    <w:rsid w:val="00D35D3E"/>
    <w:rsid w:val="00D35F3A"/>
    <w:rsid w:val="00D36160"/>
    <w:rsid w:val="00D36404"/>
    <w:rsid w:val="00D3693A"/>
    <w:rsid w:val="00D37D24"/>
    <w:rsid w:val="00D37DA3"/>
    <w:rsid w:val="00D40AC5"/>
    <w:rsid w:val="00D40FF8"/>
    <w:rsid w:val="00D421A7"/>
    <w:rsid w:val="00D42C56"/>
    <w:rsid w:val="00D42E4A"/>
    <w:rsid w:val="00D42EB0"/>
    <w:rsid w:val="00D43D8A"/>
    <w:rsid w:val="00D44CDC"/>
    <w:rsid w:val="00D45147"/>
    <w:rsid w:val="00D454B1"/>
    <w:rsid w:val="00D458F9"/>
    <w:rsid w:val="00D473E3"/>
    <w:rsid w:val="00D47B97"/>
    <w:rsid w:val="00D50247"/>
    <w:rsid w:val="00D50F7F"/>
    <w:rsid w:val="00D50FE5"/>
    <w:rsid w:val="00D5199D"/>
    <w:rsid w:val="00D51F83"/>
    <w:rsid w:val="00D52301"/>
    <w:rsid w:val="00D52A0A"/>
    <w:rsid w:val="00D5317C"/>
    <w:rsid w:val="00D53689"/>
    <w:rsid w:val="00D537D3"/>
    <w:rsid w:val="00D540D4"/>
    <w:rsid w:val="00D54621"/>
    <w:rsid w:val="00D54979"/>
    <w:rsid w:val="00D558B7"/>
    <w:rsid w:val="00D55CAD"/>
    <w:rsid w:val="00D55E00"/>
    <w:rsid w:val="00D561C2"/>
    <w:rsid w:val="00D5706A"/>
    <w:rsid w:val="00D57AE8"/>
    <w:rsid w:val="00D60730"/>
    <w:rsid w:val="00D61B4A"/>
    <w:rsid w:val="00D61B8B"/>
    <w:rsid w:val="00D62180"/>
    <w:rsid w:val="00D62372"/>
    <w:rsid w:val="00D62700"/>
    <w:rsid w:val="00D628F8"/>
    <w:rsid w:val="00D629AF"/>
    <w:rsid w:val="00D62DF1"/>
    <w:rsid w:val="00D64832"/>
    <w:rsid w:val="00D64F6F"/>
    <w:rsid w:val="00D64FD0"/>
    <w:rsid w:val="00D65076"/>
    <w:rsid w:val="00D65161"/>
    <w:rsid w:val="00D6577E"/>
    <w:rsid w:val="00D660B7"/>
    <w:rsid w:val="00D66314"/>
    <w:rsid w:val="00D6676B"/>
    <w:rsid w:val="00D667DD"/>
    <w:rsid w:val="00D66B78"/>
    <w:rsid w:val="00D671EE"/>
    <w:rsid w:val="00D67691"/>
    <w:rsid w:val="00D67A0B"/>
    <w:rsid w:val="00D67AD8"/>
    <w:rsid w:val="00D67B21"/>
    <w:rsid w:val="00D67B63"/>
    <w:rsid w:val="00D7112D"/>
    <w:rsid w:val="00D720C3"/>
    <w:rsid w:val="00D722E3"/>
    <w:rsid w:val="00D7244C"/>
    <w:rsid w:val="00D72879"/>
    <w:rsid w:val="00D73178"/>
    <w:rsid w:val="00D7371E"/>
    <w:rsid w:val="00D73780"/>
    <w:rsid w:val="00D73E02"/>
    <w:rsid w:val="00D74B43"/>
    <w:rsid w:val="00D756E1"/>
    <w:rsid w:val="00D7596D"/>
    <w:rsid w:val="00D76078"/>
    <w:rsid w:val="00D76178"/>
    <w:rsid w:val="00D76359"/>
    <w:rsid w:val="00D766A3"/>
    <w:rsid w:val="00D76A54"/>
    <w:rsid w:val="00D76AB7"/>
    <w:rsid w:val="00D76E6D"/>
    <w:rsid w:val="00D7703E"/>
    <w:rsid w:val="00D77533"/>
    <w:rsid w:val="00D775BF"/>
    <w:rsid w:val="00D77ACE"/>
    <w:rsid w:val="00D800B3"/>
    <w:rsid w:val="00D80EF1"/>
    <w:rsid w:val="00D81384"/>
    <w:rsid w:val="00D81896"/>
    <w:rsid w:val="00D81AF4"/>
    <w:rsid w:val="00D82155"/>
    <w:rsid w:val="00D822F0"/>
    <w:rsid w:val="00D825B7"/>
    <w:rsid w:val="00D826F2"/>
    <w:rsid w:val="00D82869"/>
    <w:rsid w:val="00D82998"/>
    <w:rsid w:val="00D82D12"/>
    <w:rsid w:val="00D836DD"/>
    <w:rsid w:val="00D83885"/>
    <w:rsid w:val="00D8400B"/>
    <w:rsid w:val="00D84149"/>
    <w:rsid w:val="00D84711"/>
    <w:rsid w:val="00D849C0"/>
    <w:rsid w:val="00D851C7"/>
    <w:rsid w:val="00D85351"/>
    <w:rsid w:val="00D86620"/>
    <w:rsid w:val="00D86B31"/>
    <w:rsid w:val="00D86C82"/>
    <w:rsid w:val="00D872B8"/>
    <w:rsid w:val="00D8756F"/>
    <w:rsid w:val="00D879A4"/>
    <w:rsid w:val="00D87E0D"/>
    <w:rsid w:val="00D87E84"/>
    <w:rsid w:val="00D900DA"/>
    <w:rsid w:val="00D9027A"/>
    <w:rsid w:val="00D902DE"/>
    <w:rsid w:val="00D9032A"/>
    <w:rsid w:val="00D90A9A"/>
    <w:rsid w:val="00D916C6"/>
    <w:rsid w:val="00D91C76"/>
    <w:rsid w:val="00D9286F"/>
    <w:rsid w:val="00D92A2F"/>
    <w:rsid w:val="00D93089"/>
    <w:rsid w:val="00D93623"/>
    <w:rsid w:val="00D9372F"/>
    <w:rsid w:val="00D93C93"/>
    <w:rsid w:val="00D93EE5"/>
    <w:rsid w:val="00D9492A"/>
    <w:rsid w:val="00D95FFA"/>
    <w:rsid w:val="00D96149"/>
    <w:rsid w:val="00D96675"/>
    <w:rsid w:val="00D966F0"/>
    <w:rsid w:val="00D9714C"/>
    <w:rsid w:val="00D97423"/>
    <w:rsid w:val="00D976DE"/>
    <w:rsid w:val="00D97BA8"/>
    <w:rsid w:val="00D97FC2"/>
    <w:rsid w:val="00DA0798"/>
    <w:rsid w:val="00DA0848"/>
    <w:rsid w:val="00DA0A14"/>
    <w:rsid w:val="00DA0BC0"/>
    <w:rsid w:val="00DA0F89"/>
    <w:rsid w:val="00DA1D35"/>
    <w:rsid w:val="00DA2C28"/>
    <w:rsid w:val="00DA413F"/>
    <w:rsid w:val="00DA42B2"/>
    <w:rsid w:val="00DA439F"/>
    <w:rsid w:val="00DA4619"/>
    <w:rsid w:val="00DA4A99"/>
    <w:rsid w:val="00DA5162"/>
    <w:rsid w:val="00DA5830"/>
    <w:rsid w:val="00DA5F8E"/>
    <w:rsid w:val="00DA62C1"/>
    <w:rsid w:val="00DA667A"/>
    <w:rsid w:val="00DA74AA"/>
    <w:rsid w:val="00DA79EE"/>
    <w:rsid w:val="00DB09E7"/>
    <w:rsid w:val="00DB1657"/>
    <w:rsid w:val="00DB1E57"/>
    <w:rsid w:val="00DB22FA"/>
    <w:rsid w:val="00DB2867"/>
    <w:rsid w:val="00DB31DD"/>
    <w:rsid w:val="00DB35FE"/>
    <w:rsid w:val="00DB39B0"/>
    <w:rsid w:val="00DB3DA7"/>
    <w:rsid w:val="00DB3F65"/>
    <w:rsid w:val="00DB459F"/>
    <w:rsid w:val="00DB57F7"/>
    <w:rsid w:val="00DB58BF"/>
    <w:rsid w:val="00DB604F"/>
    <w:rsid w:val="00DB6637"/>
    <w:rsid w:val="00DB6D07"/>
    <w:rsid w:val="00DB7978"/>
    <w:rsid w:val="00DB7CB5"/>
    <w:rsid w:val="00DC0335"/>
    <w:rsid w:val="00DC0AAF"/>
    <w:rsid w:val="00DC0CDD"/>
    <w:rsid w:val="00DC1119"/>
    <w:rsid w:val="00DC1815"/>
    <w:rsid w:val="00DC1D83"/>
    <w:rsid w:val="00DC1E94"/>
    <w:rsid w:val="00DC220E"/>
    <w:rsid w:val="00DC2748"/>
    <w:rsid w:val="00DC2BE8"/>
    <w:rsid w:val="00DC31AE"/>
    <w:rsid w:val="00DC31C3"/>
    <w:rsid w:val="00DC33B3"/>
    <w:rsid w:val="00DC33BE"/>
    <w:rsid w:val="00DC3937"/>
    <w:rsid w:val="00DC3CEC"/>
    <w:rsid w:val="00DC3DBA"/>
    <w:rsid w:val="00DC4266"/>
    <w:rsid w:val="00DC4850"/>
    <w:rsid w:val="00DC4939"/>
    <w:rsid w:val="00DC4A8F"/>
    <w:rsid w:val="00DC54DF"/>
    <w:rsid w:val="00DC5E2A"/>
    <w:rsid w:val="00DC6264"/>
    <w:rsid w:val="00DC6969"/>
    <w:rsid w:val="00DC6C47"/>
    <w:rsid w:val="00DC71B6"/>
    <w:rsid w:val="00DC74E2"/>
    <w:rsid w:val="00DC7548"/>
    <w:rsid w:val="00DC7ACB"/>
    <w:rsid w:val="00DD02D5"/>
    <w:rsid w:val="00DD0604"/>
    <w:rsid w:val="00DD0B99"/>
    <w:rsid w:val="00DD273F"/>
    <w:rsid w:val="00DD274B"/>
    <w:rsid w:val="00DD2BA0"/>
    <w:rsid w:val="00DD3382"/>
    <w:rsid w:val="00DD3AB7"/>
    <w:rsid w:val="00DD3B1F"/>
    <w:rsid w:val="00DD4E42"/>
    <w:rsid w:val="00DD5646"/>
    <w:rsid w:val="00DD5824"/>
    <w:rsid w:val="00DD5E23"/>
    <w:rsid w:val="00DD6113"/>
    <w:rsid w:val="00DD6325"/>
    <w:rsid w:val="00DD68F1"/>
    <w:rsid w:val="00DD6A2A"/>
    <w:rsid w:val="00DD6AD0"/>
    <w:rsid w:val="00DD6B1C"/>
    <w:rsid w:val="00DD6D4A"/>
    <w:rsid w:val="00DD76D8"/>
    <w:rsid w:val="00DD7AE4"/>
    <w:rsid w:val="00DD7D31"/>
    <w:rsid w:val="00DE0376"/>
    <w:rsid w:val="00DE0FEE"/>
    <w:rsid w:val="00DE118D"/>
    <w:rsid w:val="00DE1520"/>
    <w:rsid w:val="00DE15AA"/>
    <w:rsid w:val="00DE1974"/>
    <w:rsid w:val="00DE1F83"/>
    <w:rsid w:val="00DE1F85"/>
    <w:rsid w:val="00DE1FFC"/>
    <w:rsid w:val="00DE2237"/>
    <w:rsid w:val="00DE237A"/>
    <w:rsid w:val="00DE2534"/>
    <w:rsid w:val="00DE2B20"/>
    <w:rsid w:val="00DE2D2D"/>
    <w:rsid w:val="00DE3701"/>
    <w:rsid w:val="00DE3D2E"/>
    <w:rsid w:val="00DE5053"/>
    <w:rsid w:val="00DE5384"/>
    <w:rsid w:val="00DE54BA"/>
    <w:rsid w:val="00DE5A3F"/>
    <w:rsid w:val="00DE5D08"/>
    <w:rsid w:val="00DE7082"/>
    <w:rsid w:val="00DE7598"/>
    <w:rsid w:val="00DE7D04"/>
    <w:rsid w:val="00DE7E73"/>
    <w:rsid w:val="00DF002D"/>
    <w:rsid w:val="00DF0915"/>
    <w:rsid w:val="00DF0F1B"/>
    <w:rsid w:val="00DF10E9"/>
    <w:rsid w:val="00DF1CFD"/>
    <w:rsid w:val="00DF1E9E"/>
    <w:rsid w:val="00DF1F1E"/>
    <w:rsid w:val="00DF2315"/>
    <w:rsid w:val="00DF24FA"/>
    <w:rsid w:val="00DF30DA"/>
    <w:rsid w:val="00DF33F6"/>
    <w:rsid w:val="00DF3933"/>
    <w:rsid w:val="00DF393D"/>
    <w:rsid w:val="00DF3A5E"/>
    <w:rsid w:val="00DF4FD8"/>
    <w:rsid w:val="00DF5456"/>
    <w:rsid w:val="00DF5815"/>
    <w:rsid w:val="00DF5847"/>
    <w:rsid w:val="00DF58B8"/>
    <w:rsid w:val="00DF5902"/>
    <w:rsid w:val="00DF6DA9"/>
    <w:rsid w:val="00E003AF"/>
    <w:rsid w:val="00E00AA9"/>
    <w:rsid w:val="00E0104B"/>
    <w:rsid w:val="00E0230B"/>
    <w:rsid w:val="00E02472"/>
    <w:rsid w:val="00E02A06"/>
    <w:rsid w:val="00E02B93"/>
    <w:rsid w:val="00E03589"/>
    <w:rsid w:val="00E037F7"/>
    <w:rsid w:val="00E03991"/>
    <w:rsid w:val="00E04196"/>
    <w:rsid w:val="00E04253"/>
    <w:rsid w:val="00E0426A"/>
    <w:rsid w:val="00E0465F"/>
    <w:rsid w:val="00E04768"/>
    <w:rsid w:val="00E04771"/>
    <w:rsid w:val="00E0481F"/>
    <w:rsid w:val="00E05196"/>
    <w:rsid w:val="00E05ADE"/>
    <w:rsid w:val="00E05C45"/>
    <w:rsid w:val="00E06239"/>
    <w:rsid w:val="00E06BBF"/>
    <w:rsid w:val="00E100AB"/>
    <w:rsid w:val="00E109FB"/>
    <w:rsid w:val="00E10DE3"/>
    <w:rsid w:val="00E10F6F"/>
    <w:rsid w:val="00E12035"/>
    <w:rsid w:val="00E12432"/>
    <w:rsid w:val="00E1286A"/>
    <w:rsid w:val="00E13F4C"/>
    <w:rsid w:val="00E14854"/>
    <w:rsid w:val="00E1493F"/>
    <w:rsid w:val="00E15126"/>
    <w:rsid w:val="00E15154"/>
    <w:rsid w:val="00E15515"/>
    <w:rsid w:val="00E15A14"/>
    <w:rsid w:val="00E15DB0"/>
    <w:rsid w:val="00E16085"/>
    <w:rsid w:val="00E16405"/>
    <w:rsid w:val="00E164F5"/>
    <w:rsid w:val="00E16B69"/>
    <w:rsid w:val="00E16C48"/>
    <w:rsid w:val="00E16D9E"/>
    <w:rsid w:val="00E172BB"/>
    <w:rsid w:val="00E17C41"/>
    <w:rsid w:val="00E17D63"/>
    <w:rsid w:val="00E17D80"/>
    <w:rsid w:val="00E2057B"/>
    <w:rsid w:val="00E20C14"/>
    <w:rsid w:val="00E20F6E"/>
    <w:rsid w:val="00E21295"/>
    <w:rsid w:val="00E212C7"/>
    <w:rsid w:val="00E21702"/>
    <w:rsid w:val="00E21A47"/>
    <w:rsid w:val="00E2200C"/>
    <w:rsid w:val="00E2220F"/>
    <w:rsid w:val="00E226C8"/>
    <w:rsid w:val="00E22AEA"/>
    <w:rsid w:val="00E22C42"/>
    <w:rsid w:val="00E22D3C"/>
    <w:rsid w:val="00E230AB"/>
    <w:rsid w:val="00E230CA"/>
    <w:rsid w:val="00E23675"/>
    <w:rsid w:val="00E23AA0"/>
    <w:rsid w:val="00E24D93"/>
    <w:rsid w:val="00E265E2"/>
    <w:rsid w:val="00E269C5"/>
    <w:rsid w:val="00E26E64"/>
    <w:rsid w:val="00E276C6"/>
    <w:rsid w:val="00E27B00"/>
    <w:rsid w:val="00E27C1A"/>
    <w:rsid w:val="00E301FC"/>
    <w:rsid w:val="00E30F1E"/>
    <w:rsid w:val="00E315AF"/>
    <w:rsid w:val="00E3194E"/>
    <w:rsid w:val="00E31F11"/>
    <w:rsid w:val="00E331AE"/>
    <w:rsid w:val="00E33285"/>
    <w:rsid w:val="00E351D2"/>
    <w:rsid w:val="00E35577"/>
    <w:rsid w:val="00E356AB"/>
    <w:rsid w:val="00E35F3B"/>
    <w:rsid w:val="00E35FAE"/>
    <w:rsid w:val="00E369BE"/>
    <w:rsid w:val="00E369CC"/>
    <w:rsid w:val="00E36C9E"/>
    <w:rsid w:val="00E370B9"/>
    <w:rsid w:val="00E378E3"/>
    <w:rsid w:val="00E37BEE"/>
    <w:rsid w:val="00E37FB7"/>
    <w:rsid w:val="00E4002F"/>
    <w:rsid w:val="00E40B45"/>
    <w:rsid w:val="00E40E96"/>
    <w:rsid w:val="00E41A70"/>
    <w:rsid w:val="00E41F5E"/>
    <w:rsid w:val="00E429C0"/>
    <w:rsid w:val="00E42FD0"/>
    <w:rsid w:val="00E432C1"/>
    <w:rsid w:val="00E43441"/>
    <w:rsid w:val="00E43A11"/>
    <w:rsid w:val="00E43C4D"/>
    <w:rsid w:val="00E43CFA"/>
    <w:rsid w:val="00E44586"/>
    <w:rsid w:val="00E4462E"/>
    <w:rsid w:val="00E44857"/>
    <w:rsid w:val="00E44979"/>
    <w:rsid w:val="00E45774"/>
    <w:rsid w:val="00E46306"/>
    <w:rsid w:val="00E4648D"/>
    <w:rsid w:val="00E467A8"/>
    <w:rsid w:val="00E4720F"/>
    <w:rsid w:val="00E47AD6"/>
    <w:rsid w:val="00E47CE1"/>
    <w:rsid w:val="00E506FE"/>
    <w:rsid w:val="00E5189A"/>
    <w:rsid w:val="00E51938"/>
    <w:rsid w:val="00E51F63"/>
    <w:rsid w:val="00E523BE"/>
    <w:rsid w:val="00E52B50"/>
    <w:rsid w:val="00E53D6E"/>
    <w:rsid w:val="00E540A7"/>
    <w:rsid w:val="00E547E6"/>
    <w:rsid w:val="00E54E13"/>
    <w:rsid w:val="00E5555C"/>
    <w:rsid w:val="00E55DD6"/>
    <w:rsid w:val="00E56D11"/>
    <w:rsid w:val="00E57042"/>
    <w:rsid w:val="00E5739F"/>
    <w:rsid w:val="00E575A0"/>
    <w:rsid w:val="00E578AF"/>
    <w:rsid w:val="00E5790F"/>
    <w:rsid w:val="00E60840"/>
    <w:rsid w:val="00E60E12"/>
    <w:rsid w:val="00E60EA6"/>
    <w:rsid w:val="00E616D0"/>
    <w:rsid w:val="00E61D05"/>
    <w:rsid w:val="00E61F65"/>
    <w:rsid w:val="00E620E9"/>
    <w:rsid w:val="00E6257D"/>
    <w:rsid w:val="00E63B07"/>
    <w:rsid w:val="00E63B46"/>
    <w:rsid w:val="00E64168"/>
    <w:rsid w:val="00E64539"/>
    <w:rsid w:val="00E64A3C"/>
    <w:rsid w:val="00E64D54"/>
    <w:rsid w:val="00E659FA"/>
    <w:rsid w:val="00E65CC9"/>
    <w:rsid w:val="00E661BB"/>
    <w:rsid w:val="00E66B5B"/>
    <w:rsid w:val="00E6702A"/>
    <w:rsid w:val="00E6709D"/>
    <w:rsid w:val="00E670C5"/>
    <w:rsid w:val="00E6720A"/>
    <w:rsid w:val="00E70286"/>
    <w:rsid w:val="00E703E6"/>
    <w:rsid w:val="00E70684"/>
    <w:rsid w:val="00E71AA0"/>
    <w:rsid w:val="00E72497"/>
    <w:rsid w:val="00E72644"/>
    <w:rsid w:val="00E72C43"/>
    <w:rsid w:val="00E72CFC"/>
    <w:rsid w:val="00E7315D"/>
    <w:rsid w:val="00E73210"/>
    <w:rsid w:val="00E7331C"/>
    <w:rsid w:val="00E74DB4"/>
    <w:rsid w:val="00E74E85"/>
    <w:rsid w:val="00E74F18"/>
    <w:rsid w:val="00E758B0"/>
    <w:rsid w:val="00E75B04"/>
    <w:rsid w:val="00E75DEB"/>
    <w:rsid w:val="00E76020"/>
    <w:rsid w:val="00E761EC"/>
    <w:rsid w:val="00E7635B"/>
    <w:rsid w:val="00E763E8"/>
    <w:rsid w:val="00E7738A"/>
    <w:rsid w:val="00E77612"/>
    <w:rsid w:val="00E77AED"/>
    <w:rsid w:val="00E77C46"/>
    <w:rsid w:val="00E77E00"/>
    <w:rsid w:val="00E77E9C"/>
    <w:rsid w:val="00E802D8"/>
    <w:rsid w:val="00E80D28"/>
    <w:rsid w:val="00E80DFF"/>
    <w:rsid w:val="00E817C4"/>
    <w:rsid w:val="00E81B9E"/>
    <w:rsid w:val="00E834B4"/>
    <w:rsid w:val="00E83A5C"/>
    <w:rsid w:val="00E83D5D"/>
    <w:rsid w:val="00E83D8B"/>
    <w:rsid w:val="00E83E0F"/>
    <w:rsid w:val="00E84523"/>
    <w:rsid w:val="00E84B29"/>
    <w:rsid w:val="00E84C01"/>
    <w:rsid w:val="00E8536F"/>
    <w:rsid w:val="00E85766"/>
    <w:rsid w:val="00E86499"/>
    <w:rsid w:val="00E8652C"/>
    <w:rsid w:val="00E8660A"/>
    <w:rsid w:val="00E86D42"/>
    <w:rsid w:val="00E86E0A"/>
    <w:rsid w:val="00E87285"/>
    <w:rsid w:val="00E87810"/>
    <w:rsid w:val="00E8791F"/>
    <w:rsid w:val="00E908AC"/>
    <w:rsid w:val="00E90A70"/>
    <w:rsid w:val="00E91757"/>
    <w:rsid w:val="00E91A75"/>
    <w:rsid w:val="00E92597"/>
    <w:rsid w:val="00E926A7"/>
    <w:rsid w:val="00E9277E"/>
    <w:rsid w:val="00E928DD"/>
    <w:rsid w:val="00E929E0"/>
    <w:rsid w:val="00E92F73"/>
    <w:rsid w:val="00E93FF0"/>
    <w:rsid w:val="00E94457"/>
    <w:rsid w:val="00E94AE4"/>
    <w:rsid w:val="00E94EDF"/>
    <w:rsid w:val="00E95462"/>
    <w:rsid w:val="00E955DF"/>
    <w:rsid w:val="00E95911"/>
    <w:rsid w:val="00E95F1A"/>
    <w:rsid w:val="00E960A1"/>
    <w:rsid w:val="00E965B7"/>
    <w:rsid w:val="00E9672A"/>
    <w:rsid w:val="00E96D5D"/>
    <w:rsid w:val="00E96F49"/>
    <w:rsid w:val="00E970EE"/>
    <w:rsid w:val="00E97414"/>
    <w:rsid w:val="00EA04E5"/>
    <w:rsid w:val="00EA058F"/>
    <w:rsid w:val="00EA144F"/>
    <w:rsid w:val="00EA1B23"/>
    <w:rsid w:val="00EA1D2F"/>
    <w:rsid w:val="00EA1D33"/>
    <w:rsid w:val="00EA1F6E"/>
    <w:rsid w:val="00EA2093"/>
    <w:rsid w:val="00EA2123"/>
    <w:rsid w:val="00EA28C8"/>
    <w:rsid w:val="00EA2DA5"/>
    <w:rsid w:val="00EA334E"/>
    <w:rsid w:val="00EA343F"/>
    <w:rsid w:val="00EA3A5A"/>
    <w:rsid w:val="00EA3F31"/>
    <w:rsid w:val="00EA4675"/>
    <w:rsid w:val="00EA53B5"/>
    <w:rsid w:val="00EA559D"/>
    <w:rsid w:val="00EA6384"/>
    <w:rsid w:val="00EA6875"/>
    <w:rsid w:val="00EA73DE"/>
    <w:rsid w:val="00EB0282"/>
    <w:rsid w:val="00EB0735"/>
    <w:rsid w:val="00EB15B0"/>
    <w:rsid w:val="00EB17BE"/>
    <w:rsid w:val="00EB1A73"/>
    <w:rsid w:val="00EB1F15"/>
    <w:rsid w:val="00EB1F5E"/>
    <w:rsid w:val="00EB1F71"/>
    <w:rsid w:val="00EB1FA6"/>
    <w:rsid w:val="00EB2957"/>
    <w:rsid w:val="00EB2CE8"/>
    <w:rsid w:val="00EB3186"/>
    <w:rsid w:val="00EB33A4"/>
    <w:rsid w:val="00EB38B8"/>
    <w:rsid w:val="00EB3C52"/>
    <w:rsid w:val="00EB3E33"/>
    <w:rsid w:val="00EB3FD3"/>
    <w:rsid w:val="00EB45B6"/>
    <w:rsid w:val="00EB49E7"/>
    <w:rsid w:val="00EB4E71"/>
    <w:rsid w:val="00EB50B3"/>
    <w:rsid w:val="00EB581A"/>
    <w:rsid w:val="00EB61C1"/>
    <w:rsid w:val="00EB668C"/>
    <w:rsid w:val="00EB6AE4"/>
    <w:rsid w:val="00EB7396"/>
    <w:rsid w:val="00EB7509"/>
    <w:rsid w:val="00EB7AB7"/>
    <w:rsid w:val="00EB7B44"/>
    <w:rsid w:val="00EC0433"/>
    <w:rsid w:val="00EC0850"/>
    <w:rsid w:val="00EC0BC1"/>
    <w:rsid w:val="00EC0C25"/>
    <w:rsid w:val="00EC0E7C"/>
    <w:rsid w:val="00EC0EE9"/>
    <w:rsid w:val="00EC1472"/>
    <w:rsid w:val="00EC1508"/>
    <w:rsid w:val="00EC1F2B"/>
    <w:rsid w:val="00EC2158"/>
    <w:rsid w:val="00EC26BB"/>
    <w:rsid w:val="00EC3B37"/>
    <w:rsid w:val="00EC3BA7"/>
    <w:rsid w:val="00EC4BDC"/>
    <w:rsid w:val="00EC4D2E"/>
    <w:rsid w:val="00EC4E20"/>
    <w:rsid w:val="00EC5A82"/>
    <w:rsid w:val="00EC5B13"/>
    <w:rsid w:val="00EC5FEB"/>
    <w:rsid w:val="00EC6435"/>
    <w:rsid w:val="00EC7C5C"/>
    <w:rsid w:val="00ED0391"/>
    <w:rsid w:val="00ED0C90"/>
    <w:rsid w:val="00ED1175"/>
    <w:rsid w:val="00ED1981"/>
    <w:rsid w:val="00ED1EA9"/>
    <w:rsid w:val="00ED27B9"/>
    <w:rsid w:val="00ED28F6"/>
    <w:rsid w:val="00ED2BDB"/>
    <w:rsid w:val="00ED2C74"/>
    <w:rsid w:val="00ED3039"/>
    <w:rsid w:val="00ED326E"/>
    <w:rsid w:val="00ED3342"/>
    <w:rsid w:val="00ED38A3"/>
    <w:rsid w:val="00ED3D37"/>
    <w:rsid w:val="00ED4564"/>
    <w:rsid w:val="00ED4F15"/>
    <w:rsid w:val="00ED578F"/>
    <w:rsid w:val="00ED5B09"/>
    <w:rsid w:val="00ED637A"/>
    <w:rsid w:val="00ED6BE4"/>
    <w:rsid w:val="00ED72D5"/>
    <w:rsid w:val="00ED7A7C"/>
    <w:rsid w:val="00ED7C86"/>
    <w:rsid w:val="00EE0008"/>
    <w:rsid w:val="00EE037B"/>
    <w:rsid w:val="00EE0A51"/>
    <w:rsid w:val="00EE0D6E"/>
    <w:rsid w:val="00EE0DA3"/>
    <w:rsid w:val="00EE24EF"/>
    <w:rsid w:val="00EE25FF"/>
    <w:rsid w:val="00EE29ED"/>
    <w:rsid w:val="00EE339D"/>
    <w:rsid w:val="00EE33F2"/>
    <w:rsid w:val="00EE423C"/>
    <w:rsid w:val="00EE5066"/>
    <w:rsid w:val="00EE5AE2"/>
    <w:rsid w:val="00EE6228"/>
    <w:rsid w:val="00EE69CD"/>
    <w:rsid w:val="00EE6A7A"/>
    <w:rsid w:val="00EE7870"/>
    <w:rsid w:val="00EE7E19"/>
    <w:rsid w:val="00EF02F3"/>
    <w:rsid w:val="00EF10A3"/>
    <w:rsid w:val="00EF1331"/>
    <w:rsid w:val="00EF1573"/>
    <w:rsid w:val="00EF1B52"/>
    <w:rsid w:val="00EF2101"/>
    <w:rsid w:val="00EF23E0"/>
    <w:rsid w:val="00EF29BA"/>
    <w:rsid w:val="00EF3407"/>
    <w:rsid w:val="00EF357A"/>
    <w:rsid w:val="00EF3590"/>
    <w:rsid w:val="00EF3A3B"/>
    <w:rsid w:val="00EF4205"/>
    <w:rsid w:val="00EF44FB"/>
    <w:rsid w:val="00EF574D"/>
    <w:rsid w:val="00EF6B14"/>
    <w:rsid w:val="00F0070E"/>
    <w:rsid w:val="00F00F4F"/>
    <w:rsid w:val="00F018AF"/>
    <w:rsid w:val="00F018B6"/>
    <w:rsid w:val="00F02F94"/>
    <w:rsid w:val="00F03EB9"/>
    <w:rsid w:val="00F03EBF"/>
    <w:rsid w:val="00F04424"/>
    <w:rsid w:val="00F04894"/>
    <w:rsid w:val="00F04FE1"/>
    <w:rsid w:val="00F05161"/>
    <w:rsid w:val="00F05A16"/>
    <w:rsid w:val="00F0648A"/>
    <w:rsid w:val="00F0679D"/>
    <w:rsid w:val="00F06C3B"/>
    <w:rsid w:val="00F07D52"/>
    <w:rsid w:val="00F10396"/>
    <w:rsid w:val="00F10555"/>
    <w:rsid w:val="00F10626"/>
    <w:rsid w:val="00F10918"/>
    <w:rsid w:val="00F10954"/>
    <w:rsid w:val="00F10976"/>
    <w:rsid w:val="00F10D8E"/>
    <w:rsid w:val="00F10E12"/>
    <w:rsid w:val="00F10E95"/>
    <w:rsid w:val="00F12111"/>
    <w:rsid w:val="00F12A81"/>
    <w:rsid w:val="00F12BA8"/>
    <w:rsid w:val="00F12EFD"/>
    <w:rsid w:val="00F13133"/>
    <w:rsid w:val="00F13442"/>
    <w:rsid w:val="00F13991"/>
    <w:rsid w:val="00F13DAB"/>
    <w:rsid w:val="00F142B5"/>
    <w:rsid w:val="00F14D8C"/>
    <w:rsid w:val="00F15127"/>
    <w:rsid w:val="00F15527"/>
    <w:rsid w:val="00F16665"/>
    <w:rsid w:val="00F16711"/>
    <w:rsid w:val="00F169E5"/>
    <w:rsid w:val="00F16B6B"/>
    <w:rsid w:val="00F16CA2"/>
    <w:rsid w:val="00F16D32"/>
    <w:rsid w:val="00F17A89"/>
    <w:rsid w:val="00F17C88"/>
    <w:rsid w:val="00F17FE5"/>
    <w:rsid w:val="00F20644"/>
    <w:rsid w:val="00F20B97"/>
    <w:rsid w:val="00F21930"/>
    <w:rsid w:val="00F21FC1"/>
    <w:rsid w:val="00F2246D"/>
    <w:rsid w:val="00F22634"/>
    <w:rsid w:val="00F227D4"/>
    <w:rsid w:val="00F23D36"/>
    <w:rsid w:val="00F2467B"/>
    <w:rsid w:val="00F247F6"/>
    <w:rsid w:val="00F254F6"/>
    <w:rsid w:val="00F25F25"/>
    <w:rsid w:val="00F26552"/>
    <w:rsid w:val="00F26878"/>
    <w:rsid w:val="00F26E85"/>
    <w:rsid w:val="00F2722A"/>
    <w:rsid w:val="00F30037"/>
    <w:rsid w:val="00F30DBD"/>
    <w:rsid w:val="00F3118D"/>
    <w:rsid w:val="00F31614"/>
    <w:rsid w:val="00F317A1"/>
    <w:rsid w:val="00F31B7D"/>
    <w:rsid w:val="00F323D4"/>
    <w:rsid w:val="00F33120"/>
    <w:rsid w:val="00F33163"/>
    <w:rsid w:val="00F33851"/>
    <w:rsid w:val="00F3388D"/>
    <w:rsid w:val="00F3426B"/>
    <w:rsid w:val="00F34400"/>
    <w:rsid w:val="00F34664"/>
    <w:rsid w:val="00F34A27"/>
    <w:rsid w:val="00F353D4"/>
    <w:rsid w:val="00F35D94"/>
    <w:rsid w:val="00F35ED6"/>
    <w:rsid w:val="00F3633C"/>
    <w:rsid w:val="00F364D2"/>
    <w:rsid w:val="00F367FE"/>
    <w:rsid w:val="00F368C8"/>
    <w:rsid w:val="00F4054A"/>
    <w:rsid w:val="00F4059B"/>
    <w:rsid w:val="00F40635"/>
    <w:rsid w:val="00F40818"/>
    <w:rsid w:val="00F412D5"/>
    <w:rsid w:val="00F41CD3"/>
    <w:rsid w:val="00F41F57"/>
    <w:rsid w:val="00F421D3"/>
    <w:rsid w:val="00F43837"/>
    <w:rsid w:val="00F443B8"/>
    <w:rsid w:val="00F44F49"/>
    <w:rsid w:val="00F44FDF"/>
    <w:rsid w:val="00F4674A"/>
    <w:rsid w:val="00F468A6"/>
    <w:rsid w:val="00F4695F"/>
    <w:rsid w:val="00F46D25"/>
    <w:rsid w:val="00F46DBD"/>
    <w:rsid w:val="00F470CA"/>
    <w:rsid w:val="00F4715E"/>
    <w:rsid w:val="00F47F2F"/>
    <w:rsid w:val="00F50DD5"/>
    <w:rsid w:val="00F51A0A"/>
    <w:rsid w:val="00F51EDA"/>
    <w:rsid w:val="00F522B4"/>
    <w:rsid w:val="00F52751"/>
    <w:rsid w:val="00F527F6"/>
    <w:rsid w:val="00F534BE"/>
    <w:rsid w:val="00F53E63"/>
    <w:rsid w:val="00F5405D"/>
    <w:rsid w:val="00F54136"/>
    <w:rsid w:val="00F541FB"/>
    <w:rsid w:val="00F54BAE"/>
    <w:rsid w:val="00F54C46"/>
    <w:rsid w:val="00F54C4A"/>
    <w:rsid w:val="00F54EAF"/>
    <w:rsid w:val="00F54F4B"/>
    <w:rsid w:val="00F54F70"/>
    <w:rsid w:val="00F553BD"/>
    <w:rsid w:val="00F55690"/>
    <w:rsid w:val="00F55CEA"/>
    <w:rsid w:val="00F55F85"/>
    <w:rsid w:val="00F56761"/>
    <w:rsid w:val="00F56787"/>
    <w:rsid w:val="00F575E5"/>
    <w:rsid w:val="00F57839"/>
    <w:rsid w:val="00F60C73"/>
    <w:rsid w:val="00F60CCD"/>
    <w:rsid w:val="00F61331"/>
    <w:rsid w:val="00F61FA0"/>
    <w:rsid w:val="00F62082"/>
    <w:rsid w:val="00F622AB"/>
    <w:rsid w:val="00F62446"/>
    <w:rsid w:val="00F63838"/>
    <w:rsid w:val="00F63C08"/>
    <w:rsid w:val="00F643E0"/>
    <w:rsid w:val="00F64413"/>
    <w:rsid w:val="00F64459"/>
    <w:rsid w:val="00F64517"/>
    <w:rsid w:val="00F6483E"/>
    <w:rsid w:val="00F649E7"/>
    <w:rsid w:val="00F65076"/>
    <w:rsid w:val="00F654CF"/>
    <w:rsid w:val="00F65743"/>
    <w:rsid w:val="00F65760"/>
    <w:rsid w:val="00F6636B"/>
    <w:rsid w:val="00F66CF5"/>
    <w:rsid w:val="00F67100"/>
    <w:rsid w:val="00F67124"/>
    <w:rsid w:val="00F677D4"/>
    <w:rsid w:val="00F67C4A"/>
    <w:rsid w:val="00F67D79"/>
    <w:rsid w:val="00F67E0A"/>
    <w:rsid w:val="00F700C1"/>
    <w:rsid w:val="00F70254"/>
    <w:rsid w:val="00F7054A"/>
    <w:rsid w:val="00F706F8"/>
    <w:rsid w:val="00F70792"/>
    <w:rsid w:val="00F70FA1"/>
    <w:rsid w:val="00F72052"/>
    <w:rsid w:val="00F72915"/>
    <w:rsid w:val="00F7362E"/>
    <w:rsid w:val="00F73F23"/>
    <w:rsid w:val="00F73FFD"/>
    <w:rsid w:val="00F740FE"/>
    <w:rsid w:val="00F745D0"/>
    <w:rsid w:val="00F75110"/>
    <w:rsid w:val="00F752AA"/>
    <w:rsid w:val="00F755D6"/>
    <w:rsid w:val="00F7590B"/>
    <w:rsid w:val="00F75E6B"/>
    <w:rsid w:val="00F76298"/>
    <w:rsid w:val="00F76663"/>
    <w:rsid w:val="00F76DBC"/>
    <w:rsid w:val="00F773C5"/>
    <w:rsid w:val="00F77DA3"/>
    <w:rsid w:val="00F77E34"/>
    <w:rsid w:val="00F800D6"/>
    <w:rsid w:val="00F803D8"/>
    <w:rsid w:val="00F8089A"/>
    <w:rsid w:val="00F80D85"/>
    <w:rsid w:val="00F80F7E"/>
    <w:rsid w:val="00F81352"/>
    <w:rsid w:val="00F8161D"/>
    <w:rsid w:val="00F81DC1"/>
    <w:rsid w:val="00F82484"/>
    <w:rsid w:val="00F835A8"/>
    <w:rsid w:val="00F839F3"/>
    <w:rsid w:val="00F83B3E"/>
    <w:rsid w:val="00F84616"/>
    <w:rsid w:val="00F849D0"/>
    <w:rsid w:val="00F84E9F"/>
    <w:rsid w:val="00F854DE"/>
    <w:rsid w:val="00F859AE"/>
    <w:rsid w:val="00F8627D"/>
    <w:rsid w:val="00F86795"/>
    <w:rsid w:val="00F867E4"/>
    <w:rsid w:val="00F86908"/>
    <w:rsid w:val="00F86FBE"/>
    <w:rsid w:val="00F8713F"/>
    <w:rsid w:val="00F87174"/>
    <w:rsid w:val="00F9004A"/>
    <w:rsid w:val="00F90263"/>
    <w:rsid w:val="00F905AD"/>
    <w:rsid w:val="00F90BC5"/>
    <w:rsid w:val="00F90D49"/>
    <w:rsid w:val="00F911E1"/>
    <w:rsid w:val="00F9163B"/>
    <w:rsid w:val="00F91AD7"/>
    <w:rsid w:val="00F91BE5"/>
    <w:rsid w:val="00F91DFD"/>
    <w:rsid w:val="00F92157"/>
    <w:rsid w:val="00F92962"/>
    <w:rsid w:val="00F93062"/>
    <w:rsid w:val="00F93353"/>
    <w:rsid w:val="00F93D0C"/>
    <w:rsid w:val="00F941BC"/>
    <w:rsid w:val="00F94AC4"/>
    <w:rsid w:val="00F94DFF"/>
    <w:rsid w:val="00F94F86"/>
    <w:rsid w:val="00F95198"/>
    <w:rsid w:val="00F95278"/>
    <w:rsid w:val="00F95929"/>
    <w:rsid w:val="00F96052"/>
    <w:rsid w:val="00F96572"/>
    <w:rsid w:val="00F96623"/>
    <w:rsid w:val="00F967C8"/>
    <w:rsid w:val="00F96AF2"/>
    <w:rsid w:val="00F97078"/>
    <w:rsid w:val="00F97802"/>
    <w:rsid w:val="00F97BD4"/>
    <w:rsid w:val="00F97BFF"/>
    <w:rsid w:val="00FA03EB"/>
    <w:rsid w:val="00FA0AD8"/>
    <w:rsid w:val="00FA0B86"/>
    <w:rsid w:val="00FA0E00"/>
    <w:rsid w:val="00FA1095"/>
    <w:rsid w:val="00FA1F6F"/>
    <w:rsid w:val="00FA2A46"/>
    <w:rsid w:val="00FA3D9D"/>
    <w:rsid w:val="00FA410D"/>
    <w:rsid w:val="00FA4D56"/>
    <w:rsid w:val="00FA4E8F"/>
    <w:rsid w:val="00FA5735"/>
    <w:rsid w:val="00FA6665"/>
    <w:rsid w:val="00FA6DE0"/>
    <w:rsid w:val="00FA7C15"/>
    <w:rsid w:val="00FB0162"/>
    <w:rsid w:val="00FB0F1D"/>
    <w:rsid w:val="00FB146F"/>
    <w:rsid w:val="00FB1966"/>
    <w:rsid w:val="00FB1987"/>
    <w:rsid w:val="00FB22B3"/>
    <w:rsid w:val="00FB2453"/>
    <w:rsid w:val="00FB2830"/>
    <w:rsid w:val="00FB2935"/>
    <w:rsid w:val="00FB3D4B"/>
    <w:rsid w:val="00FB3FCB"/>
    <w:rsid w:val="00FB5EF8"/>
    <w:rsid w:val="00FB75BB"/>
    <w:rsid w:val="00FB761C"/>
    <w:rsid w:val="00FB7631"/>
    <w:rsid w:val="00FB7D11"/>
    <w:rsid w:val="00FC005E"/>
    <w:rsid w:val="00FC0A09"/>
    <w:rsid w:val="00FC0CED"/>
    <w:rsid w:val="00FC1727"/>
    <w:rsid w:val="00FC1ACF"/>
    <w:rsid w:val="00FC1EB9"/>
    <w:rsid w:val="00FC253E"/>
    <w:rsid w:val="00FC2557"/>
    <w:rsid w:val="00FC3292"/>
    <w:rsid w:val="00FC34F0"/>
    <w:rsid w:val="00FC363F"/>
    <w:rsid w:val="00FC3788"/>
    <w:rsid w:val="00FC3B45"/>
    <w:rsid w:val="00FC4A8F"/>
    <w:rsid w:val="00FC4EBF"/>
    <w:rsid w:val="00FC517E"/>
    <w:rsid w:val="00FC547A"/>
    <w:rsid w:val="00FC56BB"/>
    <w:rsid w:val="00FC5AF4"/>
    <w:rsid w:val="00FC5BDF"/>
    <w:rsid w:val="00FC5DEF"/>
    <w:rsid w:val="00FC609F"/>
    <w:rsid w:val="00FC6147"/>
    <w:rsid w:val="00FC7C81"/>
    <w:rsid w:val="00FC7CFE"/>
    <w:rsid w:val="00FD00DE"/>
    <w:rsid w:val="00FD06F7"/>
    <w:rsid w:val="00FD07D8"/>
    <w:rsid w:val="00FD088B"/>
    <w:rsid w:val="00FD1576"/>
    <w:rsid w:val="00FD17ED"/>
    <w:rsid w:val="00FD1FF8"/>
    <w:rsid w:val="00FD27D0"/>
    <w:rsid w:val="00FD28C9"/>
    <w:rsid w:val="00FD3396"/>
    <w:rsid w:val="00FD3499"/>
    <w:rsid w:val="00FD3BF1"/>
    <w:rsid w:val="00FD440F"/>
    <w:rsid w:val="00FD4605"/>
    <w:rsid w:val="00FD4DE1"/>
    <w:rsid w:val="00FD581F"/>
    <w:rsid w:val="00FD582C"/>
    <w:rsid w:val="00FD58C6"/>
    <w:rsid w:val="00FD5CA8"/>
    <w:rsid w:val="00FD5EA3"/>
    <w:rsid w:val="00FD5F50"/>
    <w:rsid w:val="00FD653F"/>
    <w:rsid w:val="00FD6A82"/>
    <w:rsid w:val="00FD6A86"/>
    <w:rsid w:val="00FD749A"/>
    <w:rsid w:val="00FD75BC"/>
    <w:rsid w:val="00FE0059"/>
    <w:rsid w:val="00FE042D"/>
    <w:rsid w:val="00FE06A1"/>
    <w:rsid w:val="00FE1178"/>
    <w:rsid w:val="00FE1C58"/>
    <w:rsid w:val="00FE241C"/>
    <w:rsid w:val="00FE263D"/>
    <w:rsid w:val="00FE2869"/>
    <w:rsid w:val="00FE2D4C"/>
    <w:rsid w:val="00FE35BC"/>
    <w:rsid w:val="00FE412C"/>
    <w:rsid w:val="00FE4676"/>
    <w:rsid w:val="00FE4D50"/>
    <w:rsid w:val="00FE5489"/>
    <w:rsid w:val="00FE5F18"/>
    <w:rsid w:val="00FE6511"/>
    <w:rsid w:val="00FE6A8E"/>
    <w:rsid w:val="00FE6FF8"/>
    <w:rsid w:val="00FE75D4"/>
    <w:rsid w:val="00FE7A10"/>
    <w:rsid w:val="00FE7E2F"/>
    <w:rsid w:val="00FF0817"/>
    <w:rsid w:val="00FF0C4B"/>
    <w:rsid w:val="00FF1860"/>
    <w:rsid w:val="00FF1B68"/>
    <w:rsid w:val="00FF275C"/>
    <w:rsid w:val="00FF2A00"/>
    <w:rsid w:val="00FF2FA3"/>
    <w:rsid w:val="00FF3371"/>
    <w:rsid w:val="00FF5484"/>
    <w:rsid w:val="00FF6062"/>
    <w:rsid w:val="00FF6530"/>
    <w:rsid w:val="00FF6546"/>
    <w:rsid w:val="00FF6653"/>
    <w:rsid w:val="00FF688E"/>
    <w:rsid w:val="00FF6C74"/>
    <w:rsid w:val="00FF722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B8AADD"/>
  <w15:docId w15:val="{26FE7EA0-0852-410E-B860-2328CC8A8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lsdException w:name="heading 6" w:locked="1" w:semiHidden="1" w:unhideWhenUsed="1"/>
    <w:lsdException w:name="heading 7" w:locked="1" w:semiHidden="1" w:unhideWhenUsed="1"/>
    <w:lsdException w:name="heading 8" w:locked="1"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locked="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636F1E"/>
    <w:pPr>
      <w:jc w:val="both"/>
    </w:pPr>
    <w:rPr>
      <w:rFonts w:ascii="Garamond" w:eastAsia="Times New Roman" w:hAnsi="Garamond"/>
    </w:rPr>
  </w:style>
  <w:style w:type="paragraph" w:styleId="Heading1">
    <w:name w:val="heading 1"/>
    <w:basedOn w:val="Normal"/>
    <w:next w:val="BodyText"/>
    <w:link w:val="Heading1Char"/>
    <w:qFormat/>
    <w:rsid w:val="005B55E0"/>
    <w:pPr>
      <w:keepNext/>
      <w:numPr>
        <w:numId w:val="13"/>
      </w:numPr>
      <w:suppressAutoHyphens/>
      <w:spacing w:before="120" w:after="120"/>
      <w:jc w:val="center"/>
      <w:outlineLvl w:val="0"/>
    </w:pPr>
    <w:rPr>
      <w:smallCaps/>
      <w:lang w:eastAsia="ja-JP"/>
    </w:rPr>
  </w:style>
  <w:style w:type="paragraph" w:styleId="Heading2">
    <w:name w:val="heading 2"/>
    <w:basedOn w:val="Normal"/>
    <w:next w:val="BodyText"/>
    <w:link w:val="Heading2Char"/>
    <w:qFormat/>
    <w:rsid w:val="005B55E0"/>
    <w:pPr>
      <w:keepNext/>
      <w:keepLines/>
      <w:numPr>
        <w:ilvl w:val="1"/>
        <w:numId w:val="13"/>
      </w:numPr>
      <w:suppressAutoHyphens/>
      <w:spacing w:before="120" w:after="120"/>
      <w:jc w:val="center"/>
      <w:outlineLvl w:val="1"/>
    </w:pPr>
    <w:rPr>
      <w:rFonts w:eastAsia="Cambria"/>
      <w:bCs/>
      <w:szCs w:val="26"/>
      <w:lang w:eastAsia="ja-JP"/>
    </w:rPr>
  </w:style>
  <w:style w:type="paragraph" w:styleId="Heading3">
    <w:name w:val="heading 3"/>
    <w:basedOn w:val="Normal"/>
    <w:next w:val="BodyText"/>
    <w:link w:val="Heading3Char"/>
    <w:qFormat/>
    <w:rsid w:val="008D0FDF"/>
    <w:pPr>
      <w:numPr>
        <w:ilvl w:val="2"/>
        <w:numId w:val="13"/>
      </w:numPr>
      <w:tabs>
        <w:tab w:val="clear" w:pos="-18"/>
        <w:tab w:val="num" w:pos="0"/>
      </w:tabs>
      <w:spacing w:before="120"/>
      <w:ind w:left="0" w:firstLine="360"/>
      <w:outlineLvl w:val="2"/>
    </w:pPr>
    <w:rPr>
      <w:rFonts w:eastAsia="Cambria"/>
      <w:bCs/>
      <w:i/>
      <w:lang w:eastAsia="ja-JP"/>
    </w:rPr>
  </w:style>
  <w:style w:type="paragraph" w:styleId="Heading4">
    <w:name w:val="heading 4"/>
    <w:basedOn w:val="Normal"/>
    <w:next w:val="BodyText"/>
    <w:link w:val="Heading4Char"/>
    <w:qFormat/>
    <w:rsid w:val="0056282E"/>
    <w:pPr>
      <w:keepNext/>
      <w:numPr>
        <w:ilvl w:val="3"/>
        <w:numId w:val="13"/>
      </w:numPr>
      <w:spacing w:before="240" w:after="60"/>
      <w:outlineLvl w:val="3"/>
    </w:pPr>
    <w:rPr>
      <w:rFonts w:eastAsia="MS Mincho"/>
      <w:bCs/>
      <w:szCs w:val="28"/>
      <w:lang w:eastAsia="ja-JP"/>
    </w:rPr>
  </w:style>
  <w:style w:type="paragraph" w:styleId="Heading5">
    <w:name w:val="heading 5"/>
    <w:basedOn w:val="Normal"/>
    <w:next w:val="Normal"/>
    <w:link w:val="Heading5Char"/>
    <w:rsid w:val="0056282E"/>
    <w:pPr>
      <w:numPr>
        <w:ilvl w:val="4"/>
        <w:numId w:val="13"/>
      </w:numPr>
      <w:spacing w:before="240" w:after="60"/>
      <w:outlineLvl w:val="4"/>
    </w:pPr>
    <w:rPr>
      <w:rFonts w:eastAsia="MS Mincho"/>
      <w:b/>
      <w:bCs/>
      <w:i/>
      <w:iCs/>
      <w:szCs w:val="26"/>
      <w:lang w:eastAsia="ja-JP"/>
    </w:rPr>
  </w:style>
  <w:style w:type="paragraph" w:styleId="Heading6">
    <w:name w:val="heading 6"/>
    <w:basedOn w:val="Normal"/>
    <w:next w:val="Normal"/>
    <w:link w:val="Heading6Char"/>
    <w:rsid w:val="0056282E"/>
    <w:pPr>
      <w:numPr>
        <w:ilvl w:val="5"/>
        <w:numId w:val="13"/>
      </w:numPr>
      <w:spacing w:before="240" w:after="60"/>
      <w:outlineLvl w:val="5"/>
    </w:pPr>
    <w:rPr>
      <w:rFonts w:eastAsia="MS Mincho"/>
      <w:b/>
      <w:bCs/>
      <w:szCs w:val="22"/>
      <w:lang w:eastAsia="ja-JP"/>
    </w:rPr>
  </w:style>
  <w:style w:type="paragraph" w:styleId="Heading7">
    <w:name w:val="heading 7"/>
    <w:basedOn w:val="Normal"/>
    <w:next w:val="Normal"/>
    <w:link w:val="Heading7Char"/>
    <w:rsid w:val="0056282E"/>
    <w:pPr>
      <w:numPr>
        <w:ilvl w:val="6"/>
        <w:numId w:val="13"/>
      </w:numPr>
      <w:spacing w:before="240" w:after="60"/>
      <w:outlineLvl w:val="6"/>
    </w:pPr>
    <w:rPr>
      <w:rFonts w:ascii="Cambria" w:eastAsia="MS Mincho" w:hAnsi="Cambria"/>
      <w:lang w:eastAsia="ja-JP"/>
    </w:rPr>
  </w:style>
  <w:style w:type="paragraph" w:styleId="Heading8">
    <w:name w:val="heading 8"/>
    <w:basedOn w:val="Normal"/>
    <w:next w:val="Normal"/>
    <w:link w:val="Heading8Char"/>
    <w:rsid w:val="0056282E"/>
    <w:pPr>
      <w:numPr>
        <w:ilvl w:val="7"/>
        <w:numId w:val="13"/>
      </w:numPr>
      <w:spacing w:before="240" w:after="60"/>
      <w:outlineLvl w:val="7"/>
    </w:pPr>
    <w:rPr>
      <w:rFonts w:ascii="Cambria" w:eastAsia="MS Mincho" w:hAnsi="Cambria"/>
      <w:i/>
      <w:iCs/>
      <w:lang w:eastAsia="ja-JP"/>
    </w:rPr>
  </w:style>
  <w:style w:type="paragraph" w:styleId="Heading9">
    <w:name w:val="heading 9"/>
    <w:basedOn w:val="Normal"/>
    <w:next w:val="Normal"/>
    <w:link w:val="Heading9Char"/>
    <w:rsid w:val="0056282E"/>
    <w:pPr>
      <w:numPr>
        <w:ilvl w:val="8"/>
        <w:numId w:val="13"/>
      </w:numPr>
      <w:spacing w:before="240" w:after="60"/>
      <w:outlineLvl w:val="8"/>
    </w:pPr>
    <w:rPr>
      <w:rFonts w:ascii="Calibri" w:eastAsia="MS Gothic" w:hAnsi="Calibri"/>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
    <w:basedOn w:val="Normal"/>
    <w:link w:val="BodyTextChar"/>
    <w:qFormat/>
    <w:rsid w:val="00975081"/>
    <w:pPr>
      <w:ind w:firstLine="360"/>
    </w:pPr>
  </w:style>
  <w:style w:type="character" w:customStyle="1" w:styleId="BodyTextChar">
    <w:name w:val="Body Text Char"/>
    <w:aliases w:val="bt Char"/>
    <w:link w:val="BodyText"/>
    <w:locked/>
    <w:rsid w:val="00975081"/>
    <w:rPr>
      <w:rFonts w:ascii="OldStyle 7" w:eastAsia="Times New Roman" w:hAnsi="OldStyle 7"/>
      <w:sz w:val="22"/>
    </w:rPr>
  </w:style>
  <w:style w:type="character" w:customStyle="1" w:styleId="Heading1Char">
    <w:name w:val="Heading 1 Char"/>
    <w:link w:val="Heading1"/>
    <w:locked/>
    <w:rsid w:val="005B55E0"/>
    <w:rPr>
      <w:rFonts w:ascii="OldStyle 7" w:eastAsia="Times New Roman" w:hAnsi="OldStyle 7"/>
      <w:smallCaps/>
      <w:sz w:val="22"/>
      <w:lang w:eastAsia="ja-JP"/>
    </w:rPr>
  </w:style>
  <w:style w:type="character" w:customStyle="1" w:styleId="Heading2Char">
    <w:name w:val="Heading 2 Char"/>
    <w:link w:val="Heading2"/>
    <w:locked/>
    <w:rsid w:val="005B55E0"/>
    <w:rPr>
      <w:rFonts w:ascii="OldStyle 7" w:hAnsi="OldStyle 7"/>
      <w:bCs/>
      <w:sz w:val="22"/>
      <w:szCs w:val="26"/>
      <w:lang w:eastAsia="ja-JP"/>
    </w:rPr>
  </w:style>
  <w:style w:type="character" w:customStyle="1" w:styleId="Heading3Char">
    <w:name w:val="Heading 3 Char"/>
    <w:link w:val="Heading3"/>
    <w:locked/>
    <w:rsid w:val="008D0FDF"/>
    <w:rPr>
      <w:rFonts w:ascii="OldStyle 7" w:hAnsi="OldStyle 7"/>
      <w:bCs/>
      <w:i/>
      <w:sz w:val="22"/>
      <w:lang w:eastAsia="ja-JP"/>
    </w:rPr>
  </w:style>
  <w:style w:type="character" w:customStyle="1" w:styleId="Heading4Char">
    <w:name w:val="Heading 4 Char"/>
    <w:link w:val="Heading4"/>
    <w:locked/>
    <w:rsid w:val="0056282E"/>
    <w:rPr>
      <w:rFonts w:ascii="OldStyle 7" w:eastAsia="MS Mincho" w:hAnsi="OldStyle 7"/>
      <w:bCs/>
      <w:sz w:val="22"/>
      <w:szCs w:val="28"/>
      <w:lang w:eastAsia="ja-JP"/>
    </w:rPr>
  </w:style>
  <w:style w:type="character" w:customStyle="1" w:styleId="Heading5Char">
    <w:name w:val="Heading 5 Char"/>
    <w:link w:val="Heading5"/>
    <w:locked/>
    <w:rsid w:val="0056282E"/>
    <w:rPr>
      <w:rFonts w:ascii="OldStyle 7" w:eastAsia="MS Mincho" w:hAnsi="OldStyle 7"/>
      <w:b/>
      <w:bCs/>
      <w:i/>
      <w:iCs/>
      <w:sz w:val="22"/>
      <w:szCs w:val="26"/>
      <w:lang w:eastAsia="ja-JP"/>
    </w:rPr>
  </w:style>
  <w:style w:type="character" w:customStyle="1" w:styleId="Heading6Char">
    <w:name w:val="Heading 6 Char"/>
    <w:link w:val="Heading6"/>
    <w:locked/>
    <w:rsid w:val="0056282E"/>
    <w:rPr>
      <w:rFonts w:ascii="OldStyle 7" w:eastAsia="MS Mincho" w:hAnsi="OldStyle 7"/>
      <w:b/>
      <w:bCs/>
      <w:sz w:val="22"/>
      <w:szCs w:val="22"/>
      <w:lang w:eastAsia="ja-JP"/>
    </w:rPr>
  </w:style>
  <w:style w:type="character" w:customStyle="1" w:styleId="Heading7Char">
    <w:name w:val="Heading 7 Char"/>
    <w:link w:val="Heading7"/>
    <w:locked/>
    <w:rsid w:val="0056282E"/>
    <w:rPr>
      <w:rFonts w:eastAsia="MS Mincho"/>
      <w:sz w:val="22"/>
      <w:lang w:eastAsia="ja-JP"/>
    </w:rPr>
  </w:style>
  <w:style w:type="character" w:customStyle="1" w:styleId="Heading8Char">
    <w:name w:val="Heading 8 Char"/>
    <w:link w:val="Heading8"/>
    <w:locked/>
    <w:rsid w:val="0056282E"/>
    <w:rPr>
      <w:rFonts w:eastAsia="MS Mincho"/>
      <w:i/>
      <w:iCs/>
      <w:sz w:val="22"/>
      <w:lang w:eastAsia="ja-JP"/>
    </w:rPr>
  </w:style>
  <w:style w:type="character" w:customStyle="1" w:styleId="Heading9Char">
    <w:name w:val="Heading 9 Char"/>
    <w:link w:val="Heading9"/>
    <w:locked/>
    <w:rsid w:val="0056282E"/>
    <w:rPr>
      <w:rFonts w:ascii="Calibri" w:eastAsia="MS Gothic" w:hAnsi="Calibri"/>
      <w:sz w:val="22"/>
      <w:szCs w:val="22"/>
      <w:lang w:eastAsia="ja-JP"/>
    </w:rPr>
  </w:style>
  <w:style w:type="paragraph" w:styleId="FootnoteText">
    <w:name w:val="footnote text"/>
    <w:basedOn w:val="Normal"/>
    <w:link w:val="FootnoteTextChar1"/>
    <w:uiPriority w:val="99"/>
    <w:rsid w:val="00636F1E"/>
    <w:pPr>
      <w:spacing w:after="60"/>
      <w:ind w:firstLine="288"/>
    </w:pPr>
    <w:rPr>
      <w:sz w:val="20"/>
      <w:lang w:eastAsia="ja-JP"/>
    </w:rPr>
  </w:style>
  <w:style w:type="character" w:customStyle="1" w:styleId="FootnoteTextChar1">
    <w:name w:val="Footnote Text Char1"/>
    <w:link w:val="FootnoteText"/>
    <w:uiPriority w:val="99"/>
    <w:locked/>
    <w:rsid w:val="00636F1E"/>
    <w:rPr>
      <w:rFonts w:ascii="Garamond" w:eastAsia="Times New Roman" w:hAnsi="Garamond"/>
      <w:sz w:val="20"/>
      <w:lang w:eastAsia="ja-JP"/>
    </w:rPr>
  </w:style>
  <w:style w:type="character" w:styleId="FootnoteReference">
    <w:name w:val="footnote reference"/>
    <w:uiPriority w:val="99"/>
    <w:rsid w:val="009A3897"/>
    <w:rPr>
      <w:vertAlign w:val="superscript"/>
    </w:rPr>
  </w:style>
  <w:style w:type="paragraph" w:styleId="ListParagraph">
    <w:name w:val="List Paragraph"/>
    <w:basedOn w:val="Normal"/>
    <w:rsid w:val="009A3897"/>
    <w:pPr>
      <w:ind w:left="720"/>
      <w:contextualSpacing/>
    </w:pPr>
  </w:style>
  <w:style w:type="paragraph" w:customStyle="1" w:styleId="BlockQuote">
    <w:name w:val="Block Quote"/>
    <w:aliases w:val="bq"/>
    <w:basedOn w:val="BodyText"/>
    <w:next w:val="BodyText"/>
    <w:qFormat/>
    <w:rsid w:val="00202B21"/>
    <w:pPr>
      <w:spacing w:before="120" w:after="120"/>
      <w:ind w:left="720" w:right="720" w:firstLine="0"/>
      <w:contextualSpacing/>
    </w:pPr>
    <w:rPr>
      <w:sz w:val="18"/>
    </w:rPr>
  </w:style>
  <w:style w:type="paragraph" w:styleId="Header">
    <w:name w:val="header"/>
    <w:basedOn w:val="Normal"/>
    <w:link w:val="HeaderChar"/>
    <w:rsid w:val="004B0377"/>
    <w:pPr>
      <w:tabs>
        <w:tab w:val="center" w:pos="4320"/>
        <w:tab w:val="right" w:pos="8640"/>
      </w:tabs>
    </w:pPr>
    <w:rPr>
      <w:sz w:val="20"/>
      <w:szCs w:val="20"/>
      <w:lang w:eastAsia="ja-JP"/>
    </w:rPr>
  </w:style>
  <w:style w:type="character" w:customStyle="1" w:styleId="HeaderChar">
    <w:name w:val="Header Char"/>
    <w:link w:val="Header"/>
    <w:locked/>
    <w:rsid w:val="004B0377"/>
    <w:rPr>
      <w:rFonts w:ascii="Century Schoolbook" w:eastAsia="Times New Roman" w:hAnsi="Century Schoolbook"/>
      <w:lang w:eastAsia="ja-JP"/>
    </w:rPr>
  </w:style>
  <w:style w:type="paragraph" w:styleId="Footer">
    <w:name w:val="footer"/>
    <w:basedOn w:val="Normal"/>
    <w:link w:val="FooterChar"/>
    <w:rsid w:val="009A3897"/>
    <w:pPr>
      <w:tabs>
        <w:tab w:val="center" w:pos="4320"/>
        <w:tab w:val="right" w:pos="8640"/>
      </w:tabs>
    </w:pPr>
    <w:rPr>
      <w:sz w:val="20"/>
      <w:szCs w:val="20"/>
      <w:lang w:eastAsia="ja-JP"/>
    </w:rPr>
  </w:style>
  <w:style w:type="character" w:customStyle="1" w:styleId="FooterChar">
    <w:name w:val="Footer Char"/>
    <w:link w:val="Footer"/>
    <w:locked/>
    <w:rsid w:val="009A3897"/>
    <w:rPr>
      <w:rFonts w:ascii="Times New Roman" w:eastAsia="Times New Roman" w:hAnsi="Times New Roman"/>
    </w:rPr>
  </w:style>
  <w:style w:type="character" w:styleId="PageNumber">
    <w:name w:val="page number"/>
    <w:rsid w:val="00435E13"/>
    <w:rPr>
      <w:sz w:val="24"/>
    </w:rPr>
  </w:style>
  <w:style w:type="character" w:styleId="Hyperlink">
    <w:name w:val="Hyperlink"/>
    <w:uiPriority w:val="99"/>
    <w:rsid w:val="009A3897"/>
    <w:rPr>
      <w:color w:val="0000FF"/>
      <w:u w:val="single"/>
    </w:rPr>
  </w:style>
  <w:style w:type="paragraph" w:styleId="TOCHeading">
    <w:name w:val="TOC Heading"/>
    <w:basedOn w:val="Heading1"/>
    <w:next w:val="Normal"/>
    <w:rsid w:val="009A3897"/>
    <w:pPr>
      <w:keepLines/>
      <w:numPr>
        <w:numId w:val="0"/>
      </w:numPr>
      <w:spacing w:before="240" w:after="0" w:line="276" w:lineRule="auto"/>
      <w:outlineLvl w:val="9"/>
    </w:pPr>
    <w:rPr>
      <w:rFonts w:eastAsia="Cambria"/>
      <w:bCs/>
      <w:caps/>
      <w:smallCaps w:val="0"/>
      <w:szCs w:val="28"/>
    </w:rPr>
  </w:style>
  <w:style w:type="paragraph" w:styleId="TOC1">
    <w:name w:val="toc 1"/>
    <w:basedOn w:val="Normal"/>
    <w:next w:val="Normal"/>
    <w:autoRedefine/>
    <w:uiPriority w:val="39"/>
    <w:rsid w:val="008472A4"/>
    <w:pPr>
      <w:tabs>
        <w:tab w:val="left" w:pos="540"/>
        <w:tab w:val="left" w:pos="630"/>
        <w:tab w:val="right" w:leader="dot" w:pos="7190"/>
      </w:tabs>
      <w:ind w:left="547" w:hanging="547"/>
    </w:pPr>
    <w:rPr>
      <w:smallCaps/>
    </w:rPr>
  </w:style>
  <w:style w:type="paragraph" w:styleId="TOC2">
    <w:name w:val="toc 2"/>
    <w:basedOn w:val="Normal"/>
    <w:next w:val="Normal"/>
    <w:autoRedefine/>
    <w:uiPriority w:val="39"/>
    <w:rsid w:val="00F353D4"/>
    <w:pPr>
      <w:tabs>
        <w:tab w:val="left" w:pos="733"/>
        <w:tab w:val="left" w:pos="1094"/>
        <w:tab w:val="right" w:leader="dot" w:pos="7190"/>
      </w:tabs>
      <w:ind w:left="1094" w:hanging="547"/>
    </w:pPr>
    <w:rPr>
      <w:szCs w:val="22"/>
    </w:rPr>
  </w:style>
  <w:style w:type="paragraph" w:styleId="TOC3">
    <w:name w:val="toc 3"/>
    <w:basedOn w:val="Normal"/>
    <w:next w:val="Normal"/>
    <w:autoRedefine/>
    <w:uiPriority w:val="39"/>
    <w:rsid w:val="00EF6B14"/>
    <w:pPr>
      <w:tabs>
        <w:tab w:val="left" w:pos="915"/>
        <w:tab w:val="left" w:pos="1440"/>
        <w:tab w:val="right" w:leader="dot" w:pos="7190"/>
      </w:tabs>
      <w:ind w:left="1440" w:hanging="360"/>
    </w:pPr>
    <w:rPr>
      <w:szCs w:val="26"/>
    </w:rPr>
  </w:style>
  <w:style w:type="paragraph" w:styleId="TOC4">
    <w:name w:val="toc 4"/>
    <w:basedOn w:val="Normal"/>
    <w:next w:val="Normal"/>
    <w:autoRedefine/>
    <w:rsid w:val="009A3897"/>
    <w:pPr>
      <w:ind w:left="720"/>
    </w:pPr>
    <w:rPr>
      <w:rFonts w:ascii="Cambria" w:hAnsi="Cambria"/>
      <w:sz w:val="20"/>
      <w:szCs w:val="20"/>
    </w:rPr>
  </w:style>
  <w:style w:type="paragraph" w:styleId="TOC5">
    <w:name w:val="toc 5"/>
    <w:basedOn w:val="Normal"/>
    <w:next w:val="Normal"/>
    <w:autoRedefine/>
    <w:rsid w:val="009A3897"/>
    <w:pPr>
      <w:ind w:left="960"/>
    </w:pPr>
    <w:rPr>
      <w:rFonts w:ascii="Cambria" w:hAnsi="Cambria"/>
      <w:sz w:val="20"/>
      <w:szCs w:val="20"/>
    </w:rPr>
  </w:style>
  <w:style w:type="paragraph" w:styleId="TOC6">
    <w:name w:val="toc 6"/>
    <w:basedOn w:val="Normal"/>
    <w:next w:val="Normal"/>
    <w:autoRedefine/>
    <w:rsid w:val="009A3897"/>
    <w:pPr>
      <w:ind w:left="1200"/>
    </w:pPr>
    <w:rPr>
      <w:rFonts w:ascii="Cambria" w:hAnsi="Cambria"/>
      <w:sz w:val="20"/>
      <w:szCs w:val="20"/>
    </w:rPr>
  </w:style>
  <w:style w:type="paragraph" w:styleId="TOC7">
    <w:name w:val="toc 7"/>
    <w:basedOn w:val="Normal"/>
    <w:next w:val="Normal"/>
    <w:autoRedefine/>
    <w:rsid w:val="009A3897"/>
    <w:pPr>
      <w:ind w:left="1440"/>
    </w:pPr>
    <w:rPr>
      <w:rFonts w:ascii="Cambria" w:hAnsi="Cambria"/>
      <w:sz w:val="20"/>
      <w:szCs w:val="20"/>
    </w:rPr>
  </w:style>
  <w:style w:type="paragraph" w:styleId="TOC8">
    <w:name w:val="toc 8"/>
    <w:basedOn w:val="Normal"/>
    <w:next w:val="Normal"/>
    <w:autoRedefine/>
    <w:rsid w:val="009A3897"/>
    <w:pPr>
      <w:ind w:left="1680"/>
    </w:pPr>
    <w:rPr>
      <w:rFonts w:ascii="Cambria" w:hAnsi="Cambria"/>
      <w:sz w:val="20"/>
      <w:szCs w:val="20"/>
    </w:rPr>
  </w:style>
  <w:style w:type="paragraph" w:styleId="TOC9">
    <w:name w:val="toc 9"/>
    <w:basedOn w:val="Normal"/>
    <w:next w:val="Normal"/>
    <w:autoRedefine/>
    <w:rsid w:val="009A3897"/>
    <w:pPr>
      <w:ind w:left="1920"/>
    </w:pPr>
    <w:rPr>
      <w:rFonts w:ascii="Cambria" w:hAnsi="Cambria"/>
      <w:sz w:val="20"/>
      <w:szCs w:val="20"/>
    </w:rPr>
  </w:style>
  <w:style w:type="paragraph" w:styleId="Revision">
    <w:name w:val="Revision"/>
    <w:hidden/>
    <w:rsid w:val="009A3897"/>
    <w:rPr>
      <w:rFonts w:ascii="Century Schoolbook BT" w:eastAsia="Times New Roman" w:hAnsi="Century Schoolbook BT"/>
    </w:rPr>
  </w:style>
  <w:style w:type="paragraph" w:styleId="BalloonText">
    <w:name w:val="Balloon Text"/>
    <w:basedOn w:val="Normal"/>
    <w:link w:val="BalloonTextChar"/>
    <w:rsid w:val="00E8536F"/>
    <w:rPr>
      <w:rFonts w:ascii="Old Style 7" w:hAnsi="Old Style 7"/>
      <w:sz w:val="18"/>
      <w:szCs w:val="18"/>
      <w:lang w:eastAsia="ja-JP"/>
    </w:rPr>
  </w:style>
  <w:style w:type="character" w:customStyle="1" w:styleId="BalloonTextChar">
    <w:name w:val="Balloon Text Char"/>
    <w:link w:val="BalloonText"/>
    <w:locked/>
    <w:rsid w:val="00E8536F"/>
    <w:rPr>
      <w:rFonts w:ascii="Old Style 7" w:eastAsia="Times New Roman" w:hAnsi="Old Style 7"/>
      <w:sz w:val="18"/>
      <w:szCs w:val="18"/>
      <w:lang w:eastAsia="ja-JP"/>
    </w:rPr>
  </w:style>
  <w:style w:type="paragraph" w:customStyle="1" w:styleId="BodyFirstIndent">
    <w:name w:val="Body First Indent"/>
    <w:basedOn w:val="Normal"/>
    <w:rsid w:val="009A3897"/>
    <w:pPr>
      <w:ind w:firstLine="720"/>
    </w:pPr>
  </w:style>
  <w:style w:type="paragraph" w:customStyle="1" w:styleId="Asterisks">
    <w:name w:val="Asterisks"/>
    <w:basedOn w:val="BodyText"/>
    <w:next w:val="BodyText"/>
    <w:rsid w:val="00AE2366"/>
    <w:pPr>
      <w:keepNext/>
      <w:spacing w:before="120" w:after="60"/>
      <w:ind w:firstLine="0"/>
      <w:jc w:val="center"/>
    </w:pPr>
  </w:style>
  <w:style w:type="paragraph" w:customStyle="1" w:styleId="FootnoteBlock">
    <w:name w:val="Footnote Block"/>
    <w:basedOn w:val="FootnoteText"/>
    <w:next w:val="FootnoteTextAfterBlock"/>
    <w:link w:val="FootnoteBlockChar"/>
    <w:rsid w:val="00260D55"/>
    <w:pPr>
      <w:ind w:left="720" w:right="720" w:firstLine="0"/>
    </w:pPr>
  </w:style>
  <w:style w:type="character" w:styleId="CommentReference">
    <w:name w:val="annotation reference"/>
    <w:rsid w:val="009A3897"/>
    <w:rPr>
      <w:sz w:val="18"/>
    </w:rPr>
  </w:style>
  <w:style w:type="paragraph" w:styleId="CommentText">
    <w:name w:val="annotation text"/>
    <w:basedOn w:val="Normal"/>
    <w:link w:val="CommentTextChar"/>
    <w:rsid w:val="009A3897"/>
    <w:rPr>
      <w:lang w:eastAsia="ja-JP"/>
    </w:rPr>
  </w:style>
  <w:style w:type="character" w:customStyle="1" w:styleId="CommentTextChar">
    <w:name w:val="Comment Text Char"/>
    <w:link w:val="CommentText"/>
    <w:locked/>
    <w:rsid w:val="009A3897"/>
    <w:rPr>
      <w:rFonts w:ascii="Old Style 7" w:hAnsi="Old Style 7"/>
      <w:sz w:val="24"/>
    </w:rPr>
  </w:style>
  <w:style w:type="paragraph" w:styleId="CommentSubject">
    <w:name w:val="annotation subject"/>
    <w:basedOn w:val="CommentText"/>
    <w:next w:val="CommentText"/>
    <w:link w:val="CommentSubjectChar"/>
    <w:rsid w:val="009A3897"/>
    <w:rPr>
      <w:b/>
      <w:bCs/>
    </w:rPr>
  </w:style>
  <w:style w:type="character" w:customStyle="1" w:styleId="CommentSubjectChar">
    <w:name w:val="Comment Subject Char"/>
    <w:link w:val="CommentSubject"/>
    <w:locked/>
    <w:rsid w:val="009A3897"/>
    <w:rPr>
      <w:rFonts w:ascii="Old Style 7" w:hAnsi="Old Style 7"/>
      <w:b/>
      <w:sz w:val="24"/>
    </w:rPr>
  </w:style>
  <w:style w:type="paragraph" w:styleId="ListBullet">
    <w:name w:val="List Bullet"/>
    <w:basedOn w:val="Normal"/>
    <w:rsid w:val="009A3897"/>
    <w:pPr>
      <w:numPr>
        <w:numId w:val="3"/>
      </w:numPr>
      <w:contextualSpacing/>
    </w:pPr>
  </w:style>
  <w:style w:type="paragraph" w:styleId="Title">
    <w:name w:val="Title"/>
    <w:basedOn w:val="Normal"/>
    <w:next w:val="Normal"/>
    <w:link w:val="TitleChar"/>
    <w:qFormat/>
    <w:rsid w:val="00200F4E"/>
    <w:pPr>
      <w:suppressAutoHyphens/>
      <w:spacing w:before="240" w:after="60"/>
      <w:jc w:val="center"/>
    </w:pPr>
    <w:rPr>
      <w:rFonts w:eastAsia="MS Gothic"/>
      <w:b/>
      <w:bCs/>
      <w:kern w:val="28"/>
      <w:sz w:val="30"/>
      <w:szCs w:val="32"/>
      <w:lang w:eastAsia="ja-JP"/>
    </w:rPr>
  </w:style>
  <w:style w:type="character" w:customStyle="1" w:styleId="TitleChar">
    <w:name w:val="Title Char"/>
    <w:link w:val="Title"/>
    <w:locked/>
    <w:rsid w:val="00200F4E"/>
    <w:rPr>
      <w:rFonts w:ascii="OldStyle 7" w:eastAsia="MS Gothic" w:hAnsi="OldStyle 7"/>
      <w:b/>
      <w:bCs/>
      <w:kern w:val="28"/>
      <w:sz w:val="30"/>
      <w:szCs w:val="32"/>
      <w:lang w:eastAsia="ja-JP"/>
    </w:rPr>
  </w:style>
  <w:style w:type="paragraph" w:customStyle="1" w:styleId="Author">
    <w:name w:val="Author"/>
    <w:basedOn w:val="Normal"/>
    <w:rsid w:val="00EB1A73"/>
    <w:pPr>
      <w:spacing w:before="240" w:after="240"/>
      <w:jc w:val="center"/>
    </w:pPr>
  </w:style>
  <w:style w:type="paragraph" w:customStyle="1" w:styleId="Heading1NoNumbering">
    <w:name w:val="Heading 1 (No Numbering)"/>
    <w:basedOn w:val="Heading1"/>
    <w:next w:val="BodyText"/>
    <w:rsid w:val="009A3897"/>
    <w:pPr>
      <w:numPr>
        <w:numId w:val="0"/>
      </w:numPr>
    </w:pPr>
  </w:style>
  <w:style w:type="paragraph" w:styleId="TOAHeading">
    <w:name w:val="toa heading"/>
    <w:basedOn w:val="Normal"/>
    <w:next w:val="Normal"/>
    <w:rsid w:val="009A3897"/>
    <w:pPr>
      <w:spacing w:before="120"/>
    </w:pPr>
    <w:rPr>
      <w:rFonts w:eastAsia="MS Gothic"/>
      <w:b/>
      <w:bCs/>
    </w:rPr>
  </w:style>
  <w:style w:type="paragraph" w:customStyle="1" w:styleId="BodyTextNoIndent">
    <w:name w:val="Body Text No Indent"/>
    <w:aliases w:val="btni"/>
    <w:basedOn w:val="BodyText"/>
    <w:qFormat/>
    <w:rsid w:val="00B17F33"/>
    <w:pPr>
      <w:ind w:firstLine="0"/>
    </w:pPr>
  </w:style>
  <w:style w:type="paragraph" w:styleId="EndnoteText">
    <w:name w:val="endnote text"/>
    <w:basedOn w:val="Normal"/>
    <w:semiHidden/>
    <w:rsid w:val="00E0230B"/>
    <w:rPr>
      <w:sz w:val="20"/>
      <w:szCs w:val="20"/>
    </w:rPr>
  </w:style>
  <w:style w:type="character" w:styleId="EndnoteReference">
    <w:name w:val="endnote reference"/>
    <w:semiHidden/>
    <w:rsid w:val="00E0230B"/>
    <w:rPr>
      <w:vertAlign w:val="superscript"/>
    </w:rPr>
  </w:style>
  <w:style w:type="character" w:customStyle="1" w:styleId="FootnoteTextChar">
    <w:name w:val="Footnote Text Char"/>
    <w:uiPriority w:val="99"/>
    <w:semiHidden/>
    <w:locked/>
    <w:rsid w:val="00B668B4"/>
    <w:rPr>
      <w:rFonts w:ascii="Times" w:hAnsi="Times" w:cs="Times New Roman"/>
      <w:sz w:val="20"/>
    </w:rPr>
  </w:style>
  <w:style w:type="character" w:customStyle="1" w:styleId="FootnoteBlockChar">
    <w:name w:val="Footnote Block Char"/>
    <w:basedOn w:val="FootnoteTextChar1"/>
    <w:link w:val="FootnoteBlock"/>
    <w:rsid w:val="00260D55"/>
    <w:rPr>
      <w:rFonts w:ascii="OldStyle 7" w:eastAsia="Times New Roman" w:hAnsi="OldStyle 7"/>
      <w:sz w:val="16"/>
      <w:lang w:eastAsia="ja-JP"/>
    </w:rPr>
  </w:style>
  <w:style w:type="character" w:styleId="Emphasis">
    <w:name w:val="Emphasis"/>
    <w:basedOn w:val="DefaultParagraphFont"/>
    <w:uiPriority w:val="20"/>
    <w:qFormat/>
    <w:locked/>
    <w:rsid w:val="004B0377"/>
    <w:rPr>
      <w:i/>
      <w:iCs/>
    </w:rPr>
  </w:style>
  <w:style w:type="paragraph" w:customStyle="1" w:styleId="Epigraph">
    <w:name w:val="Epigraph"/>
    <w:basedOn w:val="BodyText"/>
    <w:rsid w:val="00AB08E7"/>
    <w:pPr>
      <w:spacing w:after="120"/>
      <w:ind w:left="360" w:right="360" w:firstLine="0"/>
    </w:pPr>
    <w:rPr>
      <w:lang w:eastAsia="ja-JP"/>
    </w:rPr>
  </w:style>
  <w:style w:type="paragraph" w:customStyle="1" w:styleId="EpigraphAuthor">
    <w:name w:val="Epigraph Author"/>
    <w:basedOn w:val="Epigraph"/>
    <w:rsid w:val="00051AD8"/>
    <w:pPr>
      <w:spacing w:after="240"/>
      <w:ind w:firstLine="360"/>
    </w:pPr>
  </w:style>
  <w:style w:type="paragraph" w:styleId="BodyTextFirstIndent">
    <w:name w:val="Body Text First Indent"/>
    <w:basedOn w:val="BodyText"/>
    <w:link w:val="BodyTextFirstIndentChar"/>
    <w:rsid w:val="001E0845"/>
  </w:style>
  <w:style w:type="character" w:customStyle="1" w:styleId="BodyTextFirstIndentChar">
    <w:name w:val="Body Text First Indent Char"/>
    <w:basedOn w:val="BodyTextChar"/>
    <w:link w:val="BodyTextFirstIndent"/>
    <w:rsid w:val="001E0845"/>
    <w:rPr>
      <w:rFonts w:ascii="OldStyle 7" w:eastAsia="Times New Roman" w:hAnsi="OldStyle 7"/>
      <w:sz w:val="26"/>
      <w:szCs w:val="24"/>
    </w:rPr>
  </w:style>
  <w:style w:type="paragraph" w:customStyle="1" w:styleId="FootnoteTextAfterBlock">
    <w:name w:val="Footnote Text After Block"/>
    <w:basedOn w:val="FootnoteText"/>
    <w:qFormat/>
    <w:rsid w:val="00260D55"/>
    <w:pPr>
      <w:ind w:firstLine="0"/>
    </w:pPr>
  </w:style>
  <w:style w:type="paragraph" w:customStyle="1" w:styleId="Abstract">
    <w:name w:val="Abstract"/>
    <w:basedOn w:val="BodyText"/>
    <w:qFormat/>
    <w:rsid w:val="00B5618D"/>
    <w:pPr>
      <w:ind w:left="720" w:right="720" w:firstLine="0"/>
    </w:pPr>
    <w:rPr>
      <w:i/>
      <w:sz w:val="18"/>
    </w:rPr>
  </w:style>
  <w:style w:type="paragraph" w:customStyle="1" w:styleId="BodyTextFirstPara">
    <w:name w:val="Body Text First Para"/>
    <w:basedOn w:val="BodyText"/>
    <w:next w:val="BodyText"/>
    <w:qFormat/>
    <w:rsid w:val="004B6350"/>
    <w:pPr>
      <w:ind w:firstLine="0"/>
    </w:pPr>
  </w:style>
  <w:style w:type="character" w:styleId="UnresolvedMention">
    <w:name w:val="Unresolved Mention"/>
    <w:basedOn w:val="DefaultParagraphFont"/>
    <w:rsid w:val="00454BB6"/>
    <w:rPr>
      <w:color w:val="605E5C"/>
      <w:shd w:val="clear" w:color="auto" w:fill="E1DFDD"/>
    </w:rPr>
  </w:style>
  <w:style w:type="character" w:customStyle="1" w:styleId="cosmallcaps">
    <w:name w:val="co_smallcaps"/>
    <w:basedOn w:val="DefaultParagraphFont"/>
    <w:rsid w:val="003B3C3D"/>
  </w:style>
  <w:style w:type="character" w:customStyle="1" w:styleId="cosearchterm">
    <w:name w:val="co_searchterm"/>
    <w:basedOn w:val="DefaultParagraphFont"/>
    <w:rsid w:val="006C1517"/>
  </w:style>
  <w:style w:type="character" w:styleId="FollowedHyperlink">
    <w:name w:val="FollowedHyperlink"/>
    <w:basedOn w:val="DefaultParagraphFont"/>
    <w:semiHidden/>
    <w:unhideWhenUsed/>
    <w:rsid w:val="006C15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
              </w:divsChild>
            </w:div>
            <w:div w:id="63">
              <w:marLeft w:val="0"/>
              <w:marRight w:val="0"/>
              <w:marTop w:val="240"/>
              <w:marBottom w:val="0"/>
              <w:divBdr>
                <w:top w:val="none" w:sz="0" w:space="0" w:color="auto"/>
                <w:left w:val="none" w:sz="0" w:space="0" w:color="auto"/>
                <w:bottom w:val="none" w:sz="0" w:space="0" w:color="auto"/>
                <w:right w:val="none" w:sz="0" w:space="0" w:color="auto"/>
              </w:divBdr>
              <w:divsChild>
                <w:div w:id="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84">
              <w:marLeft w:val="0"/>
              <w:marRight w:val="0"/>
              <w:marTop w:val="0"/>
              <w:marBottom w:val="0"/>
              <w:divBdr>
                <w:top w:val="none" w:sz="0" w:space="0" w:color="auto"/>
                <w:left w:val="none" w:sz="0" w:space="0" w:color="auto"/>
                <w:bottom w:val="none" w:sz="0" w:space="0" w:color="auto"/>
                <w:right w:val="none" w:sz="0" w:space="0" w:color="auto"/>
              </w:divBdr>
            </w:div>
          </w:divsChild>
        </w:div>
        <w:div w:id="37">
          <w:marLeft w:val="0"/>
          <w:marRight w:val="0"/>
          <w:marTop w:val="0"/>
          <w:marBottom w:val="0"/>
          <w:divBdr>
            <w:top w:val="none" w:sz="0" w:space="0" w:color="auto"/>
            <w:left w:val="none" w:sz="0" w:space="0" w:color="auto"/>
            <w:bottom w:val="none" w:sz="0" w:space="0" w:color="auto"/>
            <w:right w:val="none" w:sz="0" w:space="0" w:color="auto"/>
          </w:divBdr>
          <w:divsChild>
            <w:div w:id="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sChild>
            </w:div>
            <w:div w:id="47">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24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
      <w:marLeft w:val="0"/>
      <w:marRight w:val="0"/>
      <w:marTop w:val="0"/>
      <w:marBottom w:val="0"/>
      <w:divBdr>
        <w:top w:val="none" w:sz="0" w:space="0" w:color="auto"/>
        <w:left w:val="none" w:sz="0" w:space="0" w:color="auto"/>
        <w:bottom w:val="none" w:sz="0" w:space="0" w:color="auto"/>
        <w:right w:val="none" w:sz="0" w:space="0" w:color="auto"/>
      </w:divBdr>
      <w:divsChild>
        <w:div w:id="61">
          <w:marLeft w:val="0"/>
          <w:marRight w:val="0"/>
          <w:marTop w:val="0"/>
          <w:marBottom w:val="0"/>
          <w:divBdr>
            <w:top w:val="none" w:sz="0" w:space="0" w:color="auto"/>
            <w:left w:val="none" w:sz="0" w:space="0" w:color="auto"/>
            <w:bottom w:val="none" w:sz="0" w:space="0" w:color="auto"/>
            <w:right w:val="none" w:sz="0" w:space="0" w:color="auto"/>
          </w:divBdr>
          <w:divsChild>
            <w:div w:id="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24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 w:id="62">
              <w:marLeft w:val="0"/>
              <w:marRight w:val="0"/>
              <w:marTop w:val="0"/>
              <w:marBottom w:val="0"/>
              <w:divBdr>
                <w:top w:val="none" w:sz="0" w:space="0" w:color="auto"/>
                <w:left w:val="none" w:sz="0" w:space="0" w:color="auto"/>
                <w:bottom w:val="none" w:sz="0" w:space="0" w:color="auto"/>
                <w:right w:val="none" w:sz="0" w:space="0" w:color="auto"/>
              </w:divBdr>
              <w:divsChild>
                <w:div w:id="77">
                  <w:marLeft w:val="0"/>
                  <w:marRight w:val="0"/>
                  <w:marTop w:val="0"/>
                  <w:marBottom w:val="0"/>
                  <w:divBdr>
                    <w:top w:val="none" w:sz="0" w:space="0" w:color="auto"/>
                    <w:left w:val="none" w:sz="0" w:space="0" w:color="auto"/>
                    <w:bottom w:val="none" w:sz="0" w:space="0" w:color="auto"/>
                    <w:right w:val="none" w:sz="0" w:space="0" w:color="auto"/>
                  </w:divBdr>
                </w:div>
              </w:divsChild>
            </w:div>
            <w:div w:id="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
      <w:marLeft w:val="0"/>
      <w:marRight w:val="0"/>
      <w:marTop w:val="0"/>
      <w:marBottom w:val="0"/>
      <w:divBdr>
        <w:top w:val="none" w:sz="0" w:space="0" w:color="auto"/>
        <w:left w:val="none" w:sz="0" w:space="0" w:color="auto"/>
        <w:bottom w:val="none" w:sz="0" w:space="0" w:color="auto"/>
        <w:right w:val="none" w:sz="0" w:space="0" w:color="auto"/>
      </w:divBdr>
      <w:divsChild>
        <w:div w:id="52">
          <w:marLeft w:val="0"/>
          <w:marRight w:val="0"/>
          <w:marTop w:val="0"/>
          <w:marBottom w:val="0"/>
          <w:divBdr>
            <w:top w:val="none" w:sz="0" w:space="0" w:color="auto"/>
            <w:left w:val="none" w:sz="0" w:space="0" w:color="auto"/>
            <w:bottom w:val="none" w:sz="0" w:space="0" w:color="auto"/>
            <w:right w:val="none" w:sz="0" w:space="0" w:color="auto"/>
          </w:divBdr>
          <w:divsChild>
            <w:div w:id="5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sChild>
        <w:div w:id="80">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sChild>
        <w:div w:id="83">
          <w:marLeft w:val="0"/>
          <w:marRight w:val="0"/>
          <w:marTop w:val="0"/>
          <w:marBottom w:val="0"/>
          <w:divBdr>
            <w:top w:val="none" w:sz="0" w:space="0" w:color="auto"/>
            <w:left w:val="none" w:sz="0" w:space="0" w:color="auto"/>
            <w:bottom w:val="none" w:sz="0" w:space="0" w:color="auto"/>
            <w:right w:val="none" w:sz="0" w:space="0" w:color="auto"/>
          </w:divBdr>
          <w:divsChild>
            <w:div w:id="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240"/>
              <w:marBottom w:val="0"/>
              <w:divBdr>
                <w:top w:val="none" w:sz="0" w:space="0" w:color="auto"/>
                <w:left w:val="none" w:sz="0" w:space="0" w:color="auto"/>
                <w:bottom w:val="none" w:sz="0" w:space="0" w:color="auto"/>
                <w:right w:val="none" w:sz="0" w:space="0" w:color="auto"/>
              </w:divBdr>
              <w:divsChild>
                <w:div w:id="50">
                  <w:marLeft w:val="0"/>
                  <w:marRight w:val="0"/>
                  <w:marTop w:val="0"/>
                  <w:marBottom w:val="0"/>
                  <w:divBdr>
                    <w:top w:val="none" w:sz="0" w:space="0" w:color="auto"/>
                    <w:left w:val="none" w:sz="0" w:space="0" w:color="auto"/>
                    <w:bottom w:val="none" w:sz="0" w:space="0" w:color="auto"/>
                    <w:right w:val="none" w:sz="0" w:space="0" w:color="auto"/>
                  </w:divBdr>
                </w:div>
              </w:divsChild>
            </w:div>
            <w:div w:id="33">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
              </w:divsChild>
            </w:div>
            <w:div w:id="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sChild>
            <w:div w:id="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sChild>
        <w:div w:id="71">
          <w:marLeft w:val="0"/>
          <w:marRight w:val="0"/>
          <w:marTop w:val="0"/>
          <w:marBottom w:val="0"/>
          <w:divBdr>
            <w:top w:val="none" w:sz="0" w:space="0" w:color="auto"/>
            <w:left w:val="none" w:sz="0" w:space="0" w:color="auto"/>
            <w:bottom w:val="none" w:sz="0" w:space="0" w:color="auto"/>
            <w:right w:val="none" w:sz="0" w:space="0" w:color="auto"/>
          </w:divBdr>
          <w:divsChild>
            <w:div w:id="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
      <w:marLeft w:val="0"/>
      <w:marRight w:val="0"/>
      <w:marTop w:val="0"/>
      <w:marBottom w:val="0"/>
      <w:divBdr>
        <w:top w:val="none" w:sz="0" w:space="0" w:color="auto"/>
        <w:left w:val="none" w:sz="0" w:space="0" w:color="auto"/>
        <w:bottom w:val="none" w:sz="0" w:space="0" w:color="auto"/>
        <w:right w:val="none" w:sz="0" w:space="0" w:color="auto"/>
      </w:divBdr>
    </w:div>
    <w:div w:id="595980">
      <w:bodyDiv w:val="1"/>
      <w:marLeft w:val="0"/>
      <w:marRight w:val="0"/>
      <w:marTop w:val="0"/>
      <w:marBottom w:val="0"/>
      <w:divBdr>
        <w:top w:val="none" w:sz="0" w:space="0" w:color="auto"/>
        <w:left w:val="none" w:sz="0" w:space="0" w:color="auto"/>
        <w:bottom w:val="none" w:sz="0" w:space="0" w:color="auto"/>
        <w:right w:val="none" w:sz="0" w:space="0" w:color="auto"/>
      </w:divBdr>
      <w:divsChild>
        <w:div w:id="902375086">
          <w:marLeft w:val="0"/>
          <w:marRight w:val="0"/>
          <w:marTop w:val="0"/>
          <w:marBottom w:val="0"/>
          <w:divBdr>
            <w:top w:val="none" w:sz="0" w:space="0" w:color="auto"/>
            <w:left w:val="none" w:sz="0" w:space="0" w:color="auto"/>
            <w:bottom w:val="none" w:sz="0" w:space="0" w:color="auto"/>
            <w:right w:val="none" w:sz="0" w:space="0" w:color="auto"/>
          </w:divBdr>
          <w:divsChild>
            <w:div w:id="188517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7401">
      <w:bodyDiv w:val="1"/>
      <w:marLeft w:val="0"/>
      <w:marRight w:val="0"/>
      <w:marTop w:val="0"/>
      <w:marBottom w:val="0"/>
      <w:divBdr>
        <w:top w:val="none" w:sz="0" w:space="0" w:color="auto"/>
        <w:left w:val="none" w:sz="0" w:space="0" w:color="auto"/>
        <w:bottom w:val="none" w:sz="0" w:space="0" w:color="auto"/>
        <w:right w:val="none" w:sz="0" w:space="0" w:color="auto"/>
      </w:divBdr>
      <w:divsChild>
        <w:div w:id="512182751">
          <w:marLeft w:val="0"/>
          <w:marRight w:val="0"/>
          <w:marTop w:val="0"/>
          <w:marBottom w:val="0"/>
          <w:divBdr>
            <w:top w:val="none" w:sz="0" w:space="0" w:color="auto"/>
            <w:left w:val="none" w:sz="0" w:space="0" w:color="auto"/>
            <w:bottom w:val="none" w:sz="0" w:space="0" w:color="auto"/>
            <w:right w:val="none" w:sz="0" w:space="0" w:color="auto"/>
          </w:divBdr>
          <w:divsChild>
            <w:div w:id="159424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69566">
      <w:bodyDiv w:val="1"/>
      <w:marLeft w:val="0"/>
      <w:marRight w:val="0"/>
      <w:marTop w:val="0"/>
      <w:marBottom w:val="0"/>
      <w:divBdr>
        <w:top w:val="none" w:sz="0" w:space="0" w:color="auto"/>
        <w:left w:val="none" w:sz="0" w:space="0" w:color="auto"/>
        <w:bottom w:val="none" w:sz="0" w:space="0" w:color="auto"/>
        <w:right w:val="none" w:sz="0" w:space="0" w:color="auto"/>
      </w:divBdr>
      <w:divsChild>
        <w:div w:id="1526480867">
          <w:marLeft w:val="0"/>
          <w:marRight w:val="0"/>
          <w:marTop w:val="0"/>
          <w:marBottom w:val="0"/>
          <w:divBdr>
            <w:top w:val="none" w:sz="0" w:space="0" w:color="auto"/>
            <w:left w:val="none" w:sz="0" w:space="0" w:color="auto"/>
            <w:bottom w:val="none" w:sz="0" w:space="0" w:color="auto"/>
            <w:right w:val="none" w:sz="0" w:space="0" w:color="auto"/>
          </w:divBdr>
          <w:divsChild>
            <w:div w:id="18189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29384">
      <w:bodyDiv w:val="1"/>
      <w:marLeft w:val="0"/>
      <w:marRight w:val="0"/>
      <w:marTop w:val="0"/>
      <w:marBottom w:val="0"/>
      <w:divBdr>
        <w:top w:val="none" w:sz="0" w:space="0" w:color="auto"/>
        <w:left w:val="none" w:sz="0" w:space="0" w:color="auto"/>
        <w:bottom w:val="none" w:sz="0" w:space="0" w:color="auto"/>
        <w:right w:val="none" w:sz="0" w:space="0" w:color="auto"/>
      </w:divBdr>
    </w:div>
    <w:div w:id="65224843">
      <w:bodyDiv w:val="1"/>
      <w:marLeft w:val="0"/>
      <w:marRight w:val="0"/>
      <w:marTop w:val="0"/>
      <w:marBottom w:val="0"/>
      <w:divBdr>
        <w:top w:val="none" w:sz="0" w:space="0" w:color="auto"/>
        <w:left w:val="none" w:sz="0" w:space="0" w:color="auto"/>
        <w:bottom w:val="none" w:sz="0" w:space="0" w:color="auto"/>
        <w:right w:val="none" w:sz="0" w:space="0" w:color="auto"/>
      </w:divBdr>
      <w:divsChild>
        <w:div w:id="15036894">
          <w:marLeft w:val="0"/>
          <w:marRight w:val="0"/>
          <w:marTop w:val="0"/>
          <w:marBottom w:val="0"/>
          <w:divBdr>
            <w:top w:val="none" w:sz="0" w:space="0" w:color="auto"/>
            <w:left w:val="none" w:sz="0" w:space="0" w:color="auto"/>
            <w:bottom w:val="none" w:sz="0" w:space="0" w:color="auto"/>
            <w:right w:val="none" w:sz="0" w:space="0" w:color="auto"/>
          </w:divBdr>
          <w:divsChild>
            <w:div w:id="5571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94697">
      <w:bodyDiv w:val="1"/>
      <w:marLeft w:val="0"/>
      <w:marRight w:val="0"/>
      <w:marTop w:val="0"/>
      <w:marBottom w:val="0"/>
      <w:divBdr>
        <w:top w:val="none" w:sz="0" w:space="0" w:color="auto"/>
        <w:left w:val="none" w:sz="0" w:space="0" w:color="auto"/>
        <w:bottom w:val="none" w:sz="0" w:space="0" w:color="auto"/>
        <w:right w:val="none" w:sz="0" w:space="0" w:color="auto"/>
      </w:divBdr>
      <w:divsChild>
        <w:div w:id="1830171021">
          <w:marLeft w:val="0"/>
          <w:marRight w:val="0"/>
          <w:marTop w:val="0"/>
          <w:marBottom w:val="0"/>
          <w:divBdr>
            <w:top w:val="none" w:sz="0" w:space="0" w:color="auto"/>
            <w:left w:val="none" w:sz="0" w:space="0" w:color="auto"/>
            <w:bottom w:val="none" w:sz="0" w:space="0" w:color="auto"/>
            <w:right w:val="none" w:sz="0" w:space="0" w:color="auto"/>
          </w:divBdr>
          <w:divsChild>
            <w:div w:id="65191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73002">
      <w:bodyDiv w:val="1"/>
      <w:marLeft w:val="0"/>
      <w:marRight w:val="0"/>
      <w:marTop w:val="0"/>
      <w:marBottom w:val="0"/>
      <w:divBdr>
        <w:top w:val="none" w:sz="0" w:space="0" w:color="auto"/>
        <w:left w:val="none" w:sz="0" w:space="0" w:color="auto"/>
        <w:bottom w:val="none" w:sz="0" w:space="0" w:color="auto"/>
        <w:right w:val="none" w:sz="0" w:space="0" w:color="auto"/>
      </w:divBdr>
      <w:divsChild>
        <w:div w:id="102264176">
          <w:marLeft w:val="0"/>
          <w:marRight w:val="0"/>
          <w:marTop w:val="0"/>
          <w:marBottom w:val="0"/>
          <w:divBdr>
            <w:top w:val="none" w:sz="0" w:space="0" w:color="auto"/>
            <w:left w:val="none" w:sz="0" w:space="0" w:color="auto"/>
            <w:bottom w:val="none" w:sz="0" w:space="0" w:color="auto"/>
            <w:right w:val="none" w:sz="0" w:space="0" w:color="auto"/>
          </w:divBdr>
          <w:divsChild>
            <w:div w:id="124625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46882">
      <w:bodyDiv w:val="1"/>
      <w:marLeft w:val="0"/>
      <w:marRight w:val="0"/>
      <w:marTop w:val="0"/>
      <w:marBottom w:val="0"/>
      <w:divBdr>
        <w:top w:val="none" w:sz="0" w:space="0" w:color="auto"/>
        <w:left w:val="none" w:sz="0" w:space="0" w:color="auto"/>
        <w:bottom w:val="none" w:sz="0" w:space="0" w:color="auto"/>
        <w:right w:val="none" w:sz="0" w:space="0" w:color="auto"/>
      </w:divBdr>
      <w:divsChild>
        <w:div w:id="1895694483">
          <w:marLeft w:val="0"/>
          <w:marRight w:val="0"/>
          <w:marTop w:val="0"/>
          <w:marBottom w:val="0"/>
          <w:divBdr>
            <w:top w:val="none" w:sz="0" w:space="0" w:color="auto"/>
            <w:left w:val="none" w:sz="0" w:space="0" w:color="auto"/>
            <w:bottom w:val="none" w:sz="0" w:space="0" w:color="auto"/>
            <w:right w:val="none" w:sz="0" w:space="0" w:color="auto"/>
          </w:divBdr>
          <w:divsChild>
            <w:div w:id="1370761629">
              <w:marLeft w:val="0"/>
              <w:marRight w:val="0"/>
              <w:marTop w:val="0"/>
              <w:marBottom w:val="0"/>
              <w:divBdr>
                <w:top w:val="none" w:sz="0" w:space="0" w:color="auto"/>
                <w:left w:val="none" w:sz="0" w:space="0" w:color="auto"/>
                <w:bottom w:val="none" w:sz="0" w:space="0" w:color="auto"/>
                <w:right w:val="none" w:sz="0" w:space="0" w:color="auto"/>
              </w:divBdr>
              <w:divsChild>
                <w:div w:id="75991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984">
      <w:bodyDiv w:val="1"/>
      <w:marLeft w:val="0"/>
      <w:marRight w:val="0"/>
      <w:marTop w:val="0"/>
      <w:marBottom w:val="0"/>
      <w:divBdr>
        <w:top w:val="none" w:sz="0" w:space="0" w:color="auto"/>
        <w:left w:val="none" w:sz="0" w:space="0" w:color="auto"/>
        <w:bottom w:val="none" w:sz="0" w:space="0" w:color="auto"/>
        <w:right w:val="none" w:sz="0" w:space="0" w:color="auto"/>
      </w:divBdr>
      <w:divsChild>
        <w:div w:id="368408995">
          <w:marLeft w:val="0"/>
          <w:marRight w:val="0"/>
          <w:marTop w:val="0"/>
          <w:marBottom w:val="0"/>
          <w:divBdr>
            <w:top w:val="none" w:sz="0" w:space="0" w:color="auto"/>
            <w:left w:val="none" w:sz="0" w:space="0" w:color="auto"/>
            <w:bottom w:val="none" w:sz="0" w:space="0" w:color="auto"/>
            <w:right w:val="none" w:sz="0" w:space="0" w:color="auto"/>
          </w:divBdr>
          <w:divsChild>
            <w:div w:id="15403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8576">
      <w:bodyDiv w:val="1"/>
      <w:marLeft w:val="0"/>
      <w:marRight w:val="0"/>
      <w:marTop w:val="0"/>
      <w:marBottom w:val="0"/>
      <w:divBdr>
        <w:top w:val="none" w:sz="0" w:space="0" w:color="auto"/>
        <w:left w:val="none" w:sz="0" w:space="0" w:color="auto"/>
        <w:bottom w:val="none" w:sz="0" w:space="0" w:color="auto"/>
        <w:right w:val="none" w:sz="0" w:space="0" w:color="auto"/>
      </w:divBdr>
      <w:divsChild>
        <w:div w:id="1918703735">
          <w:marLeft w:val="0"/>
          <w:marRight w:val="0"/>
          <w:marTop w:val="0"/>
          <w:marBottom w:val="0"/>
          <w:divBdr>
            <w:top w:val="none" w:sz="0" w:space="0" w:color="auto"/>
            <w:left w:val="none" w:sz="0" w:space="0" w:color="auto"/>
            <w:bottom w:val="none" w:sz="0" w:space="0" w:color="auto"/>
            <w:right w:val="none" w:sz="0" w:space="0" w:color="auto"/>
          </w:divBdr>
          <w:divsChild>
            <w:div w:id="19621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62230">
      <w:bodyDiv w:val="1"/>
      <w:marLeft w:val="0"/>
      <w:marRight w:val="0"/>
      <w:marTop w:val="0"/>
      <w:marBottom w:val="0"/>
      <w:divBdr>
        <w:top w:val="none" w:sz="0" w:space="0" w:color="auto"/>
        <w:left w:val="none" w:sz="0" w:space="0" w:color="auto"/>
        <w:bottom w:val="none" w:sz="0" w:space="0" w:color="auto"/>
        <w:right w:val="none" w:sz="0" w:space="0" w:color="auto"/>
      </w:divBdr>
      <w:divsChild>
        <w:div w:id="2141801174">
          <w:marLeft w:val="0"/>
          <w:marRight w:val="0"/>
          <w:marTop w:val="0"/>
          <w:marBottom w:val="0"/>
          <w:divBdr>
            <w:top w:val="none" w:sz="0" w:space="0" w:color="auto"/>
            <w:left w:val="none" w:sz="0" w:space="0" w:color="auto"/>
            <w:bottom w:val="none" w:sz="0" w:space="0" w:color="auto"/>
            <w:right w:val="none" w:sz="0" w:space="0" w:color="auto"/>
          </w:divBdr>
          <w:divsChild>
            <w:div w:id="112238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05902">
      <w:bodyDiv w:val="1"/>
      <w:marLeft w:val="0"/>
      <w:marRight w:val="0"/>
      <w:marTop w:val="0"/>
      <w:marBottom w:val="0"/>
      <w:divBdr>
        <w:top w:val="none" w:sz="0" w:space="0" w:color="auto"/>
        <w:left w:val="none" w:sz="0" w:space="0" w:color="auto"/>
        <w:bottom w:val="none" w:sz="0" w:space="0" w:color="auto"/>
        <w:right w:val="none" w:sz="0" w:space="0" w:color="auto"/>
      </w:divBdr>
      <w:divsChild>
        <w:div w:id="529882239">
          <w:marLeft w:val="0"/>
          <w:marRight w:val="0"/>
          <w:marTop w:val="0"/>
          <w:marBottom w:val="0"/>
          <w:divBdr>
            <w:top w:val="none" w:sz="0" w:space="0" w:color="auto"/>
            <w:left w:val="none" w:sz="0" w:space="0" w:color="auto"/>
            <w:bottom w:val="none" w:sz="0" w:space="0" w:color="auto"/>
            <w:right w:val="none" w:sz="0" w:space="0" w:color="auto"/>
          </w:divBdr>
          <w:divsChild>
            <w:div w:id="50196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24261">
      <w:bodyDiv w:val="1"/>
      <w:marLeft w:val="0"/>
      <w:marRight w:val="0"/>
      <w:marTop w:val="0"/>
      <w:marBottom w:val="0"/>
      <w:divBdr>
        <w:top w:val="none" w:sz="0" w:space="0" w:color="auto"/>
        <w:left w:val="none" w:sz="0" w:space="0" w:color="auto"/>
        <w:bottom w:val="none" w:sz="0" w:space="0" w:color="auto"/>
        <w:right w:val="none" w:sz="0" w:space="0" w:color="auto"/>
      </w:divBdr>
    </w:div>
    <w:div w:id="181406410">
      <w:bodyDiv w:val="1"/>
      <w:marLeft w:val="0"/>
      <w:marRight w:val="0"/>
      <w:marTop w:val="0"/>
      <w:marBottom w:val="0"/>
      <w:divBdr>
        <w:top w:val="none" w:sz="0" w:space="0" w:color="auto"/>
        <w:left w:val="none" w:sz="0" w:space="0" w:color="auto"/>
        <w:bottom w:val="none" w:sz="0" w:space="0" w:color="auto"/>
        <w:right w:val="none" w:sz="0" w:space="0" w:color="auto"/>
      </w:divBdr>
      <w:divsChild>
        <w:div w:id="1812672739">
          <w:marLeft w:val="0"/>
          <w:marRight w:val="0"/>
          <w:marTop w:val="0"/>
          <w:marBottom w:val="0"/>
          <w:divBdr>
            <w:top w:val="none" w:sz="0" w:space="0" w:color="auto"/>
            <w:left w:val="none" w:sz="0" w:space="0" w:color="auto"/>
            <w:bottom w:val="none" w:sz="0" w:space="0" w:color="auto"/>
            <w:right w:val="none" w:sz="0" w:space="0" w:color="auto"/>
          </w:divBdr>
          <w:divsChild>
            <w:div w:id="3069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36432">
      <w:bodyDiv w:val="1"/>
      <w:marLeft w:val="0"/>
      <w:marRight w:val="0"/>
      <w:marTop w:val="0"/>
      <w:marBottom w:val="0"/>
      <w:divBdr>
        <w:top w:val="none" w:sz="0" w:space="0" w:color="auto"/>
        <w:left w:val="none" w:sz="0" w:space="0" w:color="auto"/>
        <w:bottom w:val="none" w:sz="0" w:space="0" w:color="auto"/>
        <w:right w:val="none" w:sz="0" w:space="0" w:color="auto"/>
      </w:divBdr>
    </w:div>
    <w:div w:id="197553881">
      <w:bodyDiv w:val="1"/>
      <w:marLeft w:val="0"/>
      <w:marRight w:val="0"/>
      <w:marTop w:val="0"/>
      <w:marBottom w:val="0"/>
      <w:divBdr>
        <w:top w:val="none" w:sz="0" w:space="0" w:color="auto"/>
        <w:left w:val="none" w:sz="0" w:space="0" w:color="auto"/>
        <w:bottom w:val="none" w:sz="0" w:space="0" w:color="auto"/>
        <w:right w:val="none" w:sz="0" w:space="0" w:color="auto"/>
      </w:divBdr>
      <w:divsChild>
        <w:div w:id="796723418">
          <w:marLeft w:val="0"/>
          <w:marRight w:val="0"/>
          <w:marTop w:val="0"/>
          <w:marBottom w:val="0"/>
          <w:divBdr>
            <w:top w:val="none" w:sz="0" w:space="0" w:color="auto"/>
            <w:left w:val="none" w:sz="0" w:space="0" w:color="auto"/>
            <w:bottom w:val="none" w:sz="0" w:space="0" w:color="auto"/>
            <w:right w:val="none" w:sz="0" w:space="0" w:color="auto"/>
          </w:divBdr>
          <w:divsChild>
            <w:div w:id="22429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2784">
      <w:bodyDiv w:val="1"/>
      <w:marLeft w:val="0"/>
      <w:marRight w:val="0"/>
      <w:marTop w:val="0"/>
      <w:marBottom w:val="0"/>
      <w:divBdr>
        <w:top w:val="none" w:sz="0" w:space="0" w:color="auto"/>
        <w:left w:val="none" w:sz="0" w:space="0" w:color="auto"/>
        <w:bottom w:val="none" w:sz="0" w:space="0" w:color="auto"/>
        <w:right w:val="none" w:sz="0" w:space="0" w:color="auto"/>
      </w:divBdr>
      <w:divsChild>
        <w:div w:id="2108305425">
          <w:marLeft w:val="0"/>
          <w:marRight w:val="0"/>
          <w:marTop w:val="0"/>
          <w:marBottom w:val="0"/>
          <w:divBdr>
            <w:top w:val="none" w:sz="0" w:space="0" w:color="auto"/>
            <w:left w:val="none" w:sz="0" w:space="0" w:color="auto"/>
            <w:bottom w:val="none" w:sz="0" w:space="0" w:color="auto"/>
            <w:right w:val="none" w:sz="0" w:space="0" w:color="auto"/>
          </w:divBdr>
          <w:divsChild>
            <w:div w:id="196453581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24296039">
      <w:bodyDiv w:val="1"/>
      <w:marLeft w:val="0"/>
      <w:marRight w:val="0"/>
      <w:marTop w:val="0"/>
      <w:marBottom w:val="0"/>
      <w:divBdr>
        <w:top w:val="none" w:sz="0" w:space="0" w:color="auto"/>
        <w:left w:val="none" w:sz="0" w:space="0" w:color="auto"/>
        <w:bottom w:val="none" w:sz="0" w:space="0" w:color="auto"/>
        <w:right w:val="none" w:sz="0" w:space="0" w:color="auto"/>
      </w:divBdr>
    </w:div>
    <w:div w:id="310983704">
      <w:bodyDiv w:val="1"/>
      <w:marLeft w:val="0"/>
      <w:marRight w:val="0"/>
      <w:marTop w:val="0"/>
      <w:marBottom w:val="0"/>
      <w:divBdr>
        <w:top w:val="none" w:sz="0" w:space="0" w:color="auto"/>
        <w:left w:val="none" w:sz="0" w:space="0" w:color="auto"/>
        <w:bottom w:val="none" w:sz="0" w:space="0" w:color="auto"/>
        <w:right w:val="none" w:sz="0" w:space="0" w:color="auto"/>
      </w:divBdr>
      <w:divsChild>
        <w:div w:id="561327625">
          <w:marLeft w:val="0"/>
          <w:marRight w:val="0"/>
          <w:marTop w:val="0"/>
          <w:marBottom w:val="0"/>
          <w:divBdr>
            <w:top w:val="none" w:sz="0" w:space="0" w:color="auto"/>
            <w:left w:val="none" w:sz="0" w:space="0" w:color="auto"/>
            <w:bottom w:val="none" w:sz="0" w:space="0" w:color="auto"/>
            <w:right w:val="none" w:sz="0" w:space="0" w:color="auto"/>
          </w:divBdr>
          <w:divsChild>
            <w:div w:id="160295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770876">
      <w:bodyDiv w:val="1"/>
      <w:marLeft w:val="0"/>
      <w:marRight w:val="0"/>
      <w:marTop w:val="0"/>
      <w:marBottom w:val="0"/>
      <w:divBdr>
        <w:top w:val="none" w:sz="0" w:space="0" w:color="auto"/>
        <w:left w:val="none" w:sz="0" w:space="0" w:color="auto"/>
        <w:bottom w:val="none" w:sz="0" w:space="0" w:color="auto"/>
        <w:right w:val="none" w:sz="0" w:space="0" w:color="auto"/>
      </w:divBdr>
      <w:divsChild>
        <w:div w:id="708148740">
          <w:marLeft w:val="0"/>
          <w:marRight w:val="0"/>
          <w:marTop w:val="0"/>
          <w:marBottom w:val="0"/>
          <w:divBdr>
            <w:top w:val="none" w:sz="0" w:space="0" w:color="auto"/>
            <w:left w:val="none" w:sz="0" w:space="0" w:color="auto"/>
            <w:bottom w:val="none" w:sz="0" w:space="0" w:color="auto"/>
            <w:right w:val="none" w:sz="0" w:space="0" w:color="auto"/>
          </w:divBdr>
          <w:divsChild>
            <w:div w:id="5152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73048">
      <w:bodyDiv w:val="1"/>
      <w:marLeft w:val="0"/>
      <w:marRight w:val="0"/>
      <w:marTop w:val="0"/>
      <w:marBottom w:val="0"/>
      <w:divBdr>
        <w:top w:val="none" w:sz="0" w:space="0" w:color="auto"/>
        <w:left w:val="none" w:sz="0" w:space="0" w:color="auto"/>
        <w:bottom w:val="none" w:sz="0" w:space="0" w:color="auto"/>
        <w:right w:val="none" w:sz="0" w:space="0" w:color="auto"/>
      </w:divBdr>
      <w:divsChild>
        <w:div w:id="1769690155">
          <w:marLeft w:val="0"/>
          <w:marRight w:val="0"/>
          <w:marTop w:val="0"/>
          <w:marBottom w:val="0"/>
          <w:divBdr>
            <w:top w:val="none" w:sz="0" w:space="0" w:color="auto"/>
            <w:left w:val="none" w:sz="0" w:space="0" w:color="auto"/>
            <w:bottom w:val="none" w:sz="0" w:space="0" w:color="auto"/>
            <w:right w:val="none" w:sz="0" w:space="0" w:color="auto"/>
          </w:divBdr>
          <w:divsChild>
            <w:div w:id="108214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41969">
      <w:bodyDiv w:val="1"/>
      <w:marLeft w:val="0"/>
      <w:marRight w:val="0"/>
      <w:marTop w:val="0"/>
      <w:marBottom w:val="0"/>
      <w:divBdr>
        <w:top w:val="none" w:sz="0" w:space="0" w:color="auto"/>
        <w:left w:val="none" w:sz="0" w:space="0" w:color="auto"/>
        <w:bottom w:val="none" w:sz="0" w:space="0" w:color="auto"/>
        <w:right w:val="none" w:sz="0" w:space="0" w:color="auto"/>
      </w:divBdr>
    </w:div>
    <w:div w:id="414479040">
      <w:bodyDiv w:val="1"/>
      <w:marLeft w:val="0"/>
      <w:marRight w:val="0"/>
      <w:marTop w:val="0"/>
      <w:marBottom w:val="0"/>
      <w:divBdr>
        <w:top w:val="none" w:sz="0" w:space="0" w:color="auto"/>
        <w:left w:val="none" w:sz="0" w:space="0" w:color="auto"/>
        <w:bottom w:val="none" w:sz="0" w:space="0" w:color="auto"/>
        <w:right w:val="none" w:sz="0" w:space="0" w:color="auto"/>
      </w:divBdr>
      <w:divsChild>
        <w:div w:id="601375939">
          <w:marLeft w:val="0"/>
          <w:marRight w:val="0"/>
          <w:marTop w:val="0"/>
          <w:marBottom w:val="0"/>
          <w:divBdr>
            <w:top w:val="none" w:sz="0" w:space="0" w:color="auto"/>
            <w:left w:val="none" w:sz="0" w:space="0" w:color="auto"/>
            <w:bottom w:val="none" w:sz="0" w:space="0" w:color="auto"/>
            <w:right w:val="none" w:sz="0" w:space="0" w:color="auto"/>
          </w:divBdr>
          <w:divsChild>
            <w:div w:id="85403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76391">
      <w:bodyDiv w:val="1"/>
      <w:marLeft w:val="0"/>
      <w:marRight w:val="0"/>
      <w:marTop w:val="0"/>
      <w:marBottom w:val="0"/>
      <w:divBdr>
        <w:top w:val="none" w:sz="0" w:space="0" w:color="auto"/>
        <w:left w:val="none" w:sz="0" w:space="0" w:color="auto"/>
        <w:bottom w:val="none" w:sz="0" w:space="0" w:color="auto"/>
        <w:right w:val="none" w:sz="0" w:space="0" w:color="auto"/>
      </w:divBdr>
      <w:divsChild>
        <w:div w:id="102119332">
          <w:marLeft w:val="0"/>
          <w:marRight w:val="0"/>
          <w:marTop w:val="0"/>
          <w:marBottom w:val="0"/>
          <w:divBdr>
            <w:top w:val="none" w:sz="0" w:space="0" w:color="auto"/>
            <w:left w:val="none" w:sz="0" w:space="0" w:color="auto"/>
            <w:bottom w:val="none" w:sz="0" w:space="0" w:color="auto"/>
            <w:right w:val="none" w:sz="0" w:space="0" w:color="auto"/>
          </w:divBdr>
          <w:divsChild>
            <w:div w:id="126958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473936">
      <w:bodyDiv w:val="1"/>
      <w:marLeft w:val="0"/>
      <w:marRight w:val="0"/>
      <w:marTop w:val="0"/>
      <w:marBottom w:val="0"/>
      <w:divBdr>
        <w:top w:val="none" w:sz="0" w:space="0" w:color="auto"/>
        <w:left w:val="none" w:sz="0" w:space="0" w:color="auto"/>
        <w:bottom w:val="none" w:sz="0" w:space="0" w:color="auto"/>
        <w:right w:val="none" w:sz="0" w:space="0" w:color="auto"/>
      </w:divBdr>
      <w:divsChild>
        <w:div w:id="791290696">
          <w:marLeft w:val="0"/>
          <w:marRight w:val="0"/>
          <w:marTop w:val="0"/>
          <w:marBottom w:val="0"/>
          <w:divBdr>
            <w:top w:val="none" w:sz="0" w:space="0" w:color="auto"/>
            <w:left w:val="none" w:sz="0" w:space="0" w:color="auto"/>
            <w:bottom w:val="none" w:sz="0" w:space="0" w:color="auto"/>
            <w:right w:val="none" w:sz="0" w:space="0" w:color="auto"/>
          </w:divBdr>
          <w:divsChild>
            <w:div w:id="99164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499204">
      <w:bodyDiv w:val="1"/>
      <w:marLeft w:val="0"/>
      <w:marRight w:val="0"/>
      <w:marTop w:val="0"/>
      <w:marBottom w:val="0"/>
      <w:divBdr>
        <w:top w:val="none" w:sz="0" w:space="0" w:color="auto"/>
        <w:left w:val="none" w:sz="0" w:space="0" w:color="auto"/>
        <w:bottom w:val="none" w:sz="0" w:space="0" w:color="auto"/>
        <w:right w:val="none" w:sz="0" w:space="0" w:color="auto"/>
      </w:divBdr>
      <w:divsChild>
        <w:div w:id="1665160035">
          <w:marLeft w:val="0"/>
          <w:marRight w:val="0"/>
          <w:marTop w:val="0"/>
          <w:marBottom w:val="0"/>
          <w:divBdr>
            <w:top w:val="none" w:sz="0" w:space="0" w:color="auto"/>
            <w:left w:val="none" w:sz="0" w:space="0" w:color="auto"/>
            <w:bottom w:val="none" w:sz="0" w:space="0" w:color="auto"/>
            <w:right w:val="none" w:sz="0" w:space="0" w:color="auto"/>
          </w:divBdr>
          <w:divsChild>
            <w:div w:id="70583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631140">
      <w:bodyDiv w:val="1"/>
      <w:marLeft w:val="0"/>
      <w:marRight w:val="0"/>
      <w:marTop w:val="0"/>
      <w:marBottom w:val="0"/>
      <w:divBdr>
        <w:top w:val="none" w:sz="0" w:space="0" w:color="auto"/>
        <w:left w:val="none" w:sz="0" w:space="0" w:color="auto"/>
        <w:bottom w:val="none" w:sz="0" w:space="0" w:color="auto"/>
        <w:right w:val="none" w:sz="0" w:space="0" w:color="auto"/>
      </w:divBdr>
      <w:divsChild>
        <w:div w:id="238756106">
          <w:marLeft w:val="0"/>
          <w:marRight w:val="0"/>
          <w:marTop w:val="0"/>
          <w:marBottom w:val="0"/>
          <w:divBdr>
            <w:top w:val="none" w:sz="0" w:space="0" w:color="auto"/>
            <w:left w:val="none" w:sz="0" w:space="0" w:color="auto"/>
            <w:bottom w:val="none" w:sz="0" w:space="0" w:color="auto"/>
            <w:right w:val="none" w:sz="0" w:space="0" w:color="auto"/>
          </w:divBdr>
        </w:div>
      </w:divsChild>
    </w:div>
    <w:div w:id="507403548">
      <w:bodyDiv w:val="1"/>
      <w:marLeft w:val="0"/>
      <w:marRight w:val="0"/>
      <w:marTop w:val="0"/>
      <w:marBottom w:val="0"/>
      <w:divBdr>
        <w:top w:val="none" w:sz="0" w:space="0" w:color="auto"/>
        <w:left w:val="none" w:sz="0" w:space="0" w:color="auto"/>
        <w:bottom w:val="none" w:sz="0" w:space="0" w:color="auto"/>
        <w:right w:val="none" w:sz="0" w:space="0" w:color="auto"/>
      </w:divBdr>
      <w:divsChild>
        <w:div w:id="1855654723">
          <w:marLeft w:val="0"/>
          <w:marRight w:val="0"/>
          <w:marTop w:val="0"/>
          <w:marBottom w:val="0"/>
          <w:divBdr>
            <w:top w:val="none" w:sz="0" w:space="0" w:color="auto"/>
            <w:left w:val="none" w:sz="0" w:space="0" w:color="auto"/>
            <w:bottom w:val="none" w:sz="0" w:space="0" w:color="auto"/>
            <w:right w:val="none" w:sz="0" w:space="0" w:color="auto"/>
          </w:divBdr>
          <w:divsChild>
            <w:div w:id="188147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204493">
      <w:bodyDiv w:val="1"/>
      <w:marLeft w:val="0"/>
      <w:marRight w:val="0"/>
      <w:marTop w:val="0"/>
      <w:marBottom w:val="0"/>
      <w:divBdr>
        <w:top w:val="none" w:sz="0" w:space="0" w:color="auto"/>
        <w:left w:val="none" w:sz="0" w:space="0" w:color="auto"/>
        <w:bottom w:val="none" w:sz="0" w:space="0" w:color="auto"/>
        <w:right w:val="none" w:sz="0" w:space="0" w:color="auto"/>
      </w:divBdr>
      <w:divsChild>
        <w:div w:id="1770658035">
          <w:marLeft w:val="0"/>
          <w:marRight w:val="0"/>
          <w:marTop w:val="0"/>
          <w:marBottom w:val="0"/>
          <w:divBdr>
            <w:top w:val="none" w:sz="0" w:space="0" w:color="auto"/>
            <w:left w:val="none" w:sz="0" w:space="0" w:color="auto"/>
            <w:bottom w:val="none" w:sz="0" w:space="0" w:color="auto"/>
            <w:right w:val="none" w:sz="0" w:space="0" w:color="auto"/>
          </w:divBdr>
          <w:divsChild>
            <w:div w:id="12335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142803">
      <w:bodyDiv w:val="1"/>
      <w:marLeft w:val="0"/>
      <w:marRight w:val="0"/>
      <w:marTop w:val="0"/>
      <w:marBottom w:val="0"/>
      <w:divBdr>
        <w:top w:val="none" w:sz="0" w:space="0" w:color="auto"/>
        <w:left w:val="none" w:sz="0" w:space="0" w:color="auto"/>
        <w:bottom w:val="none" w:sz="0" w:space="0" w:color="auto"/>
        <w:right w:val="none" w:sz="0" w:space="0" w:color="auto"/>
      </w:divBdr>
      <w:divsChild>
        <w:div w:id="705953836">
          <w:marLeft w:val="0"/>
          <w:marRight w:val="0"/>
          <w:marTop w:val="0"/>
          <w:marBottom w:val="0"/>
          <w:divBdr>
            <w:top w:val="none" w:sz="0" w:space="0" w:color="auto"/>
            <w:left w:val="none" w:sz="0" w:space="0" w:color="auto"/>
            <w:bottom w:val="none" w:sz="0" w:space="0" w:color="auto"/>
            <w:right w:val="none" w:sz="0" w:space="0" w:color="auto"/>
          </w:divBdr>
          <w:divsChild>
            <w:div w:id="36860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69269">
      <w:bodyDiv w:val="1"/>
      <w:marLeft w:val="0"/>
      <w:marRight w:val="0"/>
      <w:marTop w:val="0"/>
      <w:marBottom w:val="0"/>
      <w:divBdr>
        <w:top w:val="none" w:sz="0" w:space="0" w:color="auto"/>
        <w:left w:val="none" w:sz="0" w:space="0" w:color="auto"/>
        <w:bottom w:val="none" w:sz="0" w:space="0" w:color="auto"/>
        <w:right w:val="none" w:sz="0" w:space="0" w:color="auto"/>
      </w:divBdr>
      <w:divsChild>
        <w:div w:id="232281435">
          <w:marLeft w:val="0"/>
          <w:marRight w:val="0"/>
          <w:marTop w:val="0"/>
          <w:marBottom w:val="0"/>
          <w:divBdr>
            <w:top w:val="none" w:sz="0" w:space="0" w:color="auto"/>
            <w:left w:val="none" w:sz="0" w:space="0" w:color="auto"/>
            <w:bottom w:val="none" w:sz="0" w:space="0" w:color="auto"/>
            <w:right w:val="none" w:sz="0" w:space="0" w:color="auto"/>
          </w:divBdr>
          <w:divsChild>
            <w:div w:id="71470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20403">
      <w:bodyDiv w:val="1"/>
      <w:marLeft w:val="0"/>
      <w:marRight w:val="0"/>
      <w:marTop w:val="0"/>
      <w:marBottom w:val="0"/>
      <w:divBdr>
        <w:top w:val="none" w:sz="0" w:space="0" w:color="auto"/>
        <w:left w:val="none" w:sz="0" w:space="0" w:color="auto"/>
        <w:bottom w:val="none" w:sz="0" w:space="0" w:color="auto"/>
        <w:right w:val="none" w:sz="0" w:space="0" w:color="auto"/>
      </w:divBdr>
      <w:divsChild>
        <w:div w:id="1410537388">
          <w:marLeft w:val="0"/>
          <w:marRight w:val="0"/>
          <w:marTop w:val="0"/>
          <w:marBottom w:val="0"/>
          <w:divBdr>
            <w:top w:val="none" w:sz="0" w:space="0" w:color="auto"/>
            <w:left w:val="none" w:sz="0" w:space="0" w:color="auto"/>
            <w:bottom w:val="none" w:sz="0" w:space="0" w:color="auto"/>
            <w:right w:val="none" w:sz="0" w:space="0" w:color="auto"/>
          </w:divBdr>
          <w:divsChild>
            <w:div w:id="95132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395496">
      <w:bodyDiv w:val="1"/>
      <w:marLeft w:val="0"/>
      <w:marRight w:val="0"/>
      <w:marTop w:val="0"/>
      <w:marBottom w:val="0"/>
      <w:divBdr>
        <w:top w:val="none" w:sz="0" w:space="0" w:color="auto"/>
        <w:left w:val="none" w:sz="0" w:space="0" w:color="auto"/>
        <w:bottom w:val="none" w:sz="0" w:space="0" w:color="auto"/>
        <w:right w:val="none" w:sz="0" w:space="0" w:color="auto"/>
      </w:divBdr>
      <w:divsChild>
        <w:div w:id="1469786953">
          <w:marLeft w:val="0"/>
          <w:marRight w:val="0"/>
          <w:marTop w:val="0"/>
          <w:marBottom w:val="0"/>
          <w:divBdr>
            <w:top w:val="none" w:sz="0" w:space="0" w:color="auto"/>
            <w:left w:val="none" w:sz="0" w:space="0" w:color="auto"/>
            <w:bottom w:val="none" w:sz="0" w:space="0" w:color="auto"/>
            <w:right w:val="none" w:sz="0" w:space="0" w:color="auto"/>
          </w:divBdr>
          <w:divsChild>
            <w:div w:id="114434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868898">
      <w:bodyDiv w:val="1"/>
      <w:marLeft w:val="0"/>
      <w:marRight w:val="0"/>
      <w:marTop w:val="0"/>
      <w:marBottom w:val="0"/>
      <w:divBdr>
        <w:top w:val="none" w:sz="0" w:space="0" w:color="auto"/>
        <w:left w:val="none" w:sz="0" w:space="0" w:color="auto"/>
        <w:bottom w:val="none" w:sz="0" w:space="0" w:color="auto"/>
        <w:right w:val="none" w:sz="0" w:space="0" w:color="auto"/>
      </w:divBdr>
      <w:divsChild>
        <w:div w:id="198056035">
          <w:marLeft w:val="0"/>
          <w:marRight w:val="0"/>
          <w:marTop w:val="0"/>
          <w:marBottom w:val="0"/>
          <w:divBdr>
            <w:top w:val="none" w:sz="0" w:space="0" w:color="auto"/>
            <w:left w:val="none" w:sz="0" w:space="0" w:color="auto"/>
            <w:bottom w:val="none" w:sz="0" w:space="0" w:color="auto"/>
            <w:right w:val="none" w:sz="0" w:space="0" w:color="auto"/>
          </w:divBdr>
          <w:divsChild>
            <w:div w:id="182708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052381">
      <w:bodyDiv w:val="1"/>
      <w:marLeft w:val="0"/>
      <w:marRight w:val="0"/>
      <w:marTop w:val="0"/>
      <w:marBottom w:val="0"/>
      <w:divBdr>
        <w:top w:val="none" w:sz="0" w:space="0" w:color="auto"/>
        <w:left w:val="none" w:sz="0" w:space="0" w:color="auto"/>
        <w:bottom w:val="none" w:sz="0" w:space="0" w:color="auto"/>
        <w:right w:val="none" w:sz="0" w:space="0" w:color="auto"/>
      </w:divBdr>
      <w:divsChild>
        <w:div w:id="1694841147">
          <w:marLeft w:val="0"/>
          <w:marRight w:val="0"/>
          <w:marTop w:val="0"/>
          <w:marBottom w:val="0"/>
          <w:divBdr>
            <w:top w:val="none" w:sz="0" w:space="0" w:color="auto"/>
            <w:left w:val="none" w:sz="0" w:space="0" w:color="auto"/>
            <w:bottom w:val="none" w:sz="0" w:space="0" w:color="auto"/>
            <w:right w:val="none" w:sz="0" w:space="0" w:color="auto"/>
          </w:divBdr>
          <w:divsChild>
            <w:div w:id="162256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765818">
      <w:bodyDiv w:val="1"/>
      <w:marLeft w:val="0"/>
      <w:marRight w:val="0"/>
      <w:marTop w:val="0"/>
      <w:marBottom w:val="0"/>
      <w:divBdr>
        <w:top w:val="none" w:sz="0" w:space="0" w:color="auto"/>
        <w:left w:val="none" w:sz="0" w:space="0" w:color="auto"/>
        <w:bottom w:val="none" w:sz="0" w:space="0" w:color="auto"/>
        <w:right w:val="none" w:sz="0" w:space="0" w:color="auto"/>
      </w:divBdr>
    </w:div>
    <w:div w:id="642078047">
      <w:bodyDiv w:val="1"/>
      <w:marLeft w:val="0"/>
      <w:marRight w:val="0"/>
      <w:marTop w:val="0"/>
      <w:marBottom w:val="0"/>
      <w:divBdr>
        <w:top w:val="none" w:sz="0" w:space="0" w:color="auto"/>
        <w:left w:val="none" w:sz="0" w:space="0" w:color="auto"/>
        <w:bottom w:val="none" w:sz="0" w:space="0" w:color="auto"/>
        <w:right w:val="none" w:sz="0" w:space="0" w:color="auto"/>
      </w:divBdr>
      <w:divsChild>
        <w:div w:id="1472475494">
          <w:marLeft w:val="0"/>
          <w:marRight w:val="0"/>
          <w:marTop w:val="0"/>
          <w:marBottom w:val="0"/>
          <w:divBdr>
            <w:top w:val="none" w:sz="0" w:space="0" w:color="auto"/>
            <w:left w:val="none" w:sz="0" w:space="0" w:color="auto"/>
            <w:bottom w:val="none" w:sz="0" w:space="0" w:color="auto"/>
            <w:right w:val="none" w:sz="0" w:space="0" w:color="auto"/>
          </w:divBdr>
          <w:divsChild>
            <w:div w:id="40530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79830">
      <w:bodyDiv w:val="1"/>
      <w:marLeft w:val="0"/>
      <w:marRight w:val="0"/>
      <w:marTop w:val="0"/>
      <w:marBottom w:val="0"/>
      <w:divBdr>
        <w:top w:val="none" w:sz="0" w:space="0" w:color="auto"/>
        <w:left w:val="none" w:sz="0" w:space="0" w:color="auto"/>
        <w:bottom w:val="none" w:sz="0" w:space="0" w:color="auto"/>
        <w:right w:val="none" w:sz="0" w:space="0" w:color="auto"/>
      </w:divBdr>
      <w:divsChild>
        <w:div w:id="1191069308">
          <w:marLeft w:val="0"/>
          <w:marRight w:val="0"/>
          <w:marTop w:val="0"/>
          <w:marBottom w:val="0"/>
          <w:divBdr>
            <w:top w:val="none" w:sz="0" w:space="0" w:color="auto"/>
            <w:left w:val="none" w:sz="0" w:space="0" w:color="auto"/>
            <w:bottom w:val="none" w:sz="0" w:space="0" w:color="auto"/>
            <w:right w:val="none" w:sz="0" w:space="0" w:color="auto"/>
          </w:divBdr>
          <w:divsChild>
            <w:div w:id="25082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293616">
      <w:bodyDiv w:val="1"/>
      <w:marLeft w:val="0"/>
      <w:marRight w:val="0"/>
      <w:marTop w:val="0"/>
      <w:marBottom w:val="0"/>
      <w:divBdr>
        <w:top w:val="none" w:sz="0" w:space="0" w:color="auto"/>
        <w:left w:val="none" w:sz="0" w:space="0" w:color="auto"/>
        <w:bottom w:val="none" w:sz="0" w:space="0" w:color="auto"/>
        <w:right w:val="none" w:sz="0" w:space="0" w:color="auto"/>
      </w:divBdr>
      <w:divsChild>
        <w:div w:id="1974822196">
          <w:marLeft w:val="0"/>
          <w:marRight w:val="0"/>
          <w:marTop w:val="0"/>
          <w:marBottom w:val="0"/>
          <w:divBdr>
            <w:top w:val="none" w:sz="0" w:space="0" w:color="auto"/>
            <w:left w:val="none" w:sz="0" w:space="0" w:color="auto"/>
            <w:bottom w:val="none" w:sz="0" w:space="0" w:color="auto"/>
            <w:right w:val="none" w:sz="0" w:space="0" w:color="auto"/>
          </w:divBdr>
          <w:divsChild>
            <w:div w:id="13673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065305">
      <w:bodyDiv w:val="1"/>
      <w:marLeft w:val="0"/>
      <w:marRight w:val="0"/>
      <w:marTop w:val="0"/>
      <w:marBottom w:val="0"/>
      <w:divBdr>
        <w:top w:val="none" w:sz="0" w:space="0" w:color="auto"/>
        <w:left w:val="none" w:sz="0" w:space="0" w:color="auto"/>
        <w:bottom w:val="none" w:sz="0" w:space="0" w:color="auto"/>
        <w:right w:val="none" w:sz="0" w:space="0" w:color="auto"/>
      </w:divBdr>
      <w:divsChild>
        <w:div w:id="370427123">
          <w:marLeft w:val="0"/>
          <w:marRight w:val="0"/>
          <w:marTop w:val="0"/>
          <w:marBottom w:val="0"/>
          <w:divBdr>
            <w:top w:val="none" w:sz="0" w:space="0" w:color="auto"/>
            <w:left w:val="none" w:sz="0" w:space="0" w:color="auto"/>
            <w:bottom w:val="none" w:sz="0" w:space="0" w:color="auto"/>
            <w:right w:val="none" w:sz="0" w:space="0" w:color="auto"/>
          </w:divBdr>
          <w:divsChild>
            <w:div w:id="24900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231782">
      <w:bodyDiv w:val="1"/>
      <w:marLeft w:val="0"/>
      <w:marRight w:val="0"/>
      <w:marTop w:val="0"/>
      <w:marBottom w:val="0"/>
      <w:divBdr>
        <w:top w:val="none" w:sz="0" w:space="0" w:color="auto"/>
        <w:left w:val="none" w:sz="0" w:space="0" w:color="auto"/>
        <w:bottom w:val="none" w:sz="0" w:space="0" w:color="auto"/>
        <w:right w:val="none" w:sz="0" w:space="0" w:color="auto"/>
      </w:divBdr>
    </w:div>
    <w:div w:id="747193685">
      <w:bodyDiv w:val="1"/>
      <w:marLeft w:val="0"/>
      <w:marRight w:val="0"/>
      <w:marTop w:val="0"/>
      <w:marBottom w:val="0"/>
      <w:divBdr>
        <w:top w:val="none" w:sz="0" w:space="0" w:color="auto"/>
        <w:left w:val="none" w:sz="0" w:space="0" w:color="auto"/>
        <w:bottom w:val="none" w:sz="0" w:space="0" w:color="auto"/>
        <w:right w:val="none" w:sz="0" w:space="0" w:color="auto"/>
      </w:divBdr>
      <w:divsChild>
        <w:div w:id="617957956">
          <w:marLeft w:val="0"/>
          <w:marRight w:val="0"/>
          <w:marTop w:val="0"/>
          <w:marBottom w:val="0"/>
          <w:divBdr>
            <w:top w:val="none" w:sz="0" w:space="0" w:color="auto"/>
            <w:left w:val="none" w:sz="0" w:space="0" w:color="auto"/>
            <w:bottom w:val="none" w:sz="0" w:space="0" w:color="auto"/>
            <w:right w:val="none" w:sz="0" w:space="0" w:color="auto"/>
          </w:divBdr>
          <w:divsChild>
            <w:div w:id="85819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751691">
      <w:bodyDiv w:val="1"/>
      <w:marLeft w:val="0"/>
      <w:marRight w:val="0"/>
      <w:marTop w:val="0"/>
      <w:marBottom w:val="0"/>
      <w:divBdr>
        <w:top w:val="none" w:sz="0" w:space="0" w:color="auto"/>
        <w:left w:val="none" w:sz="0" w:space="0" w:color="auto"/>
        <w:bottom w:val="none" w:sz="0" w:space="0" w:color="auto"/>
        <w:right w:val="none" w:sz="0" w:space="0" w:color="auto"/>
      </w:divBdr>
      <w:divsChild>
        <w:div w:id="1485120219">
          <w:marLeft w:val="0"/>
          <w:marRight w:val="0"/>
          <w:marTop w:val="0"/>
          <w:marBottom w:val="0"/>
          <w:divBdr>
            <w:top w:val="none" w:sz="0" w:space="0" w:color="auto"/>
            <w:left w:val="none" w:sz="0" w:space="0" w:color="auto"/>
            <w:bottom w:val="none" w:sz="0" w:space="0" w:color="auto"/>
            <w:right w:val="none" w:sz="0" w:space="0" w:color="auto"/>
          </w:divBdr>
          <w:divsChild>
            <w:div w:id="214492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93383">
      <w:bodyDiv w:val="1"/>
      <w:marLeft w:val="0"/>
      <w:marRight w:val="0"/>
      <w:marTop w:val="0"/>
      <w:marBottom w:val="0"/>
      <w:divBdr>
        <w:top w:val="none" w:sz="0" w:space="0" w:color="auto"/>
        <w:left w:val="none" w:sz="0" w:space="0" w:color="auto"/>
        <w:bottom w:val="none" w:sz="0" w:space="0" w:color="auto"/>
        <w:right w:val="none" w:sz="0" w:space="0" w:color="auto"/>
      </w:divBdr>
      <w:divsChild>
        <w:div w:id="1133868762">
          <w:marLeft w:val="0"/>
          <w:marRight w:val="0"/>
          <w:marTop w:val="0"/>
          <w:marBottom w:val="0"/>
          <w:divBdr>
            <w:top w:val="none" w:sz="0" w:space="0" w:color="auto"/>
            <w:left w:val="none" w:sz="0" w:space="0" w:color="auto"/>
            <w:bottom w:val="none" w:sz="0" w:space="0" w:color="auto"/>
            <w:right w:val="none" w:sz="0" w:space="0" w:color="auto"/>
          </w:divBdr>
          <w:divsChild>
            <w:div w:id="37501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84974">
      <w:bodyDiv w:val="1"/>
      <w:marLeft w:val="0"/>
      <w:marRight w:val="0"/>
      <w:marTop w:val="0"/>
      <w:marBottom w:val="0"/>
      <w:divBdr>
        <w:top w:val="none" w:sz="0" w:space="0" w:color="auto"/>
        <w:left w:val="none" w:sz="0" w:space="0" w:color="auto"/>
        <w:bottom w:val="none" w:sz="0" w:space="0" w:color="auto"/>
        <w:right w:val="none" w:sz="0" w:space="0" w:color="auto"/>
      </w:divBdr>
      <w:divsChild>
        <w:div w:id="372387220">
          <w:marLeft w:val="0"/>
          <w:marRight w:val="0"/>
          <w:marTop w:val="0"/>
          <w:marBottom w:val="0"/>
          <w:divBdr>
            <w:top w:val="none" w:sz="0" w:space="0" w:color="auto"/>
            <w:left w:val="none" w:sz="0" w:space="0" w:color="auto"/>
            <w:bottom w:val="none" w:sz="0" w:space="0" w:color="auto"/>
            <w:right w:val="none" w:sz="0" w:space="0" w:color="auto"/>
          </w:divBdr>
          <w:divsChild>
            <w:div w:id="58591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449547">
      <w:bodyDiv w:val="1"/>
      <w:marLeft w:val="0"/>
      <w:marRight w:val="0"/>
      <w:marTop w:val="0"/>
      <w:marBottom w:val="0"/>
      <w:divBdr>
        <w:top w:val="none" w:sz="0" w:space="0" w:color="auto"/>
        <w:left w:val="none" w:sz="0" w:space="0" w:color="auto"/>
        <w:bottom w:val="none" w:sz="0" w:space="0" w:color="auto"/>
        <w:right w:val="none" w:sz="0" w:space="0" w:color="auto"/>
      </w:divBdr>
      <w:divsChild>
        <w:div w:id="340010882">
          <w:marLeft w:val="0"/>
          <w:marRight w:val="0"/>
          <w:marTop w:val="0"/>
          <w:marBottom w:val="0"/>
          <w:divBdr>
            <w:top w:val="none" w:sz="0" w:space="0" w:color="auto"/>
            <w:left w:val="none" w:sz="0" w:space="0" w:color="auto"/>
            <w:bottom w:val="none" w:sz="0" w:space="0" w:color="auto"/>
            <w:right w:val="none" w:sz="0" w:space="0" w:color="auto"/>
          </w:divBdr>
          <w:divsChild>
            <w:div w:id="176272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553308">
      <w:bodyDiv w:val="1"/>
      <w:marLeft w:val="0"/>
      <w:marRight w:val="0"/>
      <w:marTop w:val="0"/>
      <w:marBottom w:val="0"/>
      <w:divBdr>
        <w:top w:val="none" w:sz="0" w:space="0" w:color="auto"/>
        <w:left w:val="none" w:sz="0" w:space="0" w:color="auto"/>
        <w:bottom w:val="none" w:sz="0" w:space="0" w:color="auto"/>
        <w:right w:val="none" w:sz="0" w:space="0" w:color="auto"/>
      </w:divBdr>
      <w:divsChild>
        <w:div w:id="607352248">
          <w:marLeft w:val="0"/>
          <w:marRight w:val="0"/>
          <w:marTop w:val="0"/>
          <w:marBottom w:val="0"/>
          <w:divBdr>
            <w:top w:val="none" w:sz="0" w:space="0" w:color="auto"/>
            <w:left w:val="none" w:sz="0" w:space="0" w:color="auto"/>
            <w:bottom w:val="none" w:sz="0" w:space="0" w:color="auto"/>
            <w:right w:val="none" w:sz="0" w:space="0" w:color="auto"/>
          </w:divBdr>
          <w:divsChild>
            <w:div w:id="19778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944598">
      <w:bodyDiv w:val="1"/>
      <w:marLeft w:val="0"/>
      <w:marRight w:val="0"/>
      <w:marTop w:val="0"/>
      <w:marBottom w:val="0"/>
      <w:divBdr>
        <w:top w:val="none" w:sz="0" w:space="0" w:color="auto"/>
        <w:left w:val="none" w:sz="0" w:space="0" w:color="auto"/>
        <w:bottom w:val="none" w:sz="0" w:space="0" w:color="auto"/>
        <w:right w:val="none" w:sz="0" w:space="0" w:color="auto"/>
      </w:divBdr>
      <w:divsChild>
        <w:div w:id="1468165559">
          <w:marLeft w:val="0"/>
          <w:marRight w:val="0"/>
          <w:marTop w:val="0"/>
          <w:marBottom w:val="0"/>
          <w:divBdr>
            <w:top w:val="none" w:sz="0" w:space="0" w:color="auto"/>
            <w:left w:val="none" w:sz="0" w:space="0" w:color="auto"/>
            <w:bottom w:val="none" w:sz="0" w:space="0" w:color="auto"/>
            <w:right w:val="none" w:sz="0" w:space="0" w:color="auto"/>
          </w:divBdr>
          <w:divsChild>
            <w:div w:id="64817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865013">
      <w:bodyDiv w:val="1"/>
      <w:marLeft w:val="0"/>
      <w:marRight w:val="0"/>
      <w:marTop w:val="0"/>
      <w:marBottom w:val="0"/>
      <w:divBdr>
        <w:top w:val="none" w:sz="0" w:space="0" w:color="auto"/>
        <w:left w:val="none" w:sz="0" w:space="0" w:color="auto"/>
        <w:bottom w:val="none" w:sz="0" w:space="0" w:color="auto"/>
        <w:right w:val="none" w:sz="0" w:space="0" w:color="auto"/>
      </w:divBdr>
    </w:div>
    <w:div w:id="846099203">
      <w:bodyDiv w:val="1"/>
      <w:marLeft w:val="0"/>
      <w:marRight w:val="0"/>
      <w:marTop w:val="0"/>
      <w:marBottom w:val="0"/>
      <w:divBdr>
        <w:top w:val="none" w:sz="0" w:space="0" w:color="auto"/>
        <w:left w:val="none" w:sz="0" w:space="0" w:color="auto"/>
        <w:bottom w:val="none" w:sz="0" w:space="0" w:color="auto"/>
        <w:right w:val="none" w:sz="0" w:space="0" w:color="auto"/>
      </w:divBdr>
      <w:divsChild>
        <w:div w:id="917792766">
          <w:marLeft w:val="0"/>
          <w:marRight w:val="0"/>
          <w:marTop w:val="0"/>
          <w:marBottom w:val="0"/>
          <w:divBdr>
            <w:top w:val="none" w:sz="0" w:space="0" w:color="auto"/>
            <w:left w:val="none" w:sz="0" w:space="0" w:color="auto"/>
            <w:bottom w:val="none" w:sz="0" w:space="0" w:color="auto"/>
            <w:right w:val="none" w:sz="0" w:space="0" w:color="auto"/>
          </w:divBdr>
          <w:divsChild>
            <w:div w:id="38548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494113">
      <w:bodyDiv w:val="1"/>
      <w:marLeft w:val="0"/>
      <w:marRight w:val="0"/>
      <w:marTop w:val="0"/>
      <w:marBottom w:val="0"/>
      <w:divBdr>
        <w:top w:val="none" w:sz="0" w:space="0" w:color="auto"/>
        <w:left w:val="none" w:sz="0" w:space="0" w:color="auto"/>
        <w:bottom w:val="none" w:sz="0" w:space="0" w:color="auto"/>
        <w:right w:val="none" w:sz="0" w:space="0" w:color="auto"/>
      </w:divBdr>
      <w:divsChild>
        <w:div w:id="622620040">
          <w:marLeft w:val="0"/>
          <w:marRight w:val="0"/>
          <w:marTop w:val="0"/>
          <w:marBottom w:val="0"/>
          <w:divBdr>
            <w:top w:val="none" w:sz="0" w:space="0" w:color="auto"/>
            <w:left w:val="none" w:sz="0" w:space="0" w:color="auto"/>
            <w:bottom w:val="none" w:sz="0" w:space="0" w:color="auto"/>
            <w:right w:val="none" w:sz="0" w:space="0" w:color="auto"/>
          </w:divBdr>
          <w:divsChild>
            <w:div w:id="121873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185197">
      <w:bodyDiv w:val="1"/>
      <w:marLeft w:val="0"/>
      <w:marRight w:val="0"/>
      <w:marTop w:val="0"/>
      <w:marBottom w:val="0"/>
      <w:divBdr>
        <w:top w:val="none" w:sz="0" w:space="0" w:color="auto"/>
        <w:left w:val="none" w:sz="0" w:space="0" w:color="auto"/>
        <w:bottom w:val="none" w:sz="0" w:space="0" w:color="auto"/>
        <w:right w:val="none" w:sz="0" w:space="0" w:color="auto"/>
      </w:divBdr>
      <w:divsChild>
        <w:div w:id="709843011">
          <w:marLeft w:val="0"/>
          <w:marRight w:val="0"/>
          <w:marTop w:val="0"/>
          <w:marBottom w:val="0"/>
          <w:divBdr>
            <w:top w:val="none" w:sz="0" w:space="0" w:color="auto"/>
            <w:left w:val="none" w:sz="0" w:space="0" w:color="auto"/>
            <w:bottom w:val="none" w:sz="0" w:space="0" w:color="auto"/>
            <w:right w:val="none" w:sz="0" w:space="0" w:color="auto"/>
          </w:divBdr>
          <w:divsChild>
            <w:div w:id="79109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185524">
      <w:bodyDiv w:val="1"/>
      <w:marLeft w:val="0"/>
      <w:marRight w:val="0"/>
      <w:marTop w:val="0"/>
      <w:marBottom w:val="0"/>
      <w:divBdr>
        <w:top w:val="none" w:sz="0" w:space="0" w:color="auto"/>
        <w:left w:val="none" w:sz="0" w:space="0" w:color="auto"/>
        <w:bottom w:val="none" w:sz="0" w:space="0" w:color="auto"/>
        <w:right w:val="none" w:sz="0" w:space="0" w:color="auto"/>
      </w:divBdr>
      <w:divsChild>
        <w:div w:id="1060636580">
          <w:marLeft w:val="0"/>
          <w:marRight w:val="0"/>
          <w:marTop w:val="0"/>
          <w:marBottom w:val="0"/>
          <w:divBdr>
            <w:top w:val="none" w:sz="0" w:space="0" w:color="auto"/>
            <w:left w:val="none" w:sz="0" w:space="0" w:color="auto"/>
            <w:bottom w:val="none" w:sz="0" w:space="0" w:color="auto"/>
            <w:right w:val="none" w:sz="0" w:space="0" w:color="auto"/>
          </w:divBdr>
          <w:divsChild>
            <w:div w:id="188135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55718">
      <w:bodyDiv w:val="1"/>
      <w:marLeft w:val="0"/>
      <w:marRight w:val="0"/>
      <w:marTop w:val="0"/>
      <w:marBottom w:val="0"/>
      <w:divBdr>
        <w:top w:val="none" w:sz="0" w:space="0" w:color="auto"/>
        <w:left w:val="none" w:sz="0" w:space="0" w:color="auto"/>
        <w:bottom w:val="none" w:sz="0" w:space="0" w:color="auto"/>
        <w:right w:val="none" w:sz="0" w:space="0" w:color="auto"/>
      </w:divBdr>
      <w:divsChild>
        <w:div w:id="2119447373">
          <w:marLeft w:val="0"/>
          <w:marRight w:val="0"/>
          <w:marTop w:val="0"/>
          <w:marBottom w:val="0"/>
          <w:divBdr>
            <w:top w:val="none" w:sz="0" w:space="0" w:color="auto"/>
            <w:left w:val="none" w:sz="0" w:space="0" w:color="auto"/>
            <w:bottom w:val="none" w:sz="0" w:space="0" w:color="auto"/>
            <w:right w:val="none" w:sz="0" w:space="0" w:color="auto"/>
          </w:divBdr>
          <w:divsChild>
            <w:div w:id="191511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661386">
      <w:bodyDiv w:val="1"/>
      <w:marLeft w:val="0"/>
      <w:marRight w:val="0"/>
      <w:marTop w:val="0"/>
      <w:marBottom w:val="0"/>
      <w:divBdr>
        <w:top w:val="none" w:sz="0" w:space="0" w:color="auto"/>
        <w:left w:val="none" w:sz="0" w:space="0" w:color="auto"/>
        <w:bottom w:val="none" w:sz="0" w:space="0" w:color="auto"/>
        <w:right w:val="none" w:sz="0" w:space="0" w:color="auto"/>
      </w:divBdr>
      <w:divsChild>
        <w:div w:id="1322537794">
          <w:marLeft w:val="0"/>
          <w:marRight w:val="0"/>
          <w:marTop w:val="0"/>
          <w:marBottom w:val="0"/>
          <w:divBdr>
            <w:top w:val="none" w:sz="0" w:space="0" w:color="auto"/>
            <w:left w:val="none" w:sz="0" w:space="0" w:color="auto"/>
            <w:bottom w:val="none" w:sz="0" w:space="0" w:color="auto"/>
            <w:right w:val="none" w:sz="0" w:space="0" w:color="auto"/>
          </w:divBdr>
          <w:divsChild>
            <w:div w:id="101642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36930">
      <w:bodyDiv w:val="1"/>
      <w:marLeft w:val="0"/>
      <w:marRight w:val="0"/>
      <w:marTop w:val="0"/>
      <w:marBottom w:val="0"/>
      <w:divBdr>
        <w:top w:val="none" w:sz="0" w:space="0" w:color="auto"/>
        <w:left w:val="none" w:sz="0" w:space="0" w:color="auto"/>
        <w:bottom w:val="none" w:sz="0" w:space="0" w:color="auto"/>
        <w:right w:val="none" w:sz="0" w:space="0" w:color="auto"/>
      </w:divBdr>
      <w:divsChild>
        <w:div w:id="1139572546">
          <w:marLeft w:val="0"/>
          <w:marRight w:val="0"/>
          <w:marTop w:val="0"/>
          <w:marBottom w:val="0"/>
          <w:divBdr>
            <w:top w:val="none" w:sz="0" w:space="0" w:color="auto"/>
            <w:left w:val="none" w:sz="0" w:space="0" w:color="auto"/>
            <w:bottom w:val="none" w:sz="0" w:space="0" w:color="auto"/>
            <w:right w:val="none" w:sz="0" w:space="0" w:color="auto"/>
          </w:divBdr>
          <w:divsChild>
            <w:div w:id="111471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321716">
      <w:bodyDiv w:val="1"/>
      <w:marLeft w:val="0"/>
      <w:marRight w:val="0"/>
      <w:marTop w:val="0"/>
      <w:marBottom w:val="0"/>
      <w:divBdr>
        <w:top w:val="none" w:sz="0" w:space="0" w:color="auto"/>
        <w:left w:val="none" w:sz="0" w:space="0" w:color="auto"/>
        <w:bottom w:val="none" w:sz="0" w:space="0" w:color="auto"/>
        <w:right w:val="none" w:sz="0" w:space="0" w:color="auto"/>
      </w:divBdr>
      <w:divsChild>
        <w:div w:id="1682857175">
          <w:marLeft w:val="0"/>
          <w:marRight w:val="0"/>
          <w:marTop w:val="0"/>
          <w:marBottom w:val="0"/>
          <w:divBdr>
            <w:top w:val="none" w:sz="0" w:space="0" w:color="auto"/>
            <w:left w:val="none" w:sz="0" w:space="0" w:color="auto"/>
            <w:bottom w:val="none" w:sz="0" w:space="0" w:color="auto"/>
            <w:right w:val="none" w:sz="0" w:space="0" w:color="auto"/>
          </w:divBdr>
          <w:divsChild>
            <w:div w:id="152282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09860">
      <w:bodyDiv w:val="1"/>
      <w:marLeft w:val="0"/>
      <w:marRight w:val="0"/>
      <w:marTop w:val="0"/>
      <w:marBottom w:val="0"/>
      <w:divBdr>
        <w:top w:val="none" w:sz="0" w:space="0" w:color="auto"/>
        <w:left w:val="none" w:sz="0" w:space="0" w:color="auto"/>
        <w:bottom w:val="none" w:sz="0" w:space="0" w:color="auto"/>
        <w:right w:val="none" w:sz="0" w:space="0" w:color="auto"/>
      </w:divBdr>
      <w:divsChild>
        <w:div w:id="291331287">
          <w:marLeft w:val="0"/>
          <w:marRight w:val="0"/>
          <w:marTop w:val="0"/>
          <w:marBottom w:val="0"/>
          <w:divBdr>
            <w:top w:val="none" w:sz="0" w:space="0" w:color="auto"/>
            <w:left w:val="none" w:sz="0" w:space="0" w:color="auto"/>
            <w:bottom w:val="none" w:sz="0" w:space="0" w:color="auto"/>
            <w:right w:val="none" w:sz="0" w:space="0" w:color="auto"/>
          </w:divBdr>
          <w:divsChild>
            <w:div w:id="200612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76843">
      <w:bodyDiv w:val="1"/>
      <w:marLeft w:val="0"/>
      <w:marRight w:val="0"/>
      <w:marTop w:val="0"/>
      <w:marBottom w:val="0"/>
      <w:divBdr>
        <w:top w:val="none" w:sz="0" w:space="0" w:color="auto"/>
        <w:left w:val="none" w:sz="0" w:space="0" w:color="auto"/>
        <w:bottom w:val="none" w:sz="0" w:space="0" w:color="auto"/>
        <w:right w:val="none" w:sz="0" w:space="0" w:color="auto"/>
      </w:divBdr>
    </w:div>
    <w:div w:id="1075011116">
      <w:bodyDiv w:val="1"/>
      <w:marLeft w:val="0"/>
      <w:marRight w:val="0"/>
      <w:marTop w:val="0"/>
      <w:marBottom w:val="0"/>
      <w:divBdr>
        <w:top w:val="none" w:sz="0" w:space="0" w:color="auto"/>
        <w:left w:val="none" w:sz="0" w:space="0" w:color="auto"/>
        <w:bottom w:val="none" w:sz="0" w:space="0" w:color="auto"/>
        <w:right w:val="none" w:sz="0" w:space="0" w:color="auto"/>
      </w:divBdr>
      <w:divsChild>
        <w:div w:id="1967662828">
          <w:marLeft w:val="0"/>
          <w:marRight w:val="0"/>
          <w:marTop w:val="0"/>
          <w:marBottom w:val="0"/>
          <w:divBdr>
            <w:top w:val="none" w:sz="0" w:space="0" w:color="auto"/>
            <w:left w:val="none" w:sz="0" w:space="0" w:color="auto"/>
            <w:bottom w:val="none" w:sz="0" w:space="0" w:color="auto"/>
            <w:right w:val="none" w:sz="0" w:space="0" w:color="auto"/>
          </w:divBdr>
          <w:divsChild>
            <w:div w:id="22290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179821">
      <w:bodyDiv w:val="1"/>
      <w:marLeft w:val="0"/>
      <w:marRight w:val="0"/>
      <w:marTop w:val="0"/>
      <w:marBottom w:val="0"/>
      <w:divBdr>
        <w:top w:val="none" w:sz="0" w:space="0" w:color="auto"/>
        <w:left w:val="none" w:sz="0" w:space="0" w:color="auto"/>
        <w:bottom w:val="none" w:sz="0" w:space="0" w:color="auto"/>
        <w:right w:val="none" w:sz="0" w:space="0" w:color="auto"/>
      </w:divBdr>
      <w:divsChild>
        <w:div w:id="1487819667">
          <w:marLeft w:val="0"/>
          <w:marRight w:val="0"/>
          <w:marTop w:val="0"/>
          <w:marBottom w:val="0"/>
          <w:divBdr>
            <w:top w:val="none" w:sz="0" w:space="0" w:color="auto"/>
            <w:left w:val="none" w:sz="0" w:space="0" w:color="auto"/>
            <w:bottom w:val="none" w:sz="0" w:space="0" w:color="auto"/>
            <w:right w:val="none" w:sz="0" w:space="0" w:color="auto"/>
          </w:divBdr>
          <w:divsChild>
            <w:div w:id="21254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764180">
      <w:bodyDiv w:val="1"/>
      <w:marLeft w:val="0"/>
      <w:marRight w:val="0"/>
      <w:marTop w:val="0"/>
      <w:marBottom w:val="0"/>
      <w:divBdr>
        <w:top w:val="none" w:sz="0" w:space="0" w:color="auto"/>
        <w:left w:val="none" w:sz="0" w:space="0" w:color="auto"/>
        <w:bottom w:val="none" w:sz="0" w:space="0" w:color="auto"/>
        <w:right w:val="none" w:sz="0" w:space="0" w:color="auto"/>
      </w:divBdr>
    </w:div>
    <w:div w:id="1188331248">
      <w:bodyDiv w:val="1"/>
      <w:marLeft w:val="0"/>
      <w:marRight w:val="0"/>
      <w:marTop w:val="0"/>
      <w:marBottom w:val="0"/>
      <w:divBdr>
        <w:top w:val="none" w:sz="0" w:space="0" w:color="auto"/>
        <w:left w:val="none" w:sz="0" w:space="0" w:color="auto"/>
        <w:bottom w:val="none" w:sz="0" w:space="0" w:color="auto"/>
        <w:right w:val="none" w:sz="0" w:space="0" w:color="auto"/>
      </w:divBdr>
    </w:div>
    <w:div w:id="1190608678">
      <w:bodyDiv w:val="1"/>
      <w:marLeft w:val="0"/>
      <w:marRight w:val="0"/>
      <w:marTop w:val="0"/>
      <w:marBottom w:val="0"/>
      <w:divBdr>
        <w:top w:val="none" w:sz="0" w:space="0" w:color="auto"/>
        <w:left w:val="none" w:sz="0" w:space="0" w:color="auto"/>
        <w:bottom w:val="none" w:sz="0" w:space="0" w:color="auto"/>
        <w:right w:val="none" w:sz="0" w:space="0" w:color="auto"/>
      </w:divBdr>
      <w:divsChild>
        <w:div w:id="362945029">
          <w:marLeft w:val="0"/>
          <w:marRight w:val="0"/>
          <w:marTop w:val="0"/>
          <w:marBottom w:val="0"/>
          <w:divBdr>
            <w:top w:val="none" w:sz="0" w:space="0" w:color="auto"/>
            <w:left w:val="none" w:sz="0" w:space="0" w:color="auto"/>
            <w:bottom w:val="none" w:sz="0" w:space="0" w:color="auto"/>
            <w:right w:val="none" w:sz="0" w:space="0" w:color="auto"/>
          </w:divBdr>
          <w:divsChild>
            <w:div w:id="145779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199135">
      <w:bodyDiv w:val="1"/>
      <w:marLeft w:val="0"/>
      <w:marRight w:val="0"/>
      <w:marTop w:val="0"/>
      <w:marBottom w:val="0"/>
      <w:divBdr>
        <w:top w:val="none" w:sz="0" w:space="0" w:color="auto"/>
        <w:left w:val="none" w:sz="0" w:space="0" w:color="auto"/>
        <w:bottom w:val="none" w:sz="0" w:space="0" w:color="auto"/>
        <w:right w:val="none" w:sz="0" w:space="0" w:color="auto"/>
      </w:divBdr>
      <w:divsChild>
        <w:div w:id="1228613933">
          <w:marLeft w:val="0"/>
          <w:marRight w:val="0"/>
          <w:marTop w:val="0"/>
          <w:marBottom w:val="0"/>
          <w:divBdr>
            <w:top w:val="none" w:sz="0" w:space="0" w:color="auto"/>
            <w:left w:val="none" w:sz="0" w:space="0" w:color="auto"/>
            <w:bottom w:val="none" w:sz="0" w:space="0" w:color="auto"/>
            <w:right w:val="none" w:sz="0" w:space="0" w:color="auto"/>
          </w:divBdr>
          <w:divsChild>
            <w:div w:id="213112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94119">
      <w:bodyDiv w:val="1"/>
      <w:marLeft w:val="0"/>
      <w:marRight w:val="0"/>
      <w:marTop w:val="0"/>
      <w:marBottom w:val="0"/>
      <w:divBdr>
        <w:top w:val="none" w:sz="0" w:space="0" w:color="auto"/>
        <w:left w:val="none" w:sz="0" w:space="0" w:color="auto"/>
        <w:bottom w:val="none" w:sz="0" w:space="0" w:color="auto"/>
        <w:right w:val="none" w:sz="0" w:space="0" w:color="auto"/>
      </w:divBdr>
      <w:divsChild>
        <w:div w:id="926891328">
          <w:marLeft w:val="0"/>
          <w:marRight w:val="0"/>
          <w:marTop w:val="0"/>
          <w:marBottom w:val="0"/>
          <w:divBdr>
            <w:top w:val="none" w:sz="0" w:space="0" w:color="auto"/>
            <w:left w:val="none" w:sz="0" w:space="0" w:color="auto"/>
            <w:bottom w:val="none" w:sz="0" w:space="0" w:color="auto"/>
            <w:right w:val="none" w:sz="0" w:space="0" w:color="auto"/>
          </w:divBdr>
          <w:divsChild>
            <w:div w:id="211655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814486">
      <w:bodyDiv w:val="1"/>
      <w:marLeft w:val="0"/>
      <w:marRight w:val="0"/>
      <w:marTop w:val="0"/>
      <w:marBottom w:val="0"/>
      <w:divBdr>
        <w:top w:val="none" w:sz="0" w:space="0" w:color="auto"/>
        <w:left w:val="none" w:sz="0" w:space="0" w:color="auto"/>
        <w:bottom w:val="none" w:sz="0" w:space="0" w:color="auto"/>
        <w:right w:val="none" w:sz="0" w:space="0" w:color="auto"/>
      </w:divBdr>
      <w:divsChild>
        <w:div w:id="1626739949">
          <w:marLeft w:val="0"/>
          <w:marRight w:val="0"/>
          <w:marTop w:val="0"/>
          <w:marBottom w:val="0"/>
          <w:divBdr>
            <w:top w:val="none" w:sz="0" w:space="0" w:color="auto"/>
            <w:left w:val="none" w:sz="0" w:space="0" w:color="auto"/>
            <w:bottom w:val="none" w:sz="0" w:space="0" w:color="auto"/>
            <w:right w:val="none" w:sz="0" w:space="0" w:color="auto"/>
          </w:divBdr>
          <w:divsChild>
            <w:div w:id="15777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587229">
      <w:bodyDiv w:val="1"/>
      <w:marLeft w:val="0"/>
      <w:marRight w:val="0"/>
      <w:marTop w:val="0"/>
      <w:marBottom w:val="0"/>
      <w:divBdr>
        <w:top w:val="none" w:sz="0" w:space="0" w:color="auto"/>
        <w:left w:val="none" w:sz="0" w:space="0" w:color="auto"/>
        <w:bottom w:val="none" w:sz="0" w:space="0" w:color="auto"/>
        <w:right w:val="none" w:sz="0" w:space="0" w:color="auto"/>
      </w:divBdr>
      <w:divsChild>
        <w:div w:id="1901671009">
          <w:marLeft w:val="0"/>
          <w:marRight w:val="0"/>
          <w:marTop w:val="0"/>
          <w:marBottom w:val="0"/>
          <w:divBdr>
            <w:top w:val="none" w:sz="0" w:space="0" w:color="auto"/>
            <w:left w:val="none" w:sz="0" w:space="0" w:color="auto"/>
            <w:bottom w:val="none" w:sz="0" w:space="0" w:color="auto"/>
            <w:right w:val="none" w:sz="0" w:space="0" w:color="auto"/>
          </w:divBdr>
          <w:divsChild>
            <w:div w:id="102520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466707">
      <w:bodyDiv w:val="1"/>
      <w:marLeft w:val="0"/>
      <w:marRight w:val="0"/>
      <w:marTop w:val="0"/>
      <w:marBottom w:val="0"/>
      <w:divBdr>
        <w:top w:val="none" w:sz="0" w:space="0" w:color="auto"/>
        <w:left w:val="none" w:sz="0" w:space="0" w:color="auto"/>
        <w:bottom w:val="none" w:sz="0" w:space="0" w:color="auto"/>
        <w:right w:val="none" w:sz="0" w:space="0" w:color="auto"/>
      </w:divBdr>
    </w:div>
    <w:div w:id="1311400571">
      <w:bodyDiv w:val="1"/>
      <w:marLeft w:val="0"/>
      <w:marRight w:val="0"/>
      <w:marTop w:val="0"/>
      <w:marBottom w:val="0"/>
      <w:divBdr>
        <w:top w:val="none" w:sz="0" w:space="0" w:color="auto"/>
        <w:left w:val="none" w:sz="0" w:space="0" w:color="auto"/>
        <w:bottom w:val="none" w:sz="0" w:space="0" w:color="auto"/>
        <w:right w:val="none" w:sz="0" w:space="0" w:color="auto"/>
      </w:divBdr>
      <w:divsChild>
        <w:div w:id="574360112">
          <w:marLeft w:val="0"/>
          <w:marRight w:val="0"/>
          <w:marTop w:val="0"/>
          <w:marBottom w:val="0"/>
          <w:divBdr>
            <w:top w:val="none" w:sz="0" w:space="0" w:color="auto"/>
            <w:left w:val="none" w:sz="0" w:space="0" w:color="auto"/>
            <w:bottom w:val="none" w:sz="0" w:space="0" w:color="auto"/>
            <w:right w:val="none" w:sz="0" w:space="0" w:color="auto"/>
          </w:divBdr>
          <w:divsChild>
            <w:div w:id="155943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069429">
      <w:bodyDiv w:val="1"/>
      <w:marLeft w:val="0"/>
      <w:marRight w:val="0"/>
      <w:marTop w:val="0"/>
      <w:marBottom w:val="0"/>
      <w:divBdr>
        <w:top w:val="none" w:sz="0" w:space="0" w:color="auto"/>
        <w:left w:val="none" w:sz="0" w:space="0" w:color="auto"/>
        <w:bottom w:val="none" w:sz="0" w:space="0" w:color="auto"/>
        <w:right w:val="none" w:sz="0" w:space="0" w:color="auto"/>
      </w:divBdr>
      <w:divsChild>
        <w:div w:id="22096364">
          <w:marLeft w:val="0"/>
          <w:marRight w:val="0"/>
          <w:marTop w:val="0"/>
          <w:marBottom w:val="0"/>
          <w:divBdr>
            <w:top w:val="none" w:sz="0" w:space="0" w:color="auto"/>
            <w:left w:val="none" w:sz="0" w:space="0" w:color="auto"/>
            <w:bottom w:val="none" w:sz="0" w:space="0" w:color="auto"/>
            <w:right w:val="none" w:sz="0" w:space="0" w:color="auto"/>
          </w:divBdr>
          <w:divsChild>
            <w:div w:id="101981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78820">
      <w:bodyDiv w:val="1"/>
      <w:marLeft w:val="0"/>
      <w:marRight w:val="0"/>
      <w:marTop w:val="0"/>
      <w:marBottom w:val="0"/>
      <w:divBdr>
        <w:top w:val="none" w:sz="0" w:space="0" w:color="auto"/>
        <w:left w:val="none" w:sz="0" w:space="0" w:color="auto"/>
        <w:bottom w:val="none" w:sz="0" w:space="0" w:color="auto"/>
        <w:right w:val="none" w:sz="0" w:space="0" w:color="auto"/>
      </w:divBdr>
      <w:divsChild>
        <w:div w:id="1982614315">
          <w:marLeft w:val="0"/>
          <w:marRight w:val="0"/>
          <w:marTop w:val="0"/>
          <w:marBottom w:val="0"/>
          <w:divBdr>
            <w:top w:val="none" w:sz="0" w:space="0" w:color="auto"/>
            <w:left w:val="none" w:sz="0" w:space="0" w:color="auto"/>
            <w:bottom w:val="none" w:sz="0" w:space="0" w:color="auto"/>
            <w:right w:val="none" w:sz="0" w:space="0" w:color="auto"/>
          </w:divBdr>
          <w:divsChild>
            <w:div w:id="4387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89648">
      <w:bodyDiv w:val="1"/>
      <w:marLeft w:val="0"/>
      <w:marRight w:val="0"/>
      <w:marTop w:val="0"/>
      <w:marBottom w:val="0"/>
      <w:divBdr>
        <w:top w:val="none" w:sz="0" w:space="0" w:color="auto"/>
        <w:left w:val="none" w:sz="0" w:space="0" w:color="auto"/>
        <w:bottom w:val="none" w:sz="0" w:space="0" w:color="auto"/>
        <w:right w:val="none" w:sz="0" w:space="0" w:color="auto"/>
      </w:divBdr>
      <w:divsChild>
        <w:div w:id="1170025867">
          <w:marLeft w:val="0"/>
          <w:marRight w:val="0"/>
          <w:marTop w:val="0"/>
          <w:marBottom w:val="0"/>
          <w:divBdr>
            <w:top w:val="none" w:sz="0" w:space="0" w:color="auto"/>
            <w:left w:val="none" w:sz="0" w:space="0" w:color="auto"/>
            <w:bottom w:val="none" w:sz="0" w:space="0" w:color="auto"/>
            <w:right w:val="none" w:sz="0" w:space="0" w:color="auto"/>
          </w:divBdr>
          <w:divsChild>
            <w:div w:id="109867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126708">
      <w:bodyDiv w:val="1"/>
      <w:marLeft w:val="0"/>
      <w:marRight w:val="0"/>
      <w:marTop w:val="0"/>
      <w:marBottom w:val="0"/>
      <w:divBdr>
        <w:top w:val="none" w:sz="0" w:space="0" w:color="auto"/>
        <w:left w:val="none" w:sz="0" w:space="0" w:color="auto"/>
        <w:bottom w:val="none" w:sz="0" w:space="0" w:color="auto"/>
        <w:right w:val="none" w:sz="0" w:space="0" w:color="auto"/>
      </w:divBdr>
      <w:divsChild>
        <w:div w:id="1048333589">
          <w:marLeft w:val="0"/>
          <w:marRight w:val="0"/>
          <w:marTop w:val="0"/>
          <w:marBottom w:val="0"/>
          <w:divBdr>
            <w:top w:val="none" w:sz="0" w:space="0" w:color="auto"/>
            <w:left w:val="none" w:sz="0" w:space="0" w:color="auto"/>
            <w:bottom w:val="none" w:sz="0" w:space="0" w:color="auto"/>
            <w:right w:val="none" w:sz="0" w:space="0" w:color="auto"/>
          </w:divBdr>
          <w:divsChild>
            <w:div w:id="73126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645564">
      <w:bodyDiv w:val="1"/>
      <w:marLeft w:val="0"/>
      <w:marRight w:val="0"/>
      <w:marTop w:val="0"/>
      <w:marBottom w:val="0"/>
      <w:divBdr>
        <w:top w:val="none" w:sz="0" w:space="0" w:color="auto"/>
        <w:left w:val="none" w:sz="0" w:space="0" w:color="auto"/>
        <w:bottom w:val="none" w:sz="0" w:space="0" w:color="auto"/>
        <w:right w:val="none" w:sz="0" w:space="0" w:color="auto"/>
      </w:divBdr>
      <w:divsChild>
        <w:div w:id="180626316">
          <w:marLeft w:val="0"/>
          <w:marRight w:val="0"/>
          <w:marTop w:val="0"/>
          <w:marBottom w:val="0"/>
          <w:divBdr>
            <w:top w:val="none" w:sz="0" w:space="0" w:color="auto"/>
            <w:left w:val="none" w:sz="0" w:space="0" w:color="auto"/>
            <w:bottom w:val="none" w:sz="0" w:space="0" w:color="auto"/>
            <w:right w:val="none" w:sz="0" w:space="0" w:color="auto"/>
          </w:divBdr>
          <w:divsChild>
            <w:div w:id="89354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83120">
      <w:bodyDiv w:val="1"/>
      <w:marLeft w:val="0"/>
      <w:marRight w:val="0"/>
      <w:marTop w:val="0"/>
      <w:marBottom w:val="0"/>
      <w:divBdr>
        <w:top w:val="none" w:sz="0" w:space="0" w:color="auto"/>
        <w:left w:val="none" w:sz="0" w:space="0" w:color="auto"/>
        <w:bottom w:val="none" w:sz="0" w:space="0" w:color="auto"/>
        <w:right w:val="none" w:sz="0" w:space="0" w:color="auto"/>
      </w:divBdr>
    </w:div>
    <w:div w:id="1388839953">
      <w:bodyDiv w:val="1"/>
      <w:marLeft w:val="0"/>
      <w:marRight w:val="0"/>
      <w:marTop w:val="0"/>
      <w:marBottom w:val="0"/>
      <w:divBdr>
        <w:top w:val="none" w:sz="0" w:space="0" w:color="auto"/>
        <w:left w:val="none" w:sz="0" w:space="0" w:color="auto"/>
        <w:bottom w:val="none" w:sz="0" w:space="0" w:color="auto"/>
        <w:right w:val="none" w:sz="0" w:space="0" w:color="auto"/>
      </w:divBdr>
      <w:divsChild>
        <w:div w:id="27342383">
          <w:marLeft w:val="0"/>
          <w:marRight w:val="0"/>
          <w:marTop w:val="0"/>
          <w:marBottom w:val="0"/>
          <w:divBdr>
            <w:top w:val="none" w:sz="0" w:space="0" w:color="auto"/>
            <w:left w:val="none" w:sz="0" w:space="0" w:color="auto"/>
            <w:bottom w:val="none" w:sz="0" w:space="0" w:color="auto"/>
            <w:right w:val="none" w:sz="0" w:space="0" w:color="auto"/>
          </w:divBdr>
          <w:divsChild>
            <w:div w:id="68683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8172">
      <w:bodyDiv w:val="1"/>
      <w:marLeft w:val="0"/>
      <w:marRight w:val="0"/>
      <w:marTop w:val="0"/>
      <w:marBottom w:val="0"/>
      <w:divBdr>
        <w:top w:val="none" w:sz="0" w:space="0" w:color="auto"/>
        <w:left w:val="none" w:sz="0" w:space="0" w:color="auto"/>
        <w:bottom w:val="none" w:sz="0" w:space="0" w:color="auto"/>
        <w:right w:val="none" w:sz="0" w:space="0" w:color="auto"/>
      </w:divBdr>
    </w:div>
    <w:div w:id="1418407572">
      <w:bodyDiv w:val="1"/>
      <w:marLeft w:val="0"/>
      <w:marRight w:val="0"/>
      <w:marTop w:val="0"/>
      <w:marBottom w:val="0"/>
      <w:divBdr>
        <w:top w:val="none" w:sz="0" w:space="0" w:color="auto"/>
        <w:left w:val="none" w:sz="0" w:space="0" w:color="auto"/>
        <w:bottom w:val="none" w:sz="0" w:space="0" w:color="auto"/>
        <w:right w:val="none" w:sz="0" w:space="0" w:color="auto"/>
      </w:divBdr>
      <w:divsChild>
        <w:div w:id="2014262648">
          <w:marLeft w:val="0"/>
          <w:marRight w:val="0"/>
          <w:marTop w:val="0"/>
          <w:marBottom w:val="0"/>
          <w:divBdr>
            <w:top w:val="none" w:sz="0" w:space="0" w:color="auto"/>
            <w:left w:val="none" w:sz="0" w:space="0" w:color="auto"/>
            <w:bottom w:val="none" w:sz="0" w:space="0" w:color="auto"/>
            <w:right w:val="none" w:sz="0" w:space="0" w:color="auto"/>
          </w:divBdr>
          <w:divsChild>
            <w:div w:id="13201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02695">
      <w:bodyDiv w:val="1"/>
      <w:marLeft w:val="0"/>
      <w:marRight w:val="0"/>
      <w:marTop w:val="0"/>
      <w:marBottom w:val="0"/>
      <w:divBdr>
        <w:top w:val="none" w:sz="0" w:space="0" w:color="auto"/>
        <w:left w:val="none" w:sz="0" w:space="0" w:color="auto"/>
        <w:bottom w:val="none" w:sz="0" w:space="0" w:color="auto"/>
        <w:right w:val="none" w:sz="0" w:space="0" w:color="auto"/>
      </w:divBdr>
    </w:div>
    <w:div w:id="1470784866">
      <w:bodyDiv w:val="1"/>
      <w:marLeft w:val="0"/>
      <w:marRight w:val="0"/>
      <w:marTop w:val="0"/>
      <w:marBottom w:val="0"/>
      <w:divBdr>
        <w:top w:val="none" w:sz="0" w:space="0" w:color="auto"/>
        <w:left w:val="none" w:sz="0" w:space="0" w:color="auto"/>
        <w:bottom w:val="none" w:sz="0" w:space="0" w:color="auto"/>
        <w:right w:val="none" w:sz="0" w:space="0" w:color="auto"/>
      </w:divBdr>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
    <w:div w:id="1496190957">
      <w:bodyDiv w:val="1"/>
      <w:marLeft w:val="0"/>
      <w:marRight w:val="0"/>
      <w:marTop w:val="0"/>
      <w:marBottom w:val="0"/>
      <w:divBdr>
        <w:top w:val="none" w:sz="0" w:space="0" w:color="auto"/>
        <w:left w:val="none" w:sz="0" w:space="0" w:color="auto"/>
        <w:bottom w:val="none" w:sz="0" w:space="0" w:color="auto"/>
        <w:right w:val="none" w:sz="0" w:space="0" w:color="auto"/>
      </w:divBdr>
      <w:divsChild>
        <w:div w:id="727218750">
          <w:marLeft w:val="0"/>
          <w:marRight w:val="0"/>
          <w:marTop w:val="0"/>
          <w:marBottom w:val="0"/>
          <w:divBdr>
            <w:top w:val="none" w:sz="0" w:space="0" w:color="auto"/>
            <w:left w:val="none" w:sz="0" w:space="0" w:color="auto"/>
            <w:bottom w:val="none" w:sz="0" w:space="0" w:color="auto"/>
            <w:right w:val="none" w:sz="0" w:space="0" w:color="auto"/>
          </w:divBdr>
          <w:divsChild>
            <w:div w:id="73270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750072">
      <w:bodyDiv w:val="1"/>
      <w:marLeft w:val="0"/>
      <w:marRight w:val="0"/>
      <w:marTop w:val="0"/>
      <w:marBottom w:val="0"/>
      <w:divBdr>
        <w:top w:val="none" w:sz="0" w:space="0" w:color="auto"/>
        <w:left w:val="none" w:sz="0" w:space="0" w:color="auto"/>
        <w:bottom w:val="none" w:sz="0" w:space="0" w:color="auto"/>
        <w:right w:val="none" w:sz="0" w:space="0" w:color="auto"/>
      </w:divBdr>
      <w:divsChild>
        <w:div w:id="300429451">
          <w:marLeft w:val="0"/>
          <w:marRight w:val="0"/>
          <w:marTop w:val="240"/>
          <w:marBottom w:val="240"/>
          <w:divBdr>
            <w:top w:val="none" w:sz="0" w:space="0" w:color="auto"/>
            <w:left w:val="none" w:sz="0" w:space="0" w:color="auto"/>
            <w:bottom w:val="none" w:sz="0" w:space="0" w:color="auto"/>
            <w:right w:val="none" w:sz="0" w:space="0" w:color="auto"/>
          </w:divBdr>
        </w:div>
        <w:div w:id="1312174236">
          <w:marLeft w:val="0"/>
          <w:marRight w:val="0"/>
          <w:marTop w:val="240"/>
          <w:marBottom w:val="240"/>
          <w:divBdr>
            <w:top w:val="none" w:sz="0" w:space="0" w:color="auto"/>
            <w:left w:val="none" w:sz="0" w:space="0" w:color="auto"/>
            <w:bottom w:val="none" w:sz="0" w:space="0" w:color="auto"/>
            <w:right w:val="none" w:sz="0" w:space="0" w:color="auto"/>
          </w:divBdr>
        </w:div>
      </w:divsChild>
    </w:div>
    <w:div w:id="1510220638">
      <w:bodyDiv w:val="1"/>
      <w:marLeft w:val="0"/>
      <w:marRight w:val="0"/>
      <w:marTop w:val="0"/>
      <w:marBottom w:val="0"/>
      <w:divBdr>
        <w:top w:val="none" w:sz="0" w:space="0" w:color="auto"/>
        <w:left w:val="none" w:sz="0" w:space="0" w:color="auto"/>
        <w:bottom w:val="none" w:sz="0" w:space="0" w:color="auto"/>
        <w:right w:val="none" w:sz="0" w:space="0" w:color="auto"/>
      </w:divBdr>
      <w:divsChild>
        <w:div w:id="685834663">
          <w:marLeft w:val="0"/>
          <w:marRight w:val="0"/>
          <w:marTop w:val="0"/>
          <w:marBottom w:val="0"/>
          <w:divBdr>
            <w:top w:val="none" w:sz="0" w:space="0" w:color="auto"/>
            <w:left w:val="none" w:sz="0" w:space="0" w:color="auto"/>
            <w:bottom w:val="none" w:sz="0" w:space="0" w:color="auto"/>
            <w:right w:val="none" w:sz="0" w:space="0" w:color="auto"/>
          </w:divBdr>
          <w:divsChild>
            <w:div w:id="76942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1263">
      <w:bodyDiv w:val="1"/>
      <w:marLeft w:val="0"/>
      <w:marRight w:val="0"/>
      <w:marTop w:val="0"/>
      <w:marBottom w:val="0"/>
      <w:divBdr>
        <w:top w:val="none" w:sz="0" w:space="0" w:color="auto"/>
        <w:left w:val="none" w:sz="0" w:space="0" w:color="auto"/>
        <w:bottom w:val="none" w:sz="0" w:space="0" w:color="auto"/>
        <w:right w:val="none" w:sz="0" w:space="0" w:color="auto"/>
      </w:divBdr>
      <w:divsChild>
        <w:div w:id="142427213">
          <w:marLeft w:val="0"/>
          <w:marRight w:val="0"/>
          <w:marTop w:val="0"/>
          <w:marBottom w:val="0"/>
          <w:divBdr>
            <w:top w:val="none" w:sz="0" w:space="0" w:color="auto"/>
            <w:left w:val="none" w:sz="0" w:space="0" w:color="auto"/>
            <w:bottom w:val="none" w:sz="0" w:space="0" w:color="auto"/>
            <w:right w:val="none" w:sz="0" w:space="0" w:color="auto"/>
          </w:divBdr>
          <w:divsChild>
            <w:div w:id="49403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47293">
      <w:bodyDiv w:val="1"/>
      <w:marLeft w:val="0"/>
      <w:marRight w:val="0"/>
      <w:marTop w:val="0"/>
      <w:marBottom w:val="0"/>
      <w:divBdr>
        <w:top w:val="none" w:sz="0" w:space="0" w:color="auto"/>
        <w:left w:val="none" w:sz="0" w:space="0" w:color="auto"/>
        <w:bottom w:val="none" w:sz="0" w:space="0" w:color="auto"/>
        <w:right w:val="none" w:sz="0" w:space="0" w:color="auto"/>
      </w:divBdr>
      <w:divsChild>
        <w:div w:id="1443497393">
          <w:marLeft w:val="0"/>
          <w:marRight w:val="0"/>
          <w:marTop w:val="0"/>
          <w:marBottom w:val="0"/>
          <w:divBdr>
            <w:top w:val="none" w:sz="0" w:space="0" w:color="auto"/>
            <w:left w:val="none" w:sz="0" w:space="0" w:color="auto"/>
            <w:bottom w:val="none" w:sz="0" w:space="0" w:color="auto"/>
            <w:right w:val="none" w:sz="0" w:space="0" w:color="auto"/>
          </w:divBdr>
        </w:div>
      </w:divsChild>
    </w:div>
    <w:div w:id="1571841499">
      <w:bodyDiv w:val="1"/>
      <w:marLeft w:val="0"/>
      <w:marRight w:val="0"/>
      <w:marTop w:val="0"/>
      <w:marBottom w:val="0"/>
      <w:divBdr>
        <w:top w:val="none" w:sz="0" w:space="0" w:color="auto"/>
        <w:left w:val="none" w:sz="0" w:space="0" w:color="auto"/>
        <w:bottom w:val="none" w:sz="0" w:space="0" w:color="auto"/>
        <w:right w:val="none" w:sz="0" w:space="0" w:color="auto"/>
      </w:divBdr>
      <w:divsChild>
        <w:div w:id="1551263643">
          <w:marLeft w:val="0"/>
          <w:marRight w:val="0"/>
          <w:marTop w:val="0"/>
          <w:marBottom w:val="0"/>
          <w:divBdr>
            <w:top w:val="none" w:sz="0" w:space="0" w:color="auto"/>
            <w:left w:val="none" w:sz="0" w:space="0" w:color="auto"/>
            <w:bottom w:val="none" w:sz="0" w:space="0" w:color="auto"/>
            <w:right w:val="none" w:sz="0" w:space="0" w:color="auto"/>
          </w:divBdr>
          <w:divsChild>
            <w:div w:id="97841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86086">
      <w:bodyDiv w:val="1"/>
      <w:marLeft w:val="0"/>
      <w:marRight w:val="0"/>
      <w:marTop w:val="0"/>
      <w:marBottom w:val="0"/>
      <w:divBdr>
        <w:top w:val="none" w:sz="0" w:space="0" w:color="auto"/>
        <w:left w:val="none" w:sz="0" w:space="0" w:color="auto"/>
        <w:bottom w:val="none" w:sz="0" w:space="0" w:color="auto"/>
        <w:right w:val="none" w:sz="0" w:space="0" w:color="auto"/>
      </w:divBdr>
      <w:divsChild>
        <w:div w:id="495190395">
          <w:marLeft w:val="0"/>
          <w:marRight w:val="0"/>
          <w:marTop w:val="0"/>
          <w:marBottom w:val="0"/>
          <w:divBdr>
            <w:top w:val="none" w:sz="0" w:space="0" w:color="auto"/>
            <w:left w:val="none" w:sz="0" w:space="0" w:color="auto"/>
            <w:bottom w:val="none" w:sz="0" w:space="0" w:color="auto"/>
            <w:right w:val="none" w:sz="0" w:space="0" w:color="auto"/>
          </w:divBdr>
          <w:divsChild>
            <w:div w:id="73782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266087">
      <w:bodyDiv w:val="1"/>
      <w:marLeft w:val="0"/>
      <w:marRight w:val="0"/>
      <w:marTop w:val="0"/>
      <w:marBottom w:val="0"/>
      <w:divBdr>
        <w:top w:val="none" w:sz="0" w:space="0" w:color="auto"/>
        <w:left w:val="none" w:sz="0" w:space="0" w:color="auto"/>
        <w:bottom w:val="none" w:sz="0" w:space="0" w:color="auto"/>
        <w:right w:val="none" w:sz="0" w:space="0" w:color="auto"/>
      </w:divBdr>
      <w:divsChild>
        <w:div w:id="541328694">
          <w:marLeft w:val="0"/>
          <w:marRight w:val="0"/>
          <w:marTop w:val="0"/>
          <w:marBottom w:val="0"/>
          <w:divBdr>
            <w:top w:val="none" w:sz="0" w:space="0" w:color="auto"/>
            <w:left w:val="none" w:sz="0" w:space="0" w:color="auto"/>
            <w:bottom w:val="none" w:sz="0" w:space="0" w:color="auto"/>
            <w:right w:val="none" w:sz="0" w:space="0" w:color="auto"/>
          </w:divBdr>
          <w:divsChild>
            <w:div w:id="208460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543432">
      <w:bodyDiv w:val="1"/>
      <w:marLeft w:val="0"/>
      <w:marRight w:val="0"/>
      <w:marTop w:val="0"/>
      <w:marBottom w:val="0"/>
      <w:divBdr>
        <w:top w:val="none" w:sz="0" w:space="0" w:color="auto"/>
        <w:left w:val="none" w:sz="0" w:space="0" w:color="auto"/>
        <w:bottom w:val="none" w:sz="0" w:space="0" w:color="auto"/>
        <w:right w:val="none" w:sz="0" w:space="0" w:color="auto"/>
      </w:divBdr>
      <w:divsChild>
        <w:div w:id="1222712618">
          <w:marLeft w:val="0"/>
          <w:marRight w:val="0"/>
          <w:marTop w:val="0"/>
          <w:marBottom w:val="0"/>
          <w:divBdr>
            <w:top w:val="none" w:sz="0" w:space="0" w:color="auto"/>
            <w:left w:val="none" w:sz="0" w:space="0" w:color="auto"/>
            <w:bottom w:val="none" w:sz="0" w:space="0" w:color="auto"/>
            <w:right w:val="none" w:sz="0" w:space="0" w:color="auto"/>
          </w:divBdr>
          <w:divsChild>
            <w:div w:id="64208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16349">
      <w:bodyDiv w:val="1"/>
      <w:marLeft w:val="0"/>
      <w:marRight w:val="0"/>
      <w:marTop w:val="0"/>
      <w:marBottom w:val="0"/>
      <w:divBdr>
        <w:top w:val="none" w:sz="0" w:space="0" w:color="auto"/>
        <w:left w:val="none" w:sz="0" w:space="0" w:color="auto"/>
        <w:bottom w:val="none" w:sz="0" w:space="0" w:color="auto"/>
        <w:right w:val="none" w:sz="0" w:space="0" w:color="auto"/>
      </w:divBdr>
      <w:divsChild>
        <w:div w:id="424620742">
          <w:marLeft w:val="0"/>
          <w:marRight w:val="0"/>
          <w:marTop w:val="0"/>
          <w:marBottom w:val="0"/>
          <w:divBdr>
            <w:top w:val="none" w:sz="0" w:space="0" w:color="auto"/>
            <w:left w:val="none" w:sz="0" w:space="0" w:color="auto"/>
            <w:bottom w:val="none" w:sz="0" w:space="0" w:color="auto"/>
            <w:right w:val="none" w:sz="0" w:space="0" w:color="auto"/>
          </w:divBdr>
          <w:divsChild>
            <w:div w:id="83172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959272">
      <w:bodyDiv w:val="1"/>
      <w:marLeft w:val="0"/>
      <w:marRight w:val="0"/>
      <w:marTop w:val="0"/>
      <w:marBottom w:val="0"/>
      <w:divBdr>
        <w:top w:val="none" w:sz="0" w:space="0" w:color="auto"/>
        <w:left w:val="none" w:sz="0" w:space="0" w:color="auto"/>
        <w:bottom w:val="none" w:sz="0" w:space="0" w:color="auto"/>
        <w:right w:val="none" w:sz="0" w:space="0" w:color="auto"/>
      </w:divBdr>
      <w:divsChild>
        <w:div w:id="1972788089">
          <w:marLeft w:val="0"/>
          <w:marRight w:val="0"/>
          <w:marTop w:val="0"/>
          <w:marBottom w:val="0"/>
          <w:divBdr>
            <w:top w:val="none" w:sz="0" w:space="0" w:color="auto"/>
            <w:left w:val="none" w:sz="0" w:space="0" w:color="auto"/>
            <w:bottom w:val="none" w:sz="0" w:space="0" w:color="auto"/>
            <w:right w:val="none" w:sz="0" w:space="0" w:color="auto"/>
          </w:divBdr>
          <w:divsChild>
            <w:div w:id="175990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249700">
      <w:bodyDiv w:val="1"/>
      <w:marLeft w:val="0"/>
      <w:marRight w:val="0"/>
      <w:marTop w:val="0"/>
      <w:marBottom w:val="0"/>
      <w:divBdr>
        <w:top w:val="none" w:sz="0" w:space="0" w:color="auto"/>
        <w:left w:val="none" w:sz="0" w:space="0" w:color="auto"/>
        <w:bottom w:val="none" w:sz="0" w:space="0" w:color="auto"/>
        <w:right w:val="none" w:sz="0" w:space="0" w:color="auto"/>
      </w:divBdr>
    </w:div>
    <w:div w:id="1731418281">
      <w:bodyDiv w:val="1"/>
      <w:marLeft w:val="0"/>
      <w:marRight w:val="0"/>
      <w:marTop w:val="0"/>
      <w:marBottom w:val="0"/>
      <w:divBdr>
        <w:top w:val="none" w:sz="0" w:space="0" w:color="auto"/>
        <w:left w:val="none" w:sz="0" w:space="0" w:color="auto"/>
        <w:bottom w:val="none" w:sz="0" w:space="0" w:color="auto"/>
        <w:right w:val="none" w:sz="0" w:space="0" w:color="auto"/>
      </w:divBdr>
    </w:div>
    <w:div w:id="1740012152">
      <w:bodyDiv w:val="1"/>
      <w:marLeft w:val="0"/>
      <w:marRight w:val="0"/>
      <w:marTop w:val="0"/>
      <w:marBottom w:val="0"/>
      <w:divBdr>
        <w:top w:val="none" w:sz="0" w:space="0" w:color="auto"/>
        <w:left w:val="none" w:sz="0" w:space="0" w:color="auto"/>
        <w:bottom w:val="none" w:sz="0" w:space="0" w:color="auto"/>
        <w:right w:val="none" w:sz="0" w:space="0" w:color="auto"/>
      </w:divBdr>
      <w:divsChild>
        <w:div w:id="1511603117">
          <w:marLeft w:val="0"/>
          <w:marRight w:val="0"/>
          <w:marTop w:val="0"/>
          <w:marBottom w:val="0"/>
          <w:divBdr>
            <w:top w:val="none" w:sz="0" w:space="0" w:color="auto"/>
            <w:left w:val="none" w:sz="0" w:space="0" w:color="auto"/>
            <w:bottom w:val="none" w:sz="0" w:space="0" w:color="auto"/>
            <w:right w:val="none" w:sz="0" w:space="0" w:color="auto"/>
          </w:divBdr>
          <w:divsChild>
            <w:div w:id="142051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227986">
      <w:bodyDiv w:val="1"/>
      <w:marLeft w:val="0"/>
      <w:marRight w:val="0"/>
      <w:marTop w:val="0"/>
      <w:marBottom w:val="0"/>
      <w:divBdr>
        <w:top w:val="none" w:sz="0" w:space="0" w:color="auto"/>
        <w:left w:val="none" w:sz="0" w:space="0" w:color="auto"/>
        <w:bottom w:val="none" w:sz="0" w:space="0" w:color="auto"/>
        <w:right w:val="none" w:sz="0" w:space="0" w:color="auto"/>
      </w:divBdr>
      <w:divsChild>
        <w:div w:id="1095593077">
          <w:marLeft w:val="0"/>
          <w:marRight w:val="0"/>
          <w:marTop w:val="0"/>
          <w:marBottom w:val="0"/>
          <w:divBdr>
            <w:top w:val="none" w:sz="0" w:space="0" w:color="auto"/>
            <w:left w:val="none" w:sz="0" w:space="0" w:color="auto"/>
            <w:bottom w:val="none" w:sz="0" w:space="0" w:color="auto"/>
            <w:right w:val="none" w:sz="0" w:space="0" w:color="auto"/>
          </w:divBdr>
          <w:divsChild>
            <w:div w:id="65367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689854">
      <w:bodyDiv w:val="1"/>
      <w:marLeft w:val="0"/>
      <w:marRight w:val="0"/>
      <w:marTop w:val="0"/>
      <w:marBottom w:val="0"/>
      <w:divBdr>
        <w:top w:val="none" w:sz="0" w:space="0" w:color="auto"/>
        <w:left w:val="none" w:sz="0" w:space="0" w:color="auto"/>
        <w:bottom w:val="none" w:sz="0" w:space="0" w:color="auto"/>
        <w:right w:val="none" w:sz="0" w:space="0" w:color="auto"/>
      </w:divBdr>
      <w:divsChild>
        <w:div w:id="1070543301">
          <w:marLeft w:val="0"/>
          <w:marRight w:val="0"/>
          <w:marTop w:val="0"/>
          <w:marBottom w:val="0"/>
          <w:divBdr>
            <w:top w:val="none" w:sz="0" w:space="0" w:color="auto"/>
            <w:left w:val="none" w:sz="0" w:space="0" w:color="auto"/>
            <w:bottom w:val="none" w:sz="0" w:space="0" w:color="auto"/>
            <w:right w:val="none" w:sz="0" w:space="0" w:color="auto"/>
          </w:divBdr>
          <w:divsChild>
            <w:div w:id="134139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503078">
      <w:bodyDiv w:val="1"/>
      <w:marLeft w:val="0"/>
      <w:marRight w:val="0"/>
      <w:marTop w:val="0"/>
      <w:marBottom w:val="0"/>
      <w:divBdr>
        <w:top w:val="none" w:sz="0" w:space="0" w:color="auto"/>
        <w:left w:val="none" w:sz="0" w:space="0" w:color="auto"/>
        <w:bottom w:val="none" w:sz="0" w:space="0" w:color="auto"/>
        <w:right w:val="none" w:sz="0" w:space="0" w:color="auto"/>
      </w:divBdr>
      <w:divsChild>
        <w:div w:id="1091321289">
          <w:marLeft w:val="0"/>
          <w:marRight w:val="0"/>
          <w:marTop w:val="0"/>
          <w:marBottom w:val="0"/>
          <w:divBdr>
            <w:top w:val="none" w:sz="0" w:space="0" w:color="auto"/>
            <w:left w:val="none" w:sz="0" w:space="0" w:color="auto"/>
            <w:bottom w:val="none" w:sz="0" w:space="0" w:color="auto"/>
            <w:right w:val="none" w:sz="0" w:space="0" w:color="auto"/>
          </w:divBdr>
          <w:divsChild>
            <w:div w:id="214565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13534">
      <w:bodyDiv w:val="1"/>
      <w:marLeft w:val="0"/>
      <w:marRight w:val="0"/>
      <w:marTop w:val="0"/>
      <w:marBottom w:val="0"/>
      <w:divBdr>
        <w:top w:val="none" w:sz="0" w:space="0" w:color="auto"/>
        <w:left w:val="none" w:sz="0" w:space="0" w:color="auto"/>
        <w:bottom w:val="none" w:sz="0" w:space="0" w:color="auto"/>
        <w:right w:val="none" w:sz="0" w:space="0" w:color="auto"/>
      </w:divBdr>
      <w:divsChild>
        <w:div w:id="1379086966">
          <w:marLeft w:val="0"/>
          <w:marRight w:val="0"/>
          <w:marTop w:val="0"/>
          <w:marBottom w:val="0"/>
          <w:divBdr>
            <w:top w:val="none" w:sz="0" w:space="0" w:color="auto"/>
            <w:left w:val="none" w:sz="0" w:space="0" w:color="auto"/>
            <w:bottom w:val="none" w:sz="0" w:space="0" w:color="auto"/>
            <w:right w:val="none" w:sz="0" w:space="0" w:color="auto"/>
          </w:divBdr>
          <w:divsChild>
            <w:div w:id="151148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604328">
      <w:bodyDiv w:val="1"/>
      <w:marLeft w:val="0"/>
      <w:marRight w:val="0"/>
      <w:marTop w:val="0"/>
      <w:marBottom w:val="0"/>
      <w:divBdr>
        <w:top w:val="none" w:sz="0" w:space="0" w:color="auto"/>
        <w:left w:val="none" w:sz="0" w:space="0" w:color="auto"/>
        <w:bottom w:val="none" w:sz="0" w:space="0" w:color="auto"/>
        <w:right w:val="none" w:sz="0" w:space="0" w:color="auto"/>
      </w:divBdr>
      <w:divsChild>
        <w:div w:id="422460560">
          <w:marLeft w:val="0"/>
          <w:marRight w:val="0"/>
          <w:marTop w:val="0"/>
          <w:marBottom w:val="0"/>
          <w:divBdr>
            <w:top w:val="none" w:sz="0" w:space="0" w:color="auto"/>
            <w:left w:val="none" w:sz="0" w:space="0" w:color="auto"/>
            <w:bottom w:val="none" w:sz="0" w:space="0" w:color="auto"/>
            <w:right w:val="none" w:sz="0" w:space="0" w:color="auto"/>
          </w:divBdr>
          <w:divsChild>
            <w:div w:id="153125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535997">
      <w:bodyDiv w:val="1"/>
      <w:marLeft w:val="0"/>
      <w:marRight w:val="0"/>
      <w:marTop w:val="0"/>
      <w:marBottom w:val="0"/>
      <w:divBdr>
        <w:top w:val="none" w:sz="0" w:space="0" w:color="auto"/>
        <w:left w:val="none" w:sz="0" w:space="0" w:color="auto"/>
        <w:bottom w:val="none" w:sz="0" w:space="0" w:color="auto"/>
        <w:right w:val="none" w:sz="0" w:space="0" w:color="auto"/>
      </w:divBdr>
      <w:divsChild>
        <w:div w:id="1912810639">
          <w:marLeft w:val="0"/>
          <w:marRight w:val="0"/>
          <w:marTop w:val="0"/>
          <w:marBottom w:val="0"/>
          <w:divBdr>
            <w:top w:val="none" w:sz="0" w:space="0" w:color="auto"/>
            <w:left w:val="none" w:sz="0" w:space="0" w:color="auto"/>
            <w:bottom w:val="none" w:sz="0" w:space="0" w:color="auto"/>
            <w:right w:val="none" w:sz="0" w:space="0" w:color="auto"/>
          </w:divBdr>
          <w:divsChild>
            <w:div w:id="171083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75464">
      <w:bodyDiv w:val="1"/>
      <w:marLeft w:val="0"/>
      <w:marRight w:val="0"/>
      <w:marTop w:val="0"/>
      <w:marBottom w:val="0"/>
      <w:divBdr>
        <w:top w:val="none" w:sz="0" w:space="0" w:color="auto"/>
        <w:left w:val="none" w:sz="0" w:space="0" w:color="auto"/>
        <w:bottom w:val="none" w:sz="0" w:space="0" w:color="auto"/>
        <w:right w:val="none" w:sz="0" w:space="0" w:color="auto"/>
      </w:divBdr>
      <w:divsChild>
        <w:div w:id="1494373638">
          <w:marLeft w:val="0"/>
          <w:marRight w:val="0"/>
          <w:marTop w:val="0"/>
          <w:marBottom w:val="0"/>
          <w:divBdr>
            <w:top w:val="none" w:sz="0" w:space="0" w:color="auto"/>
            <w:left w:val="none" w:sz="0" w:space="0" w:color="auto"/>
            <w:bottom w:val="none" w:sz="0" w:space="0" w:color="auto"/>
            <w:right w:val="none" w:sz="0" w:space="0" w:color="auto"/>
          </w:divBdr>
          <w:divsChild>
            <w:div w:id="907806069">
              <w:marLeft w:val="0"/>
              <w:marRight w:val="0"/>
              <w:marTop w:val="0"/>
              <w:marBottom w:val="0"/>
              <w:divBdr>
                <w:top w:val="none" w:sz="0" w:space="0" w:color="auto"/>
                <w:left w:val="none" w:sz="0" w:space="0" w:color="auto"/>
                <w:bottom w:val="none" w:sz="0" w:space="0" w:color="auto"/>
                <w:right w:val="none" w:sz="0" w:space="0" w:color="auto"/>
              </w:divBdr>
              <w:divsChild>
                <w:div w:id="30955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058822">
      <w:bodyDiv w:val="1"/>
      <w:marLeft w:val="0"/>
      <w:marRight w:val="0"/>
      <w:marTop w:val="0"/>
      <w:marBottom w:val="0"/>
      <w:divBdr>
        <w:top w:val="none" w:sz="0" w:space="0" w:color="auto"/>
        <w:left w:val="none" w:sz="0" w:space="0" w:color="auto"/>
        <w:bottom w:val="none" w:sz="0" w:space="0" w:color="auto"/>
        <w:right w:val="none" w:sz="0" w:space="0" w:color="auto"/>
      </w:divBdr>
    </w:div>
    <w:div w:id="1890871239">
      <w:bodyDiv w:val="1"/>
      <w:marLeft w:val="0"/>
      <w:marRight w:val="0"/>
      <w:marTop w:val="0"/>
      <w:marBottom w:val="0"/>
      <w:divBdr>
        <w:top w:val="none" w:sz="0" w:space="0" w:color="auto"/>
        <w:left w:val="none" w:sz="0" w:space="0" w:color="auto"/>
        <w:bottom w:val="none" w:sz="0" w:space="0" w:color="auto"/>
        <w:right w:val="none" w:sz="0" w:space="0" w:color="auto"/>
      </w:divBdr>
      <w:divsChild>
        <w:div w:id="459344596">
          <w:marLeft w:val="0"/>
          <w:marRight w:val="0"/>
          <w:marTop w:val="0"/>
          <w:marBottom w:val="0"/>
          <w:divBdr>
            <w:top w:val="none" w:sz="0" w:space="0" w:color="auto"/>
            <w:left w:val="none" w:sz="0" w:space="0" w:color="auto"/>
            <w:bottom w:val="none" w:sz="0" w:space="0" w:color="auto"/>
            <w:right w:val="none" w:sz="0" w:space="0" w:color="auto"/>
          </w:divBdr>
          <w:divsChild>
            <w:div w:id="204887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48035">
      <w:bodyDiv w:val="1"/>
      <w:marLeft w:val="0"/>
      <w:marRight w:val="0"/>
      <w:marTop w:val="0"/>
      <w:marBottom w:val="0"/>
      <w:divBdr>
        <w:top w:val="none" w:sz="0" w:space="0" w:color="auto"/>
        <w:left w:val="none" w:sz="0" w:space="0" w:color="auto"/>
        <w:bottom w:val="none" w:sz="0" w:space="0" w:color="auto"/>
        <w:right w:val="none" w:sz="0" w:space="0" w:color="auto"/>
      </w:divBdr>
      <w:divsChild>
        <w:div w:id="1460418637">
          <w:marLeft w:val="0"/>
          <w:marRight w:val="0"/>
          <w:marTop w:val="0"/>
          <w:marBottom w:val="0"/>
          <w:divBdr>
            <w:top w:val="none" w:sz="0" w:space="0" w:color="auto"/>
            <w:left w:val="none" w:sz="0" w:space="0" w:color="auto"/>
            <w:bottom w:val="none" w:sz="0" w:space="0" w:color="auto"/>
            <w:right w:val="none" w:sz="0" w:space="0" w:color="auto"/>
          </w:divBdr>
          <w:divsChild>
            <w:div w:id="166358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792256">
      <w:bodyDiv w:val="1"/>
      <w:marLeft w:val="0"/>
      <w:marRight w:val="0"/>
      <w:marTop w:val="0"/>
      <w:marBottom w:val="0"/>
      <w:divBdr>
        <w:top w:val="none" w:sz="0" w:space="0" w:color="auto"/>
        <w:left w:val="none" w:sz="0" w:space="0" w:color="auto"/>
        <w:bottom w:val="none" w:sz="0" w:space="0" w:color="auto"/>
        <w:right w:val="none" w:sz="0" w:space="0" w:color="auto"/>
      </w:divBdr>
    </w:div>
    <w:div w:id="2004576902">
      <w:bodyDiv w:val="1"/>
      <w:marLeft w:val="0"/>
      <w:marRight w:val="0"/>
      <w:marTop w:val="0"/>
      <w:marBottom w:val="0"/>
      <w:divBdr>
        <w:top w:val="none" w:sz="0" w:space="0" w:color="auto"/>
        <w:left w:val="none" w:sz="0" w:space="0" w:color="auto"/>
        <w:bottom w:val="none" w:sz="0" w:space="0" w:color="auto"/>
        <w:right w:val="none" w:sz="0" w:space="0" w:color="auto"/>
      </w:divBdr>
    </w:div>
    <w:div w:id="2005469713">
      <w:bodyDiv w:val="1"/>
      <w:marLeft w:val="0"/>
      <w:marRight w:val="0"/>
      <w:marTop w:val="0"/>
      <w:marBottom w:val="0"/>
      <w:divBdr>
        <w:top w:val="none" w:sz="0" w:space="0" w:color="auto"/>
        <w:left w:val="none" w:sz="0" w:space="0" w:color="auto"/>
        <w:bottom w:val="none" w:sz="0" w:space="0" w:color="auto"/>
        <w:right w:val="none" w:sz="0" w:space="0" w:color="auto"/>
      </w:divBdr>
      <w:divsChild>
        <w:div w:id="1798139107">
          <w:marLeft w:val="0"/>
          <w:marRight w:val="0"/>
          <w:marTop w:val="0"/>
          <w:marBottom w:val="0"/>
          <w:divBdr>
            <w:top w:val="none" w:sz="0" w:space="0" w:color="auto"/>
            <w:left w:val="none" w:sz="0" w:space="0" w:color="auto"/>
            <w:bottom w:val="none" w:sz="0" w:space="0" w:color="auto"/>
            <w:right w:val="none" w:sz="0" w:space="0" w:color="auto"/>
          </w:divBdr>
          <w:divsChild>
            <w:div w:id="93212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751061">
      <w:bodyDiv w:val="1"/>
      <w:marLeft w:val="0"/>
      <w:marRight w:val="0"/>
      <w:marTop w:val="0"/>
      <w:marBottom w:val="0"/>
      <w:divBdr>
        <w:top w:val="none" w:sz="0" w:space="0" w:color="auto"/>
        <w:left w:val="none" w:sz="0" w:space="0" w:color="auto"/>
        <w:bottom w:val="none" w:sz="0" w:space="0" w:color="auto"/>
        <w:right w:val="none" w:sz="0" w:space="0" w:color="auto"/>
      </w:divBdr>
      <w:divsChild>
        <w:div w:id="1714038283">
          <w:marLeft w:val="0"/>
          <w:marRight w:val="0"/>
          <w:marTop w:val="0"/>
          <w:marBottom w:val="0"/>
          <w:divBdr>
            <w:top w:val="none" w:sz="0" w:space="0" w:color="auto"/>
            <w:left w:val="none" w:sz="0" w:space="0" w:color="auto"/>
            <w:bottom w:val="none" w:sz="0" w:space="0" w:color="auto"/>
            <w:right w:val="none" w:sz="0" w:space="0" w:color="auto"/>
          </w:divBdr>
        </w:div>
      </w:divsChild>
    </w:div>
    <w:div w:id="2025285931">
      <w:bodyDiv w:val="1"/>
      <w:marLeft w:val="0"/>
      <w:marRight w:val="0"/>
      <w:marTop w:val="0"/>
      <w:marBottom w:val="0"/>
      <w:divBdr>
        <w:top w:val="none" w:sz="0" w:space="0" w:color="auto"/>
        <w:left w:val="none" w:sz="0" w:space="0" w:color="auto"/>
        <w:bottom w:val="none" w:sz="0" w:space="0" w:color="auto"/>
        <w:right w:val="none" w:sz="0" w:space="0" w:color="auto"/>
      </w:divBdr>
    </w:div>
    <w:div w:id="2039693383">
      <w:bodyDiv w:val="1"/>
      <w:marLeft w:val="0"/>
      <w:marRight w:val="0"/>
      <w:marTop w:val="0"/>
      <w:marBottom w:val="0"/>
      <w:divBdr>
        <w:top w:val="none" w:sz="0" w:space="0" w:color="auto"/>
        <w:left w:val="none" w:sz="0" w:space="0" w:color="auto"/>
        <w:bottom w:val="none" w:sz="0" w:space="0" w:color="auto"/>
        <w:right w:val="none" w:sz="0" w:space="0" w:color="auto"/>
      </w:divBdr>
      <w:divsChild>
        <w:div w:id="1461460757">
          <w:marLeft w:val="0"/>
          <w:marRight w:val="0"/>
          <w:marTop w:val="0"/>
          <w:marBottom w:val="0"/>
          <w:divBdr>
            <w:top w:val="none" w:sz="0" w:space="0" w:color="auto"/>
            <w:left w:val="none" w:sz="0" w:space="0" w:color="auto"/>
            <w:bottom w:val="none" w:sz="0" w:space="0" w:color="auto"/>
            <w:right w:val="none" w:sz="0" w:space="0" w:color="auto"/>
          </w:divBdr>
          <w:divsChild>
            <w:div w:id="138506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541277">
      <w:bodyDiv w:val="1"/>
      <w:marLeft w:val="0"/>
      <w:marRight w:val="0"/>
      <w:marTop w:val="0"/>
      <w:marBottom w:val="0"/>
      <w:divBdr>
        <w:top w:val="none" w:sz="0" w:space="0" w:color="auto"/>
        <w:left w:val="none" w:sz="0" w:space="0" w:color="auto"/>
        <w:bottom w:val="none" w:sz="0" w:space="0" w:color="auto"/>
        <w:right w:val="none" w:sz="0" w:space="0" w:color="auto"/>
      </w:divBdr>
      <w:divsChild>
        <w:div w:id="1026296522">
          <w:marLeft w:val="0"/>
          <w:marRight w:val="0"/>
          <w:marTop w:val="0"/>
          <w:marBottom w:val="0"/>
          <w:divBdr>
            <w:top w:val="none" w:sz="0" w:space="0" w:color="auto"/>
            <w:left w:val="none" w:sz="0" w:space="0" w:color="auto"/>
            <w:bottom w:val="none" w:sz="0" w:space="0" w:color="auto"/>
            <w:right w:val="none" w:sz="0" w:space="0" w:color="auto"/>
          </w:divBdr>
          <w:divsChild>
            <w:div w:id="17873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029969">
      <w:bodyDiv w:val="1"/>
      <w:marLeft w:val="0"/>
      <w:marRight w:val="0"/>
      <w:marTop w:val="0"/>
      <w:marBottom w:val="0"/>
      <w:divBdr>
        <w:top w:val="none" w:sz="0" w:space="0" w:color="auto"/>
        <w:left w:val="none" w:sz="0" w:space="0" w:color="auto"/>
        <w:bottom w:val="none" w:sz="0" w:space="0" w:color="auto"/>
        <w:right w:val="none" w:sz="0" w:space="0" w:color="auto"/>
      </w:divBdr>
      <w:divsChild>
        <w:div w:id="122388122">
          <w:marLeft w:val="0"/>
          <w:marRight w:val="0"/>
          <w:marTop w:val="0"/>
          <w:marBottom w:val="0"/>
          <w:divBdr>
            <w:top w:val="none" w:sz="0" w:space="0" w:color="auto"/>
            <w:left w:val="none" w:sz="0" w:space="0" w:color="auto"/>
            <w:bottom w:val="none" w:sz="0" w:space="0" w:color="auto"/>
            <w:right w:val="none" w:sz="0" w:space="0" w:color="auto"/>
          </w:divBdr>
          <w:divsChild>
            <w:div w:id="56094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062593">
      <w:bodyDiv w:val="1"/>
      <w:marLeft w:val="0"/>
      <w:marRight w:val="0"/>
      <w:marTop w:val="0"/>
      <w:marBottom w:val="0"/>
      <w:divBdr>
        <w:top w:val="none" w:sz="0" w:space="0" w:color="auto"/>
        <w:left w:val="none" w:sz="0" w:space="0" w:color="auto"/>
        <w:bottom w:val="none" w:sz="0" w:space="0" w:color="auto"/>
        <w:right w:val="none" w:sz="0" w:space="0" w:color="auto"/>
      </w:divBdr>
    </w:div>
    <w:div w:id="2101442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9BB74-56D2-284A-8D42-2D281BFD6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60</Pages>
  <Words>17991</Words>
  <Characters>96434</Characters>
  <Application>Microsoft Office Word</Application>
  <DocSecurity>0</DocSecurity>
  <Lines>2009</Lines>
  <Paragraphs>248</Paragraphs>
  <ScaleCrop>false</ScaleCrop>
  <HeadingPairs>
    <vt:vector size="2" baseType="variant">
      <vt:variant>
        <vt:lpstr>Title</vt:lpstr>
      </vt:variant>
      <vt:variant>
        <vt:i4>1</vt:i4>
      </vt:variant>
    </vt:vector>
  </HeadingPairs>
  <TitlesOfParts>
    <vt:vector size="1" baseType="lpstr">
      <vt:lpstr>Article Template</vt:lpstr>
    </vt:vector>
  </TitlesOfParts>
  <Company>Dan Epps</Company>
  <LinksUpToDate>false</LinksUpToDate>
  <CharactersWithSpaces>114177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Template</dc:title>
  <dc:subject/>
  <dc:creator>Daniel Epps</dc:creator>
  <cp:keywords/>
  <dc:description/>
  <cp:lastModifiedBy>Christopher Buccafusco</cp:lastModifiedBy>
  <cp:revision>2</cp:revision>
  <cp:lastPrinted>2023-02-10T19:41:00Z</cp:lastPrinted>
  <dcterms:created xsi:type="dcterms:W3CDTF">2023-02-11T14:28:00Z</dcterms:created>
  <dcterms:modified xsi:type="dcterms:W3CDTF">2023-02-11T14:28:00Z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Operation">
    <vt:lpwstr>REMOVE</vt:lpwstr>
  </property>
  <property fmtid="{D5CDD505-2E9C-101B-9397-08002B2CF9AE}" pid="3" name="CUS_DocIDbChkLibDB">
    <vt:lpwstr>-1</vt:lpwstr>
  </property>
  <property fmtid="{D5CDD505-2E9C-101B-9397-08002B2CF9AE}" pid="4" name="CUS_DocIDbchkClientNumber">
    <vt:lpwstr>0</vt:lpwstr>
  </property>
  <property fmtid="{D5CDD505-2E9C-101B-9397-08002B2CF9AE}" pid="5" name="CUS_DocIDbchkMatterNumber">
    <vt:lpwstr>0</vt:lpwstr>
  </property>
  <property fmtid="{D5CDD505-2E9C-101B-9397-08002B2CF9AE}" pid="6" name="CUS_DocIDbchkDocumentName">
    <vt:lpwstr>0</vt:lpwstr>
  </property>
  <property fmtid="{D5CDD505-2E9C-101B-9397-08002B2CF9AE}" pid="7" name="CUS_DocIDbchkAuthorName">
    <vt:lpwstr>0</vt:lpwstr>
  </property>
  <property fmtid="{D5CDD505-2E9C-101B-9397-08002B2CF9AE}" pid="8" name="CUS_DocIDbchkDocumentNumber">
    <vt:lpwstr>-1</vt:lpwstr>
  </property>
  <property fmtid="{D5CDD505-2E9C-101B-9397-08002B2CF9AE}" pid="9" name="CUS_DocIDbchkVersionNumber">
    <vt:lpwstr>-1</vt:lpwstr>
  </property>
  <property fmtid="{D5CDD505-2E9C-101B-9397-08002B2CF9AE}" pid="10" name="CUS_DocIDbchkDate">
    <vt:lpwstr>0</vt:lpwstr>
  </property>
  <property fmtid="{D5CDD505-2E9C-101B-9397-08002B2CF9AE}" pid="11" name="CUS_DocIDbchkTime">
    <vt:lpwstr>0</vt:lpwstr>
  </property>
  <property fmtid="{D5CDD505-2E9C-101B-9397-08002B2CF9AE}" pid="12" name="CUS_DocIDiPage">
    <vt:lpwstr>0</vt:lpwstr>
  </property>
  <property fmtid="{D5CDD505-2E9C-101B-9397-08002B2CF9AE}" pid="13" name="GrammarlyDocumentId">
    <vt:lpwstr>fd9c012ba915c6065ac3d195076132585dab61725be643f0bcdab294f9595821</vt:lpwstr>
  </property>
</Properties>
</file>