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215A" w14:textId="05CCD7F5" w:rsidR="009064D3" w:rsidRDefault="009064D3" w:rsidP="009064D3">
      <w:pPr>
        <w:spacing w:after="0" w:line="240" w:lineRule="auto"/>
        <w:jc w:val="center"/>
        <w:rPr>
          <w:rFonts w:ascii="Times New Roman" w:hAnsi="Times New Roman" w:cs="Times New Roman"/>
          <w:b/>
          <w:color w:val="000000" w:themeColor="text1"/>
        </w:rPr>
      </w:pPr>
      <w:r w:rsidRPr="009D4F42">
        <w:rPr>
          <w:rFonts w:ascii="Times New Roman" w:hAnsi="Times New Roman" w:cs="Times New Roman"/>
          <w:b/>
          <w:color w:val="000000" w:themeColor="text1"/>
        </w:rPr>
        <w:t>Measuring The Impact of Transaction Costs on Profitability of Farmers: Empirical Evidence from India</w:t>
      </w:r>
    </w:p>
    <w:p w14:paraId="1E857406" w14:textId="784DBB1B" w:rsidR="005D3B1D" w:rsidRPr="009D4F42" w:rsidRDefault="005D3B1D" w:rsidP="009064D3">
      <w:pPr>
        <w:spacing w:after="0" w:line="240" w:lineRule="auto"/>
        <w:jc w:val="center"/>
        <w:rPr>
          <w:rFonts w:ascii="Times New Roman" w:hAnsi="Times New Roman" w:cs="Times New Roman"/>
          <w:b/>
          <w:color w:val="000000" w:themeColor="text1"/>
        </w:rPr>
      </w:pPr>
      <w:r>
        <w:rPr>
          <w:rFonts w:ascii="Times New Roman" w:hAnsi="Times New Roman" w:cs="Times New Roman"/>
          <w:b/>
          <w:bCs/>
          <w:sz w:val="23"/>
          <w:szCs w:val="23"/>
          <w:lang w:val="en-IN"/>
        </w:rPr>
        <w:t>Kedar Vishnu</w:t>
      </w:r>
      <w:r w:rsidR="00BF34B9">
        <w:rPr>
          <w:rFonts w:ascii="Times New Roman" w:hAnsi="Times New Roman" w:cs="Times New Roman"/>
          <w:b/>
          <w:bCs/>
          <w:sz w:val="23"/>
          <w:szCs w:val="23"/>
          <w:lang w:val="en-IN"/>
        </w:rPr>
        <w:t xml:space="preserve"> </w:t>
      </w:r>
      <w:r w:rsidR="00BF34B9">
        <w:rPr>
          <w:rStyle w:val="FootnoteReference"/>
          <w:rFonts w:ascii="Times New Roman" w:hAnsi="Times New Roman" w:cs="Times New Roman"/>
          <w:b/>
          <w:bCs/>
          <w:sz w:val="23"/>
          <w:szCs w:val="23"/>
          <w:lang w:val="en-IN"/>
        </w:rPr>
        <w:footnoteReference w:id="1"/>
      </w:r>
      <w:r w:rsidR="003A0818">
        <w:rPr>
          <w:rFonts w:ascii="Times New Roman" w:hAnsi="Times New Roman" w:cs="Times New Roman"/>
          <w:b/>
          <w:bCs/>
          <w:sz w:val="23"/>
          <w:szCs w:val="23"/>
          <w:lang w:val="en-IN"/>
        </w:rPr>
        <w:t>,</w:t>
      </w:r>
      <w:r>
        <w:rPr>
          <w:rFonts w:ascii="Times New Roman" w:hAnsi="Times New Roman" w:cs="Times New Roman"/>
          <w:b/>
          <w:bCs/>
          <w:sz w:val="23"/>
          <w:szCs w:val="23"/>
          <w:lang w:val="en-IN"/>
        </w:rPr>
        <w:t xml:space="preserve"> </w:t>
      </w:r>
      <w:proofErr w:type="spellStart"/>
      <w:r>
        <w:rPr>
          <w:rFonts w:ascii="Times New Roman" w:hAnsi="Times New Roman" w:cs="Times New Roman"/>
          <w:b/>
          <w:bCs/>
          <w:sz w:val="23"/>
          <w:szCs w:val="23"/>
          <w:lang w:val="en-IN"/>
        </w:rPr>
        <w:t>Parmod</w:t>
      </w:r>
      <w:proofErr w:type="spellEnd"/>
      <w:r>
        <w:rPr>
          <w:rFonts w:ascii="Times New Roman" w:hAnsi="Times New Roman" w:cs="Times New Roman"/>
          <w:b/>
          <w:bCs/>
          <w:sz w:val="23"/>
          <w:szCs w:val="23"/>
          <w:lang w:val="en-IN"/>
        </w:rPr>
        <w:t xml:space="preserve"> Kumar</w:t>
      </w:r>
      <w:r w:rsidR="00BF34B9">
        <w:rPr>
          <w:rStyle w:val="FootnoteReference"/>
          <w:rFonts w:ascii="Times New Roman" w:hAnsi="Times New Roman" w:cs="Times New Roman"/>
          <w:b/>
          <w:bCs/>
          <w:sz w:val="23"/>
          <w:szCs w:val="23"/>
          <w:lang w:val="en-IN"/>
        </w:rPr>
        <w:footnoteReference w:id="2"/>
      </w:r>
      <w:r w:rsidR="003A0818">
        <w:rPr>
          <w:rFonts w:ascii="Times New Roman" w:hAnsi="Times New Roman" w:cs="Times New Roman"/>
          <w:b/>
          <w:bCs/>
          <w:sz w:val="23"/>
          <w:szCs w:val="23"/>
          <w:lang w:val="en-IN"/>
        </w:rPr>
        <w:t xml:space="preserve"> &amp; Ruchika Rai</w:t>
      </w:r>
      <w:r w:rsidR="003A0818">
        <w:rPr>
          <w:rStyle w:val="FootnoteReference"/>
          <w:rFonts w:ascii="Times New Roman" w:hAnsi="Times New Roman" w:cs="Times New Roman"/>
          <w:b/>
          <w:bCs/>
          <w:sz w:val="23"/>
          <w:szCs w:val="23"/>
          <w:lang w:val="en-IN"/>
        </w:rPr>
        <w:t xml:space="preserve"> </w:t>
      </w:r>
      <w:r w:rsidR="003A0818">
        <w:rPr>
          <w:rFonts w:ascii="Times New Roman" w:hAnsi="Times New Roman" w:cs="Times New Roman"/>
          <w:b/>
          <w:bCs/>
          <w:sz w:val="23"/>
          <w:szCs w:val="23"/>
          <w:vertAlign w:val="superscript"/>
          <w:lang w:val="en-IN"/>
        </w:rPr>
        <w:t>1</w:t>
      </w:r>
    </w:p>
    <w:p w14:paraId="05AB20A9" w14:textId="77777777" w:rsidR="009064D3" w:rsidRPr="009D4F42" w:rsidRDefault="009064D3" w:rsidP="009064D3">
      <w:pPr>
        <w:spacing w:after="0" w:line="240" w:lineRule="auto"/>
        <w:jc w:val="both"/>
        <w:rPr>
          <w:rFonts w:ascii="Times New Roman" w:hAnsi="Times New Roman" w:cs="Times New Roman"/>
          <w:b/>
          <w:color w:val="000000" w:themeColor="text1"/>
        </w:rPr>
      </w:pPr>
    </w:p>
    <w:p w14:paraId="1110B842" w14:textId="77777777" w:rsidR="009064D3" w:rsidRPr="009D4F42" w:rsidRDefault="009064D3" w:rsidP="009064D3">
      <w:pPr>
        <w:spacing w:after="0" w:line="240" w:lineRule="auto"/>
        <w:jc w:val="both"/>
        <w:rPr>
          <w:rFonts w:ascii="Times New Roman" w:hAnsi="Times New Roman" w:cs="Times New Roman"/>
          <w:b/>
          <w:color w:val="000000" w:themeColor="text1"/>
        </w:rPr>
      </w:pPr>
      <w:r w:rsidRPr="009D4F42">
        <w:rPr>
          <w:rFonts w:ascii="Times New Roman" w:hAnsi="Times New Roman" w:cs="Times New Roman"/>
          <w:b/>
          <w:color w:val="000000" w:themeColor="text1"/>
        </w:rPr>
        <w:t xml:space="preserve">Introduction: </w:t>
      </w:r>
    </w:p>
    <w:p w14:paraId="49796CAE" w14:textId="726E12B3"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color w:val="000000" w:themeColor="text1"/>
        </w:rPr>
        <w:t xml:space="preserve">The modern food retail chains (MFRCs) have recently attracted attention due to the massive increase in the number of stores, expansion of operation from developed countries to developing countries, and increase in the sale of fruits and vegetables (F&amp;Vs) </w:t>
      </w:r>
      <w:r w:rsidRPr="009D4F42">
        <w:rPr>
          <w:rFonts w:ascii="Times New Roman" w:hAnsi="Times New Roman" w:cs="Times New Roman"/>
          <w:color w:val="000000" w:themeColor="text1"/>
        </w:rPr>
        <w:fldChar w:fldCharType="begin" w:fldLock="1"/>
      </w:r>
      <w:r w:rsidRPr="009D4F42">
        <w:rPr>
          <w:rFonts w:ascii="Times New Roman" w:hAnsi="Times New Roman" w:cs="Times New Roman"/>
          <w:color w:val="000000" w:themeColor="text1"/>
        </w:rPr>
        <w:instrText>ADDIN CSL_CITATION {"citationItems":[{"id":"ITEM-1","itemData":{"abstract":"There has been extremely rapid transformation in the past decade of the food retail sector, embodied in the rapid spread of supermarkets, in East and Southeast Asia and Latin America–the emerging markets of the Pacifi c Rim region. As the supermarket sector develops, leading chains are rapidly adopting technological, organizational, and institutional changes in their product-procurement systems. These changes alter the market that farmers face and have the potential to substantially transform the nature, composition, and volume of trade in the region. These trends in turn present both opportunities and challenges for development that require careful program and policy attention.","author":[{"dropping-particle":"","family":"Reardon","given":"Thomas","non-dropping-particle":"","parse-names":false,"suffix":""},{"dropping-particle":"","family":"Berdegué","given":"J","non-dropping-particle":"","parse-names":false,"suffix":""},{"dropping-particle":"","family":"Timmer","given":"C.P.","non-dropping-particle":"","parse-names":false,"suffix":""}],"container-title":"Journal of Food Distribution Research","id":"ITEM-1","issue":"1","issued":{"date-parts":[["2005"]]},"page":"3–12","title":"Supermarketization of the emerging markets of the Pacific rim: development and trade implications","type":"article-journal","volume":"36"},"uris":["http://www.mendeley.com/documents/?uuid=b4044270-fc62-49f8-96a5-752a9b4d4234"]}],"mendeley":{"formattedCitation":"(Reardon et al. 2005)","plainTextFormattedCitation":"(Reardon et al. 2005)","previouslyFormattedCitation":"(Reardon et al. 2005)"},"properties":{"noteIndex":0},"schema":"https://github.com/citation-style-language/schema/raw/master/csl-citation.json"}</w:instrText>
      </w:r>
      <w:r w:rsidRPr="009D4F42">
        <w:rPr>
          <w:rFonts w:ascii="Times New Roman" w:hAnsi="Times New Roman" w:cs="Times New Roman"/>
          <w:color w:val="000000" w:themeColor="text1"/>
        </w:rPr>
        <w:fldChar w:fldCharType="separate"/>
      </w:r>
      <w:r w:rsidRPr="009D4F42">
        <w:rPr>
          <w:rFonts w:ascii="Times New Roman" w:hAnsi="Times New Roman" w:cs="Times New Roman"/>
          <w:noProof/>
          <w:color w:val="000000" w:themeColor="text1"/>
        </w:rPr>
        <w:t>(Reardon et al. 2005)</w:t>
      </w:r>
      <w:r w:rsidRPr="009D4F42">
        <w:rPr>
          <w:rFonts w:ascii="Times New Roman" w:hAnsi="Times New Roman" w:cs="Times New Roman"/>
          <w:color w:val="000000" w:themeColor="text1"/>
        </w:rPr>
        <w:fldChar w:fldCharType="end"/>
      </w:r>
      <w:r w:rsidRPr="009D4F42">
        <w:rPr>
          <w:rFonts w:ascii="Times New Roman" w:hAnsi="Times New Roman" w:cs="Times New Roman"/>
          <w:color w:val="000000" w:themeColor="text1"/>
        </w:rPr>
        <w:t xml:space="preserve">. Existing literature </w:t>
      </w:r>
      <w:r w:rsidRPr="009D4F42">
        <w:rPr>
          <w:rFonts w:ascii="Times New Roman" w:hAnsi="Times New Roman" w:cs="Times New Roman"/>
          <w:noProof/>
          <w:color w:val="000000" w:themeColor="text1"/>
        </w:rPr>
        <w:t>has</w:t>
      </w:r>
      <w:r w:rsidRPr="009D4F42">
        <w:rPr>
          <w:rFonts w:ascii="Times New Roman" w:hAnsi="Times New Roman" w:cs="Times New Roman"/>
          <w:color w:val="000000" w:themeColor="text1"/>
        </w:rPr>
        <w:t xml:space="preserve">, in essence, captured how the MFRCs benefit the farmers by increasing their income. The studies have incorporated the </w:t>
      </w:r>
      <w:r w:rsidRPr="009D4F42">
        <w:rPr>
          <w:rFonts w:ascii="Times New Roman" w:hAnsi="Times New Roman" w:cs="Times New Roman"/>
          <w:noProof/>
          <w:color w:val="000000" w:themeColor="text1"/>
        </w:rPr>
        <w:t xml:space="preserve">impact of </w:t>
      </w:r>
      <w:r w:rsidRPr="009D4F42">
        <w:rPr>
          <w:rFonts w:ascii="Times New Roman" w:hAnsi="Times New Roman" w:cs="Times New Roman"/>
          <w:color w:val="000000" w:themeColor="text1"/>
        </w:rPr>
        <w:t>farmers' characteristics, farm size, irrigation facilities, infrastructure access, credit access from traditional sources on farmers' income, productivity, employment, and welfare (</w:t>
      </w:r>
      <w:proofErr w:type="spellStart"/>
      <w:r w:rsidRPr="009D4F42">
        <w:rPr>
          <w:rFonts w:ascii="Times New Roman" w:hAnsi="Times New Roman" w:cs="Times New Roman"/>
          <w:color w:val="000000" w:themeColor="text1"/>
        </w:rPr>
        <w:t>Schipmann</w:t>
      </w:r>
      <w:proofErr w:type="spellEnd"/>
      <w:r w:rsidRPr="009D4F42">
        <w:rPr>
          <w:rFonts w:ascii="Times New Roman" w:hAnsi="Times New Roman" w:cs="Times New Roman"/>
          <w:color w:val="000000" w:themeColor="text1"/>
        </w:rPr>
        <w:t xml:space="preserve"> &amp; Qaim 2011; Mishra et al., 2018). The Institutional framework is responsible for creating</w:t>
      </w:r>
      <w:r w:rsidRPr="009D4F42">
        <w:rPr>
          <w:rFonts w:ascii="Times New Roman" w:hAnsi="Times New Roman" w:cs="Times New Roman"/>
          <w:color w:val="000000" w:themeColor="text1"/>
          <w:shd w:val="clear" w:color="auto" w:fill="FFFFFF"/>
        </w:rPr>
        <w:t xml:space="preserve"> an atmosphere</w:t>
      </w:r>
      <w:r w:rsidRPr="009D4F42">
        <w:rPr>
          <w:rFonts w:ascii="Times New Roman" w:hAnsi="Times New Roman" w:cs="Times New Roman"/>
          <w:color w:val="000000" w:themeColor="text1"/>
        </w:rPr>
        <w:t xml:space="preserve"> for the </w:t>
      </w:r>
      <w:r w:rsidRPr="009D4F42">
        <w:rPr>
          <w:rFonts w:ascii="Times New Roman" w:hAnsi="Times New Roman" w:cs="Times New Roman"/>
          <w:noProof/>
          <w:color w:val="000000" w:themeColor="text1"/>
        </w:rPr>
        <w:t>emergence</w:t>
      </w:r>
      <w:r w:rsidRPr="009D4F42">
        <w:rPr>
          <w:rFonts w:ascii="Times New Roman" w:hAnsi="Times New Roman" w:cs="Times New Roman"/>
          <w:color w:val="000000" w:themeColor="text1"/>
        </w:rPr>
        <w:t xml:space="preserve"> of MFRCs in India. </w:t>
      </w:r>
      <w:r w:rsidRPr="009D4F42">
        <w:rPr>
          <w:rFonts w:ascii="Times New Roman" w:hAnsi="Times New Roman" w:cs="Times New Roman"/>
          <w:iCs/>
          <w:color w:val="000000" w:themeColor="text1"/>
        </w:rPr>
        <w:t xml:space="preserve">The Institutional economics framework provides a way in which MFRCs contracting overcomes particular types of market failures (i.e., Uncertainty, risk sharing, coordination failure) (Grosh,1994). </w:t>
      </w:r>
      <w:r w:rsidRPr="009D4F42">
        <w:rPr>
          <w:rFonts w:ascii="Times New Roman" w:hAnsi="Times New Roman" w:cs="Times New Roman"/>
          <w:bCs/>
          <w:color w:val="000000" w:themeColor="text1"/>
        </w:rPr>
        <w:t>However, the existing studies neglected to capture the variation in contracting practices and their impact on farmers' income (which leads to incurring TCs by farmers).</w:t>
      </w:r>
      <w:r w:rsidRPr="009D4F42">
        <w:rPr>
          <w:rFonts w:ascii="Times New Roman" w:hAnsi="Times New Roman" w:cs="Times New Roman"/>
          <w:color w:val="000000" w:themeColor="text1"/>
        </w:rPr>
        <w:t xml:space="preserve"> This is unfortunate since the consequence for the farmer for their integration into MFRC is bound to be affected by the nature of the contract, which will influence income, the type and the amount of risk they bear, self-sufficiency, etc. (</w:t>
      </w:r>
      <w:proofErr w:type="spellStart"/>
      <w:r w:rsidRPr="009D4F42">
        <w:rPr>
          <w:rFonts w:ascii="Times New Roman" w:hAnsi="Times New Roman" w:cs="Times New Roman"/>
          <w:color w:val="000000" w:themeColor="text1"/>
        </w:rPr>
        <w:t>Grosh</w:t>
      </w:r>
      <w:proofErr w:type="spellEnd"/>
      <w:r w:rsidRPr="009D4F42">
        <w:rPr>
          <w:rFonts w:ascii="Times New Roman" w:hAnsi="Times New Roman" w:cs="Times New Roman"/>
          <w:color w:val="000000" w:themeColor="text1"/>
        </w:rPr>
        <w:t xml:space="preserve">, 1994). Very few existing studies reveal that MFRCs </w:t>
      </w:r>
      <w:r w:rsidRPr="009D4F42">
        <w:rPr>
          <w:rFonts w:ascii="Times New Roman" w:hAnsi="Times New Roman" w:cs="Times New Roman"/>
          <w:noProof/>
          <w:color w:val="000000" w:themeColor="text1"/>
        </w:rPr>
        <w:t>tend</w:t>
      </w:r>
      <w:r w:rsidRPr="009D4F42">
        <w:rPr>
          <w:rFonts w:ascii="Times New Roman" w:hAnsi="Times New Roman" w:cs="Times New Roman"/>
          <w:color w:val="000000" w:themeColor="text1"/>
        </w:rPr>
        <w:t xml:space="preserve"> to behave opportunistically towards farmers (Allen, 2017; </w:t>
      </w:r>
      <w:proofErr w:type="spellStart"/>
      <w:r w:rsidRPr="009D4F42">
        <w:rPr>
          <w:rFonts w:ascii="Times New Roman" w:hAnsi="Times New Roman" w:cs="Times New Roman"/>
          <w:color w:val="000000" w:themeColor="text1"/>
        </w:rPr>
        <w:t>Escobal</w:t>
      </w:r>
      <w:proofErr w:type="spellEnd"/>
      <w:r w:rsidRPr="009D4F42">
        <w:rPr>
          <w:rFonts w:ascii="Times New Roman" w:hAnsi="Times New Roman" w:cs="Times New Roman"/>
          <w:color w:val="000000" w:themeColor="text1"/>
        </w:rPr>
        <w:t xml:space="preserve"> &amp; </w:t>
      </w:r>
      <w:proofErr w:type="spellStart"/>
      <w:r w:rsidRPr="009D4F42">
        <w:rPr>
          <w:rFonts w:ascii="Times New Roman" w:hAnsi="Times New Roman" w:cs="Times New Roman"/>
          <w:color w:val="000000" w:themeColor="text1"/>
        </w:rPr>
        <w:t>Cavero</w:t>
      </w:r>
      <w:proofErr w:type="spellEnd"/>
      <w:r w:rsidRPr="009D4F42">
        <w:rPr>
          <w:rFonts w:ascii="Times New Roman" w:hAnsi="Times New Roman" w:cs="Times New Roman"/>
          <w:color w:val="000000" w:themeColor="text1"/>
        </w:rPr>
        <w:t xml:space="preserve">, 2012). The new institutional arrangement exposes farmers to contracts when the buyers are either monopsonists or oligopolists </w:t>
      </w:r>
      <w:r w:rsidRPr="009D4F42">
        <w:rPr>
          <w:rFonts w:ascii="Times New Roman" w:hAnsi="Times New Roman" w:cs="Times New Roman"/>
          <w:b/>
          <w:color w:val="000000" w:themeColor="text1"/>
        </w:rPr>
        <w:t>(</w:t>
      </w:r>
      <w:proofErr w:type="spellStart"/>
      <w:r w:rsidRPr="009D4F42">
        <w:rPr>
          <w:rFonts w:ascii="Times New Roman" w:hAnsi="Times New Roman" w:cs="Times New Roman"/>
          <w:color w:val="000000" w:themeColor="text1"/>
        </w:rPr>
        <w:t>Sivramkrishna</w:t>
      </w:r>
      <w:proofErr w:type="spellEnd"/>
      <w:r w:rsidRPr="009D4F42">
        <w:rPr>
          <w:rFonts w:ascii="Times New Roman" w:hAnsi="Times New Roman" w:cs="Times New Roman"/>
          <w:color w:val="000000" w:themeColor="text1"/>
        </w:rPr>
        <w:t xml:space="preserve"> and </w:t>
      </w:r>
      <w:proofErr w:type="spellStart"/>
      <w:r w:rsidRPr="009D4F42">
        <w:rPr>
          <w:rFonts w:ascii="Times New Roman" w:hAnsi="Times New Roman" w:cs="Times New Roman"/>
          <w:color w:val="000000" w:themeColor="text1"/>
        </w:rPr>
        <w:t>Jyotishi</w:t>
      </w:r>
      <w:proofErr w:type="spellEnd"/>
      <w:r w:rsidRPr="009D4F42">
        <w:rPr>
          <w:rFonts w:ascii="Times New Roman" w:hAnsi="Times New Roman" w:cs="Times New Roman"/>
          <w:color w:val="000000" w:themeColor="text1"/>
        </w:rPr>
        <w:t xml:space="preserve"> 2008). The </w:t>
      </w:r>
      <w:r w:rsidRPr="009D4F42">
        <w:rPr>
          <w:rFonts w:ascii="Times New Roman" w:hAnsi="Times New Roman" w:cs="Times New Roman"/>
          <w:noProof/>
          <w:color w:val="000000" w:themeColor="text1"/>
          <w:u w:val="thick" w:color="28B473"/>
        </w:rPr>
        <w:t xml:space="preserve">risk </w:t>
      </w:r>
      <w:r w:rsidRPr="009D4F42">
        <w:rPr>
          <w:rFonts w:ascii="Times New Roman" w:hAnsi="Times New Roman" w:cs="Times New Roman"/>
          <w:color w:val="000000" w:themeColor="text1"/>
        </w:rPr>
        <w:t xml:space="preserve">of an incomplete agreement, lack of enforcement, and asymmetric information create an environment for opportunistic behavior </w:t>
      </w:r>
      <w:r w:rsidRPr="009D4F42">
        <w:rPr>
          <w:rFonts w:ascii="Times New Roman" w:hAnsi="Times New Roman" w:cs="Times New Roman"/>
          <w:color w:val="000000" w:themeColor="text1"/>
        </w:rPr>
        <w:fldChar w:fldCharType="begin" w:fldLock="1"/>
      </w:r>
      <w:r w:rsidRPr="009D4F42">
        <w:rPr>
          <w:rFonts w:ascii="Times New Roman" w:hAnsi="Times New Roman" w:cs="Times New Roman"/>
          <w:color w:val="000000" w:themeColor="text1"/>
        </w:rPr>
        <w:instrText>ADDIN CSL_CITATION {"citationItems":[{"id":"ITEM-1","itemData":{"DOI":"10.2307/1244266","ISBN":"0002-9092","ISSN":"00029092","abstract":"Focuses on transaction cost economics, in cattle marketing. What is recognized by transaction cost economics; Demonstration for measuring how slaughter cattle marketing is influenced by transaction costs; Details on negotiation costs.","author":[{"dropping-particle":"","family":"Hobbs","given":"Jill E","non-dropping-particle":"","parse-names":false,"suffix":""}],"container-title":"American Journal of Agricultural Economics","id":"ITEM-1","issue":"4","issued":{"date-parts":[["1997"]]},"page":"1083","title":"Measuring the importance of transaction costs in cattle marketing","type":"article-journal","volume":"79"},"uris":["http://www.mendeley.com/documents/?uuid=87ff287c-1576-4d78-a9e6-8b2502570794"]}],"mendeley":{"formattedCitation":"(Hobbs 1997)","plainTextFormattedCitation":"(Hobbs 1997)","previouslyFormattedCitation":"(Hobbs 1997)"},"properties":{"noteIndex":0},"schema":"https://github.com/citation-style-language/schema/raw/master/csl-citation.json"}</w:instrText>
      </w:r>
      <w:r w:rsidRPr="009D4F42">
        <w:rPr>
          <w:rFonts w:ascii="Times New Roman" w:hAnsi="Times New Roman" w:cs="Times New Roman"/>
          <w:color w:val="000000" w:themeColor="text1"/>
        </w:rPr>
        <w:fldChar w:fldCharType="separate"/>
      </w:r>
      <w:r w:rsidRPr="009D4F42">
        <w:rPr>
          <w:rFonts w:ascii="Times New Roman" w:hAnsi="Times New Roman" w:cs="Times New Roman"/>
          <w:noProof/>
          <w:color w:val="000000" w:themeColor="text1"/>
        </w:rPr>
        <w:t>(Hobbs 1997)</w:t>
      </w:r>
      <w:r w:rsidRPr="009D4F42">
        <w:rPr>
          <w:rFonts w:ascii="Times New Roman" w:hAnsi="Times New Roman" w:cs="Times New Roman"/>
          <w:color w:val="000000" w:themeColor="text1"/>
        </w:rPr>
        <w:fldChar w:fldCharType="end"/>
      </w:r>
      <w:r w:rsidRPr="009D4F42">
        <w:rPr>
          <w:rFonts w:ascii="Times New Roman" w:hAnsi="Times New Roman" w:cs="Times New Roman"/>
          <w:color w:val="000000" w:themeColor="text1"/>
        </w:rPr>
        <w:t xml:space="preserve">. Lack of enforcement and asymmetric information in the context </w:t>
      </w:r>
      <w:r w:rsidRPr="009D4F42">
        <w:rPr>
          <w:rFonts w:ascii="Times New Roman" w:hAnsi="Times New Roman" w:cs="Times New Roman"/>
          <w:noProof/>
          <w:color w:val="000000" w:themeColor="text1"/>
          <w:u w:val="thick" w:color="28B473"/>
        </w:rPr>
        <w:t>of</w:t>
      </w:r>
      <w:r w:rsidRPr="009D4F42">
        <w:rPr>
          <w:rFonts w:ascii="Times New Roman" w:hAnsi="Times New Roman" w:cs="Times New Roman"/>
          <w:color w:val="000000" w:themeColor="text1"/>
        </w:rPr>
        <w:t xml:space="preserve"> quantity, quality, and price may result in high transaction costs (TCs). High TCs may make contracts expensive and infeasible for poor and marginal farmers. This may affect the adoption of </w:t>
      </w:r>
      <w:r w:rsidRPr="009D4F42">
        <w:rPr>
          <w:rFonts w:ascii="Times New Roman" w:hAnsi="Times New Roman" w:cs="Times New Roman"/>
          <w:noProof/>
          <w:color w:val="000000" w:themeColor="text1"/>
          <w:u w:val="thick" w:color="28B473"/>
        </w:rPr>
        <w:t>contracts</w:t>
      </w:r>
      <w:r w:rsidRPr="009D4F42">
        <w:rPr>
          <w:rFonts w:ascii="Times New Roman" w:hAnsi="Times New Roman" w:cs="Times New Roman"/>
          <w:noProof/>
          <w:color w:val="000000" w:themeColor="text1"/>
        </w:rPr>
        <w:t xml:space="preserve"> under MFRCs</w:t>
      </w:r>
      <w:r w:rsidRPr="009D4F42">
        <w:rPr>
          <w:rFonts w:ascii="Times New Roman" w:hAnsi="Times New Roman" w:cs="Times New Roman"/>
          <w:color w:val="000000" w:themeColor="text1"/>
        </w:rPr>
        <w:t xml:space="preserve"> and explain the slow adoption rates, particularly for emerging economies. The NIE provides tools that can be useful for reducing the variation in contracting practices by regulating the terms of contracts, defining the rule of agreement, enforcing the terms of the contract, etc.  </w:t>
      </w:r>
    </w:p>
    <w:p w14:paraId="524B2B99" w14:textId="77777777" w:rsidR="009064D3" w:rsidRPr="009D4F42" w:rsidRDefault="009064D3" w:rsidP="009064D3">
      <w:pPr>
        <w:spacing w:after="0" w:line="240" w:lineRule="auto"/>
        <w:jc w:val="both"/>
        <w:rPr>
          <w:rFonts w:ascii="Times New Roman" w:hAnsi="Times New Roman" w:cs="Times New Roman"/>
          <w:color w:val="000000" w:themeColor="text1"/>
        </w:rPr>
      </w:pPr>
    </w:p>
    <w:p w14:paraId="28D46500" w14:textId="19D219A1" w:rsidR="009064D3" w:rsidRPr="009D4F42" w:rsidRDefault="009064D3" w:rsidP="009064D3">
      <w:pPr>
        <w:spacing w:after="0" w:line="240" w:lineRule="auto"/>
        <w:jc w:val="both"/>
        <w:rPr>
          <w:rFonts w:ascii="Times New Roman" w:hAnsi="Times New Roman" w:cs="Times New Roman"/>
          <w:iCs/>
          <w:color w:val="000000" w:themeColor="text1"/>
        </w:rPr>
      </w:pPr>
      <w:r w:rsidRPr="009D4F42">
        <w:rPr>
          <w:rFonts w:ascii="Times New Roman" w:hAnsi="Times New Roman" w:cs="Times New Roman"/>
          <w:iCs/>
          <w:color w:val="000000" w:themeColor="text1"/>
        </w:rPr>
        <w:t xml:space="preserve">Due to difficulty quantifying the transaction costs, very few attempts are made in the literature to measure the TCs incurred by farmers due to changes in the contract terms. </w:t>
      </w:r>
      <w:r w:rsidRPr="009D4F42">
        <w:rPr>
          <w:rFonts w:ascii="Times New Roman" w:hAnsi="Times New Roman" w:cs="Times New Roman"/>
          <w:color w:val="000000" w:themeColor="text1"/>
        </w:rPr>
        <w:t>Williamson (2000) has also argued that the theoretical development has not been accompanied by successful measurement of TCs, which are not easy to quantify.</w:t>
      </w:r>
      <w:r w:rsidRPr="009D4F42">
        <w:rPr>
          <w:rFonts w:ascii="Times New Roman" w:hAnsi="Times New Roman" w:cs="Times New Roman"/>
          <w:iCs/>
          <w:color w:val="000000" w:themeColor="text1"/>
        </w:rPr>
        <w:t xml:space="preserve"> We have attempted to see how the reduction in opportunistic behavior and the absence of asymmetric information leads to an increase in farmers' income or a decrease in transaction costs. </w:t>
      </w:r>
      <w:r w:rsidRPr="009D4F42">
        <w:rPr>
          <w:rFonts w:ascii="Times New Roman" w:hAnsi="Times New Roman" w:cs="Times New Roman"/>
          <w:color w:val="000000" w:themeColor="text1"/>
        </w:rPr>
        <w:t xml:space="preserve">However, there exists a </w:t>
      </w:r>
      <w:r w:rsidRPr="009D4F42">
        <w:rPr>
          <w:rFonts w:ascii="Times New Roman" w:hAnsi="Times New Roman" w:cs="Times New Roman"/>
          <w:noProof/>
          <w:color w:val="000000" w:themeColor="text1"/>
          <w:u w:val="thick" w:color="28B473"/>
        </w:rPr>
        <w:t>gap</w:t>
      </w:r>
      <w:r w:rsidRPr="009D4F42">
        <w:rPr>
          <w:rFonts w:ascii="Times New Roman" w:hAnsi="Times New Roman" w:cs="Times New Roman"/>
          <w:color w:val="000000" w:themeColor="text1"/>
        </w:rPr>
        <w:t xml:space="preserve"> in the literature in this context. This study estimates the TCs incurred by farmers across a </w:t>
      </w:r>
      <w:r w:rsidRPr="009D4F42">
        <w:rPr>
          <w:rFonts w:ascii="Times New Roman" w:hAnsi="Times New Roman" w:cs="Times New Roman"/>
          <w:noProof/>
          <w:color w:val="000000" w:themeColor="text1"/>
          <w:u w:val="thick" w:color="28B473"/>
        </w:rPr>
        <w:t>different</w:t>
      </w:r>
      <w:r w:rsidRPr="009D4F42">
        <w:rPr>
          <w:rFonts w:ascii="Times New Roman" w:hAnsi="Times New Roman" w:cs="Times New Roman"/>
          <w:color w:val="000000" w:themeColor="text1"/>
        </w:rPr>
        <w:t xml:space="preserve"> institutional arrangement of MFRCs. We consider farmers' adopting production contracts (PC), marketing contracts (MC), and farmers under the traditional marketing channel (TMC) or independent farmers in this study. These contracts are different from each other. PCs </w:t>
      </w:r>
      <w:r w:rsidRPr="009D4F42">
        <w:rPr>
          <w:rFonts w:ascii="Times New Roman" w:hAnsi="Times New Roman" w:cs="Times New Roman"/>
          <w:noProof/>
          <w:color w:val="000000" w:themeColor="text1"/>
          <w:u w:val="thick" w:color="28B473"/>
        </w:rPr>
        <w:t xml:space="preserve">has </w:t>
      </w:r>
      <w:r w:rsidRPr="009D4F42">
        <w:rPr>
          <w:rFonts w:ascii="Times New Roman" w:hAnsi="Times New Roman" w:cs="Times New Roman"/>
          <w:color w:val="000000" w:themeColor="text1"/>
        </w:rPr>
        <w:t xml:space="preserve">pre-fixed price and input supply provision, whereas MC provides technical guidance on chemical and fertilizers and higher price than the traditional market. However, TMC provides just a platform for sale. Moreover, it </w:t>
      </w:r>
      <w:r w:rsidRPr="009D4F42">
        <w:rPr>
          <w:rFonts w:ascii="Times New Roman" w:hAnsi="Times New Roman" w:cs="Times New Roman"/>
          <w:noProof/>
          <w:color w:val="000000" w:themeColor="text1"/>
        </w:rPr>
        <w:t>determines</w:t>
      </w:r>
      <w:r w:rsidRPr="009D4F42">
        <w:rPr>
          <w:rFonts w:ascii="Times New Roman" w:hAnsi="Times New Roman" w:cs="Times New Roman"/>
          <w:color w:val="000000" w:themeColor="text1"/>
        </w:rPr>
        <w:t xml:space="preserve"> the impact of TCs on the adoption of contracts under MFRC. Second, this study offers meant direction in designing </w:t>
      </w:r>
      <w:r w:rsidRPr="009D4F42">
        <w:rPr>
          <w:rFonts w:ascii="Times New Roman" w:hAnsi="Times New Roman" w:cs="Times New Roman"/>
          <w:noProof/>
          <w:color w:val="000000" w:themeColor="text1"/>
          <w:u w:val="thick" w:color="28B473"/>
        </w:rPr>
        <w:t>arrangements</w:t>
      </w:r>
      <w:r w:rsidRPr="009D4F42">
        <w:rPr>
          <w:rFonts w:ascii="Times New Roman" w:hAnsi="Times New Roman" w:cs="Times New Roman"/>
          <w:color w:val="000000" w:themeColor="text1"/>
        </w:rPr>
        <w:t xml:space="preserve"> to minimize TCs.  </w:t>
      </w:r>
    </w:p>
    <w:p w14:paraId="7733715C" w14:textId="77777777" w:rsidR="009064D3" w:rsidRPr="009D4F42" w:rsidRDefault="009064D3" w:rsidP="009064D3">
      <w:pPr>
        <w:spacing w:after="0" w:line="240" w:lineRule="auto"/>
        <w:jc w:val="both"/>
        <w:rPr>
          <w:rFonts w:ascii="Times New Roman" w:hAnsi="Times New Roman" w:cs="Times New Roman"/>
          <w:b/>
          <w:color w:val="000000" w:themeColor="text1"/>
        </w:rPr>
      </w:pPr>
    </w:p>
    <w:p w14:paraId="0B90D7C0" w14:textId="77777777" w:rsidR="009064D3" w:rsidRPr="009D4F42" w:rsidRDefault="009064D3" w:rsidP="009064D3">
      <w:pPr>
        <w:spacing w:after="0" w:line="240" w:lineRule="auto"/>
        <w:jc w:val="both"/>
        <w:rPr>
          <w:rFonts w:ascii="Times New Roman" w:hAnsi="Times New Roman" w:cs="Times New Roman"/>
          <w:b/>
          <w:color w:val="000000" w:themeColor="text1"/>
        </w:rPr>
      </w:pPr>
      <w:r w:rsidRPr="009D4F42">
        <w:rPr>
          <w:rFonts w:ascii="Times New Roman" w:hAnsi="Times New Roman" w:cs="Times New Roman"/>
          <w:b/>
          <w:color w:val="000000" w:themeColor="text1"/>
        </w:rPr>
        <w:t>Research Question:</w:t>
      </w:r>
    </w:p>
    <w:p w14:paraId="4EB1A802" w14:textId="3FB7B1CF"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color w:val="000000" w:themeColor="text1"/>
        </w:rPr>
        <w:t xml:space="preserve">How to quantify the TCs incurred by the farmers for the different institutional arrangements of contract farming? To what extent has the TCs impacted the farmers' profitability and yield? How can we reduce the </w:t>
      </w:r>
      <w:r w:rsidRPr="009D4F42">
        <w:rPr>
          <w:rFonts w:ascii="Times New Roman" w:hAnsi="Times New Roman" w:cs="Times New Roman"/>
          <w:color w:val="000000" w:themeColor="text1"/>
        </w:rPr>
        <w:lastRenderedPageBreak/>
        <w:t xml:space="preserve">transaction cost and increase the small and marginal farmers' participation from developing countries like India? </w:t>
      </w:r>
      <w:r w:rsidR="005D3B1D">
        <w:rPr>
          <w:rStyle w:val="FootnoteReference"/>
          <w:rFonts w:ascii="Times New Roman" w:hAnsi="Times New Roman" w:cs="Times New Roman"/>
          <w:color w:val="000000" w:themeColor="text1"/>
        </w:rPr>
        <w:footnoteReference w:id="3"/>
      </w:r>
    </w:p>
    <w:p w14:paraId="2B93F38D" w14:textId="77777777" w:rsidR="009064D3" w:rsidRPr="009D4F42" w:rsidRDefault="009064D3" w:rsidP="009064D3">
      <w:pPr>
        <w:spacing w:after="0" w:line="240" w:lineRule="auto"/>
        <w:jc w:val="both"/>
        <w:rPr>
          <w:rFonts w:ascii="Times New Roman" w:hAnsi="Times New Roman" w:cs="Times New Roman"/>
          <w:b/>
          <w:color w:val="000000" w:themeColor="text1"/>
        </w:rPr>
      </w:pPr>
    </w:p>
    <w:p w14:paraId="65F32643" w14:textId="77777777" w:rsidR="009064D3" w:rsidRPr="005D3B1D" w:rsidRDefault="009064D3" w:rsidP="009064D3">
      <w:pPr>
        <w:spacing w:after="0" w:line="240" w:lineRule="auto"/>
        <w:jc w:val="both"/>
        <w:rPr>
          <w:rFonts w:ascii="Times New Roman" w:hAnsi="Times New Roman" w:cs="Times New Roman"/>
          <w:b/>
          <w:color w:val="000000" w:themeColor="text1"/>
        </w:rPr>
      </w:pPr>
      <w:r w:rsidRPr="009D4F42">
        <w:rPr>
          <w:rFonts w:ascii="Times New Roman" w:hAnsi="Times New Roman" w:cs="Times New Roman"/>
          <w:b/>
          <w:color w:val="000000" w:themeColor="text1"/>
        </w:rPr>
        <w:t>Objective:</w:t>
      </w:r>
    </w:p>
    <w:p w14:paraId="3C0FC177" w14:textId="669512ED" w:rsidR="009064D3" w:rsidRPr="009D4F42" w:rsidRDefault="009064D3" w:rsidP="009064D3">
      <w:pPr>
        <w:spacing w:after="0" w:line="240" w:lineRule="auto"/>
        <w:jc w:val="both"/>
        <w:rPr>
          <w:rFonts w:ascii="Times New Roman" w:hAnsi="Times New Roman" w:cs="Times New Roman"/>
          <w:noProof/>
          <w:color w:val="000000" w:themeColor="text1"/>
          <w:u w:val="thick" w:color="28B473"/>
        </w:rPr>
      </w:pPr>
      <w:r w:rsidRPr="009D4F42">
        <w:rPr>
          <w:rFonts w:ascii="Times New Roman" w:hAnsi="Times New Roman" w:cs="Times New Roman"/>
          <w:color w:val="000000" w:themeColor="text1"/>
        </w:rPr>
        <w:t xml:space="preserve">This study empirically measures the TCs incurred by the farmers for PCs and MCs compared with independent farmers. Further, this study has captured the impact of TCs on the farmers' profitability for PCs and MCs compared with independent farmers. The present study contributes to the existing literature: </w:t>
      </w:r>
      <w:r w:rsidRPr="009D4F42">
        <w:rPr>
          <w:rFonts w:ascii="Times New Roman" w:hAnsi="Times New Roman" w:cs="Times New Roman"/>
          <w:noProof/>
          <w:color w:val="000000" w:themeColor="text1"/>
          <w:u w:val="thick" w:color="28B473"/>
        </w:rPr>
        <w:t xml:space="preserve">quantifying the impact of TCs cost on profitability of farmers and </w:t>
      </w:r>
      <w:r w:rsidRPr="009D4F42">
        <w:rPr>
          <w:rFonts w:ascii="Times New Roman" w:hAnsi="Times New Roman" w:cs="Times New Roman"/>
          <w:color w:val="000000" w:themeColor="text1"/>
        </w:rPr>
        <w:t>analyzing the role of various institutional arrangements in reducing transaction costs.</w:t>
      </w:r>
      <w:r w:rsidRPr="009D4F42">
        <w:rPr>
          <w:rFonts w:ascii="Times New Roman" w:hAnsi="Times New Roman" w:cs="Times New Roman"/>
          <w:b/>
          <w:color w:val="000000" w:themeColor="text1"/>
        </w:rPr>
        <w:t xml:space="preserve">  </w:t>
      </w:r>
    </w:p>
    <w:p w14:paraId="437DC600" w14:textId="77777777" w:rsidR="009064D3" w:rsidRPr="009D4F42" w:rsidRDefault="009064D3" w:rsidP="009064D3">
      <w:pPr>
        <w:spacing w:after="0" w:line="240" w:lineRule="auto"/>
        <w:jc w:val="both"/>
        <w:rPr>
          <w:rFonts w:ascii="Times New Roman" w:hAnsi="Times New Roman" w:cs="Times New Roman"/>
          <w:b/>
          <w:color w:val="000000" w:themeColor="text1"/>
        </w:rPr>
      </w:pPr>
    </w:p>
    <w:p w14:paraId="4B21CAB0" w14:textId="77777777" w:rsidR="009064D3" w:rsidRPr="009D4F42" w:rsidRDefault="009064D3" w:rsidP="009064D3">
      <w:pPr>
        <w:spacing w:after="0" w:line="240" w:lineRule="auto"/>
        <w:jc w:val="both"/>
        <w:rPr>
          <w:rFonts w:ascii="Times New Roman" w:hAnsi="Times New Roman" w:cs="Times New Roman"/>
          <w:b/>
          <w:color w:val="000000" w:themeColor="text1"/>
        </w:rPr>
      </w:pPr>
      <w:r w:rsidRPr="009D4F42">
        <w:rPr>
          <w:rFonts w:ascii="Times New Roman" w:hAnsi="Times New Roman" w:cs="Times New Roman"/>
          <w:b/>
          <w:color w:val="000000" w:themeColor="text1"/>
        </w:rPr>
        <w:t>Empirical Framework, Method:</w:t>
      </w:r>
    </w:p>
    <w:p w14:paraId="6A698FDC" w14:textId="77777777" w:rsidR="009064D3" w:rsidRPr="009D4F42" w:rsidRDefault="009064D3" w:rsidP="009064D3">
      <w:pPr>
        <w:spacing w:after="0" w:line="240" w:lineRule="auto"/>
        <w:jc w:val="both"/>
        <w:rPr>
          <w:rFonts w:ascii="Times New Roman" w:eastAsia="Times New Roman" w:hAnsi="Times New Roman" w:cs="Times New Roman"/>
          <w:color w:val="000000" w:themeColor="text1"/>
        </w:rPr>
      </w:pPr>
      <w:r w:rsidRPr="009D4F42">
        <w:rPr>
          <w:rFonts w:ascii="Times New Roman" w:hAnsi="Times New Roman" w:cs="Times New Roman"/>
          <w:color w:val="000000" w:themeColor="text1"/>
        </w:rPr>
        <w:t xml:space="preserve">We use a utility maximization </w:t>
      </w:r>
      <w:r w:rsidRPr="009D4F42">
        <w:rPr>
          <w:rFonts w:ascii="Times New Roman" w:eastAsia="Times New Roman" w:hAnsi="Times New Roman" w:cs="Times New Roman"/>
          <w:color w:val="000000" w:themeColor="text1"/>
        </w:rPr>
        <w:t xml:space="preserve">framework of growers involved in Chili farming. Expected utility depends upon the profits from choosing the two different types of MFRC (PC and MC) and </w:t>
      </w:r>
      <w:r w:rsidRPr="009D4F42">
        <w:rPr>
          <w:rFonts w:ascii="Times New Roman" w:hAnsi="Times New Roman" w:cs="Times New Roman"/>
          <w:color w:val="000000" w:themeColor="text1"/>
        </w:rPr>
        <w:t xml:space="preserve">TMC. </w:t>
      </w:r>
      <w:proofErr w:type="spellStart"/>
      <w:r w:rsidRPr="009D4F42">
        <w:rPr>
          <w:rFonts w:ascii="Times New Roman" w:hAnsi="Times New Roman" w:cs="Times New Roman"/>
          <w:color w:val="000000" w:themeColor="text1"/>
        </w:rPr>
        <w:t>Hotelling's</w:t>
      </w:r>
      <w:proofErr w:type="spellEnd"/>
      <w:r w:rsidRPr="009D4F42">
        <w:rPr>
          <w:rFonts w:ascii="Times New Roman" w:hAnsi="Times New Roman" w:cs="Times New Roman"/>
          <w:color w:val="000000" w:themeColor="text1"/>
        </w:rPr>
        <w:t xml:space="preserve"> Lemma is used for deriving transaction costs. Transaction costs are classified as information costs (ICs), Bargaining costs (BCs), and monitoring costs (MCs) incurred by farmers with PC, MC, and TMC. TCS is </w:t>
      </w:r>
      <w:r w:rsidRPr="009D4F42">
        <w:rPr>
          <w:rFonts w:ascii="Times New Roman" w:eastAsia="Times New Roman" w:hAnsi="Times New Roman" w:cs="Times New Roman"/>
          <w:color w:val="000000" w:themeColor="text1"/>
        </w:rPr>
        <w:t xml:space="preserve">influenced by many factors such as </w:t>
      </w:r>
      <w:r w:rsidRPr="009D4F42">
        <w:rPr>
          <w:rFonts w:ascii="Times New Roman" w:eastAsia="Times New Roman" w:hAnsi="Times New Roman" w:cs="Times New Roman"/>
          <w:noProof/>
          <w:color w:val="000000" w:themeColor="text1"/>
        </w:rPr>
        <w:t>participation</w:t>
      </w:r>
      <w:r w:rsidRPr="009D4F42">
        <w:rPr>
          <w:rFonts w:ascii="Times New Roman" w:eastAsia="Times New Roman" w:hAnsi="Times New Roman" w:cs="Times New Roman"/>
          <w:color w:val="000000" w:themeColor="text1"/>
        </w:rPr>
        <w:t xml:space="preserve"> in MFRC,</w:t>
      </w:r>
      <w:r w:rsidRPr="009D4F42">
        <w:rPr>
          <w:rFonts w:ascii="Times New Roman" w:hAnsi="Times New Roman" w:cs="Times New Roman"/>
          <w:color w:val="000000" w:themeColor="text1"/>
        </w:rPr>
        <w:t xml:space="preserve"> price uncertainty, price discovery costs, product quality uncertainty, rejection rate, </w:t>
      </w:r>
      <w:r w:rsidRPr="009D4F42">
        <w:rPr>
          <w:rFonts w:ascii="Times New Roman" w:hAnsi="Times New Roman" w:cs="Times New Roman"/>
          <w:noProof/>
          <w:color w:val="000000" w:themeColor="text1"/>
        </w:rPr>
        <w:t>frequency</w:t>
      </w:r>
      <w:r w:rsidRPr="009D4F42">
        <w:rPr>
          <w:rFonts w:ascii="Times New Roman" w:hAnsi="Times New Roman" w:cs="Times New Roman"/>
          <w:color w:val="000000" w:themeColor="text1"/>
        </w:rPr>
        <w:t xml:space="preserve"> of sale, lack of information on the </w:t>
      </w:r>
      <w:r w:rsidRPr="009D4F42">
        <w:rPr>
          <w:rFonts w:ascii="Times New Roman" w:hAnsi="Times New Roman" w:cs="Times New Roman"/>
          <w:noProof/>
          <w:color w:val="000000" w:themeColor="text1"/>
        </w:rPr>
        <w:t>reliability</w:t>
      </w:r>
      <w:r w:rsidRPr="009D4F42">
        <w:rPr>
          <w:rFonts w:ascii="Times New Roman" w:hAnsi="Times New Roman" w:cs="Times New Roman"/>
          <w:color w:val="000000" w:themeColor="text1"/>
        </w:rPr>
        <w:t xml:space="preserve"> of various forms of contracts, </w:t>
      </w:r>
      <w:r w:rsidRPr="009D4F42">
        <w:rPr>
          <w:rFonts w:ascii="Times New Roman" w:eastAsia="Times New Roman" w:hAnsi="Times New Roman" w:cs="Times New Roman"/>
          <w:color w:val="000000" w:themeColor="text1"/>
        </w:rPr>
        <w:t xml:space="preserve">as well as farm and household characteristics. The outcome selection bias variables (ICs, BCs, MCs, TCs, </w:t>
      </w:r>
      <w:r w:rsidRPr="009D4F42">
        <w:rPr>
          <w:rFonts w:ascii="Times New Roman" w:eastAsia="Times New Roman" w:hAnsi="Times New Roman" w:cs="Times New Roman"/>
          <w:noProof/>
          <w:color w:val="000000" w:themeColor="text1"/>
        </w:rPr>
        <w:t>and</w:t>
      </w:r>
      <w:r w:rsidRPr="009D4F42">
        <w:rPr>
          <w:rFonts w:ascii="Times New Roman" w:eastAsia="Times New Roman" w:hAnsi="Times New Roman" w:cs="Times New Roman"/>
          <w:color w:val="000000" w:themeColor="text1"/>
        </w:rPr>
        <w:t xml:space="preserve"> Net Profits) were estimated using Propensity Score Matching (PCM). </w:t>
      </w:r>
    </w:p>
    <w:p w14:paraId="6EC0E786" w14:textId="77777777" w:rsidR="009064D3" w:rsidRPr="009D4F42" w:rsidRDefault="009064D3" w:rsidP="009064D3">
      <w:pPr>
        <w:spacing w:after="0" w:line="240" w:lineRule="auto"/>
        <w:jc w:val="both"/>
        <w:rPr>
          <w:rFonts w:ascii="Times New Roman" w:hAnsi="Times New Roman" w:cs="Times New Roman"/>
          <w:color w:val="000000" w:themeColor="text1"/>
        </w:rPr>
      </w:pPr>
    </w:p>
    <w:p w14:paraId="797F0280" w14:textId="77777777"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color w:val="000000" w:themeColor="text1"/>
        </w:rPr>
        <w:t xml:space="preserve">PCM compares outcomes variables between two groups of farmers: either PC or MC ("Treated") with TMC ("Control") that are similar in terms of other observable characteristics (i.e., education, age), therefore, reducing the selection bias </w:t>
      </w:r>
      <w:r w:rsidRPr="009D4F42">
        <w:rPr>
          <w:rFonts w:ascii="Times New Roman" w:hAnsi="Times New Roman" w:cs="Times New Roman"/>
          <w:color w:val="000000" w:themeColor="text1"/>
        </w:rPr>
        <w:fldChar w:fldCharType="begin" w:fldLock="1"/>
      </w:r>
      <w:r w:rsidRPr="009D4F42">
        <w:rPr>
          <w:rFonts w:ascii="Times New Roman" w:hAnsi="Times New Roman" w:cs="Times New Roman"/>
          <w:color w:val="000000" w:themeColor="text1"/>
        </w:rPr>
        <w:instrText>ADDIN CSL_CITATION {"citationItems":[{"id":"ITEM-1","itemData":{"author":[{"dropping-particle":"","family":"Rao","given":"Elizaphan J O","non-dropping-particle":"","parse-names":false,"suffix":""},{"dropping-particle":"","family":"Brummer","given":"Bernhard","non-dropping-particle":"","parse-names":false,"suffix":""},{"dropping-particle":"","family":"Qaim","given":"Matin","non-dropping-particle":"","parse-names":false,"suffix":""}],"container-title":"Agricultural &amp; Applied Economics Association’s 2010 AAEA, CAES &amp; WAEA Joint Annual Meeting,","id":"ITEM-1","issued":{"date-parts":[["2010"]]},"publisher-place":"Colorado","title":"Farmer Participation in Supermarket Channels , Production Technology and Technical Efficiency : The Case of Vegetables in Kenya 1","type":"paper-conference"},"uris":["http://www.mendeley.com/documents/?uuid=be5705b8-9b2e-475f-aa32-ff1cf5008f72"]}],"mendeley":{"formattedCitation":"(Rao et al. 2010)","plainTextFormattedCitation":"(Rao et al. 2010)","previouslyFormattedCitation":"(Rao et al. 2010)"},"properties":{"noteIndex":0},"schema":"https://github.com/citation-style-language/schema/raw/master/csl-citation.json"}</w:instrText>
      </w:r>
      <w:r w:rsidRPr="009D4F42">
        <w:rPr>
          <w:rFonts w:ascii="Times New Roman" w:hAnsi="Times New Roman" w:cs="Times New Roman"/>
          <w:color w:val="000000" w:themeColor="text1"/>
        </w:rPr>
        <w:fldChar w:fldCharType="separate"/>
      </w:r>
      <w:r w:rsidRPr="009D4F42">
        <w:rPr>
          <w:rFonts w:ascii="Times New Roman" w:hAnsi="Times New Roman" w:cs="Times New Roman"/>
          <w:noProof/>
          <w:color w:val="000000" w:themeColor="text1"/>
        </w:rPr>
        <w:t>(Rao et al. 2010)</w:t>
      </w:r>
      <w:r w:rsidRPr="009D4F42">
        <w:rPr>
          <w:rFonts w:ascii="Times New Roman" w:hAnsi="Times New Roman" w:cs="Times New Roman"/>
          <w:color w:val="000000" w:themeColor="text1"/>
        </w:rPr>
        <w:fldChar w:fldCharType="end"/>
      </w:r>
      <w:r w:rsidRPr="009D4F42">
        <w:rPr>
          <w:rFonts w:ascii="Times New Roman" w:hAnsi="Times New Roman" w:cs="Times New Roman"/>
          <w:color w:val="000000" w:themeColor="text1"/>
        </w:rPr>
        <w:t xml:space="preserve">. The study applies the NNM matching estimator, a commonly used method. The NNM method picks each treated unit (MFRC farmers) and searches for the control unit (TMC farmers) with the closest propensity matching score. The main </w:t>
      </w:r>
      <w:r w:rsidRPr="009D4F42">
        <w:rPr>
          <w:rFonts w:ascii="Times New Roman" w:hAnsi="Times New Roman" w:cs="Times New Roman"/>
          <w:noProof/>
          <w:color w:val="000000" w:themeColor="text1"/>
        </w:rPr>
        <w:t>attractive</w:t>
      </w:r>
      <w:r w:rsidRPr="009D4F42">
        <w:rPr>
          <w:rFonts w:ascii="Times New Roman" w:hAnsi="Times New Roman" w:cs="Times New Roman"/>
          <w:color w:val="000000" w:themeColor="text1"/>
        </w:rPr>
        <w:t xml:space="preserve"> feature of NNM is that all the treated </w:t>
      </w:r>
      <w:r w:rsidRPr="009D4F42">
        <w:rPr>
          <w:rFonts w:ascii="Times New Roman" w:hAnsi="Times New Roman" w:cs="Times New Roman"/>
          <w:noProof/>
          <w:color w:val="000000" w:themeColor="text1"/>
        </w:rPr>
        <w:t>teams</w:t>
      </w:r>
      <w:r w:rsidRPr="009D4F42">
        <w:rPr>
          <w:rFonts w:ascii="Times New Roman" w:hAnsi="Times New Roman" w:cs="Times New Roman"/>
          <w:color w:val="000000" w:themeColor="text1"/>
        </w:rPr>
        <w:t xml:space="preserve"> find a match (Mishra et al., 2016). </w:t>
      </w:r>
    </w:p>
    <w:p w14:paraId="188FEE66" w14:textId="77777777"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color w:val="000000" w:themeColor="text1"/>
        </w:rPr>
        <w:t xml:space="preserve">        </w:t>
      </w:r>
    </w:p>
    <w:p w14:paraId="64B9894F" w14:textId="77777777"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b/>
          <w:color w:val="000000" w:themeColor="text1"/>
        </w:rPr>
        <w:t xml:space="preserve">Data collection: </w:t>
      </w:r>
    </w:p>
    <w:p w14:paraId="3CD575C3" w14:textId="77777777" w:rsidR="009064D3" w:rsidRPr="009D4F42" w:rsidRDefault="009064D3" w:rsidP="009064D3">
      <w:pPr>
        <w:pStyle w:val="Heading1"/>
        <w:shd w:val="clear" w:color="auto" w:fill="FFFFFF"/>
        <w:spacing w:before="0" w:beforeAutospacing="0" w:after="0"/>
        <w:jc w:val="both"/>
        <w:textAlignment w:val="baseline"/>
        <w:rPr>
          <w:b w:val="0"/>
          <w:color w:val="000000" w:themeColor="text1"/>
          <w:sz w:val="22"/>
          <w:szCs w:val="22"/>
        </w:rPr>
      </w:pPr>
      <w:r w:rsidRPr="009D4F42">
        <w:rPr>
          <w:b w:val="0"/>
          <w:color w:val="000000" w:themeColor="text1"/>
          <w:sz w:val="22"/>
          <w:szCs w:val="22"/>
        </w:rPr>
        <w:t>The primary survey was conducted in 2017 from the Kolar Districts of Karnataka. Kolar is known for being the highest producer of chili. We interviewed 300 chili households with 100 each under MFRC with PC, MFRC with MC, and TMC, respectively. Chili farmers were sampled using stratified sampling. The questionnaires were designed to obtain socio-economic variables, input variables, and questions needed to calculate transaction costs, such as opportunistic behavior, asymmetric information, asset specificity, and price and grading standards uncertainty.</w:t>
      </w:r>
    </w:p>
    <w:p w14:paraId="6413A06A" w14:textId="77777777"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b/>
          <w:color w:val="000000" w:themeColor="text1"/>
        </w:rPr>
        <w:t>Preliminary results:</w:t>
      </w:r>
      <w:r w:rsidRPr="009D4F42">
        <w:rPr>
          <w:rFonts w:ascii="Times New Roman" w:hAnsi="Times New Roman" w:cs="Times New Roman"/>
          <w:color w:val="000000" w:themeColor="text1"/>
        </w:rPr>
        <w:t xml:space="preserve"> </w:t>
      </w:r>
    </w:p>
    <w:p w14:paraId="5FFDF5E5" w14:textId="77777777" w:rsidR="009064D3" w:rsidRPr="009D4F42" w:rsidRDefault="009064D3" w:rsidP="009064D3">
      <w:pPr>
        <w:spacing w:after="0" w:line="240" w:lineRule="auto"/>
        <w:jc w:val="both"/>
        <w:rPr>
          <w:rFonts w:ascii="Times New Roman" w:hAnsi="Times New Roman" w:cs="Times New Roman"/>
          <w:color w:val="000000" w:themeColor="text1"/>
        </w:rPr>
      </w:pPr>
    </w:p>
    <w:p w14:paraId="2CCF47E8" w14:textId="77777777"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color w:val="000000" w:themeColor="text1"/>
        </w:rPr>
        <w:t xml:space="preserve">We found that </w:t>
      </w:r>
      <w:r w:rsidRPr="00E8270E">
        <w:rPr>
          <w:rFonts w:ascii="Times New Roman" w:hAnsi="Times New Roman" w:cs="Times New Roman"/>
          <w:color w:val="000000" w:themeColor="text1"/>
        </w:rPr>
        <w:t>MFRC farmers incurred the highest TCs cost by Rs 9,118 per acre than independent farmers (statistically significant)</w:t>
      </w:r>
      <w:r w:rsidRPr="009D4F42">
        <w:rPr>
          <w:rFonts w:ascii="Times New Roman" w:hAnsi="Times New Roman" w:cs="Times New Roman"/>
          <w:color w:val="000000" w:themeColor="text1"/>
        </w:rPr>
        <w:t>,</w:t>
      </w:r>
      <w:r w:rsidRPr="00E8270E">
        <w:rPr>
          <w:rFonts w:ascii="Times New Roman" w:hAnsi="Times New Roman" w:cs="Times New Roman"/>
          <w:color w:val="000000" w:themeColor="text1"/>
        </w:rPr>
        <w:t xml:space="preserve"> followed by Rs 5,394 for MCs MFRC than independent farmers for chili. In another world, TCs for PCs and MCs farmers constitute 14.50% </w:t>
      </w:r>
      <w:r w:rsidRPr="009D4F42">
        <w:rPr>
          <w:rFonts w:ascii="Times New Roman" w:hAnsi="Times New Roman" w:cs="Times New Roman"/>
          <w:color w:val="000000" w:themeColor="text1"/>
        </w:rPr>
        <w:t>9.57%, respectively, share in total production costs. Hence, we argued that proper institutional arrangement could help for increasing the profitability from MFRCs in the range (9.57% to 14.50%) for chili crops. Most of the existing studies have neglected to capture the transaction costs and overestimated the benefits from MFRCs.</w:t>
      </w:r>
    </w:p>
    <w:p w14:paraId="27065079" w14:textId="77777777" w:rsidR="009064D3" w:rsidRPr="009D4F42" w:rsidRDefault="009064D3" w:rsidP="009064D3">
      <w:pPr>
        <w:spacing w:after="0" w:line="240" w:lineRule="auto"/>
        <w:jc w:val="both"/>
        <w:rPr>
          <w:rFonts w:ascii="Times New Roman" w:hAnsi="Times New Roman" w:cs="Times New Roman"/>
          <w:color w:val="000000" w:themeColor="text1"/>
        </w:rPr>
      </w:pPr>
    </w:p>
    <w:p w14:paraId="3849E67C" w14:textId="4C0D3810" w:rsidR="009064D3" w:rsidRPr="009D4F42" w:rsidRDefault="009064D3" w:rsidP="009064D3">
      <w:pPr>
        <w:spacing w:after="0" w:line="240" w:lineRule="auto"/>
        <w:jc w:val="both"/>
        <w:rPr>
          <w:rFonts w:ascii="Times New Roman" w:hAnsi="Times New Roman" w:cs="Times New Roman"/>
          <w:color w:val="000000" w:themeColor="text1"/>
        </w:rPr>
      </w:pPr>
      <w:r w:rsidRPr="009D4F42">
        <w:rPr>
          <w:rFonts w:ascii="Times New Roman" w:hAnsi="Times New Roman" w:cs="Times New Roman"/>
          <w:color w:val="000000" w:themeColor="text1"/>
        </w:rPr>
        <w:t xml:space="preserve">Further, our findings revealed that monitoring cost constituted the highest share (more than 54% share) followed by bargaining costs (more than 29% share) and IC (less than 17% share) for all the MFRCs farmers. Incurring higher monitoring costs was mainly due to opportunistic behavior by the MFRCs during </w:t>
      </w:r>
      <w:r w:rsidRPr="009D4F42">
        <w:rPr>
          <w:rFonts w:ascii="Times New Roman" w:hAnsi="Times New Roman" w:cs="Times New Roman"/>
          <w:color w:val="000000" w:themeColor="text1"/>
        </w:rPr>
        <w:lastRenderedPageBreak/>
        <w:t xml:space="preserve">the grading and sorting of the product. This study is intended to highlight the significance of TCs in the adoption of PC and MC. It wants to guide policymakers to remove the barriers which lead to high information costs, monitoring, and bargaining costs. Eliminating barriers will reduce TCs and enhance marginal and small farmers' incomes. </w:t>
      </w:r>
    </w:p>
    <w:p w14:paraId="061BE330" w14:textId="77777777" w:rsidR="009064D3" w:rsidRPr="009D4F42" w:rsidRDefault="009064D3" w:rsidP="009064D3">
      <w:pPr>
        <w:spacing w:after="0" w:line="240" w:lineRule="auto"/>
        <w:jc w:val="both"/>
        <w:rPr>
          <w:rFonts w:ascii="Times New Roman" w:hAnsi="Times New Roman" w:cs="Times New Roman"/>
          <w:color w:val="000000" w:themeColor="text1"/>
        </w:rPr>
      </w:pPr>
    </w:p>
    <w:p w14:paraId="176E1A88" w14:textId="77777777" w:rsidR="00507048" w:rsidRPr="009D4F42" w:rsidRDefault="00507048">
      <w:pPr>
        <w:rPr>
          <w:color w:val="000000" w:themeColor="text1"/>
        </w:rPr>
      </w:pPr>
    </w:p>
    <w:sectPr w:rsidR="00507048" w:rsidRPr="009D4F42" w:rsidSect="00D35C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4AB2" w14:textId="77777777" w:rsidR="00B16672" w:rsidRDefault="00B16672" w:rsidP="005D3B1D">
      <w:pPr>
        <w:spacing w:after="0" w:line="240" w:lineRule="auto"/>
      </w:pPr>
      <w:r>
        <w:separator/>
      </w:r>
    </w:p>
  </w:endnote>
  <w:endnote w:type="continuationSeparator" w:id="0">
    <w:p w14:paraId="4ACACF54" w14:textId="77777777" w:rsidR="00B16672" w:rsidRDefault="00B16672" w:rsidP="005D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ABFE" w14:textId="77777777" w:rsidR="00B16672" w:rsidRDefault="00B16672" w:rsidP="005D3B1D">
      <w:pPr>
        <w:spacing w:after="0" w:line="240" w:lineRule="auto"/>
      </w:pPr>
      <w:r>
        <w:separator/>
      </w:r>
    </w:p>
  </w:footnote>
  <w:footnote w:type="continuationSeparator" w:id="0">
    <w:p w14:paraId="6F1C3C95" w14:textId="77777777" w:rsidR="00B16672" w:rsidRDefault="00B16672" w:rsidP="005D3B1D">
      <w:pPr>
        <w:spacing w:after="0" w:line="240" w:lineRule="auto"/>
      </w:pPr>
      <w:r>
        <w:continuationSeparator/>
      </w:r>
    </w:p>
  </w:footnote>
  <w:footnote w:id="1">
    <w:p w14:paraId="6A3F9CFB" w14:textId="0AD07144" w:rsidR="00BF34B9" w:rsidRPr="00BF34B9" w:rsidRDefault="00BF34B9">
      <w:pPr>
        <w:pStyle w:val="FootnoteText"/>
        <w:rPr>
          <w:rFonts w:ascii="Times New Roman" w:hAnsi="Times New Roman" w:cs="Times New Roman"/>
          <w:lang w:val="en-IN"/>
        </w:rPr>
      </w:pPr>
      <w:r w:rsidRPr="00BF34B9">
        <w:rPr>
          <w:rStyle w:val="FootnoteReference"/>
          <w:rFonts w:ascii="Times New Roman" w:hAnsi="Times New Roman" w:cs="Times New Roman"/>
        </w:rPr>
        <w:footnoteRef/>
      </w:r>
      <w:r w:rsidRPr="00BF34B9">
        <w:rPr>
          <w:rFonts w:ascii="Times New Roman" w:hAnsi="Times New Roman" w:cs="Times New Roman"/>
        </w:rPr>
        <w:t xml:space="preserve"> </w:t>
      </w:r>
      <w:r w:rsidRPr="00BF34B9">
        <w:rPr>
          <w:rFonts w:ascii="Times New Roman" w:hAnsi="Times New Roman" w:cs="Times New Roman"/>
          <w:lang w:val="en-IN"/>
        </w:rPr>
        <w:t xml:space="preserve">Assistant Professor, Department of Data Science, Christ University, Pune, India Email: </w:t>
      </w:r>
      <w:hyperlink r:id="rId1" w:history="1">
        <w:r w:rsidRPr="00BF34B9">
          <w:rPr>
            <w:rStyle w:val="Hyperlink"/>
            <w:rFonts w:ascii="Times New Roman" w:hAnsi="Times New Roman" w:cs="Times New Roman"/>
            <w:lang w:val="en-IN"/>
          </w:rPr>
          <w:t>kedarvishnu@gmail.com</w:t>
        </w:r>
      </w:hyperlink>
    </w:p>
  </w:footnote>
  <w:footnote w:id="2">
    <w:p w14:paraId="598EE7BB" w14:textId="123B5FA1" w:rsidR="00BF34B9" w:rsidRPr="00BF34B9" w:rsidRDefault="00BF34B9">
      <w:pPr>
        <w:pStyle w:val="FootnoteText"/>
        <w:rPr>
          <w:lang w:val="en-IN"/>
        </w:rPr>
      </w:pPr>
      <w:r w:rsidRPr="00BF34B9">
        <w:rPr>
          <w:rStyle w:val="FootnoteReference"/>
          <w:rFonts w:ascii="Times New Roman" w:hAnsi="Times New Roman" w:cs="Times New Roman"/>
        </w:rPr>
        <w:footnoteRef/>
      </w:r>
      <w:r w:rsidRPr="00BF34B9">
        <w:rPr>
          <w:rFonts w:ascii="Times New Roman" w:hAnsi="Times New Roman" w:cs="Times New Roman"/>
        </w:rPr>
        <w:t xml:space="preserve"> </w:t>
      </w:r>
      <w:r w:rsidRPr="00BF34B9">
        <w:rPr>
          <w:rFonts w:ascii="Times New Roman" w:hAnsi="Times New Roman" w:cs="Times New Roman"/>
          <w:lang w:val="en-IN"/>
        </w:rPr>
        <w:t xml:space="preserve">Director, </w:t>
      </w:r>
      <w:proofErr w:type="spellStart"/>
      <w:r w:rsidRPr="000353A1">
        <w:rPr>
          <w:rFonts w:ascii="Times New Roman" w:hAnsi="Times New Roman" w:cs="Times New Roman"/>
          <w:lang w:val="en-IN"/>
        </w:rPr>
        <w:t>Giri</w:t>
      </w:r>
      <w:proofErr w:type="spellEnd"/>
      <w:r w:rsidRPr="000353A1">
        <w:rPr>
          <w:rFonts w:ascii="Times New Roman" w:hAnsi="Times New Roman" w:cs="Times New Roman"/>
          <w:lang w:val="en-IN"/>
        </w:rPr>
        <w:t xml:space="preserve"> Institute of Development Studies</w:t>
      </w:r>
      <w:r w:rsidRPr="000353A1">
        <w:rPr>
          <w:rFonts w:ascii="Times New Roman" w:hAnsi="Times New Roman" w:cs="Times New Roman"/>
          <w:lang w:val="en-IN"/>
        </w:rPr>
        <w:t xml:space="preserve">, Utter Pradesh, </w:t>
      </w:r>
      <w:r w:rsidRPr="000353A1">
        <w:rPr>
          <w:rFonts w:ascii="Times New Roman" w:hAnsi="Times New Roman" w:cs="Times New Roman"/>
          <w:lang w:val="en-IN"/>
        </w:rPr>
        <w:t>Lucknow</w:t>
      </w:r>
      <w:r w:rsidRPr="000353A1">
        <w:rPr>
          <w:rFonts w:ascii="Times New Roman" w:hAnsi="Times New Roman" w:cs="Times New Roman"/>
          <w:lang w:val="en-IN"/>
        </w:rPr>
        <w:t>, India.</w:t>
      </w:r>
      <w:r>
        <w:rPr>
          <w:rFonts w:ascii="Georgia" w:hAnsi="Georgia"/>
          <w:color w:val="000000"/>
          <w:shd w:val="clear" w:color="auto" w:fill="EAF9DD"/>
        </w:rPr>
        <w:t xml:space="preserve">  </w:t>
      </w:r>
    </w:p>
  </w:footnote>
  <w:footnote w:id="3">
    <w:p w14:paraId="052D211A" w14:textId="79960601" w:rsidR="005D3B1D" w:rsidRDefault="005D3B1D" w:rsidP="005D3B1D">
      <w:pPr>
        <w:autoSpaceDE w:val="0"/>
        <w:autoSpaceDN w:val="0"/>
        <w:adjustRightInd w:val="0"/>
        <w:spacing w:after="0" w:line="240" w:lineRule="auto"/>
        <w:rPr>
          <w:rFonts w:ascii="Tahoma" w:hAnsi="Tahoma" w:cs="Tahoma"/>
          <w:sz w:val="15"/>
          <w:szCs w:val="15"/>
          <w:lang w:val="en-IN"/>
        </w:rPr>
      </w:pPr>
    </w:p>
    <w:p w14:paraId="0FE880D6" w14:textId="4671E6AF" w:rsidR="006D4652" w:rsidRDefault="006D4652" w:rsidP="005D3B1D">
      <w:pPr>
        <w:autoSpaceDE w:val="0"/>
        <w:autoSpaceDN w:val="0"/>
        <w:adjustRightInd w:val="0"/>
        <w:spacing w:after="0" w:line="240" w:lineRule="auto"/>
        <w:rPr>
          <w:rFonts w:ascii="Tahoma" w:hAnsi="Tahoma" w:cs="Tahoma"/>
          <w:sz w:val="15"/>
          <w:szCs w:val="15"/>
          <w:lang w:val="en-IN"/>
        </w:rPr>
      </w:pPr>
    </w:p>
    <w:p w14:paraId="294EFAEA" w14:textId="77777777" w:rsidR="006D4652" w:rsidRDefault="006D4652" w:rsidP="005D3B1D">
      <w:pPr>
        <w:autoSpaceDE w:val="0"/>
        <w:autoSpaceDN w:val="0"/>
        <w:adjustRightInd w:val="0"/>
        <w:spacing w:after="0" w:line="240" w:lineRule="auto"/>
        <w:rPr>
          <w:rFonts w:ascii="Tahoma" w:hAnsi="Tahoma" w:cs="Tahoma"/>
          <w:sz w:val="15"/>
          <w:szCs w:val="15"/>
          <w:lang w:val="en-IN"/>
        </w:rPr>
      </w:pPr>
    </w:p>
    <w:p w14:paraId="2D60AFC2" w14:textId="77777777" w:rsidR="005D3B1D" w:rsidRPr="005D3B1D" w:rsidRDefault="005D3B1D" w:rsidP="005D3B1D">
      <w:pPr>
        <w:autoSpaceDE w:val="0"/>
        <w:autoSpaceDN w:val="0"/>
        <w:adjustRightInd w:val="0"/>
        <w:spacing w:after="0" w:line="240" w:lineRule="auto"/>
        <w:rPr>
          <w:rFonts w:ascii="Tahoma" w:hAnsi="Tahoma" w:cs="Tahoma"/>
          <w:sz w:val="15"/>
          <w:szCs w:val="15"/>
          <w:lang w:val="en-I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tTQEEqbGxqZGxko6SsGpxcWZ+XkgBUa1AA6VzRAsAAAA"/>
  </w:docVars>
  <w:rsids>
    <w:rsidRoot w:val="009064D3"/>
    <w:rsid w:val="000353A1"/>
    <w:rsid w:val="003A0818"/>
    <w:rsid w:val="00507048"/>
    <w:rsid w:val="005D3B1D"/>
    <w:rsid w:val="006D4652"/>
    <w:rsid w:val="006F4443"/>
    <w:rsid w:val="007C5EE6"/>
    <w:rsid w:val="008C5E65"/>
    <w:rsid w:val="009064D3"/>
    <w:rsid w:val="009D4F42"/>
    <w:rsid w:val="00B16672"/>
    <w:rsid w:val="00BF34B9"/>
    <w:rsid w:val="00D618E0"/>
    <w:rsid w:val="00E37F48"/>
    <w:rsid w:val="00E95EAA"/>
    <w:rsid w:val="00EE2F5A"/>
    <w:rsid w:val="00F83F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AC92"/>
  <w15:chartTrackingRefBased/>
  <w15:docId w15:val="{BE85FEFE-99D6-42D4-9B86-39ABE114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D3"/>
    <w:pPr>
      <w:spacing w:after="200" w:line="276" w:lineRule="auto"/>
    </w:pPr>
    <w:rPr>
      <w:lang w:val="en-US"/>
    </w:rPr>
  </w:style>
  <w:style w:type="paragraph" w:styleId="Heading1">
    <w:name w:val="heading 1"/>
    <w:basedOn w:val="Normal"/>
    <w:link w:val="Heading1Char"/>
    <w:uiPriority w:val="9"/>
    <w:qFormat/>
    <w:rsid w:val="00906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4D3"/>
    <w:rPr>
      <w:rFonts w:ascii="Times New Roman" w:eastAsia="Times New Roman" w:hAnsi="Times New Roman" w:cs="Times New Roman"/>
      <w:b/>
      <w:bCs/>
      <w:kern w:val="36"/>
      <w:sz w:val="48"/>
      <w:szCs w:val="48"/>
      <w:lang w:val="en-US"/>
    </w:rPr>
  </w:style>
  <w:style w:type="paragraph" w:styleId="FootnoteText">
    <w:name w:val="footnote text"/>
    <w:basedOn w:val="Normal"/>
    <w:link w:val="FootnoteTextChar"/>
    <w:uiPriority w:val="99"/>
    <w:unhideWhenUsed/>
    <w:rsid w:val="005D3B1D"/>
    <w:pPr>
      <w:spacing w:after="0" w:line="240" w:lineRule="auto"/>
    </w:pPr>
    <w:rPr>
      <w:sz w:val="20"/>
      <w:szCs w:val="20"/>
    </w:rPr>
  </w:style>
  <w:style w:type="character" w:customStyle="1" w:styleId="FootnoteTextChar">
    <w:name w:val="Footnote Text Char"/>
    <w:basedOn w:val="DefaultParagraphFont"/>
    <w:link w:val="FootnoteText"/>
    <w:uiPriority w:val="99"/>
    <w:rsid w:val="005D3B1D"/>
    <w:rPr>
      <w:sz w:val="20"/>
      <w:szCs w:val="20"/>
      <w:lang w:val="en-US"/>
    </w:rPr>
  </w:style>
  <w:style w:type="character" w:styleId="FootnoteReference">
    <w:name w:val="footnote reference"/>
    <w:basedOn w:val="DefaultParagraphFont"/>
    <w:uiPriority w:val="99"/>
    <w:semiHidden/>
    <w:unhideWhenUsed/>
    <w:rsid w:val="005D3B1D"/>
    <w:rPr>
      <w:vertAlign w:val="superscript"/>
    </w:rPr>
  </w:style>
  <w:style w:type="character" w:styleId="Hyperlink">
    <w:name w:val="Hyperlink"/>
    <w:basedOn w:val="DefaultParagraphFont"/>
    <w:uiPriority w:val="99"/>
    <w:unhideWhenUsed/>
    <w:rsid w:val="005D3B1D"/>
    <w:rPr>
      <w:color w:val="0563C1" w:themeColor="hyperlink"/>
      <w:u w:val="single"/>
    </w:rPr>
  </w:style>
  <w:style w:type="character" w:styleId="UnresolvedMention">
    <w:name w:val="Unresolved Mention"/>
    <w:basedOn w:val="DefaultParagraphFont"/>
    <w:uiPriority w:val="99"/>
    <w:semiHidden/>
    <w:unhideWhenUsed/>
    <w:rsid w:val="005D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kedarvishn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23D9E-B360-4324-9202-37567B63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kedar vishnu</dc:creator>
  <cp:keywords/>
  <dc:description/>
  <cp:lastModifiedBy>kedar vishnu</cp:lastModifiedBy>
  <cp:revision>17</cp:revision>
  <dcterms:created xsi:type="dcterms:W3CDTF">2022-01-25T04:39:00Z</dcterms:created>
  <dcterms:modified xsi:type="dcterms:W3CDTF">2022-01-30T18:19:00Z</dcterms:modified>
</cp:coreProperties>
</file>