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A329" w14:textId="79E07D81" w:rsidR="0088489D" w:rsidRDefault="00F74A6C" w:rsidP="00D450BA">
      <w:pPr>
        <w:spacing w:after="0" w:line="240" w:lineRule="auto"/>
        <w:jc w:val="center"/>
        <w:rPr>
          <w:rFonts w:ascii="Times New Roman" w:eastAsia="Times New Roman" w:hAnsi="Times New Roman" w:cs="Times New Roman"/>
          <w:b/>
          <w:bCs/>
          <w:caps/>
          <w:color w:val="000000" w:themeColor="text1"/>
          <w:sz w:val="24"/>
          <w:szCs w:val="24"/>
          <w:lang w:val="en-US" w:eastAsia="pt-BR"/>
        </w:rPr>
      </w:pPr>
      <w:r w:rsidRPr="00F74A6C">
        <w:rPr>
          <w:rFonts w:ascii="Times New Roman" w:eastAsia="Times New Roman" w:hAnsi="Times New Roman" w:cs="Times New Roman"/>
          <w:b/>
          <w:bCs/>
          <w:caps/>
          <w:color w:val="000000" w:themeColor="text1"/>
          <w:sz w:val="24"/>
          <w:szCs w:val="24"/>
          <w:lang w:val="en-US" w:eastAsia="pt-BR"/>
        </w:rPr>
        <w:t>SOCIAL CONTROL OF PUBLIC EXPENDITURE: THE EFFECT OF  SOCIAL OBSERVATORIES MONITORING ON BRAZILIAN MUNICIPAL OUTLAYS</w:t>
      </w:r>
      <w:r w:rsidR="000B5855">
        <w:rPr>
          <w:rStyle w:val="Refdenotaderodap"/>
          <w:rFonts w:ascii="Times New Roman" w:eastAsia="Times New Roman" w:hAnsi="Times New Roman" w:cs="Times New Roman"/>
          <w:b/>
          <w:bCs/>
          <w:caps/>
          <w:color w:val="000000" w:themeColor="text1"/>
          <w:sz w:val="24"/>
          <w:szCs w:val="24"/>
          <w:lang w:val="en-US" w:eastAsia="pt-BR"/>
        </w:rPr>
        <w:footnoteReference w:id="1"/>
      </w:r>
    </w:p>
    <w:p w14:paraId="2F392000" w14:textId="3D8D79B1" w:rsidR="00F74A6C" w:rsidRDefault="00F74A6C" w:rsidP="00352D7D">
      <w:pPr>
        <w:spacing w:after="0" w:line="240" w:lineRule="auto"/>
        <w:rPr>
          <w:rFonts w:ascii="Times New Roman" w:eastAsia="Times New Roman" w:hAnsi="Times New Roman" w:cs="Times New Roman"/>
          <w:b/>
          <w:bCs/>
          <w:caps/>
          <w:color w:val="000000" w:themeColor="text1"/>
          <w:sz w:val="24"/>
          <w:szCs w:val="24"/>
          <w:lang w:val="en-US" w:eastAsia="pt-BR"/>
        </w:rPr>
      </w:pPr>
    </w:p>
    <w:p w14:paraId="77823F08" w14:textId="77777777" w:rsidR="00F74A6C" w:rsidRPr="009C6289" w:rsidRDefault="00F74A6C" w:rsidP="00D450BA">
      <w:pPr>
        <w:spacing w:after="0" w:line="240" w:lineRule="auto"/>
        <w:jc w:val="center"/>
        <w:rPr>
          <w:rFonts w:ascii="Times New Roman" w:eastAsia="Times New Roman" w:hAnsi="Times New Roman" w:cs="Times New Roman"/>
          <w:b/>
          <w:bCs/>
          <w:caps/>
          <w:color w:val="000000" w:themeColor="text1"/>
          <w:sz w:val="24"/>
          <w:szCs w:val="24"/>
          <w:lang w:val="en-US" w:eastAsia="pt-BR"/>
        </w:rPr>
      </w:pPr>
    </w:p>
    <w:p w14:paraId="196AF1B0" w14:textId="211B01CF" w:rsidR="00D450BA" w:rsidRPr="009C6289" w:rsidRDefault="004D034A" w:rsidP="00D450BA">
      <w:pPr>
        <w:spacing w:line="360" w:lineRule="auto"/>
        <w:jc w:val="center"/>
        <w:rPr>
          <w:rFonts w:ascii="Times New Roman" w:hAnsi="Times New Roman" w:cs="Times New Roman"/>
          <w:b/>
          <w:color w:val="000000" w:themeColor="text1"/>
          <w:sz w:val="24"/>
          <w:szCs w:val="24"/>
          <w:lang w:val="en-US"/>
        </w:rPr>
      </w:pPr>
      <w:r w:rsidRPr="009C6289">
        <w:rPr>
          <w:rFonts w:ascii="Times New Roman" w:hAnsi="Times New Roman" w:cs="Times New Roman"/>
          <w:b/>
          <w:color w:val="000000" w:themeColor="text1"/>
          <w:sz w:val="24"/>
          <w:szCs w:val="24"/>
          <w:lang w:val="en-US"/>
        </w:rPr>
        <w:t>ABSTRACT</w:t>
      </w:r>
    </w:p>
    <w:p w14:paraId="79E9AE86" w14:textId="14D936A8" w:rsidR="00257F3C" w:rsidRPr="00257F3C" w:rsidRDefault="00257F3C" w:rsidP="00257F3C">
      <w:pPr>
        <w:jc w:val="both"/>
        <w:rPr>
          <w:rFonts w:ascii="Times New Roman" w:eastAsia="Times New Roman" w:hAnsi="Times New Roman" w:cs="Times New Roman"/>
          <w:sz w:val="24"/>
          <w:szCs w:val="24"/>
          <w:lang w:val="en-US"/>
        </w:rPr>
      </w:pPr>
      <w:r w:rsidRPr="00257F3C">
        <w:rPr>
          <w:rFonts w:ascii="Times New Roman" w:eastAsia="Times New Roman" w:hAnsi="Times New Roman" w:cs="Times New Roman"/>
          <w:sz w:val="24"/>
          <w:szCs w:val="24"/>
          <w:lang w:val="en-US"/>
        </w:rPr>
        <w:t>This research analyzes the effect of Social Observatories' monitoring over municipal Public Administration expenditures. Ceteris Paribus, Social Observatories’ control over public spending should increase the probability of detecting inefficiencies, misuse of resources, and corruption, leading to a reduction in municipal expenditures. Nevertheless, the theory predicts circumstances that can nullify or even reverse these effects. There is no consensus in the international literature on the effectiveness of the social control of public spending strategy and, in Brazil, this theme’s empirical literature is still incipient. Thus, using agency theory and the dynamic difference-in-differences econometric approach, we tested the hypotheses that in Brazil: (i) per capita expenses of the municipal Public Administration tend to decrease when monitored by Social Observatories; (ii) the Social Observatories overlook is especially effective in small municipalities with less than 50,000 inhabitants; (iii) the effectiveness of the observatories' supervision varies between Brazilian states and (iv) observatories that operate within a network, such as those of the “Social Observatory of Brazil” Institute (OSB), are more effective in controlling public spending than the independent ones. The results suggest that the Brazilian Social Observatories are effective, that the effectiveness (at least partially) increases in small municipalities, that the interstate heterogeneity of the Observatories’ effectiveness is a reality, and that the observatories of the OSB network are not more effective than the others.</w:t>
      </w:r>
    </w:p>
    <w:p w14:paraId="1A26B280" w14:textId="77777777" w:rsidR="00257F3C" w:rsidRDefault="00257F3C" w:rsidP="00257F3C">
      <w:pPr>
        <w:pStyle w:val="PargrafodaLista"/>
        <w:ind w:left="927"/>
        <w:jc w:val="both"/>
        <w:rPr>
          <w:rFonts w:ascii="Times New Roman" w:hAnsi="Times New Roman" w:cs="Times New Roman"/>
          <w:sz w:val="24"/>
          <w:szCs w:val="24"/>
          <w:lang w:val="en-US"/>
        </w:rPr>
      </w:pPr>
    </w:p>
    <w:p w14:paraId="5F569A0C" w14:textId="10BC12B7" w:rsidR="0088489D" w:rsidRPr="00022DB7" w:rsidRDefault="0088489D" w:rsidP="00257F3C">
      <w:pPr>
        <w:pStyle w:val="PargrafodaLista"/>
        <w:ind w:left="927"/>
        <w:jc w:val="both"/>
        <w:rPr>
          <w:rFonts w:ascii="Times New Roman" w:hAnsi="Times New Roman" w:cs="Times New Roman"/>
          <w:b/>
          <w:bCs/>
          <w:sz w:val="24"/>
          <w:szCs w:val="24"/>
          <w:lang w:val="en-US"/>
        </w:rPr>
      </w:pPr>
      <w:r w:rsidRPr="00022DB7">
        <w:rPr>
          <w:rFonts w:ascii="Times New Roman" w:hAnsi="Times New Roman" w:cs="Times New Roman"/>
          <w:b/>
          <w:bCs/>
          <w:sz w:val="24"/>
          <w:szCs w:val="24"/>
          <w:lang w:val="en-US"/>
        </w:rPr>
        <w:t>INTRODUCTION</w:t>
      </w:r>
    </w:p>
    <w:p w14:paraId="6EE05822" w14:textId="77777777" w:rsidR="0088489D" w:rsidRPr="0088489D" w:rsidRDefault="0088489D" w:rsidP="0088489D">
      <w:pPr>
        <w:pStyle w:val="PargrafodaLista"/>
        <w:ind w:left="927"/>
        <w:jc w:val="both"/>
        <w:rPr>
          <w:rFonts w:ascii="Times New Roman" w:hAnsi="Times New Roman" w:cs="Times New Roman"/>
          <w:sz w:val="24"/>
          <w:szCs w:val="24"/>
          <w:lang w:val="en-US"/>
        </w:rPr>
      </w:pPr>
    </w:p>
    <w:p w14:paraId="20555CC5" w14:textId="06570E1A" w:rsidR="00C028FF" w:rsidRDefault="00C028FF" w:rsidP="00E50129">
      <w:pPr>
        <w:spacing w:line="360" w:lineRule="auto"/>
        <w:ind w:firstLine="567"/>
        <w:jc w:val="both"/>
        <w:rPr>
          <w:rFonts w:ascii="Times New Roman" w:hAnsi="Times New Roman" w:cs="Times New Roman"/>
          <w:sz w:val="24"/>
          <w:szCs w:val="24"/>
          <w:lang w:val="en-US"/>
        </w:rPr>
      </w:pPr>
      <w:r w:rsidRPr="00C028FF">
        <w:rPr>
          <w:rFonts w:ascii="Times New Roman" w:hAnsi="Times New Roman" w:cs="Times New Roman"/>
          <w:sz w:val="24"/>
          <w:szCs w:val="24"/>
          <w:lang w:val="en-US"/>
        </w:rPr>
        <w:t xml:space="preserve">Corruption, the “misuse of the power conferred for illegitimate personal gain”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{"citationItems":[{"id":"ITEM-1","itemData":{"DOI":"10.1016/j.ejpoleco.2008.12.002","ISSN":"01762680","abstract":"Although there are indications of common regional corruption characteristics, empirical studies of corruption have assumed that influences on corruption are country-specific. In this paper we report evidence based on a cross-section of 123 economies confirming that, with few specific exceptions, corruption is a regional phenomenon. Institutional change that reduces corruption in one country affects, therefore, neighboring countries. © 2008.","author":[{"dropping-particle":"","family":"Becker","given":"Sascha O.","non-dropping-particle":"","parse-names":false,"suffix":""},{"dropping-particle":"","family":"Egger","given":"Peter H.","non-dropping-particle":"","parse-names":false,"suffix":""},{"dropping-particle":"","family":"Seidel","given":"Tobias","non-dropping-particle":"","parse-names":false,"suffix":""}],"container-title":"European Journal of Political Economy","id":"ITEM-1","issue":"3","issued":{"date-parts":[["2009"]]},"page":"300-310","publisher":"Elsevier B.V.","title":"Common political culture: Evidence on regional corruption contagion","type":"article-journal","volume":"25"},"uris":["http://www.mendeley.com/documents/?uuid=df619b98-c357-431d-ad15-655c7c3f9e38"]}],"mendeley":{"formattedCitation":"(S. O. Becker et al., 2009)","plainTextFormattedCitation":"(S. O. Becker et al., 2009)","previouslyFormattedCitation":"(S. O. Becker et al., 2009)"},"properties":{"noteIndex":0},"schema":"https://github.com/citation-style-language/schema/raw/master/csl-citation.json"}</w:instrText>
      </w:r>
      <w:r>
        <w:rPr>
          <w:rFonts w:ascii="Times New Roman" w:hAnsi="Times New Roman" w:cs="Times New Roman"/>
          <w:sz w:val="24"/>
          <w:szCs w:val="24"/>
          <w:lang w:val="en-US"/>
        </w:rPr>
        <w:fldChar w:fldCharType="separate"/>
      </w:r>
      <w:r w:rsidRPr="00C61055">
        <w:rPr>
          <w:rFonts w:ascii="Times New Roman" w:hAnsi="Times New Roman" w:cs="Times New Roman"/>
          <w:noProof/>
          <w:sz w:val="24"/>
          <w:szCs w:val="24"/>
          <w:lang w:val="en-US"/>
        </w:rPr>
        <w:t>(S. O. Becker et al., 2009)</w:t>
      </w:r>
      <w:r>
        <w:rPr>
          <w:rFonts w:ascii="Times New Roman" w:hAnsi="Times New Roman" w:cs="Times New Roman"/>
          <w:sz w:val="24"/>
          <w:szCs w:val="24"/>
          <w:lang w:val="en-US"/>
        </w:rPr>
        <w:fldChar w:fldCharType="end"/>
      </w:r>
      <w:r w:rsidRPr="00361209">
        <w:rPr>
          <w:rFonts w:ascii="Times New Roman" w:hAnsi="Times New Roman" w:cs="Times New Roman"/>
          <w:sz w:val="24"/>
          <w:szCs w:val="24"/>
          <w:lang w:val="en-US"/>
        </w:rPr>
        <w:t xml:space="preserve"> </w:t>
      </w:r>
      <w:r w:rsidRPr="00C028FF">
        <w:rPr>
          <w:rFonts w:ascii="Times New Roman" w:hAnsi="Times New Roman" w:cs="Times New Roman"/>
          <w:sz w:val="24"/>
          <w:szCs w:val="24"/>
          <w:lang w:val="en-US"/>
        </w:rPr>
        <w:t xml:space="preserve">is a global problem in both the public and private sectors, predominantly affecting poor and developing countries </w:t>
      </w:r>
      <w:r w:rsidR="00E50129">
        <w:rPr>
          <w:rFonts w:ascii="Times New Roman" w:hAnsi="Times New Roman" w:cs="Times New Roman"/>
          <w:sz w:val="24"/>
          <w:szCs w:val="24"/>
          <w:lang w:val="en-US"/>
        </w:rPr>
        <w:fldChar w:fldCharType="begin" w:fldLock="1"/>
      </w:r>
      <w:r w:rsidR="00E50129">
        <w:rPr>
          <w:rFonts w:ascii="Times New Roman" w:hAnsi="Times New Roman" w:cs="Times New Roman"/>
          <w:sz w:val="24"/>
          <w:szCs w:val="24"/>
          <w:lang w:val="en-US"/>
        </w:rPr>
        <w:instrText>ADDIN CSL_CITATION {"citationItems":[{"id":"ITEM-1","itemData":{"author":[{"dropping-particle":"","family":"Rose-Ackerman","given":"Susan.","non-dropping-particle":"","parse-names":false,"suffix":""}],"container-title":"A corrupção e a economia mundial","editor":[{"dropping-particle":"","family":"ELLIOT","given":"Kimberly Ann","non-dropping-particle":"","parse-names":false,"suffix":""}],"id":"ITEM-1","issued":{"date-parts":[["2002"]]},"page":"59-102","publisher":"Editora Universidade de Brasilia","publisher-place":"Brasilia","title":"A economia política da corrupção","type":"chapter"},"uris":["http://www.mendeley.com/documents/?uuid=a8641dae-e906-4685-b832-3a06798134cc"]}],"mendeley":{"formattedCitation":"(Rose-Ackerman, 2002)","plainTextFormattedCitation":"(Rose-Ackerman, 2002)","previouslyFormattedCitation":"(Rose-Ackerman, 2002)"},"properties":{"noteIndex":0},"schema":"https://github.com/citation-style-language/schema/raw/master/csl-citation.json"}</w:instrText>
      </w:r>
      <w:r w:rsidR="00E50129">
        <w:rPr>
          <w:rFonts w:ascii="Times New Roman" w:hAnsi="Times New Roman" w:cs="Times New Roman"/>
          <w:sz w:val="24"/>
          <w:szCs w:val="24"/>
          <w:lang w:val="en-US"/>
        </w:rPr>
        <w:fldChar w:fldCharType="separate"/>
      </w:r>
      <w:r w:rsidR="00E50129" w:rsidRPr="00A21CBD">
        <w:rPr>
          <w:rFonts w:ascii="Times New Roman" w:hAnsi="Times New Roman" w:cs="Times New Roman"/>
          <w:noProof/>
          <w:sz w:val="24"/>
          <w:szCs w:val="24"/>
          <w:lang w:val="en-US"/>
        </w:rPr>
        <w:t>(Rose-Ackerman, 2002)</w:t>
      </w:r>
      <w:r w:rsidR="00E50129">
        <w:rPr>
          <w:rFonts w:ascii="Times New Roman" w:hAnsi="Times New Roman" w:cs="Times New Roman"/>
          <w:sz w:val="24"/>
          <w:szCs w:val="24"/>
          <w:lang w:val="en-US"/>
        </w:rPr>
        <w:fldChar w:fldCharType="end"/>
      </w:r>
      <w:r w:rsidR="00E50129">
        <w:rPr>
          <w:rFonts w:ascii="Times New Roman" w:hAnsi="Times New Roman" w:cs="Times New Roman"/>
          <w:sz w:val="24"/>
          <w:szCs w:val="24"/>
          <w:lang w:val="en-US"/>
        </w:rPr>
        <w:t xml:space="preserve">. </w:t>
      </w:r>
      <w:r w:rsidRPr="00C028FF">
        <w:rPr>
          <w:rFonts w:ascii="Times New Roman" w:hAnsi="Times New Roman" w:cs="Times New Roman"/>
          <w:sz w:val="24"/>
          <w:szCs w:val="24"/>
          <w:lang w:val="en-US"/>
        </w:rPr>
        <w:t xml:space="preserve">Corruption has been ubiquitous in the Brazilian republic throughout its history </w:t>
      </w:r>
      <w:r w:rsidR="00E50129">
        <w:rPr>
          <w:rFonts w:ascii="Times New Roman" w:hAnsi="Times New Roman" w:cs="Times New Roman"/>
          <w:sz w:val="24"/>
          <w:szCs w:val="24"/>
          <w:lang w:val="en-US"/>
        </w:rPr>
        <w:fldChar w:fldCharType="begin" w:fldLock="1"/>
      </w:r>
      <w:r w:rsidR="00E50129">
        <w:rPr>
          <w:rFonts w:ascii="Times New Roman" w:hAnsi="Times New Roman" w:cs="Times New Roman"/>
          <w:sz w:val="24"/>
          <w:szCs w:val="24"/>
          <w:lang w:val="en-US"/>
        </w:rPr>
        <w:instrText>ADDIN CSL_CITATION {"citationItems":[{"id":"ITEM-1","itemData":{"author":[{"dropping-particle":"","family":"Rocha Neto","given":"Luiz Henrique","non-dropping-particle":"Da","parse-names":false,"suffix":""}],"container-title":"Revista do Mestrado em Direito - UCB","id":"ITEM-1","issue":"1","issued":{"date-parts":[["2008"]]},"page":"204-230","title":"A Formação Do Estado Brasileiro : Patrimonialismo, Burocracia e Corrupção","type":"article-journal","volume":"2"},"uris":["http://www.mendeley.com/documents/?uuid=5814c696-9c74-4d08-b077-9455423c49a3"]}],"mendeley":{"formattedCitation":"(Da Rocha Neto, 2008)","plainTextFormattedCitation":"(Da Rocha Neto, 2008)","previouslyFormattedCitation":"(Da Rocha Neto, 2008)"},"properties":{"noteIndex":0},"schema":"https://github.com/citation-style-language/schema/raw/master/csl-citation.json"}</w:instrText>
      </w:r>
      <w:r w:rsidR="00E50129">
        <w:rPr>
          <w:rFonts w:ascii="Times New Roman" w:hAnsi="Times New Roman" w:cs="Times New Roman"/>
          <w:sz w:val="24"/>
          <w:szCs w:val="24"/>
          <w:lang w:val="en-US"/>
        </w:rPr>
        <w:fldChar w:fldCharType="separate"/>
      </w:r>
      <w:r w:rsidR="00E50129" w:rsidRPr="00A21CBD">
        <w:rPr>
          <w:rFonts w:ascii="Times New Roman" w:hAnsi="Times New Roman" w:cs="Times New Roman"/>
          <w:noProof/>
          <w:sz w:val="24"/>
          <w:szCs w:val="24"/>
          <w:lang w:val="en-US"/>
        </w:rPr>
        <w:t>(Da Rocha Neto, 2008)</w:t>
      </w:r>
      <w:r w:rsidR="00E50129">
        <w:rPr>
          <w:rFonts w:ascii="Times New Roman" w:hAnsi="Times New Roman" w:cs="Times New Roman"/>
          <w:sz w:val="24"/>
          <w:szCs w:val="24"/>
          <w:lang w:val="en-US"/>
        </w:rPr>
        <w:fldChar w:fldCharType="end"/>
      </w:r>
      <w:r w:rsidR="00E50129">
        <w:rPr>
          <w:rFonts w:ascii="Times New Roman" w:hAnsi="Times New Roman" w:cs="Times New Roman"/>
          <w:sz w:val="24"/>
          <w:szCs w:val="24"/>
          <w:lang w:val="en-US"/>
        </w:rPr>
        <w:t xml:space="preserve">. </w:t>
      </w:r>
      <w:r w:rsidRPr="00C028FF">
        <w:rPr>
          <w:rFonts w:ascii="Times New Roman" w:hAnsi="Times New Roman" w:cs="Times New Roman"/>
          <w:sz w:val="24"/>
          <w:szCs w:val="24"/>
          <w:lang w:val="en-US"/>
        </w:rPr>
        <w:t xml:space="preserve">Currently, the country ranks 94th on a list of 180 countries in the Corruption Perceptions Index </w:t>
      </w:r>
      <w:r w:rsidR="00E50129">
        <w:rPr>
          <w:rFonts w:ascii="Times New Roman" w:hAnsi="Times New Roman" w:cs="Times New Roman"/>
          <w:sz w:val="24"/>
          <w:szCs w:val="24"/>
          <w:lang w:val="en-US"/>
        </w:rPr>
        <w:fldChar w:fldCharType="begin" w:fldLock="1"/>
      </w:r>
      <w:r w:rsidR="00E50129">
        <w:rPr>
          <w:rFonts w:ascii="Times New Roman" w:hAnsi="Times New Roman" w:cs="Times New Roman"/>
          <w:sz w:val="24"/>
          <w:szCs w:val="24"/>
          <w:lang w:val="en-US"/>
        </w:rPr>
        <w:instrText>ADDIN CSL_CITATION {"citationItems":[{"id":"ITEM-1","itemData":{"URL":"https://www.transparency.org/ Transparency","author":[{"dropping-particle":"","family":"Transparency International","given":"","non-dropping-particle":"","parse-names":false,"suffix":""}],"id":"ITEM-1","issued":{"date-parts":[["2019"]]},"title":"Corruption Perception Index.","type":"webpage"},"uris":["http://www.mendeley.com/documents/?uuid=4203b0f8-85b7-4c42-8dd2-f707a9bbb07b"]}],"mendeley":{"formattedCitation":"(Transparency International, 2019)","manualFormatting":"(TRANSPARENCY INTERNATIONAL, 2020)","plainTextFormattedCitation":"(Transparency International, 2019)","previouslyFormattedCitation":"(Transparency International, 2019)"},"properties":{"noteIndex":0},"schema":"https://github.com/citation-style-language/schema/raw/master/csl-citation.json"}</w:instrText>
      </w:r>
      <w:r w:rsidR="00E50129">
        <w:rPr>
          <w:rFonts w:ascii="Times New Roman" w:hAnsi="Times New Roman" w:cs="Times New Roman"/>
          <w:sz w:val="24"/>
          <w:szCs w:val="24"/>
          <w:lang w:val="en-US"/>
        </w:rPr>
        <w:fldChar w:fldCharType="separate"/>
      </w:r>
      <w:r w:rsidR="00E50129" w:rsidRPr="00F63709">
        <w:rPr>
          <w:rFonts w:ascii="Times New Roman" w:hAnsi="Times New Roman" w:cs="Times New Roman"/>
          <w:noProof/>
          <w:sz w:val="24"/>
          <w:szCs w:val="24"/>
          <w:lang w:val="en-US"/>
        </w:rPr>
        <w:t>(TRANSPARENCY INTERNATIONAL, 20</w:t>
      </w:r>
      <w:r w:rsidR="00E50129">
        <w:rPr>
          <w:rFonts w:ascii="Times New Roman" w:hAnsi="Times New Roman" w:cs="Times New Roman"/>
          <w:noProof/>
          <w:sz w:val="24"/>
          <w:szCs w:val="24"/>
          <w:lang w:val="en-US"/>
        </w:rPr>
        <w:t>20</w:t>
      </w:r>
      <w:r w:rsidR="00E50129" w:rsidRPr="00F63709">
        <w:rPr>
          <w:rFonts w:ascii="Times New Roman" w:hAnsi="Times New Roman" w:cs="Times New Roman"/>
          <w:noProof/>
          <w:sz w:val="24"/>
          <w:szCs w:val="24"/>
          <w:lang w:val="en-US"/>
        </w:rPr>
        <w:t>)</w:t>
      </w:r>
      <w:r w:rsidR="00E50129">
        <w:rPr>
          <w:rFonts w:ascii="Times New Roman" w:hAnsi="Times New Roman" w:cs="Times New Roman"/>
          <w:sz w:val="24"/>
          <w:szCs w:val="24"/>
          <w:lang w:val="en-US"/>
        </w:rPr>
        <w:fldChar w:fldCharType="end"/>
      </w:r>
      <w:r w:rsidR="00E50129" w:rsidRPr="00361209">
        <w:rPr>
          <w:rFonts w:ascii="Times New Roman" w:hAnsi="Times New Roman" w:cs="Times New Roman"/>
          <w:sz w:val="24"/>
          <w:szCs w:val="24"/>
          <w:lang w:val="en-US"/>
        </w:rPr>
        <w:t xml:space="preserve">. </w:t>
      </w:r>
    </w:p>
    <w:p w14:paraId="5C81D448" w14:textId="2632B7AC" w:rsidR="00404D68" w:rsidRDefault="00361209" w:rsidP="007749CC">
      <w:pPr>
        <w:spacing w:line="360" w:lineRule="auto"/>
        <w:ind w:firstLine="567"/>
        <w:jc w:val="both"/>
        <w:rPr>
          <w:rFonts w:ascii="Times New Roman" w:hAnsi="Times New Roman" w:cs="Times New Roman"/>
          <w:sz w:val="24"/>
          <w:szCs w:val="24"/>
          <w:lang w:val="en-US"/>
        </w:rPr>
      </w:pPr>
      <w:r w:rsidRPr="00361209">
        <w:rPr>
          <w:rFonts w:ascii="Times New Roman" w:hAnsi="Times New Roman" w:cs="Times New Roman"/>
          <w:sz w:val="24"/>
          <w:szCs w:val="24"/>
          <w:lang w:val="en-US"/>
        </w:rPr>
        <w:t>At the subnational level corruption in Brazil's 5,570 municipalities is of particular concern. In the 1990s, Brazil underwent a broad process of fiscal decentralization that transferred activities, resources, and responsibilities to the municipalities to ensure greater efficiency in provisioning public services and greater control over public spending</w:t>
      </w:r>
      <w:r w:rsidR="00E51658">
        <w:rPr>
          <w:rFonts w:ascii="Times New Roman" w:hAnsi="Times New Roman" w:cs="Times New Roman"/>
          <w:sz w:val="24"/>
          <w:szCs w:val="24"/>
          <w:lang w:val="en-US"/>
        </w:rPr>
        <w:t xml:space="preserve"> </w:t>
      </w:r>
      <w:r w:rsidR="00E51658">
        <w:rPr>
          <w:rFonts w:ascii="Times New Roman" w:hAnsi="Times New Roman" w:cs="Times New Roman"/>
          <w:sz w:val="24"/>
          <w:szCs w:val="24"/>
          <w:lang w:val="en-US"/>
        </w:rPr>
        <w:fldChar w:fldCharType="begin" w:fldLock="1"/>
      </w:r>
      <w:r w:rsidR="00E51658">
        <w:rPr>
          <w:rFonts w:ascii="Times New Roman" w:hAnsi="Times New Roman" w:cs="Times New Roman"/>
          <w:sz w:val="24"/>
          <w:szCs w:val="24"/>
          <w:lang w:val="en-US"/>
        </w:rPr>
        <w:instrText>ADDIN CSL_CITATION {"citationItems":[{"id":"ITEM-1","itemData":{"author":[{"dropping-particle":"","family":"Roden","given":"Jonathan","non-dropping-particle":"","parse-names":false,"suffix":""}],"container-title":"Fiscal Decentralization and the Challenge of Hard Budget Constraints","editor":[{"dropping-particle":"","family":"Roden","given":"Jonathan","non-dropping-particle":"","parse-names":false,"suffix":""},{"dropping-particle":"","family":"Eskeland","given":"Gunnar","non-dropping-particle":"","parse-names":false,"suffix":""},{"dropping-particle":"","family":"Litvack","given":"Jennie","non-dropping-particle":"","parse-names":false,"suffix":""}],"id":"ITEM-1","issued":{"date-parts":[["2003"]]},"publisher":"The MIT Press","publisher-place":"Cambridge (Mass.).","title":"Federalism and Bailouts in Brazil","type":"chapter"},"uris":["http://www.mendeley.com/documents/?uuid=48a6850c-5858-415b-a6db-ab2a345ada05"]}],"mendeley":{"formattedCitation":"(Roden, 2003)","plainTextFormattedCitation":"(Roden, 2003)"},"properties":{"noteIndex":0},"schema":"https://github.com/citation-style-language/schema/raw/master/csl-citation.json"}</w:instrText>
      </w:r>
      <w:r w:rsidR="00E51658">
        <w:rPr>
          <w:rFonts w:ascii="Times New Roman" w:hAnsi="Times New Roman" w:cs="Times New Roman"/>
          <w:sz w:val="24"/>
          <w:szCs w:val="24"/>
          <w:lang w:val="en-US"/>
        </w:rPr>
        <w:fldChar w:fldCharType="separate"/>
      </w:r>
      <w:r w:rsidR="00E51658" w:rsidRPr="00E51658">
        <w:rPr>
          <w:rFonts w:ascii="Times New Roman" w:hAnsi="Times New Roman" w:cs="Times New Roman"/>
          <w:noProof/>
          <w:sz w:val="24"/>
          <w:szCs w:val="24"/>
          <w:lang w:val="en-US"/>
        </w:rPr>
        <w:t>(Roden, 2003)</w:t>
      </w:r>
      <w:r w:rsidR="00E51658">
        <w:rPr>
          <w:rFonts w:ascii="Times New Roman" w:hAnsi="Times New Roman" w:cs="Times New Roman"/>
          <w:sz w:val="24"/>
          <w:szCs w:val="24"/>
          <w:lang w:val="en-US"/>
        </w:rPr>
        <w:fldChar w:fldCharType="end"/>
      </w:r>
      <w:r w:rsidRPr="00361209">
        <w:rPr>
          <w:rFonts w:ascii="Times New Roman" w:hAnsi="Times New Roman" w:cs="Times New Roman"/>
          <w:sz w:val="24"/>
          <w:szCs w:val="24"/>
          <w:lang w:val="en-US"/>
        </w:rPr>
        <w:t>. In this context, municipal governments became responsible for implementing basic social programs in areas such as: health, education, and local infrastructure</w:t>
      </w:r>
      <w:r w:rsidR="00F63709">
        <w:rPr>
          <w:rFonts w:ascii="Times New Roman" w:hAnsi="Times New Roman" w:cs="Times New Roman"/>
          <w:sz w:val="24"/>
          <w:szCs w:val="24"/>
          <w:lang w:val="en-US"/>
        </w:rPr>
        <w:t xml:space="preserve"> </w:t>
      </w:r>
      <w:r w:rsidR="00F63709">
        <w:rPr>
          <w:rFonts w:ascii="Times New Roman" w:hAnsi="Times New Roman" w:cs="Times New Roman"/>
          <w:sz w:val="24"/>
          <w:szCs w:val="24"/>
          <w:lang w:val="en-US"/>
        </w:rPr>
        <w:fldChar w:fldCharType="begin" w:fldLock="1"/>
      </w:r>
      <w:r w:rsidR="00A21CBD">
        <w:rPr>
          <w:rFonts w:ascii="Times New Roman" w:hAnsi="Times New Roman" w:cs="Times New Roman"/>
          <w:sz w:val="24"/>
          <w:szCs w:val="24"/>
          <w:lang w:val="en-US"/>
        </w:rPr>
        <w:instrText>ADDIN CSL_CITATION {"citationItems":[{"id":"ITEM-1","itemData":{"DOI":"10.1590/0103-6351/3050","ISSN":"0103-6351","abstract":"Resumo O presente artigo avalia a probabilidade de ocorrência de corrupção municipal a partir de modelos de contagem, tendo como variáveis de interesse os achados irregulares de fiscalização considerados médios e graves, extraídos de 1600 relatórios da Controladoria-Geral da União-CGU referentes aos municípios brasileiros. Foram estimadas e testadas as sensibilidades destas irregularidades ao volume de recursos fiscalizados do município, ao seu estágio de desenvolvimento, à atuação do controle social, a sua caracterização demográfica, ao efeito contágio de um município limítrofe corrupto, ao caso de segundo mandato do prefeito e ao seu partido político. Os resultados mostraram que as irregularidades tendem a aumentar nos municípios com maiores volumes de recursos recebidos, quando o controle social tem fraca atuação, quando o mesmo possui baixo desenvolvimento e alta densidade demográfica, e são vizinhos de municípios com problemas de corrupção. Dezesseis irregularidades médias e seis graves são encontradas a cada R$ 100 milhões de recursos recebidos por um município.Abstract This article assesses the tendency to municipal corruption based on counting models, which have as response variables the findings recorded in 1600 audit reports of the Controladoria-Geral da União, CGU, referring to the Brazilian municipalities. The sensitivities of these irregularities were estimated an tested as a function of the volume of resources inspected, to their stage of development, to the role of social control, to its demographic characteristics, to the contagion effect among neighboring municipalities, to the second mandate of the mayor and his political party. The results have shown that the municipalities with medium and severe findings are those that receive a high percentage of resource transfers, they also have weak social control and a low level of municipal development, they are not sparsely populated and have neighboring municipalities with corruption problems. Sixteen medium irregularities and six serious irregularities are found of every R$ 100 million of resources received by a municipality.","author":[{"dropping-particle":"","family":"Campos","given":"Francisco de Assis Oliveira","non-dropping-particle":"","parse-names":false,"suffix":""},{"dropping-particle":"","family":"Castelar","given":"Ivan","non-dropping-particle":"","parse-names":false,"suffix":""},{"dropping-particle":"","family":"Soares","given":"Ricardo Brito","non-dropping-particle":"","parse-names":false,"suffix":""}],"container-title":"Nova Economia","id":"ITEM-1","issue":"3","issued":{"date-parts":[["2018"]]},"page":"879-911","title":"Fatores associados à corrupção municipal em transferências de recursos da União","type":"article-journal","volume":"28"},"uris":["http://www.mendeley.com/documents/?uuid=e04e3c07-8aec-48d2-b185-cd82f6950591"]}],"mendeley":{"formattedCitation":"(Campos et al., 2018)","plainTextFormattedCitation":"(Campos et al., 2018)","previouslyFormattedCitation":"(Campos et al., 2018)"},"properties":{"noteIndex":0},"schema":"https://github.com/citation-style-language/schema/raw/master/csl-citation.json"}</w:instrText>
      </w:r>
      <w:r w:rsidR="00F63709">
        <w:rPr>
          <w:rFonts w:ascii="Times New Roman" w:hAnsi="Times New Roman" w:cs="Times New Roman"/>
          <w:sz w:val="24"/>
          <w:szCs w:val="24"/>
          <w:lang w:val="en-US"/>
        </w:rPr>
        <w:fldChar w:fldCharType="separate"/>
      </w:r>
      <w:r w:rsidR="00A21CBD" w:rsidRPr="00A21CBD">
        <w:rPr>
          <w:rFonts w:ascii="Times New Roman" w:hAnsi="Times New Roman" w:cs="Times New Roman"/>
          <w:noProof/>
          <w:sz w:val="24"/>
          <w:szCs w:val="24"/>
          <w:lang w:val="en-US"/>
        </w:rPr>
        <w:t>(Campos et al., 2018)</w:t>
      </w:r>
      <w:r w:rsidR="00F63709">
        <w:rPr>
          <w:rFonts w:ascii="Times New Roman" w:hAnsi="Times New Roman" w:cs="Times New Roman"/>
          <w:sz w:val="24"/>
          <w:szCs w:val="24"/>
          <w:lang w:val="en-US"/>
        </w:rPr>
        <w:fldChar w:fldCharType="end"/>
      </w:r>
      <w:r w:rsidR="00F63709">
        <w:rPr>
          <w:rFonts w:ascii="Times New Roman" w:hAnsi="Times New Roman" w:cs="Times New Roman"/>
          <w:sz w:val="24"/>
          <w:szCs w:val="24"/>
          <w:lang w:val="en-US"/>
        </w:rPr>
        <w:t xml:space="preserve">. </w:t>
      </w:r>
      <w:r w:rsidRPr="00361209">
        <w:rPr>
          <w:rFonts w:ascii="Times New Roman" w:hAnsi="Times New Roman" w:cs="Times New Roman"/>
          <w:sz w:val="24"/>
          <w:szCs w:val="24"/>
          <w:lang w:val="en-US"/>
        </w:rPr>
        <w:t xml:space="preserve">Because of the insufficiency of municipal resources by the constitutional division of tax powers, sharing mechanisms were </w:t>
      </w:r>
      <w:r w:rsidR="007749CC">
        <w:rPr>
          <w:rFonts w:ascii="Times New Roman" w:hAnsi="Times New Roman" w:cs="Times New Roman"/>
          <w:sz w:val="24"/>
          <w:szCs w:val="24"/>
          <w:lang w:val="en-US"/>
        </w:rPr>
        <w:t>devised</w:t>
      </w:r>
      <w:r w:rsidRPr="00361209">
        <w:rPr>
          <w:rFonts w:ascii="Times New Roman" w:hAnsi="Times New Roman" w:cs="Times New Roman"/>
          <w:sz w:val="24"/>
          <w:szCs w:val="24"/>
          <w:lang w:val="en-US"/>
        </w:rPr>
        <w:t xml:space="preserve"> by which the Union transfers part of its tax collection to the municipalities </w:t>
      </w:r>
      <w:r w:rsidR="00F63709">
        <w:rPr>
          <w:rFonts w:ascii="Times New Roman" w:hAnsi="Times New Roman" w:cs="Times New Roman"/>
          <w:sz w:val="24"/>
          <w:szCs w:val="24"/>
          <w:lang w:val="en-US"/>
        </w:rPr>
        <w:fldChar w:fldCharType="begin" w:fldLock="1"/>
      </w:r>
      <w:r w:rsidR="00A21CBD">
        <w:rPr>
          <w:rFonts w:ascii="Times New Roman" w:hAnsi="Times New Roman" w:cs="Times New Roman"/>
          <w:sz w:val="24"/>
          <w:szCs w:val="24"/>
          <w:lang w:val="en-US"/>
        </w:rPr>
        <w:instrText>ADDIN CSL_CITATION {"citationItems":[{"id":"ITEM-1","itemData":{"DOI":"10.17765/1516-2664.2018v23n2p411-432","ISSN":"1516-2664","abstract":"O presente artigo aborda o desequilíbrio financeiro dos municípios no modelo de federalismo fiscal brasileiro. Objetiva-se demonstrar que o modelo atual não contribui o quanto poderia para a redução das desigualdades econômicas regionais. Será pesquisado qual o papel do federalismo cooperativo dentro da sistemática delineada pelo texto constitucional. A partir das normas que regulamentam o tema, procurar-se-á compreender como tem funcionado na atualidade a questão. A complexidade normativa tributária e o excesso de burocracia não contribuem para que o federalismo cooperativo atenda adequadamente às necessidades dos municípios, aos quais foram atribuídos muitos serviços públicos de atendimento à população, que precisam de recursos financeiros suficientes para ser bem realizados. Como método para o desenvolvimento da pesquisa será aplicado o hipotético-dedutivo, apontando como hipótese a premissa de que nos moldes como vem sendo praticado, o federalismo brasileiro não conduz ao pleno cumprimento dos princípios e objetivos constitucionais. Ao final, concluiu-se que o país precisa rever sua forma de repassar as receitas tributárias, especialmente em relação aos municípios que arcam com encargos desproporcionais ao produto da arrecadação que realizam e aos valores recebidos pelos repasses dos Estados e da União","author":[{"dropping-particle":"","family":"Durães","given":"Cintya Maria Nishimura","non-dropping-particle":"","parse-names":false,"suffix":""},{"dropping-particle":"","family":"Ribeiro","given":"Maria de Fátima","non-dropping-particle":"","parse-names":false,"suffix":""}],"container-title":"Revista Cesumar – Ciências Humanas e Sociais Aplicadas","id":"ITEM-1","issue":"2","issued":{"date-parts":[["2018"]]},"page":"411","title":"Análise Crítica Sobre O Desequilíbrio Financeiro Dos Municípios No Modelo De Federalismo Fiscal Brasileiro","type":"article-journal","volume":"23"},"uris":["http://www.mendeley.com/documents/?uuid=35392091-7c04-41a9-b627-6b280a352b53"]}],"mendeley":{"formattedCitation":"(Durães &amp; Ribeiro, 2018)","plainTextFormattedCitation":"(Durães &amp; Ribeiro, 2018)","previouslyFormattedCitation":"(Durães &amp; Ribeiro, 2018)"},"properties":{"noteIndex":0},"schema":"https://github.com/citation-style-language/schema/raw/master/csl-citation.json"}</w:instrText>
      </w:r>
      <w:r w:rsidR="00F63709">
        <w:rPr>
          <w:rFonts w:ascii="Times New Roman" w:hAnsi="Times New Roman" w:cs="Times New Roman"/>
          <w:sz w:val="24"/>
          <w:szCs w:val="24"/>
          <w:lang w:val="en-US"/>
        </w:rPr>
        <w:fldChar w:fldCharType="separate"/>
      </w:r>
      <w:r w:rsidR="00A21CBD" w:rsidRPr="00A21CBD">
        <w:rPr>
          <w:rFonts w:ascii="Times New Roman" w:hAnsi="Times New Roman" w:cs="Times New Roman"/>
          <w:noProof/>
          <w:sz w:val="24"/>
          <w:szCs w:val="24"/>
          <w:lang w:val="en-US"/>
        </w:rPr>
        <w:t>(Durães &amp; Ribeiro, 2018)</w:t>
      </w:r>
      <w:r w:rsidR="00F63709">
        <w:rPr>
          <w:rFonts w:ascii="Times New Roman" w:hAnsi="Times New Roman" w:cs="Times New Roman"/>
          <w:sz w:val="24"/>
          <w:szCs w:val="24"/>
          <w:lang w:val="en-US"/>
        </w:rPr>
        <w:fldChar w:fldCharType="end"/>
      </w:r>
      <w:r w:rsidR="007749CC">
        <w:rPr>
          <w:rFonts w:ascii="Times New Roman" w:hAnsi="Times New Roman" w:cs="Times New Roman"/>
          <w:sz w:val="24"/>
          <w:szCs w:val="24"/>
          <w:lang w:val="en-US"/>
        </w:rPr>
        <w:t>.</w:t>
      </w:r>
      <w:r w:rsidRPr="00361209">
        <w:rPr>
          <w:rFonts w:ascii="Times New Roman" w:hAnsi="Times New Roman" w:cs="Times New Roman"/>
          <w:sz w:val="24"/>
          <w:szCs w:val="24"/>
          <w:lang w:val="en-US"/>
        </w:rPr>
        <w:t xml:space="preserve"> </w:t>
      </w:r>
      <w:r w:rsidRPr="00361209">
        <w:rPr>
          <w:rFonts w:ascii="Times New Roman" w:hAnsi="Times New Roman" w:cs="Times New Roman"/>
          <w:sz w:val="24"/>
          <w:szCs w:val="24"/>
          <w:lang w:val="en-US"/>
        </w:rPr>
        <w:lastRenderedPageBreak/>
        <w:t xml:space="preserve">However, to the extent that municipal governments have informational advantages (because of knowledge of the local reality) agency relationships and moral hazard problems can be established, where the agent (i.e. municipal government representatives) has incentives to act opportunistically, capturing portions of this income for itself </w:t>
      </w:r>
      <w:r w:rsidR="00A21CBD">
        <w:rPr>
          <w:rFonts w:ascii="Times New Roman" w:hAnsi="Times New Roman" w:cs="Times New Roman"/>
          <w:sz w:val="24"/>
          <w:szCs w:val="24"/>
          <w:lang w:val="en-US"/>
        </w:rPr>
        <w:fldChar w:fldCharType="begin" w:fldLock="1"/>
      </w:r>
      <w:r w:rsidR="00A21CBD">
        <w:rPr>
          <w:rFonts w:ascii="Times New Roman" w:hAnsi="Times New Roman" w:cs="Times New Roman"/>
          <w:sz w:val="24"/>
          <w:szCs w:val="24"/>
          <w:lang w:val="en-US"/>
        </w:rPr>
        <w:instrText>ADDIN CSL_CITATION {"citationItems":[{"id":"ITEM-1","itemData":{"author":[{"dropping-particle":"","family":"Roden","given":"Jonathan","non-dropping-particle":"","parse-names":false,"suffix":""}],"container-title":"Fiscal Decentralization and the Challenge of Hard Budget Constraints","editor":[{"dropping-particle":"","family":"Roden","given":"Jonathan","non-dropping-particle":"","parse-names":false,"suffix":""},{"dropping-particle":"","family":"Eskeland","given":"Gunnar","non-dropping-particle":"","parse-names":false,"suffix":""},{"dropping-particle":"","family":"Litvack","given":"Jennie","non-dropping-particle":"","parse-names":false,"suffix":""}],"id":"ITEM-1","issued":{"date-parts":[["2003"]]},"publisher":"The MIT Press","publisher-place":"Cambridge (Mass.).","title":"Federalism and Bailouts in Brazil","type":"chapter"},"uris":["http://www.mendeley.com/documents/?uuid=48a6850c-5858-415b-a6db-ab2a345ada05"]}],"mendeley":{"formattedCitation":"(Roden, 2003)","plainTextFormattedCitation":"(Roden, 2003)","previouslyFormattedCitation":"(Roden, 2003)"},"properties":{"noteIndex":0},"schema":"https://github.com/citation-style-language/schema/raw/master/csl-citation.json"}</w:instrText>
      </w:r>
      <w:r w:rsidR="00A21CBD">
        <w:rPr>
          <w:rFonts w:ascii="Times New Roman" w:hAnsi="Times New Roman" w:cs="Times New Roman"/>
          <w:sz w:val="24"/>
          <w:szCs w:val="24"/>
          <w:lang w:val="en-US"/>
        </w:rPr>
        <w:fldChar w:fldCharType="separate"/>
      </w:r>
      <w:r w:rsidR="00A21CBD" w:rsidRPr="00A21CBD">
        <w:rPr>
          <w:rFonts w:ascii="Times New Roman" w:hAnsi="Times New Roman" w:cs="Times New Roman"/>
          <w:noProof/>
          <w:sz w:val="24"/>
          <w:szCs w:val="24"/>
          <w:lang w:val="en-US"/>
        </w:rPr>
        <w:t>(Roden, 2003)</w:t>
      </w:r>
      <w:r w:rsidR="00A21CBD">
        <w:rPr>
          <w:rFonts w:ascii="Times New Roman" w:hAnsi="Times New Roman" w:cs="Times New Roman"/>
          <w:sz w:val="24"/>
          <w:szCs w:val="24"/>
          <w:lang w:val="en-US"/>
        </w:rPr>
        <w:fldChar w:fldCharType="end"/>
      </w:r>
      <w:r w:rsidRPr="00361209">
        <w:rPr>
          <w:rFonts w:ascii="Times New Roman" w:hAnsi="Times New Roman" w:cs="Times New Roman"/>
          <w:sz w:val="24"/>
          <w:szCs w:val="24"/>
          <w:lang w:val="en-US"/>
        </w:rPr>
        <w:t>.</w:t>
      </w:r>
      <w:r w:rsidR="00E36FB6" w:rsidRPr="00D12ED1">
        <w:rPr>
          <w:lang w:val="en-US"/>
        </w:rPr>
        <w:t xml:space="preserve"> </w:t>
      </w:r>
      <w:r w:rsidRPr="00361209">
        <w:rPr>
          <w:rFonts w:ascii="Times New Roman" w:hAnsi="Times New Roman" w:cs="Times New Roman"/>
          <w:sz w:val="24"/>
          <w:szCs w:val="24"/>
          <w:lang w:val="en-US"/>
        </w:rPr>
        <w:t xml:space="preserve">Brazilian </w:t>
      </w:r>
      <w:r w:rsidR="00E36FB6">
        <w:rPr>
          <w:rFonts w:ascii="Times New Roman" w:hAnsi="Times New Roman" w:cs="Times New Roman"/>
          <w:sz w:val="24"/>
          <w:szCs w:val="24"/>
          <w:lang w:val="en-US"/>
        </w:rPr>
        <w:t>Local Governments</w:t>
      </w:r>
      <w:r w:rsidRPr="00361209">
        <w:rPr>
          <w:rFonts w:ascii="Times New Roman" w:hAnsi="Times New Roman" w:cs="Times New Roman"/>
          <w:sz w:val="24"/>
          <w:szCs w:val="24"/>
          <w:lang w:val="en-US"/>
        </w:rPr>
        <w:t xml:space="preserve"> receive</w:t>
      </w:r>
      <w:r w:rsidR="00E36FB6">
        <w:rPr>
          <w:rFonts w:ascii="Times New Roman" w:hAnsi="Times New Roman" w:cs="Times New Roman"/>
          <w:sz w:val="24"/>
          <w:szCs w:val="24"/>
          <w:lang w:val="en-US"/>
        </w:rPr>
        <w:t>, on average, US$ 3</w:t>
      </w:r>
      <w:r w:rsidR="00DB32B6">
        <w:rPr>
          <w:rFonts w:ascii="Times New Roman" w:hAnsi="Times New Roman" w:cs="Times New Roman"/>
          <w:sz w:val="24"/>
          <w:szCs w:val="24"/>
          <w:lang w:val="en-US"/>
        </w:rPr>
        <w:t>0</w:t>
      </w:r>
      <w:r w:rsidR="00E36FB6">
        <w:rPr>
          <w:rFonts w:ascii="Times New Roman" w:hAnsi="Times New Roman" w:cs="Times New Roman"/>
          <w:sz w:val="24"/>
          <w:szCs w:val="24"/>
          <w:lang w:val="en-US"/>
        </w:rPr>
        <w:t xml:space="preserve"> billion per year</w:t>
      </w:r>
      <w:r w:rsidRPr="00361209">
        <w:rPr>
          <w:rFonts w:ascii="Times New Roman" w:hAnsi="Times New Roman" w:cs="Times New Roman"/>
          <w:sz w:val="24"/>
          <w:szCs w:val="24"/>
          <w:lang w:val="en-US"/>
        </w:rPr>
        <w:t xml:space="preserve"> from the </w:t>
      </w:r>
      <w:r w:rsidR="00E36FB6">
        <w:rPr>
          <w:rFonts w:ascii="Times New Roman" w:hAnsi="Times New Roman" w:cs="Times New Roman"/>
          <w:sz w:val="24"/>
          <w:szCs w:val="24"/>
          <w:lang w:val="en-US"/>
        </w:rPr>
        <w:t>Federal Government</w:t>
      </w:r>
      <w:r w:rsidR="006A143A">
        <w:rPr>
          <w:rFonts w:ascii="Times New Roman" w:hAnsi="Times New Roman" w:cs="Times New Roman"/>
          <w:sz w:val="24"/>
          <w:szCs w:val="24"/>
          <w:lang w:val="en-US"/>
        </w:rPr>
        <w:t xml:space="preserve"> cash transfers</w:t>
      </w:r>
      <w:r w:rsidR="00F12189">
        <w:rPr>
          <w:rFonts w:ascii="Times New Roman" w:hAnsi="Times New Roman" w:cs="Times New Roman"/>
          <w:sz w:val="24"/>
          <w:szCs w:val="24"/>
          <w:lang w:val="en-US"/>
        </w:rPr>
        <w:t xml:space="preserve"> </w:t>
      </w:r>
      <w:r w:rsidR="00F12189">
        <w:rPr>
          <w:rFonts w:ascii="Times New Roman" w:hAnsi="Times New Roman" w:cs="Times New Roman"/>
          <w:sz w:val="24"/>
          <w:szCs w:val="24"/>
          <w:lang w:val="en-US"/>
        </w:rPr>
        <w:fldChar w:fldCharType="begin" w:fldLock="1"/>
      </w:r>
      <w:r w:rsidR="00E51658">
        <w:rPr>
          <w:rFonts w:ascii="Times New Roman" w:hAnsi="Times New Roman" w:cs="Times New Roman"/>
          <w:sz w:val="24"/>
          <w:szCs w:val="24"/>
          <w:lang w:val="en-US"/>
        </w:rPr>
        <w:instrText>ADDIN CSL_CITATION {"citationItems":[{"id":"ITEM-1","itemData":{"URL":"https://www.tesourotransparente.gov.br/temas/estados-e-municipios/transferencias-a-estados-e-municipios","accessed":{"date-parts":[["2022","1","27"]]},"author":[{"dropping-particle":"","family":"Tesouro Nacional","given":"","non-dropping-particle":"","parse-names":false,"suffix":""}],"container-title":"Transferências a Estados e Municípios","id":"ITEM-1","issued":{"date-parts":[["2022"]]},"title":"Tesouro Nacional Transparente","type":"webpage"},"uris":["http://www.mendeley.com/documents/?uuid=63bdbf57-3455-4f9c-aff4-b8113b914d59"]}],"mendeley":{"formattedCitation":"(Tesouro Nacional, 2022)","plainTextFormattedCitation":"(Tesouro Nacional, 2022)","previouslyFormattedCitation":"(Tesouro Nacional, 2022)"},"properties":{"noteIndex":0},"schema":"https://github.com/citation-style-language/schema/raw/master/csl-citation.json"}</w:instrText>
      </w:r>
      <w:r w:rsidR="00F12189">
        <w:rPr>
          <w:rFonts w:ascii="Times New Roman" w:hAnsi="Times New Roman" w:cs="Times New Roman"/>
          <w:sz w:val="24"/>
          <w:szCs w:val="24"/>
          <w:lang w:val="en-US"/>
        </w:rPr>
        <w:fldChar w:fldCharType="separate"/>
      </w:r>
      <w:r w:rsidR="00F12189" w:rsidRPr="00F12189">
        <w:rPr>
          <w:rFonts w:ascii="Times New Roman" w:hAnsi="Times New Roman" w:cs="Times New Roman"/>
          <w:noProof/>
          <w:sz w:val="24"/>
          <w:szCs w:val="24"/>
          <w:lang w:val="en-US"/>
        </w:rPr>
        <w:t>(Tesouro Nacional, 2022)</w:t>
      </w:r>
      <w:r w:rsidR="00F12189">
        <w:rPr>
          <w:rFonts w:ascii="Times New Roman" w:hAnsi="Times New Roman" w:cs="Times New Roman"/>
          <w:sz w:val="24"/>
          <w:szCs w:val="24"/>
          <w:lang w:val="en-US"/>
        </w:rPr>
        <w:fldChar w:fldCharType="end"/>
      </w:r>
      <w:r w:rsidRPr="00361209">
        <w:rPr>
          <w:rFonts w:ascii="Times New Roman" w:hAnsi="Times New Roman" w:cs="Times New Roman"/>
          <w:sz w:val="24"/>
          <w:szCs w:val="24"/>
          <w:lang w:val="en-US"/>
        </w:rPr>
        <w:t>, and despite some portions of the budget being constitutionally tied to certain expenses, mayors and local legislators enjoy broad discretion to decide how to spend the resources, opening up gaps for corruption</w:t>
      </w:r>
      <w:r w:rsidR="00A21CBD">
        <w:rPr>
          <w:rFonts w:ascii="Times New Roman" w:hAnsi="Times New Roman" w:cs="Times New Roman"/>
          <w:sz w:val="24"/>
          <w:szCs w:val="24"/>
          <w:lang w:val="en-US"/>
        </w:rPr>
        <w:t>.</w:t>
      </w:r>
      <w:r w:rsidR="00404D68">
        <w:rPr>
          <w:rFonts w:ascii="Times New Roman" w:hAnsi="Times New Roman" w:cs="Times New Roman"/>
          <w:sz w:val="24"/>
          <w:szCs w:val="24"/>
          <w:lang w:val="en-US"/>
        </w:rPr>
        <w:t xml:space="preserve"> F</w:t>
      </w:r>
      <w:r w:rsidR="006A143A" w:rsidRPr="00A21CBD">
        <w:rPr>
          <w:rFonts w:ascii="Times New Roman" w:hAnsi="Times New Roman" w:cs="Times New Roman"/>
          <w:sz w:val="24"/>
          <w:szCs w:val="24"/>
          <w:lang w:val="en-US"/>
        </w:rPr>
        <w:t>erraz &amp; Finan</w:t>
      </w:r>
      <w:r w:rsidR="006A143A">
        <w:rPr>
          <w:rFonts w:ascii="Times New Roman" w:hAnsi="Times New Roman" w:cs="Times New Roman"/>
          <w:sz w:val="24"/>
          <w:szCs w:val="24"/>
          <w:lang w:val="en-US"/>
        </w:rPr>
        <w:t xml:space="preserve"> (</w:t>
      </w:r>
      <w:r w:rsidR="006A143A" w:rsidRPr="00A21CBD">
        <w:rPr>
          <w:rFonts w:ascii="Times New Roman" w:hAnsi="Times New Roman" w:cs="Times New Roman"/>
          <w:sz w:val="24"/>
          <w:szCs w:val="24"/>
          <w:lang w:val="en-US"/>
        </w:rPr>
        <w:t>2011</w:t>
      </w:r>
      <w:r w:rsidR="006A143A">
        <w:rPr>
          <w:rFonts w:ascii="Times New Roman" w:hAnsi="Times New Roman" w:cs="Times New Roman"/>
          <w:sz w:val="24"/>
          <w:szCs w:val="24"/>
          <w:lang w:val="en-US"/>
        </w:rPr>
        <w:t>)</w:t>
      </w:r>
      <w:r w:rsidR="00404D68">
        <w:rPr>
          <w:rFonts w:ascii="Times New Roman" w:hAnsi="Times New Roman" w:cs="Times New Roman"/>
          <w:sz w:val="24"/>
          <w:szCs w:val="24"/>
          <w:lang w:val="en-US"/>
        </w:rPr>
        <w:t xml:space="preserve"> estimate</w:t>
      </w:r>
      <w:r w:rsidR="006A143A">
        <w:rPr>
          <w:rFonts w:ascii="Times New Roman" w:hAnsi="Times New Roman" w:cs="Times New Roman"/>
          <w:sz w:val="24"/>
          <w:szCs w:val="24"/>
          <w:lang w:val="en-US"/>
        </w:rPr>
        <w:t xml:space="preserve"> </w:t>
      </w:r>
      <w:r w:rsidR="006A143A" w:rsidRPr="006A143A">
        <w:rPr>
          <w:rFonts w:ascii="Times New Roman" w:hAnsi="Times New Roman" w:cs="Times New Roman"/>
          <w:sz w:val="24"/>
          <w:szCs w:val="24"/>
          <w:lang w:val="en-US"/>
        </w:rPr>
        <w:t xml:space="preserve">corruption in local governments is responsible for </w:t>
      </w:r>
      <w:r w:rsidR="00E51658">
        <w:rPr>
          <w:rFonts w:ascii="Times New Roman" w:hAnsi="Times New Roman" w:cs="Times New Roman"/>
          <w:sz w:val="24"/>
          <w:szCs w:val="24"/>
          <w:lang w:val="en-US"/>
        </w:rPr>
        <w:t xml:space="preserve">annual </w:t>
      </w:r>
      <w:r w:rsidR="006A143A" w:rsidRPr="006A143A">
        <w:rPr>
          <w:rFonts w:ascii="Times New Roman" w:hAnsi="Times New Roman" w:cs="Times New Roman"/>
          <w:sz w:val="24"/>
          <w:szCs w:val="24"/>
          <w:lang w:val="en-US"/>
        </w:rPr>
        <w:t>losses of approximately US$550 million.</w:t>
      </w:r>
      <w:r w:rsidR="006A143A">
        <w:rPr>
          <w:rFonts w:ascii="Times New Roman" w:hAnsi="Times New Roman" w:cs="Times New Roman"/>
          <w:sz w:val="24"/>
          <w:szCs w:val="24"/>
          <w:lang w:val="en-US"/>
        </w:rPr>
        <w:t xml:space="preserve"> </w:t>
      </w:r>
    </w:p>
    <w:p w14:paraId="38908050" w14:textId="4114D424" w:rsidR="00380B5D" w:rsidRPr="00380B5D" w:rsidRDefault="00380B5D" w:rsidP="00404D68">
      <w:pPr>
        <w:spacing w:line="360" w:lineRule="auto"/>
        <w:ind w:firstLine="567"/>
        <w:jc w:val="both"/>
        <w:rPr>
          <w:rFonts w:ascii="Times New Roman" w:hAnsi="Times New Roman" w:cs="Times New Roman"/>
          <w:sz w:val="24"/>
          <w:szCs w:val="24"/>
          <w:lang w:val="en-US"/>
        </w:rPr>
      </w:pPr>
      <w:r w:rsidRPr="00380B5D">
        <w:rPr>
          <w:rFonts w:ascii="Times New Roman" w:hAnsi="Times New Roman" w:cs="Times New Roman"/>
          <w:sz w:val="24"/>
          <w:szCs w:val="24"/>
          <w:lang w:val="en-US"/>
        </w:rPr>
        <w:t>Serious corruption scandals, starting in the second half of the 2000s, led to a popular clamor for greater "accountability" of public agents</w:t>
      </w:r>
      <w:r w:rsidR="00A21CBD">
        <w:rPr>
          <w:rFonts w:ascii="Times New Roman" w:hAnsi="Times New Roman" w:cs="Times New Roman"/>
          <w:sz w:val="24"/>
          <w:szCs w:val="24"/>
          <w:lang w:val="en-US"/>
        </w:rPr>
        <w:t xml:space="preserve"> </w:t>
      </w:r>
      <w:r w:rsidR="00A21CBD">
        <w:rPr>
          <w:rFonts w:ascii="Times New Roman" w:hAnsi="Times New Roman" w:cs="Times New Roman"/>
          <w:sz w:val="24"/>
          <w:szCs w:val="24"/>
          <w:lang w:val="en-US"/>
        </w:rPr>
        <w:fldChar w:fldCharType="begin" w:fldLock="1"/>
      </w:r>
      <w:r w:rsidR="00A21CBD">
        <w:rPr>
          <w:rFonts w:ascii="Times New Roman" w:hAnsi="Times New Roman" w:cs="Times New Roman"/>
          <w:sz w:val="24"/>
          <w:szCs w:val="24"/>
          <w:lang w:val="en-US"/>
        </w:rPr>
        <w:instrText>ADDIN CSL_CITATION {"citationItems":[{"id":"ITEM-1","itemData":{"author":[{"dropping-particle":"","family":"France","given":"Guilherme","non-dropping-particle":"","parse-names":false,"suffix":""}],"id":"ITEM-1","issued":{"date-parts":[["2019"]]},"publisher":"Transparência Internacional","publisher-place":"São Paulo","title":"Brazil : Overview of corruption and anti-corruption","type":"article"},"uris":["http://www.mendeley.com/documents/?uuid=f80cd8c9-79dd-4d79-a9ed-ecd49e554e67"]}],"mendeley":{"formattedCitation":"(France, 2019)","plainTextFormattedCitation":"(France, 2019)","previouslyFormattedCitation":"(France, 2019)"},"properties":{"noteIndex":0},"schema":"https://github.com/citation-style-language/schema/raw/master/csl-citation.json"}</w:instrText>
      </w:r>
      <w:r w:rsidR="00A21CBD">
        <w:rPr>
          <w:rFonts w:ascii="Times New Roman" w:hAnsi="Times New Roman" w:cs="Times New Roman"/>
          <w:sz w:val="24"/>
          <w:szCs w:val="24"/>
          <w:lang w:val="en-US"/>
        </w:rPr>
        <w:fldChar w:fldCharType="separate"/>
      </w:r>
      <w:r w:rsidR="00A21CBD" w:rsidRPr="00A21CBD">
        <w:rPr>
          <w:rFonts w:ascii="Times New Roman" w:hAnsi="Times New Roman" w:cs="Times New Roman"/>
          <w:noProof/>
          <w:sz w:val="24"/>
          <w:szCs w:val="24"/>
          <w:lang w:val="en-US"/>
        </w:rPr>
        <w:t>(France, 2019)</w:t>
      </w:r>
      <w:r w:rsidR="00A21CBD">
        <w:rPr>
          <w:rFonts w:ascii="Times New Roman" w:hAnsi="Times New Roman" w:cs="Times New Roman"/>
          <w:sz w:val="24"/>
          <w:szCs w:val="24"/>
          <w:lang w:val="en-US"/>
        </w:rPr>
        <w:fldChar w:fldCharType="end"/>
      </w:r>
      <w:r w:rsidRPr="00380B5D">
        <w:rPr>
          <w:rFonts w:ascii="Times New Roman" w:hAnsi="Times New Roman" w:cs="Times New Roman"/>
          <w:sz w:val="24"/>
          <w:szCs w:val="24"/>
          <w:lang w:val="en-US"/>
        </w:rPr>
        <w:t xml:space="preserve">. In this sense mechanisms of Social Control, that is, </w:t>
      </w:r>
      <w:r w:rsidR="00404D68">
        <w:rPr>
          <w:rFonts w:ascii="Times New Roman" w:hAnsi="Times New Roman" w:cs="Times New Roman"/>
          <w:sz w:val="24"/>
          <w:szCs w:val="24"/>
          <w:lang w:val="en-US"/>
        </w:rPr>
        <w:t>monitoring</w:t>
      </w:r>
      <w:r w:rsidRPr="00380B5D">
        <w:rPr>
          <w:rFonts w:ascii="Times New Roman" w:hAnsi="Times New Roman" w:cs="Times New Roman"/>
          <w:sz w:val="24"/>
          <w:szCs w:val="24"/>
          <w:lang w:val="en-US"/>
        </w:rPr>
        <w:t xml:space="preserve"> of the public activity by the civil society began to be demanded to press for the correct fulfillment of public programs, policies, and budgets </w:t>
      </w:r>
      <w:r w:rsidR="00A21CBD">
        <w:rPr>
          <w:rFonts w:ascii="Times New Roman" w:hAnsi="Times New Roman" w:cs="Times New Roman"/>
          <w:sz w:val="24"/>
          <w:szCs w:val="24"/>
          <w:lang w:val="en-US"/>
        </w:rPr>
        <w:fldChar w:fldCharType="begin" w:fldLock="1"/>
      </w:r>
      <w:r w:rsidR="00A21CBD">
        <w:rPr>
          <w:rFonts w:ascii="Times New Roman" w:hAnsi="Times New Roman" w:cs="Times New Roman"/>
          <w:sz w:val="24"/>
          <w:szCs w:val="24"/>
          <w:lang w:val="en-US"/>
        </w:rPr>
        <w:instrText>ADDIN CSL_CITATION {"citationItems":[{"id":"ITEM-1","itemData":{"ISBN":"9788502073067","author":[{"dropping-particle":"","family":"Siraque","given":"Vanderlei","non-dropping-particle":"","parse-names":false,"suffix":""}],"id":"ITEM-1","issued":{"date-parts":[["2009"]]},"publisher":"Saraiva","publisher-place":"São Paulo","title":"Controle Social da Função Administrativa do Estado: Possibilidades e Limites na Constituição de 1988.","type":"book"},"uris":["http://www.mendeley.com/documents/?uuid=f59ccb4f-be75-4835-9168-dc67743c3e83"]}],"mendeley":{"formattedCitation":"(Siraque, 2009)","plainTextFormattedCitation":"(Siraque, 2009)","previouslyFormattedCitation":"(Siraque, 2009)"},"properties":{"noteIndex":0},"schema":"https://github.com/citation-style-language/schema/raw/master/csl-citation.json"}</w:instrText>
      </w:r>
      <w:r w:rsidR="00A21CBD">
        <w:rPr>
          <w:rFonts w:ascii="Times New Roman" w:hAnsi="Times New Roman" w:cs="Times New Roman"/>
          <w:sz w:val="24"/>
          <w:szCs w:val="24"/>
          <w:lang w:val="en-US"/>
        </w:rPr>
        <w:fldChar w:fldCharType="separate"/>
      </w:r>
      <w:r w:rsidR="00A21CBD" w:rsidRPr="00A21CBD">
        <w:rPr>
          <w:rFonts w:ascii="Times New Roman" w:hAnsi="Times New Roman" w:cs="Times New Roman"/>
          <w:noProof/>
          <w:sz w:val="24"/>
          <w:szCs w:val="24"/>
          <w:lang w:val="en-US"/>
        </w:rPr>
        <w:t>(Siraque, 2009)</w:t>
      </w:r>
      <w:r w:rsidR="00A21CBD">
        <w:rPr>
          <w:rFonts w:ascii="Times New Roman" w:hAnsi="Times New Roman" w:cs="Times New Roman"/>
          <w:sz w:val="24"/>
          <w:szCs w:val="24"/>
          <w:lang w:val="en-US"/>
        </w:rPr>
        <w:fldChar w:fldCharType="end"/>
      </w:r>
      <w:r w:rsidR="00A21CBD">
        <w:rPr>
          <w:rFonts w:ascii="Times New Roman" w:hAnsi="Times New Roman" w:cs="Times New Roman"/>
          <w:sz w:val="24"/>
          <w:szCs w:val="24"/>
          <w:lang w:val="en-US"/>
        </w:rPr>
        <w:t>.</w:t>
      </w:r>
      <w:r w:rsidRPr="00380B5D">
        <w:rPr>
          <w:rFonts w:ascii="Times New Roman" w:hAnsi="Times New Roman" w:cs="Times New Roman"/>
          <w:sz w:val="24"/>
          <w:szCs w:val="24"/>
          <w:lang w:val="en-US"/>
        </w:rPr>
        <w:t xml:space="preserve"> In this context, a non-profit institution called Social Observatory of Maringá arises in 2004, in the southern region of Brazil, to bring together local citizens for monitoring the public spending </w:t>
      </w:r>
      <w:r w:rsidR="00A21CBD">
        <w:rPr>
          <w:rFonts w:ascii="Times New Roman" w:hAnsi="Times New Roman" w:cs="Times New Roman"/>
          <w:sz w:val="24"/>
          <w:szCs w:val="24"/>
          <w:lang w:val="en-US"/>
        </w:rPr>
        <w:fldChar w:fldCharType="begin" w:fldLock="1"/>
      </w:r>
      <w:r w:rsidR="00F629A3">
        <w:rPr>
          <w:rFonts w:ascii="Times New Roman" w:hAnsi="Times New Roman" w:cs="Times New Roman"/>
          <w:sz w:val="24"/>
          <w:szCs w:val="24"/>
          <w:lang w:val="en-US"/>
        </w:rPr>
        <w:instrText>ADDIN CSL_CITATION {"citationItems":[{"id":"ITEM-1","itemData":{"author":[{"dropping-particle":"","family":"Chies Schommer","given":"Paula","non-dropping-particle":"","parse-names":false,"suffix":""},{"dropping-particle":"","family":"Lima Moraes","given":"Rubens","non-dropping-particle":"","parse-names":false,"suffix":""}],"container-title":"Gestão.Org Revista Eletrônica de Gestão Organizacional","id":"ITEM-1","issue":"3","issued":{"date-parts":[["2010"]]},"page":"298-326","title":"Observatórios Sociais como Promotores de Controle Social e Accountability: Reflexões a Partir da Experiência do Observatório Social de Itajaí","type":"article-journal","volume":"8"},"uris":["http://www.mendeley.com/documents/?uuid=658de6dd-0bc3-4ee5-97b7-f7cf7bbf77be"]}],"mendeley":{"formattedCitation":"(Chies Schommer &amp; Lima Moraes, 2010)","plainTextFormattedCitation":"(Chies Schommer &amp; Lima Moraes, 2010)","previouslyFormattedCitation":"(Chies Schommer &amp; Lima Moraes, 2010)"},"properties":{"noteIndex":0},"schema":"https://github.com/citation-style-language/schema/raw/master/csl-citation.json"}</w:instrText>
      </w:r>
      <w:r w:rsidR="00A21CBD">
        <w:rPr>
          <w:rFonts w:ascii="Times New Roman" w:hAnsi="Times New Roman" w:cs="Times New Roman"/>
          <w:sz w:val="24"/>
          <w:szCs w:val="24"/>
          <w:lang w:val="en-US"/>
        </w:rPr>
        <w:fldChar w:fldCharType="separate"/>
      </w:r>
      <w:r w:rsidR="00A21CBD" w:rsidRPr="00A21CBD">
        <w:rPr>
          <w:rFonts w:ascii="Times New Roman" w:hAnsi="Times New Roman" w:cs="Times New Roman"/>
          <w:noProof/>
          <w:sz w:val="24"/>
          <w:szCs w:val="24"/>
          <w:lang w:val="en-US"/>
        </w:rPr>
        <w:t>(Chies Schommer &amp; Lima Moraes, 2010)</w:t>
      </w:r>
      <w:r w:rsidR="00A21CBD">
        <w:rPr>
          <w:rFonts w:ascii="Times New Roman" w:hAnsi="Times New Roman" w:cs="Times New Roman"/>
          <w:sz w:val="24"/>
          <w:szCs w:val="24"/>
          <w:lang w:val="en-US"/>
        </w:rPr>
        <w:fldChar w:fldCharType="end"/>
      </w:r>
      <w:r w:rsidRPr="00380B5D">
        <w:rPr>
          <w:rFonts w:ascii="Times New Roman" w:hAnsi="Times New Roman" w:cs="Times New Roman"/>
          <w:sz w:val="24"/>
          <w:szCs w:val="24"/>
          <w:lang w:val="en-US"/>
        </w:rPr>
        <w:t xml:space="preserve">. The example of Maringá contributed to the emergence of Social Observatories in other cities and to the creation of a national entity, called Observatório Social do Brasil (OSB), which since 2006 guides and controls a network that today has 136 units spread across 17 states of the Brazilian Federation </w:t>
      </w:r>
      <w:r w:rsidR="00F629A3">
        <w:rPr>
          <w:rFonts w:ascii="Times New Roman" w:hAnsi="Times New Roman" w:cs="Times New Roman"/>
          <w:sz w:val="24"/>
          <w:szCs w:val="24"/>
          <w:lang w:val="en-US"/>
        </w:rPr>
        <w:fldChar w:fldCharType="begin" w:fldLock="1"/>
      </w:r>
      <w:r w:rsidR="00F629A3">
        <w:rPr>
          <w:rFonts w:ascii="Times New Roman" w:hAnsi="Times New Roman" w:cs="Times New Roman"/>
          <w:sz w:val="24"/>
          <w:szCs w:val="24"/>
          <w:lang w:val="en-US"/>
        </w:rPr>
        <w:instrText>ADDIN CSL_CITATION {"citationItems":[{"id":"ITEM-1","itemData":{"DOI":"10.20435/inter.v20i3.1810","ISSN":"1072-5520","abstract":"The article analyses the Social Observatory (SO) as a new arena for civil society, market and government dialogues and incidence on public policy. Specifically, the article examines the extent to which SO is an arena for a constructive dialogue to implement and to manage public policy for urban mobility at municipal level. It deals with the case of SO of Belém municipality, Pará State. Belém is the largest municipality in the Brazilian Amazon region in terms of population and socioeconomic structure for development. The paper shows that OS may constitute a significant participative arena which brings civil society and local government to take collective decision based on dialogue and transparency of information.­­­­ However, since it is a new organizational pattern, the OS still have many difficulties and challenges, whether of internal character, whether in its relation to other actors in the municipal public, private power and civil society.","author":[{"dropping-particle":"","family":"Barros","given":"Jones Nogueira","non-dropping-particle":"","parse-names":false,"suffix":""},{"dropping-particle":"","family":"Sobrinho","given":"Mario Vasconcellos","non-dropping-particle":"","parse-names":false,"suffix":""},{"dropping-particle":"","family":"Vasconcellos","given":"Ana Maria de Albuquerque","non-dropping-particle":"","parse-names":false,"suffix":""},{"dropping-particle":"","family":"Cançado","given":"Airton Cardoso","non-dropping-particle":"","parse-names":false,"suffix":""}],"container-title":"Interações (Campo Grande)","id":"ITEM-1","issue":"3","issued":{"date-parts":[["2019"]]},"page":"725-736","title":"Social Observatory as a new space for civil society and government relationships in Belém, Pará State, brazilian Amazon","type":"article-journal","volume":"20"},"uris":["http://www.mendeley.com/documents/?uuid=536b0e65-aa89-4b67-88bd-3a8046f5936d"]},{"id":"ITEM-2","itemData":{"URL":"https://www.youtube.com/watch?v=8qt0FyKTpaA&amp;t=29s","accessed":{"date-parts":[["2020","10","11"]]},"author":[{"dropping-particle":"","family":"Ribas","given":"Ney da Nobrega","non-dropping-particle":"","parse-names":false,"suffix":""},{"dropping-particle":"","family":"Enara","given":"Roni","non-dropping-particle":"","parse-names":false,"suffix":""}],"id":"ITEM-2","issued":{"date-parts":[["2018"]]},"title":"O que é um Observatório Social","type":"webpage"},"uris":["http://www.mendeley.com/documents/?uuid=6010e989-c500-402c-b15d-1c57f73253f7"]}],"mendeley":{"formattedCitation":"(Barros et al., 2019; Ribas &amp; Enara, 2018)","plainTextFormattedCitation":"(Barros et al., 2019; Ribas &amp; Enara, 2018)","previouslyFormattedCitation":"(Barros et al., 2019; Ribas &amp; Enara, 2018)"},"properties":{"noteIndex":0},"schema":"https://github.com/citation-style-language/schema/raw/master/csl-citation.json"}</w:instrText>
      </w:r>
      <w:r w:rsidR="00F629A3">
        <w:rPr>
          <w:rFonts w:ascii="Times New Roman" w:hAnsi="Times New Roman" w:cs="Times New Roman"/>
          <w:sz w:val="24"/>
          <w:szCs w:val="24"/>
          <w:lang w:val="en-US"/>
        </w:rPr>
        <w:fldChar w:fldCharType="separate"/>
      </w:r>
      <w:r w:rsidR="00F629A3" w:rsidRPr="00D12ED1">
        <w:rPr>
          <w:rFonts w:ascii="Times New Roman" w:hAnsi="Times New Roman" w:cs="Times New Roman"/>
          <w:noProof/>
          <w:sz w:val="24"/>
          <w:szCs w:val="24"/>
          <w:lang w:val="en-US"/>
        </w:rPr>
        <w:t>(Barros et al., 2019; Ribas &amp; Enara, 2018)</w:t>
      </w:r>
      <w:r w:rsidR="00F629A3">
        <w:rPr>
          <w:rFonts w:ascii="Times New Roman" w:hAnsi="Times New Roman" w:cs="Times New Roman"/>
          <w:sz w:val="24"/>
          <w:szCs w:val="24"/>
          <w:lang w:val="en-US"/>
        </w:rPr>
        <w:fldChar w:fldCharType="end"/>
      </w:r>
      <w:r w:rsidRPr="00D12ED1">
        <w:rPr>
          <w:rFonts w:ascii="Times New Roman" w:hAnsi="Times New Roman" w:cs="Times New Roman"/>
          <w:sz w:val="24"/>
          <w:szCs w:val="24"/>
          <w:lang w:val="en-US"/>
        </w:rPr>
        <w:t xml:space="preserve">. </w:t>
      </w:r>
      <w:r w:rsidRPr="00380B5D">
        <w:rPr>
          <w:rFonts w:ascii="Times New Roman" w:hAnsi="Times New Roman" w:cs="Times New Roman"/>
          <w:sz w:val="24"/>
          <w:szCs w:val="24"/>
          <w:lang w:val="en-US"/>
        </w:rPr>
        <w:t>In addition to the OSB network, Brazil also has 27 other independent observatories, as we found in our research.</w:t>
      </w:r>
    </w:p>
    <w:p w14:paraId="5E9255A5" w14:textId="2FD8EC1B" w:rsidR="00454AC4" w:rsidRDefault="00454AC4" w:rsidP="0088076F">
      <w:pPr>
        <w:spacing w:line="360" w:lineRule="auto"/>
        <w:ind w:firstLine="567"/>
        <w:jc w:val="both"/>
        <w:rPr>
          <w:rFonts w:ascii="Times New Roman" w:hAnsi="Times New Roman" w:cs="Times New Roman"/>
          <w:sz w:val="24"/>
          <w:szCs w:val="24"/>
          <w:lang w:val="en-US"/>
        </w:rPr>
      </w:pPr>
      <w:r w:rsidRPr="00454AC4">
        <w:rPr>
          <w:rFonts w:ascii="Times New Roman" w:hAnsi="Times New Roman" w:cs="Times New Roman"/>
          <w:sz w:val="24"/>
          <w:szCs w:val="24"/>
          <w:lang w:val="en-US"/>
        </w:rPr>
        <w:t>Although the Social Control has been analyzed under a qualitative approach, the econometric inference of the causal effect of the Observatories on municipal public sector spending is still incipient. Our searches identify</w:t>
      </w:r>
      <w:r w:rsidR="00F629A3">
        <w:rPr>
          <w:rFonts w:ascii="Times New Roman" w:hAnsi="Times New Roman" w:cs="Times New Roman"/>
          <w:sz w:val="24"/>
          <w:szCs w:val="24"/>
          <w:lang w:val="en-US"/>
        </w:rPr>
        <w:t xml:space="preserve"> </w:t>
      </w:r>
      <w:r w:rsidR="00F629A3">
        <w:rPr>
          <w:rFonts w:ascii="Times New Roman" w:hAnsi="Times New Roman" w:cs="Times New Roman"/>
          <w:sz w:val="24"/>
          <w:szCs w:val="24"/>
          <w:lang w:val="en-US"/>
        </w:rPr>
        <w:fldChar w:fldCharType="begin" w:fldLock="1"/>
      </w:r>
      <w:r w:rsidR="00FF7E79">
        <w:rPr>
          <w:rFonts w:ascii="Times New Roman" w:hAnsi="Times New Roman" w:cs="Times New Roman"/>
          <w:sz w:val="24"/>
          <w:szCs w:val="24"/>
          <w:lang w:val="en-US"/>
        </w:rPr>
        <w:instrText>ADDIN CSL_CITATION {"citationItems":[{"id":"ITEM-1","itemData":{"DOI":"10.11606/1980-5330/ea162776","ISSN":"19805330","abstract":"This paper aims to evaluate the effectiveness of the private initiative in controlling public administration. We estimated the impact of the introduction of Observatórios Sociais (OS) on various categories of municipal public spending in the state of Paraná. Using information from 2002-2017, we implemented a strategy of differences-in-differences based on the gradual introduction of OS in a set of municipalities in the state of Paraná. The results showed savings in expenses with consumables and services contracted from legal entities of up to 0.5% of municipal GDP, which tend to be greater with time of operation. We conclude that social control initiatives independent of public authorities can be effective in controlling public administration.","author":[{"dropping-particle":"","family":"Seixas","given":"Renato Nunes de Lima","non-dropping-particle":"","parse-names":false,"suffix":""},{"dropping-particle":"","family":"Banhos","given":"Marlon da Silva","non-dropping-particle":"","parse-names":false,"suffix":""}],"container-title":"Economia Aplicada","id":"ITEM-1","issue":"1","issued":{"date-parts":[["2021"]]},"page":"93-114","title":"Controle Social da Administração Pública por Agentes Privados: Avaliando o Impacto dos Observatórios Sociais nas Despesas dos Municípios do Paraná","type":"article-journal","volume":"25"},"uris":["http://www.mendeley.com/documents/?uuid=d92d7fb3-9be8-4bed-940b-2831d4c86c9b"]}],"mendeley":{"formattedCitation":"(Seixas &amp; Banhos, 2021)","manualFormatting":" Seixas and Banhos (2021)","plainTextFormattedCitation":"(Seixas &amp; Banhos, 2021)","previouslyFormattedCitation":"(Seixas &amp; Banhos, 2021)"},"properties":{"noteIndex":0},"schema":"https://github.com/citation-style-language/schema/raw/master/csl-citation.json"}</w:instrText>
      </w:r>
      <w:r w:rsidR="00F629A3">
        <w:rPr>
          <w:rFonts w:ascii="Times New Roman" w:hAnsi="Times New Roman" w:cs="Times New Roman"/>
          <w:sz w:val="24"/>
          <w:szCs w:val="24"/>
          <w:lang w:val="en-US"/>
        </w:rPr>
        <w:fldChar w:fldCharType="separate"/>
      </w:r>
      <w:r w:rsidR="00F629A3" w:rsidRPr="00F629A3">
        <w:rPr>
          <w:rFonts w:ascii="Times New Roman" w:hAnsi="Times New Roman" w:cs="Times New Roman"/>
          <w:noProof/>
          <w:sz w:val="24"/>
          <w:szCs w:val="24"/>
          <w:lang w:val="en-US"/>
        </w:rPr>
        <w:t xml:space="preserve"> </w:t>
      </w:r>
      <w:r w:rsidR="00F629A3">
        <w:rPr>
          <w:rFonts w:ascii="Times New Roman" w:hAnsi="Times New Roman" w:cs="Times New Roman"/>
          <w:noProof/>
          <w:sz w:val="24"/>
          <w:szCs w:val="24"/>
          <w:lang w:val="en-US"/>
        </w:rPr>
        <w:t xml:space="preserve">Seixas </w:t>
      </w:r>
      <w:r w:rsidR="00FF7E79">
        <w:rPr>
          <w:rFonts w:ascii="Times New Roman" w:hAnsi="Times New Roman" w:cs="Times New Roman"/>
          <w:noProof/>
          <w:sz w:val="24"/>
          <w:szCs w:val="24"/>
          <w:lang w:val="en-US"/>
        </w:rPr>
        <w:t>and</w:t>
      </w:r>
      <w:r w:rsidR="00F629A3">
        <w:rPr>
          <w:rFonts w:ascii="Times New Roman" w:hAnsi="Times New Roman" w:cs="Times New Roman"/>
          <w:noProof/>
          <w:sz w:val="24"/>
          <w:szCs w:val="24"/>
          <w:lang w:val="en-US"/>
        </w:rPr>
        <w:t xml:space="preserve"> Banhos (</w:t>
      </w:r>
      <w:r w:rsidR="00F629A3" w:rsidRPr="00F629A3">
        <w:rPr>
          <w:rFonts w:ascii="Times New Roman" w:hAnsi="Times New Roman" w:cs="Times New Roman"/>
          <w:noProof/>
          <w:sz w:val="24"/>
          <w:szCs w:val="24"/>
          <w:lang w:val="en-US"/>
        </w:rPr>
        <w:t>2021)</w:t>
      </w:r>
      <w:r w:rsidR="00F629A3">
        <w:rPr>
          <w:rFonts w:ascii="Times New Roman" w:hAnsi="Times New Roman" w:cs="Times New Roman"/>
          <w:sz w:val="24"/>
          <w:szCs w:val="24"/>
          <w:lang w:val="en-US"/>
        </w:rPr>
        <w:fldChar w:fldCharType="end"/>
      </w:r>
      <w:r w:rsidRPr="00454AC4">
        <w:rPr>
          <w:rFonts w:ascii="Times New Roman" w:hAnsi="Times New Roman" w:cs="Times New Roman"/>
          <w:sz w:val="24"/>
          <w:szCs w:val="24"/>
          <w:lang w:val="en-US"/>
        </w:rPr>
        <w:t xml:space="preserve"> as the only research of this nature ever published in Brazil. In this work, the authors study the impact of the Observatories of the OSB network on different categories of expenditures in the municipalities of the state of Paraná, seeking evidence that their monitoring induces reductions in municipal public spending, both by imposing greater efficiency on the bidding processes and by curbing corruption. The study finds evidence of the effectiveness of the Observatories, but as the research is limited to municipalities in the State of Paraná, its findings lack external validity, not being generalizable to other instances of the Brazilian public administration, such as municipalities in other States and Union. In addition, the fact that the research only analyzed the effect of the OSB network's monitoring (when there are independent observatories in action) reduces the scope of results.</w:t>
      </w:r>
    </w:p>
    <w:p w14:paraId="58BFE980" w14:textId="562EB9E8" w:rsidR="00587714" w:rsidRDefault="00587714" w:rsidP="0088076F">
      <w:pPr>
        <w:spacing w:line="360" w:lineRule="auto"/>
        <w:ind w:firstLine="567"/>
        <w:jc w:val="both"/>
        <w:rPr>
          <w:rFonts w:ascii="Times New Roman" w:hAnsi="Times New Roman" w:cs="Times New Roman"/>
          <w:sz w:val="24"/>
          <w:szCs w:val="24"/>
          <w:lang w:val="en-US"/>
        </w:rPr>
      </w:pPr>
      <w:r w:rsidRPr="00587714">
        <w:rPr>
          <w:rFonts w:ascii="Times New Roman" w:hAnsi="Times New Roman" w:cs="Times New Roman"/>
          <w:sz w:val="24"/>
          <w:szCs w:val="24"/>
          <w:lang w:val="en-US"/>
        </w:rPr>
        <w:t xml:space="preserve">Thus there are scientific gaps in what concerns to i) the effectiveness of the observatories’ social control in the Brazilian Municipalities, ii) the heterogeneity of the Social Observatories' </w:t>
      </w:r>
      <w:r w:rsidRPr="00587714">
        <w:rPr>
          <w:rFonts w:ascii="Times New Roman" w:hAnsi="Times New Roman" w:cs="Times New Roman"/>
          <w:sz w:val="24"/>
          <w:szCs w:val="24"/>
          <w:lang w:val="en-US"/>
        </w:rPr>
        <w:lastRenderedPageBreak/>
        <w:t xml:space="preserve">effectiveness in different States and Municipalities of different sizes and, iii) the effectiveness differential between the OSB network Observatories and the independent ones. This article seeks to expand the work of Seixas </w:t>
      </w:r>
      <w:r w:rsidR="00FF7E79">
        <w:rPr>
          <w:rFonts w:ascii="Times New Roman" w:hAnsi="Times New Roman" w:cs="Times New Roman"/>
          <w:sz w:val="24"/>
          <w:szCs w:val="24"/>
          <w:lang w:val="en-US"/>
        </w:rPr>
        <w:t>and</w:t>
      </w:r>
      <w:r w:rsidRPr="00587714">
        <w:rPr>
          <w:rFonts w:ascii="Times New Roman" w:hAnsi="Times New Roman" w:cs="Times New Roman"/>
          <w:sz w:val="24"/>
          <w:szCs w:val="24"/>
          <w:lang w:val="en-US"/>
        </w:rPr>
        <w:t xml:space="preserve"> Banhos (2021) by verifying, for the National and State levels, the effects of Social Control on the municipal outlays when the observatories sample contains both units of the OSB network nor independent observatories. The primary aim of the research is to test the hypothesis that in the Brazilian context, Social Observatories' monitoring over the local Public Administration is effective in reducing municipal public spending, either by improving bidding processes or by mitigating local corruption. This hypothesis follows </w:t>
      </w:r>
      <w:r w:rsidR="00F629A3">
        <w:rPr>
          <w:rFonts w:ascii="Times New Roman" w:hAnsi="Times New Roman" w:cs="Times New Roman"/>
          <w:sz w:val="24"/>
          <w:szCs w:val="24"/>
          <w:lang w:val="en-US"/>
        </w:rPr>
        <w:fldChar w:fldCharType="begin" w:fldLock="1"/>
      </w:r>
      <w:r w:rsidR="00FD776B">
        <w:rPr>
          <w:rFonts w:ascii="Times New Roman" w:hAnsi="Times New Roman" w:cs="Times New Roman"/>
          <w:sz w:val="24"/>
          <w:szCs w:val="24"/>
          <w:lang w:val="en-US"/>
        </w:rPr>
        <w:instrText>ADDIN CSL_CITATION {"citationItems":[{"id":"ITEM-1","itemData":{"DOI":"10.1590/0034-7612140185","ISSN":"19823134","abstract":"This paper investigates the relationship between corruption and the composition of governmental expenditure in Brazilian municipalities. Previous studies using data for countries show that corruption distorts the allocation of public resources, which increases expenditure on national defense and decreases expenditure on health and education. Using a measure of corruption derived from Controladoria- Geral da União’s reports, results of OLS estimates indicate that a different phenomenon occurs in Brazilian municipalities. A positive and significant relationship between corruption and expenditure on education and health is found. This phenomenon is primarily a consequence of the discretionary power of municipal expenditure and federal laws, which require minimum expenditures on education and health as a percentage of revenue for municipalities.","author":[{"dropping-particle":"","family":"Caldas","given":"Olavo Venturim","non-dropping-particle":"","parse-names":false,"suffix":""},{"dropping-particle":"","family":"Costa","given":"Cristiano Machado","non-dropping-particle":"","parse-names":false,"suffix":""},{"dropping-particle":"","family":"Pagliarussi","given":"Marcelo Sanches","non-dropping-particle":"","parse-names":false,"suffix":""}],"container-title":"Revista de Administracao Publica","id":"ITEM-1","issue":"2","issued":{"date-parts":[["2016"]]},"page":"237-264","title":"Corrupção e composição dos gastos governamentais: Evidências a partir do Programa de Fiscalização por Sorteios Públicos da Controladoria-Geral da União","type":"article-journal","volume":"50"},"uris":["http://www.mendeley.com/documents/?uuid=6364e937-d3c4-4883-bcaa-e813b591ad3c"]}],"mendeley":{"formattedCitation":"(Caldas et al., 2016)","manualFormatting":"Caldas, Costa &amp; Pagliarussi's  (2016)","plainTextFormattedCitation":"(Caldas et al., 2016)","previouslyFormattedCitation":"(Caldas et al., 2016)"},"properties":{"noteIndex":0},"schema":"https://github.com/citation-style-language/schema/raw/master/csl-citation.json"}</w:instrText>
      </w:r>
      <w:r w:rsidR="00F629A3">
        <w:rPr>
          <w:rFonts w:ascii="Times New Roman" w:hAnsi="Times New Roman" w:cs="Times New Roman"/>
          <w:sz w:val="24"/>
          <w:szCs w:val="24"/>
          <w:lang w:val="en-US"/>
        </w:rPr>
        <w:fldChar w:fldCharType="separate"/>
      </w:r>
      <w:r w:rsidR="00F629A3" w:rsidRPr="00F629A3">
        <w:rPr>
          <w:rFonts w:ascii="Times New Roman" w:hAnsi="Times New Roman" w:cs="Times New Roman"/>
          <w:noProof/>
          <w:sz w:val="24"/>
          <w:szCs w:val="24"/>
          <w:lang w:val="en-US"/>
        </w:rPr>
        <w:t>Caldas</w:t>
      </w:r>
      <w:r w:rsidR="00F629A3">
        <w:rPr>
          <w:rFonts w:ascii="Times New Roman" w:hAnsi="Times New Roman" w:cs="Times New Roman"/>
          <w:noProof/>
          <w:sz w:val="24"/>
          <w:szCs w:val="24"/>
          <w:lang w:val="en-US"/>
        </w:rPr>
        <w:t>, Costa &amp; Pagliarussi</w:t>
      </w:r>
      <w:r w:rsidR="00FD776B">
        <w:rPr>
          <w:rFonts w:ascii="Times New Roman" w:hAnsi="Times New Roman" w:cs="Times New Roman"/>
          <w:noProof/>
          <w:sz w:val="24"/>
          <w:szCs w:val="24"/>
          <w:lang w:val="en-US"/>
        </w:rPr>
        <w:t xml:space="preserve">'s </w:t>
      </w:r>
      <w:r w:rsidR="00F629A3" w:rsidRPr="00F629A3">
        <w:rPr>
          <w:rFonts w:ascii="Times New Roman" w:hAnsi="Times New Roman" w:cs="Times New Roman"/>
          <w:noProof/>
          <w:sz w:val="24"/>
          <w:szCs w:val="24"/>
          <w:lang w:val="en-US"/>
        </w:rPr>
        <w:t xml:space="preserve"> </w:t>
      </w:r>
      <w:r w:rsidR="00FD776B">
        <w:rPr>
          <w:rFonts w:ascii="Times New Roman" w:hAnsi="Times New Roman" w:cs="Times New Roman"/>
          <w:noProof/>
          <w:sz w:val="24"/>
          <w:szCs w:val="24"/>
          <w:lang w:val="en-US"/>
        </w:rPr>
        <w:t>(</w:t>
      </w:r>
      <w:r w:rsidR="00F629A3" w:rsidRPr="00F629A3">
        <w:rPr>
          <w:rFonts w:ascii="Times New Roman" w:hAnsi="Times New Roman" w:cs="Times New Roman"/>
          <w:noProof/>
          <w:sz w:val="24"/>
          <w:szCs w:val="24"/>
          <w:lang w:val="en-US"/>
        </w:rPr>
        <w:t>2016)</w:t>
      </w:r>
      <w:r w:rsidR="00F629A3">
        <w:rPr>
          <w:rFonts w:ascii="Times New Roman" w:hAnsi="Times New Roman" w:cs="Times New Roman"/>
          <w:sz w:val="24"/>
          <w:szCs w:val="24"/>
          <w:lang w:val="en-US"/>
        </w:rPr>
        <w:fldChar w:fldCharType="end"/>
      </w:r>
      <w:r w:rsidR="00F629A3">
        <w:rPr>
          <w:rFonts w:ascii="Times New Roman" w:hAnsi="Times New Roman" w:cs="Times New Roman"/>
          <w:sz w:val="24"/>
          <w:szCs w:val="24"/>
          <w:lang w:val="en-US"/>
        </w:rPr>
        <w:t xml:space="preserve"> </w:t>
      </w:r>
      <w:r w:rsidRPr="00587714">
        <w:rPr>
          <w:rFonts w:ascii="Times New Roman" w:hAnsi="Times New Roman" w:cs="Times New Roman"/>
          <w:sz w:val="24"/>
          <w:szCs w:val="24"/>
          <w:lang w:val="en-US"/>
        </w:rPr>
        <w:t>findings, which point to a positive association between municipal public spending and the level of corruption in Brazilian municipalities, especially in health and education systems.</w:t>
      </w:r>
    </w:p>
    <w:p w14:paraId="1ABB2CF3" w14:textId="48FF06A9" w:rsidR="008F613A" w:rsidRPr="008F613A" w:rsidRDefault="008F613A" w:rsidP="0088076F">
      <w:pPr>
        <w:spacing w:line="360" w:lineRule="auto"/>
        <w:ind w:firstLine="567"/>
        <w:jc w:val="both"/>
        <w:rPr>
          <w:rFonts w:ascii="Times New Roman" w:hAnsi="Times New Roman" w:cs="Times New Roman"/>
          <w:sz w:val="24"/>
          <w:szCs w:val="24"/>
          <w:lang w:val="en-US"/>
        </w:rPr>
      </w:pPr>
      <w:r w:rsidRPr="008F613A">
        <w:rPr>
          <w:rFonts w:ascii="Times New Roman" w:hAnsi="Times New Roman" w:cs="Times New Roman"/>
          <w:sz w:val="24"/>
          <w:szCs w:val="24"/>
          <w:lang w:val="en-US"/>
        </w:rPr>
        <w:t>Also, we tested another three hypotheses. The first is that in small municipalities with less than 50,000 inhabitants, Social Observatories are especially effective in the social control of public spending. As we explain in section two, institutional difficulties resulting from the federative covenant of the Brazilian 1988 constitution, hinder the effective inspection of both the expenditure of municipal tax resources and the resources transferred from States and the Union to municipalities. In this context of the ineffectiveness of formal monitoring institutions, social control presents itself as an instrument to ensure the propriety and righteousness of the economic management in the local public sector, being reasonable to assume that Social Control experiences might present better results in the small municipalities of the countryside, where the formal instruments of control of the public outlay are more precarious. Yet, the smaller size can ease the co-option of members of the Social Observatories team by local economic and political elites, compromising inspection work</w:t>
      </w:r>
      <w:r w:rsidR="00FD776B">
        <w:rPr>
          <w:rFonts w:ascii="Times New Roman" w:hAnsi="Times New Roman" w:cs="Times New Roman"/>
          <w:sz w:val="24"/>
          <w:szCs w:val="24"/>
          <w:lang w:val="en-US"/>
        </w:rPr>
        <w:t xml:space="preserve"> </w:t>
      </w:r>
      <w:r w:rsidR="00FD776B">
        <w:rPr>
          <w:rFonts w:ascii="Times New Roman" w:hAnsi="Times New Roman" w:cs="Times New Roman"/>
          <w:sz w:val="24"/>
          <w:szCs w:val="24"/>
          <w:lang w:val="en-US"/>
        </w:rPr>
        <w:fldChar w:fldCharType="begin" w:fldLock="1"/>
      </w:r>
      <w:r w:rsidR="00FD776B">
        <w:rPr>
          <w:rFonts w:ascii="Times New Roman" w:hAnsi="Times New Roman" w:cs="Times New Roman"/>
          <w:sz w:val="24"/>
          <w:szCs w:val="24"/>
          <w:lang w:val="en-US"/>
        </w:rPr>
        <w:instrText>ADDIN CSL_CITATION {"citationItems":[{"id":"ITEM-1","itemData":{"DOI":"10.1093/wbro/10.2.201","ISSN":"02573032","abstract":"Demand for decentralization is strong throughout the world. But the benefits of decentralization are not as obvious as the standard theory of fiscal federalism suggests, and there are serious drawbacks that should be considered in designing any decentralization program. An analysis of these dangers makes it easier to understand some of the real choices. These choices are not so much whether to decentralize in general, but rather what functions to decentralize, in which sectors, and in which regions. In many cases the problem is not so much whether a certain service should be provided by a central, regional, or local government, but rather how to organize the joint production of the service by the various levels.In many-if not most-cases, such measures have an enormous potential and could, if properly designed and implemented, significantly improve the efficiency of the public sector. Decentralization measures are like some potent drugs, however: when prescribed for the relevant illness, at the appropriate moment and in the correct dose, they can have the desired salutary effect; but in the wrong circumstances, they can harm rather than heal. This article looks at some of the negative effects of decentralization in the hope that a better understanding of its dangers will contribute to a wiser application of potentially desirable decentralization programs. © 1995 The International Bank for Reconstruction and Development/THE WORLD BANK.","author":[{"dropping-particle":"","family":"Prud'homme","given":"Rémy","non-dropping-particle":"","parse-names":false,"suffix":""}],"container-title":"World Bank Research Observer","id":"ITEM-1","issue":"2","issued":{"date-parts":[["1995"]]},"page":"201-220","title":"The dangers of decentralization","type":"article-journal","volume":"10"},"uris":["http://www.mendeley.com/documents/?uuid=05d3fd55-66ac-4251-a223-351ca7912efd"]}],"mendeley":{"formattedCitation":"(Prud’homme, 1995)","plainTextFormattedCitation":"(Prud’homme, 1995)","previouslyFormattedCitation":"(Prud’homme, 1995)"},"properties":{"noteIndex":0},"schema":"https://github.com/citation-style-language/schema/raw/master/csl-citation.json"}</w:instrText>
      </w:r>
      <w:r w:rsidR="00FD776B">
        <w:rPr>
          <w:rFonts w:ascii="Times New Roman" w:hAnsi="Times New Roman" w:cs="Times New Roman"/>
          <w:sz w:val="24"/>
          <w:szCs w:val="24"/>
          <w:lang w:val="en-US"/>
        </w:rPr>
        <w:fldChar w:fldCharType="separate"/>
      </w:r>
      <w:r w:rsidR="00FD776B" w:rsidRPr="00FD776B">
        <w:rPr>
          <w:rFonts w:ascii="Times New Roman" w:hAnsi="Times New Roman" w:cs="Times New Roman"/>
          <w:noProof/>
          <w:sz w:val="24"/>
          <w:szCs w:val="24"/>
          <w:lang w:val="en-US"/>
        </w:rPr>
        <w:t>(Prud’homme, 1995)</w:t>
      </w:r>
      <w:r w:rsidR="00FD776B">
        <w:rPr>
          <w:rFonts w:ascii="Times New Roman" w:hAnsi="Times New Roman" w:cs="Times New Roman"/>
          <w:sz w:val="24"/>
          <w:szCs w:val="24"/>
          <w:lang w:val="en-US"/>
        </w:rPr>
        <w:fldChar w:fldCharType="end"/>
      </w:r>
      <w:r w:rsidRPr="008F613A">
        <w:rPr>
          <w:rFonts w:ascii="Times New Roman" w:hAnsi="Times New Roman" w:cs="Times New Roman"/>
          <w:sz w:val="24"/>
          <w:szCs w:val="24"/>
          <w:lang w:val="en-US"/>
        </w:rPr>
        <w:t>. This issue (still not estimated in the Brazilian empirical literature) is crucial as 90% of Brazilian municipalities have a population of fewer than 50,000 inhabitants</w:t>
      </w:r>
      <w:r w:rsidR="00FD776B">
        <w:rPr>
          <w:rFonts w:ascii="Times New Roman" w:hAnsi="Times New Roman" w:cs="Times New Roman"/>
          <w:sz w:val="24"/>
          <w:szCs w:val="24"/>
          <w:lang w:val="en-US"/>
        </w:rPr>
        <w:t xml:space="preserve"> </w:t>
      </w:r>
      <w:r w:rsidR="00FD776B">
        <w:rPr>
          <w:rFonts w:ascii="Times New Roman" w:hAnsi="Times New Roman" w:cs="Times New Roman"/>
          <w:sz w:val="24"/>
          <w:szCs w:val="24"/>
          <w:lang w:val="en-US"/>
        </w:rPr>
        <w:fldChar w:fldCharType="begin" w:fldLock="1"/>
      </w:r>
      <w:r w:rsidR="00FD776B">
        <w:rPr>
          <w:rFonts w:ascii="Times New Roman" w:hAnsi="Times New Roman" w:cs="Times New Roman"/>
          <w:sz w:val="24"/>
          <w:szCs w:val="24"/>
          <w:lang w:val="en-US"/>
        </w:rPr>
        <w:instrText>ADDIN CSL_CITATION {"citationItems":[{"id":"ITEM-1","itemData":{"author":[{"dropping-particle":"","family":"Klering","given":"Luis Roque","non-dropping-particle":"","parse-names":false,"suffix":""},{"dropping-particle":"","family":"Kruel","given":"Alexandra Jochims","non-dropping-particle":"","parse-names":false,"suffix":""},{"dropping-particle":"","family":"Stranz","given":"Eduardo","non-dropping-particle":"","parse-names":false,"suffix":""}],"container-title":"Análise - Revista de Administração PUC-RS","id":"ITEM-1","issue":"1","issued":{"date-parts":[["2012"]]},"page":"31-44","title":"Os pequenos municípios do Brasil – uma análise a partir de índices de gestão","type":"article-journal","volume":"23"},"uris":["http://www.mendeley.com/documents/?uuid=2639651a-6e37-4090-bb67-eb5b8404967e"]}],"mendeley":{"formattedCitation":"(Klering et al., 2012)","plainTextFormattedCitation":"(Klering et al., 2012)","previouslyFormattedCitation":"(Klering et al., 2012)"},"properties":{"noteIndex":0},"schema":"https://github.com/citation-style-language/schema/raw/master/csl-citation.json"}</w:instrText>
      </w:r>
      <w:r w:rsidR="00FD776B">
        <w:rPr>
          <w:rFonts w:ascii="Times New Roman" w:hAnsi="Times New Roman" w:cs="Times New Roman"/>
          <w:sz w:val="24"/>
          <w:szCs w:val="24"/>
          <w:lang w:val="en-US"/>
        </w:rPr>
        <w:fldChar w:fldCharType="separate"/>
      </w:r>
      <w:r w:rsidR="00FD776B" w:rsidRPr="00FD776B">
        <w:rPr>
          <w:rFonts w:ascii="Times New Roman" w:hAnsi="Times New Roman" w:cs="Times New Roman"/>
          <w:noProof/>
          <w:sz w:val="24"/>
          <w:szCs w:val="24"/>
          <w:lang w:val="en-US"/>
        </w:rPr>
        <w:t>(Klering et al., 2012)</w:t>
      </w:r>
      <w:r w:rsidR="00FD776B">
        <w:rPr>
          <w:rFonts w:ascii="Times New Roman" w:hAnsi="Times New Roman" w:cs="Times New Roman"/>
          <w:sz w:val="24"/>
          <w:szCs w:val="24"/>
          <w:lang w:val="en-US"/>
        </w:rPr>
        <w:fldChar w:fldCharType="end"/>
      </w:r>
      <w:r w:rsidR="00FD776B">
        <w:rPr>
          <w:rFonts w:ascii="Times New Roman" w:hAnsi="Times New Roman" w:cs="Times New Roman"/>
          <w:sz w:val="24"/>
          <w:szCs w:val="24"/>
          <w:lang w:val="en-US"/>
        </w:rPr>
        <w:t>.</w:t>
      </w:r>
    </w:p>
    <w:p w14:paraId="48523805" w14:textId="1D80E4CF" w:rsidR="0002653E" w:rsidRDefault="0002653E" w:rsidP="0088076F">
      <w:pPr>
        <w:spacing w:line="360" w:lineRule="auto"/>
        <w:ind w:firstLine="567"/>
        <w:jc w:val="both"/>
        <w:rPr>
          <w:rFonts w:ascii="Times New Roman" w:hAnsi="Times New Roman" w:cs="Times New Roman"/>
          <w:sz w:val="24"/>
          <w:szCs w:val="24"/>
          <w:lang w:val="en-US"/>
        </w:rPr>
      </w:pPr>
      <w:r w:rsidRPr="0002653E">
        <w:rPr>
          <w:rFonts w:ascii="Times New Roman" w:hAnsi="Times New Roman" w:cs="Times New Roman"/>
          <w:sz w:val="24"/>
          <w:szCs w:val="24"/>
          <w:lang w:val="en-US"/>
        </w:rPr>
        <w:t xml:space="preserve">The second hypothesis is that there is heterogeneity in the effectiveness of the Social Observatories in the different states of the Federation. The different intensities of the culture of corruption in the different locations of a country </w:t>
      </w:r>
      <w:r w:rsidR="00FD776B">
        <w:rPr>
          <w:rFonts w:ascii="Times New Roman" w:hAnsi="Times New Roman" w:cs="Times New Roman"/>
          <w:sz w:val="24"/>
          <w:szCs w:val="24"/>
          <w:lang w:val="en-US"/>
        </w:rPr>
        <w:fldChar w:fldCharType="begin" w:fldLock="1"/>
      </w:r>
      <w:r w:rsidR="00FD776B">
        <w:rPr>
          <w:rFonts w:ascii="Times New Roman" w:hAnsi="Times New Roman" w:cs="Times New Roman"/>
          <w:sz w:val="24"/>
          <w:szCs w:val="24"/>
          <w:lang w:val="en-US"/>
        </w:rPr>
        <w:instrText>ADDIN CSL_CITATION {"citationItems":[{"id":"ITEM-1","itemData":{"DOI":"10.1016/j.ejpoleco.2019.05.004","ISSN":"01762680","abstract":"Corruption levels differ not only between but also within countries. In this paper we analyze spatial interdependencies in corruption levels for a large sample of 1232 subnational regions from 81 countries. Based on a spatial autoregressive model, which controls for country-fixed effects and corrects for spatial autocorrelation in the error term, we find that a subnational region's corruption level is positively correlated with neighboring subnational regions' corruption levels. Extending the core model and allowing for heterogeneous spatial effects, we find that most spillovers among subnational regions occur within national borders. Moreover, in particular high income subnational regions and subnational regions with relative low corruption levels tend to spill in space. This is due to their high degree of connectivity in terms of economic, sociocultural and political exchange with other subnational regions. Our estimation results underline the importance to consider not only a subnational region's own characteristics, but also spatial interdependencies when implementing efficient anti-corruption policies at the local level.","author":[{"dropping-particle":"","family":"Borsky","given":"Stefan","non-dropping-particle":"","parse-names":false,"suffix":""},{"dropping-particle":"","family":"Kalkschmied","given":"Katja","non-dropping-particle":"","parse-names":false,"suffix":""}],"container-title":"European Journal of Political Economy","id":"ITEM-1","issue":"October","issued":{"date-parts":[["2019"]]},"page":"400-422","title":"Corruption in space: A closer look at the world's subnations","type":"article-journal","volume":"59"},"uris":["http://www.mendeley.com/documents/?uuid=18517fc3-2b5b-487b-8e84-8f1e6423fe37"]},{"id":"ITEM-2","itemData":{"DOI":"10.1007/s10490-013-9351-y","ISSN":"02174561","abstract":"The literature on corruption has seldom analyzed how institutional changes and the management of anti-corruption agencies could affect the success in transforming a relatively corrupted society into a cleaner one. Using the institutional changes of Hong Kong after the establishment of its anti-corruption agency in 1974, we identify the key changes in its institutional environment and the management of the agency that led to its success. We discuss the possibility that this experience can be generablizable to other societies such as the China Mainland. © 2013 Springer Science+Business Media New York.","author":[{"dropping-particle":"","family":"Mao","given":"Yina","non-dropping-particle":"","parse-names":false,"suffix":""},{"dropping-particle":"","family":"Wong","given":"Chi Sum","non-dropping-particle":"","parse-names":false,"suffix":""},{"dropping-particle":"","family":"Peng","given":"Kelly Z.","non-dropping-particle":"","parse-names":false,"suffix":""}],"container-title":"Asia Pacific Journal of Management","id":"ITEM-2","issue":"4","issued":{"date-parts":[["2013"]]},"page":"1115-1124","title":"Breaking institutionalized corruption: Is the experience of the Hong Kong Independent Commission Against Corruption generalizable?","type":"article-journal","volume":"30"},"uris":["http://www.mendeley.com/documents/?uuid=ae011de2-ab3b-4a08-b6db-1b4ff41bac55"]}],"mendeley":{"formattedCitation":"(Borsky &amp; Kalkschmied, 2019; Mao et al., 2013)","plainTextFormattedCitation":"(Borsky &amp; Kalkschmied, 2019; Mao et al., 2013)","previouslyFormattedCitation":"(Borsky &amp; Kalkschmied, 2019; Mao et al., 2013)"},"properties":{"noteIndex":0},"schema":"https://github.com/citation-style-language/schema/raw/master/csl-citation.json"}</w:instrText>
      </w:r>
      <w:r w:rsidR="00FD776B">
        <w:rPr>
          <w:rFonts w:ascii="Times New Roman" w:hAnsi="Times New Roman" w:cs="Times New Roman"/>
          <w:sz w:val="24"/>
          <w:szCs w:val="24"/>
          <w:lang w:val="en-US"/>
        </w:rPr>
        <w:fldChar w:fldCharType="separate"/>
      </w:r>
      <w:r w:rsidR="00FD776B" w:rsidRPr="00FD776B">
        <w:rPr>
          <w:rFonts w:ascii="Times New Roman" w:hAnsi="Times New Roman" w:cs="Times New Roman"/>
          <w:noProof/>
          <w:sz w:val="24"/>
          <w:szCs w:val="24"/>
          <w:lang w:val="en-US"/>
        </w:rPr>
        <w:t>(Borsky &amp; Kalkschmied, 2019; Mao et al., 2013)</w:t>
      </w:r>
      <w:r w:rsidR="00FD776B">
        <w:rPr>
          <w:rFonts w:ascii="Times New Roman" w:hAnsi="Times New Roman" w:cs="Times New Roman"/>
          <w:sz w:val="24"/>
          <w:szCs w:val="24"/>
          <w:lang w:val="en-US"/>
        </w:rPr>
        <w:fldChar w:fldCharType="end"/>
      </w:r>
      <w:r w:rsidRPr="0002653E">
        <w:rPr>
          <w:rFonts w:ascii="Times New Roman" w:hAnsi="Times New Roman" w:cs="Times New Roman"/>
          <w:sz w:val="24"/>
          <w:szCs w:val="24"/>
          <w:lang w:val="en-US"/>
        </w:rPr>
        <w:t xml:space="preserve">, should affect in a differentiated way the probability of coaptation of the members of the Observatories, harming the effectiveness of the Observatories of different regions to different degrees. This is because an individual’s predisposition to engage in acts of corruption may depend on its level of local institutionalization, i.e. on the degree that corruption is rooted in the culture and regional mentality of the population </w:t>
      </w:r>
      <w:r w:rsidR="00FD776B">
        <w:rPr>
          <w:rFonts w:ascii="Times New Roman" w:hAnsi="Times New Roman" w:cs="Times New Roman"/>
          <w:sz w:val="24"/>
          <w:szCs w:val="24"/>
          <w:lang w:val="en-US"/>
        </w:rPr>
        <w:fldChar w:fldCharType="begin" w:fldLock="1"/>
      </w:r>
      <w:r w:rsidR="00EF0101">
        <w:rPr>
          <w:rFonts w:ascii="Times New Roman" w:hAnsi="Times New Roman" w:cs="Times New Roman"/>
          <w:sz w:val="24"/>
          <w:szCs w:val="24"/>
          <w:lang w:val="en-US"/>
        </w:rPr>
        <w:instrText>ADDIN CSL_CITATION {"citationItems":[{"id":"ITEM-1","itemData":{"DOI":"10.1016/j.ejpoleco.2006.03.004","ISSN":"01762680","abstract":"Several measures indicate the presence of substantial corruption in Italian society. This paper investigates the determinants of corruption in Italy in the period 1963-2001 using statistics on crimes against the public administration at a regional level. Our estimates show that economic variables (government consumption, level of development) and political and cultural influences (party concentration, presence of voluntary organisations, absenteeism at national elections) significantly affect corruption in Italy. © 2006 Elsevier B.V. All rights reserved.","author":[{"dropping-particle":"","family":"Monte","given":"Alfredo","non-dropping-particle":"Del","parse-names":false,"suffix":""},{"dropping-particle":"","family":"Papagni","given":"Erasmo","non-dropping-particle":"","parse-names":false,"suffix":""}],"container-title":"European Journal of Political Economy","id":"ITEM-1","issue":"2","issued":{"date-parts":[["2007"]]},"page":"379-396","title":"The determinants of corruption in Italy: Regional panel data analysis","type":"article-journal","volume":"23"},"uris":["http://www.mendeley.com/documents/?uuid=03778c0a-60d1-4adc-a1da-56a5170e3f4b"]},{"id":"ITEM-2","itemData":{"author":[{"dropping-particle":"","family":"Hodgson","given":"Geoffrey M","non-dropping-particle":"","parse-names":false,"suffix":""},{"dropping-particle":"","family":"Jiang","given":"Shuxia","non-dropping-particle":"","parse-names":false,"suffix":""},{"dropping-particle":"","family":"Journal","given":"Source","non-dropping-particle":"","parse-names":false,"suffix":""},{"dropping-particle":"","family":"Dec","given":"No","non-dropping-particle":"","parse-names":false,"suffix":""},{"dropping-particle":"","family":"Hodgson","given":"Geoffrey M","non-dropping-particle":"","parse-names":false,"suffix":""}],"container-title":"Journal of Economic Issues","id":"ITEM-2","issue":"4","issued":{"date-parts":[["2007"]]},"page":"1043-1061","title":"The Economics of Corruption and the Corruption of Economics : An Institutionalist Perspective","type":"article-journal","volume":"41"},"uris":["http://www.mendeley.com/documents/?uuid=3e846e49-51fa-4800-a6b9-b18d2e095474"]},{"id":"ITEM-3","itemData":{"DOI":"10.1007/s10490-013-9351-y","ISSN":"02174561","abstract":"The literature on corruption has seldom analyzed how institutional changes and the management of anti-corruption agencies could affect the success in transforming a relatively corrupted society into a cleaner one. Using the institutional changes of Hong Kong after the establishment of its anti-corruption agency in 1974, we identify the key changes in its institutional environment and the management of the agency that led to its success. We discuss the possibility that this experience can be generablizable to other societies such as the China Mainland. © 2013 Springer Science+Business Media New York.","author":[{"dropping-particle":"","family":"Mao","given":"Yina","non-dropping-particle":"","parse-names":false,"suffix":""},{"dropping-particle":"","family":"Wong","given":"Chi Sum","non-dropping-particle":"","parse-names":false,"suffix":""},{"dropping-particle":"","family":"Peng","given":"Kelly Z.","non-dropping-particle":"","parse-names":false,"suffix":""}],"container-title":"Asia Pacific Journal of Management","id":"ITEM-3","issue":"4","issued":{"date-parts":[["2013"]]},"page":"1115-1124","title":"Breaking institutionalized corruption: Is the experience of the Hong Kong Independent Commission Against Corruption generalizable?","type":"article-journal","volume":"30"},"uris":["http://www.mendeley.com/documents/?uuid=ae011de2-ab3b-4a08-b6db-1b4ff41bac55"]}],"mendeley":{"formattedCitation":"(Del Monte &amp; Papagni, 2007; Hodgson et al., 2007; Mao et al., 2013)","plainTextFormattedCitation":"(Del Monte &amp; Papagni, 2007; Hodgson et al., 2007; Mao et al., 2013)","previouslyFormattedCitation":"(Del Monte &amp; Papagni, 2007; Hodgson et al., 2007; Mao et al., 2013)"},"properties":{"noteIndex":0},"schema":"https://github.com/citation-style-language/schema/raw/master/csl-citation.json"}</w:instrText>
      </w:r>
      <w:r w:rsidR="00FD776B">
        <w:rPr>
          <w:rFonts w:ascii="Times New Roman" w:hAnsi="Times New Roman" w:cs="Times New Roman"/>
          <w:sz w:val="24"/>
          <w:szCs w:val="24"/>
          <w:lang w:val="en-US"/>
        </w:rPr>
        <w:fldChar w:fldCharType="separate"/>
      </w:r>
      <w:r w:rsidR="00EF0101" w:rsidRPr="00EF0101">
        <w:rPr>
          <w:rFonts w:ascii="Times New Roman" w:hAnsi="Times New Roman" w:cs="Times New Roman"/>
          <w:noProof/>
          <w:sz w:val="24"/>
          <w:szCs w:val="24"/>
          <w:lang w:val="en-US"/>
        </w:rPr>
        <w:t>(Del Monte &amp; Papagni, 2007; Hodgson et al., 2007; Mao et al., 2013)</w:t>
      </w:r>
      <w:r w:rsidR="00FD776B">
        <w:rPr>
          <w:rFonts w:ascii="Times New Roman" w:hAnsi="Times New Roman" w:cs="Times New Roman"/>
          <w:sz w:val="24"/>
          <w:szCs w:val="24"/>
          <w:lang w:val="en-US"/>
        </w:rPr>
        <w:fldChar w:fldCharType="end"/>
      </w:r>
      <w:r w:rsidRPr="0002653E">
        <w:rPr>
          <w:rFonts w:ascii="Times New Roman" w:hAnsi="Times New Roman" w:cs="Times New Roman"/>
          <w:sz w:val="24"/>
          <w:szCs w:val="24"/>
          <w:lang w:val="en-US"/>
        </w:rPr>
        <w:t xml:space="preserve">. Knowing the heterogeneity of the effectiveness of the Observatories in different regions of </w:t>
      </w:r>
      <w:r w:rsidRPr="0002653E">
        <w:rPr>
          <w:rFonts w:ascii="Times New Roman" w:hAnsi="Times New Roman" w:cs="Times New Roman"/>
          <w:sz w:val="24"/>
          <w:szCs w:val="24"/>
          <w:lang w:val="en-US"/>
        </w:rPr>
        <w:lastRenderedPageBreak/>
        <w:t>the country should be the first step towards formulating strategic actions that reduce this dispersion, bringing the group of Observatories closer to the experiences of greater effectiveness.</w:t>
      </w:r>
    </w:p>
    <w:p w14:paraId="73F3A9D1" w14:textId="77777777" w:rsidR="00253E22" w:rsidRDefault="00A548EE" w:rsidP="00253E22">
      <w:pPr>
        <w:spacing w:line="360" w:lineRule="auto"/>
        <w:ind w:firstLine="567"/>
        <w:jc w:val="both"/>
        <w:rPr>
          <w:rFonts w:ascii="Times New Roman" w:hAnsi="Times New Roman" w:cs="Times New Roman"/>
          <w:sz w:val="24"/>
          <w:szCs w:val="24"/>
          <w:lang w:val="en-US"/>
        </w:rPr>
      </w:pPr>
      <w:r w:rsidRPr="00A548EE">
        <w:rPr>
          <w:rFonts w:ascii="Times New Roman" w:hAnsi="Times New Roman" w:cs="Times New Roman"/>
          <w:sz w:val="24"/>
          <w:szCs w:val="24"/>
          <w:lang w:val="en-US"/>
        </w:rPr>
        <w:t>Finally, given that the Observatories of the OSB network and the independent Observatories have methodological and organizational peculiarities that distinguish them, we tested the hypothesis that there is a difference in effectiveness between the social controls carried out by the OSB network and by the set of Observatories in operation in the analysis period. The identification of the effects of the Social Observatories monitoring, at the national, state, and the small inland municipalities, as well as the comparative analysis of the effectiveness of the independent Observatories and the OSB network, can produce insights that favor the formulation of better control strategies and tactics for the mitigation of Brazilian municipal corruption.</w:t>
      </w:r>
    </w:p>
    <w:p w14:paraId="122A4D39" w14:textId="77777777" w:rsidR="00253E22" w:rsidRDefault="00253E22" w:rsidP="00253E22">
      <w:pPr>
        <w:spacing w:line="360" w:lineRule="auto"/>
        <w:ind w:firstLine="567"/>
        <w:jc w:val="both"/>
        <w:rPr>
          <w:rFonts w:ascii="Times New Roman" w:hAnsi="Times New Roman" w:cs="Times New Roman"/>
          <w:sz w:val="24"/>
          <w:szCs w:val="24"/>
          <w:lang w:val="en-US"/>
        </w:rPr>
      </w:pPr>
      <w:r w:rsidRPr="00253E22">
        <w:rPr>
          <w:rFonts w:ascii="Times New Roman" w:hAnsi="Times New Roman" w:cs="Times New Roman"/>
          <w:sz w:val="24"/>
          <w:szCs w:val="24"/>
          <w:lang w:val="en-US"/>
        </w:rPr>
        <w:t>The article continues as follows: section two presents the theoretical basis of the hypothesis, as well as the institutional context in which the analyzed relationships unfold. Section three presents the survey data and the definitions of the dependent variables. Section four introduces the empirical strategy, declaring the three models used in the four studies carried out. Section five tests the hypotheses and analyzes the results. The sixth section presents our final remarks, and section seven the appendices.</w:t>
      </w:r>
    </w:p>
    <w:p w14:paraId="1305172D" w14:textId="65C6AEBC" w:rsidR="004035FA" w:rsidRPr="00253E22" w:rsidRDefault="009C6289" w:rsidP="00253E22">
      <w:pPr>
        <w:spacing w:line="360" w:lineRule="auto"/>
        <w:ind w:firstLine="567"/>
        <w:jc w:val="both"/>
        <w:rPr>
          <w:rFonts w:ascii="Times New Roman" w:hAnsi="Times New Roman" w:cs="Times New Roman"/>
          <w:sz w:val="24"/>
          <w:szCs w:val="24"/>
          <w:lang w:val="en-US"/>
        </w:rPr>
      </w:pPr>
      <w:r w:rsidRPr="0088076F">
        <w:rPr>
          <w:rFonts w:ascii="Times New Roman" w:hAnsi="Times New Roman" w:cs="Times New Roman"/>
          <w:b/>
          <w:bCs/>
          <w:sz w:val="24"/>
          <w:szCs w:val="24"/>
          <w:lang w:val="en-US"/>
        </w:rPr>
        <w:t>2. Theoretical basis and the Brazilian context.</w:t>
      </w:r>
    </w:p>
    <w:p w14:paraId="670DF920" w14:textId="008DA69B" w:rsidR="00DF0B19" w:rsidRDefault="002B1440" w:rsidP="0088076F">
      <w:pPr>
        <w:spacing w:line="360" w:lineRule="auto"/>
        <w:ind w:firstLine="567"/>
        <w:jc w:val="both"/>
        <w:rPr>
          <w:rFonts w:ascii="Times New Roman" w:hAnsi="Times New Roman" w:cs="Times New Roman"/>
          <w:sz w:val="24"/>
          <w:szCs w:val="24"/>
          <w:lang w:val="en-US"/>
        </w:rPr>
      </w:pPr>
      <w:r w:rsidRPr="002B1440">
        <w:rPr>
          <w:rFonts w:ascii="Times New Roman" w:hAnsi="Times New Roman" w:cs="Times New Roman"/>
          <w:sz w:val="24"/>
          <w:szCs w:val="24"/>
          <w:lang w:val="en-US"/>
        </w:rPr>
        <w:t>Agency theory is a theoretical framework designed to study problems arising from the delegation of tasks by a Principal (in our analysis, the federal executive) to an Agent (e.g. municipal governments)</w:t>
      </w:r>
      <w:r w:rsidR="00FD776B">
        <w:rPr>
          <w:rFonts w:ascii="Times New Roman" w:hAnsi="Times New Roman" w:cs="Times New Roman"/>
          <w:sz w:val="24"/>
          <w:szCs w:val="24"/>
          <w:lang w:val="en-US"/>
        </w:rPr>
        <w:t xml:space="preserve"> </w:t>
      </w:r>
      <w:r w:rsidR="00FD776B">
        <w:rPr>
          <w:rFonts w:ascii="Times New Roman" w:hAnsi="Times New Roman" w:cs="Times New Roman"/>
          <w:sz w:val="24"/>
          <w:szCs w:val="24"/>
          <w:lang w:val="en-US"/>
        </w:rPr>
        <w:fldChar w:fldCharType="begin" w:fldLock="1"/>
      </w:r>
      <w:r w:rsidR="00FD776B">
        <w:rPr>
          <w:rFonts w:ascii="Times New Roman" w:hAnsi="Times New Roman" w:cs="Times New Roman"/>
          <w:sz w:val="24"/>
          <w:szCs w:val="24"/>
          <w:lang w:val="en-US"/>
        </w:rPr>
        <w:instrText>ADDIN CSL_CITATION {"citationItems":[{"id":"ITEM-1","itemData":{"ISBN":"0903729407","ISSN":"03637425","abstract":"Agency theory is an important; yet controversial; theory. This paper reviews agency theory; its contributions to organization theory; and the extant empirical work and develops testable propositions. The conclusions are that agency theory (a) offers unique insight into in- formation systems; outcome uncertainty; incentives; and risk and (b) is an empirically valid perspective; particularly when coupled with complementary perspectives. The principal recommendation is to in- corporate an agency perspective in studies of the many problems having a cooperative structure.","author":[{"dropping-particle":"","family":"Eisenhardt","given":"Kathleen M.","non-dropping-particle":"","parse-names":false,"suffix":""}],"container-title":"Academy of Management Review","id":"ITEM-1","issue":"1","issued":{"date-parts":[["1989"]]},"page":"57-74","title":"Agency Theory: An Assessment and Review","type":"article-journal","volume":"14"},"uris":["http://www.mendeley.com/documents/?uuid=04760646-651b-4825-bff0-6c91d2c9986f"]}],"mendeley":{"formattedCitation":"(Eisenhardt, 1989)","plainTextFormattedCitation":"(Eisenhardt, 1989)","previouslyFormattedCitation":"(Eisenhardt, 1989)"},"properties":{"noteIndex":0},"schema":"https://github.com/citation-style-language/schema/raw/master/csl-citation.json"}</w:instrText>
      </w:r>
      <w:r w:rsidR="00FD776B">
        <w:rPr>
          <w:rFonts w:ascii="Times New Roman" w:hAnsi="Times New Roman" w:cs="Times New Roman"/>
          <w:sz w:val="24"/>
          <w:szCs w:val="24"/>
          <w:lang w:val="en-US"/>
        </w:rPr>
        <w:fldChar w:fldCharType="separate"/>
      </w:r>
      <w:r w:rsidR="00FD776B" w:rsidRPr="00FD776B">
        <w:rPr>
          <w:rFonts w:ascii="Times New Roman" w:hAnsi="Times New Roman" w:cs="Times New Roman"/>
          <w:noProof/>
          <w:sz w:val="24"/>
          <w:szCs w:val="24"/>
          <w:lang w:val="en-US"/>
        </w:rPr>
        <w:t>(Eisenhardt, 1989)</w:t>
      </w:r>
      <w:r w:rsidR="00FD776B">
        <w:rPr>
          <w:rFonts w:ascii="Times New Roman" w:hAnsi="Times New Roman" w:cs="Times New Roman"/>
          <w:sz w:val="24"/>
          <w:szCs w:val="24"/>
          <w:lang w:val="en-US"/>
        </w:rPr>
        <w:fldChar w:fldCharType="end"/>
      </w:r>
      <w:r w:rsidRPr="002B1440">
        <w:rPr>
          <w:rFonts w:ascii="Times New Roman" w:hAnsi="Times New Roman" w:cs="Times New Roman"/>
          <w:sz w:val="24"/>
          <w:szCs w:val="24"/>
          <w:lang w:val="en-US"/>
        </w:rPr>
        <w:t xml:space="preserve">. The theory assumes that actors are rational, utility maximizer opportunistic beings, proposing that, despite the Principal's formal authority, the Agent may have informational advantages that allow it to evade its obligations or extract undue rents. </w:t>
      </w:r>
      <w:r w:rsidR="00FD776B">
        <w:rPr>
          <w:rFonts w:ascii="Times New Roman" w:hAnsi="Times New Roman" w:cs="Times New Roman"/>
          <w:sz w:val="24"/>
          <w:szCs w:val="24"/>
          <w:lang w:val="en-US"/>
        </w:rPr>
        <w:fldChar w:fldCharType="begin" w:fldLock="1"/>
      </w:r>
      <w:r w:rsidR="00C61055">
        <w:rPr>
          <w:rFonts w:ascii="Times New Roman" w:hAnsi="Times New Roman" w:cs="Times New Roman"/>
          <w:sz w:val="24"/>
          <w:szCs w:val="24"/>
          <w:lang w:val="en-US"/>
        </w:rPr>
        <w:instrText>ADDIN CSL_CITATION {"citationItems":[{"id":"ITEM-1","itemData":{"DOI":"10.1080/15309576.2020.1739087","ISSN":"15579271","abstract":"Using agency and stewardship theories, this article investigates conditions that affect the impact of performance management in the ministerial steering of agencies. Agency theory assumes that agencies act opportunistically, leading to low trust between the ministry and the agency. Conversely, stewardship theory assumes that agencies act trustworthily. Arguably, however, in the steering of agencies, the impact of performance management depends on performance management practices and the type of ministry–agency relation. The effect of performance contract design and a top-down or bottom-up approach to performance management on the impact of performance management is analyzed in the context of whether the ministry–agency relation tends toward the principal–agent or principal–steward type. The data were obtained from a survey of bureaucrats employed in government agencies in Norway and a systematic analysis of official policy documents. The results show that a bottom-up approach increases the impact of performance management in principal–steward relations but not in principal–agent relations. Performance contract design has no effect on the impact of performance management, irrespective of relationship characteristics.","author":[{"dropping-particle":"","family":"Bjurstrøm","given":"Karl Hagen","non-dropping-particle":"","parse-names":false,"suffix":""}],"container-title":"Public Performance and Management Review","id":"ITEM-1","issue":"5","issued":{"date-parts":[["2020"]]},"page":"1053-1077","title":"Principal–Agent or Principal–Steward: How Ministry–Agency Relations Condition the Impact of Performance Management in the Steering of Government Agencies","type":"article-journal","volume":"43"},"uris":["http://www.mendeley.com/documents/?uuid=15856d28-2f23-3ef7-bc5b-b41611c95ee1"]},{"id":"ITEM-2","itemData":{"author":[{"dropping-particle":"","family":"Waterman","given":"Richard W","non-dropping-particle":"","parse-names":false,"suffix":""},{"dropping-particle":"","family":"Meier","given":"Kenneth J","non-dropping-particle":"","parse-names":false,"suffix":""}],"container-title":"Journal of Public Administration Research and Theory","id":"ITEM-2","issued":{"date-parts":[["1998"]]},"page":"173-202","title":"Principal-Agent Models : An Expansion?","type":"article-journal","volume":"8"},"uris":["http://www.mendeley.com/documents/?uuid=2fb22cdc-8180-474b-a5b7-6b9ed4df3317"]}],"mendeley":{"formattedCitation":"(Bjurstrøm, 2020; Waterman &amp; Meier, 1998)","plainTextFormattedCitation":"(Bjurstrøm, 2020; Waterman &amp; Meier, 1998)","previouslyFormattedCitation":"(Bjurstrøm, 2020; Waterman &amp; Meier, 1998)"},"properties":{"noteIndex":0},"schema":"https://github.com/citation-style-language/schema/raw/master/csl-citation.json"}</w:instrText>
      </w:r>
      <w:r w:rsidR="00FD776B">
        <w:rPr>
          <w:rFonts w:ascii="Times New Roman" w:hAnsi="Times New Roman" w:cs="Times New Roman"/>
          <w:sz w:val="24"/>
          <w:szCs w:val="24"/>
          <w:lang w:val="en-US"/>
        </w:rPr>
        <w:fldChar w:fldCharType="separate"/>
      </w:r>
      <w:r w:rsidR="00FD776B" w:rsidRPr="00FD776B">
        <w:rPr>
          <w:rFonts w:ascii="Times New Roman" w:hAnsi="Times New Roman" w:cs="Times New Roman"/>
          <w:noProof/>
          <w:sz w:val="24"/>
          <w:szCs w:val="24"/>
          <w:lang w:val="en-US"/>
        </w:rPr>
        <w:t>(Bjurstrøm, 2020; Waterman &amp; Meier, 1998)</w:t>
      </w:r>
      <w:r w:rsidR="00FD776B">
        <w:rPr>
          <w:rFonts w:ascii="Times New Roman" w:hAnsi="Times New Roman" w:cs="Times New Roman"/>
          <w:sz w:val="24"/>
          <w:szCs w:val="24"/>
          <w:lang w:val="en-US"/>
        </w:rPr>
        <w:fldChar w:fldCharType="end"/>
      </w:r>
      <w:r w:rsidRPr="002B1440">
        <w:rPr>
          <w:rFonts w:ascii="Times New Roman" w:hAnsi="Times New Roman" w:cs="Times New Roman"/>
          <w:sz w:val="24"/>
          <w:szCs w:val="24"/>
          <w:lang w:val="en-US"/>
        </w:rPr>
        <w:t xml:space="preserve">. For this reason, agency theory proposes that the Principal should regulate hierarchical relationships, implementing control systems that reduce information asymmetry and Agent autonomy, in addition to increasing the probability of detection and punishment of opportunistic conduct, reducing the expected gains from corruption </w:t>
      </w:r>
      <w:r w:rsidR="00C61055">
        <w:rPr>
          <w:rFonts w:ascii="Times New Roman" w:hAnsi="Times New Roman" w:cs="Times New Roman"/>
          <w:sz w:val="24"/>
          <w:szCs w:val="24"/>
          <w:lang w:val="en-US"/>
        </w:rPr>
        <w:fldChar w:fldCharType="begin" w:fldLock="1"/>
      </w:r>
      <w:r w:rsidR="00C61055">
        <w:rPr>
          <w:rFonts w:ascii="Times New Roman" w:hAnsi="Times New Roman" w:cs="Times New Roman"/>
          <w:sz w:val="24"/>
          <w:szCs w:val="24"/>
          <w:lang w:val="en-US"/>
        </w:rPr>
        <w:instrText>ADDIN CSL_CITATION {"citationItems":[{"id":"ITEM-1","itemData":{"ISBN":"0903729407","ISSN":"03637425","abstract":"Agency theory is an important; yet controversial; theory. This paper reviews agency theory; its contributions to organization theory; and the extant empirical work and develops testable propositions. The conclusions are that agency theory (a) offers unique insight into in- formation systems; outcome uncertainty; incentives; and risk and (b) is an empirically valid perspective; particularly when coupled with complementary perspectives. The principal recommendation is to in- corporate an agency perspective in studies of the many problems having a cooperative structure.","author":[{"dropping-particle":"","family":"Eisenhardt","given":"Kathleen M.","non-dropping-particle":"","parse-names":false,"suffix":""}],"container-title":"Academy of Management Review","id":"ITEM-1","issue":"1","issued":{"date-parts":[["1989"]]},"page":"57-74","title":"Agency Theory: An Assessment and Review","type":"article-journal","volume":"14"},"uris":["http://www.mendeley.com/documents/?uuid=04760646-651b-4825-bff0-6c91d2c9986f"]},{"id":"ITEM-2","itemData":{"DOI":"10.5089/9781451864649.001","ISSN":"1018-5941","abstract":"A well-functioning public expenditure management system (PEM) is considered a critical pillar of government efficiency. This article discusses PEM systems in developing countries using an analytical framework based on principal-agent theory. This simple model can be applied to various PEM systems and allows for comparisons between institutional settings. To illustrate this, the authors analyse the benefits derived from the use by the ministry of finance of ex post audits and ex ante controls, and assess their value in terms of their ability to deter cheating. The authors derive a set of possible \"control regimes\" which can be used by the ministry of finance. [PUBLICATION ABSTRACT]","author":[{"dropping-particle":"","family":"Leruth","given":"Luc E.","non-dropping-particle":"","parse-names":false,"suffix":""},{"dropping-particle":"","family":"Paul","given":"Elisabeth","non-dropping-particle":"","parse-names":false,"suffix":""}],"container-title":"IMF Working Papers","id":"ITEM-2","issue":"204","issued":{"date-parts":[["2006"]]},"page":"1","title":"A Principal-Agent Theory Approach to Public Expenditure Management Systems in Developing Countries","type":"article-journal","volume":"06"},"uris":["http://www.mendeley.com/documents/?uuid=a8ab786f-7fcc-473d-ac62-49a0d0b2a42e"]},{"id":"ITEM-3","itemData":{"abstract":"This paper presents a randomized field experiment on reducing cor- ruption in over 600 Indonesian village road projects. I find that in- creasing government audits from 4 percent of projects to 100 percent reduced missing expenditures, as measured by discrepancies between official project costs and an independent engineers’ estimate of costs, by eight percentage points. By contrast, increasing grassroots partic- ipation in monitoring had little average impact, reducing missing ex- penditures only in situations with limited free-rider problems and limited elite capture. Overall, the results suggest that traditional top- down monitoring can play an important role in reducing corruption, even in a highly corrupt environment. I.","author":[{"dropping-particle":"","family":"Olken","given":"Benjamin A.","non-dropping-particle":"","parse-names":false,"suffix":""}],"container-title":"Chicago Journal","id":"ITEM-3","issue":"2","issued":{"date-parts":[["2007"]]},"page":"200-249","title":"Monitoring Corruption : Evidence from a Field Experiment in Indonesia","type":"article-journal","volume":"115"},"uris":["http://www.mendeley.com/documents/?uuid=24cfa723-78df-4ae2-84ff-42630420599d"]}],"mendeley":{"formattedCitation":"(Eisenhardt, 1989; Leruth &amp; Paul, 2006; Olken, 2007)","plainTextFormattedCitation":"(Eisenhardt, 1989; Leruth &amp; Paul, 2006; Olken, 2007)","previouslyFormattedCitation":"(Eisenhardt, 1989; Leruth &amp; Paul, 2006; Olken, 2007)"},"properties":{"noteIndex":0},"schema":"https://github.com/citation-style-language/schema/raw/master/csl-citation.json"}</w:instrText>
      </w:r>
      <w:r w:rsidR="00C61055">
        <w:rPr>
          <w:rFonts w:ascii="Times New Roman" w:hAnsi="Times New Roman" w:cs="Times New Roman"/>
          <w:sz w:val="24"/>
          <w:szCs w:val="24"/>
          <w:lang w:val="en-US"/>
        </w:rPr>
        <w:fldChar w:fldCharType="separate"/>
      </w:r>
      <w:r w:rsidR="00C61055" w:rsidRPr="00C61055">
        <w:rPr>
          <w:rFonts w:ascii="Times New Roman" w:hAnsi="Times New Roman" w:cs="Times New Roman"/>
          <w:noProof/>
          <w:sz w:val="24"/>
          <w:szCs w:val="24"/>
          <w:lang w:val="en-US"/>
        </w:rPr>
        <w:t>(Eisenhardt, 1989; Leruth &amp; Paul, 2006; Olken, 2007)</w:t>
      </w:r>
      <w:r w:rsidR="00C61055">
        <w:rPr>
          <w:rFonts w:ascii="Times New Roman" w:hAnsi="Times New Roman" w:cs="Times New Roman"/>
          <w:sz w:val="24"/>
          <w:szCs w:val="24"/>
          <w:lang w:val="en-US"/>
        </w:rPr>
        <w:fldChar w:fldCharType="end"/>
      </w:r>
      <w:r w:rsidR="00C61055">
        <w:rPr>
          <w:rFonts w:ascii="Times New Roman" w:hAnsi="Times New Roman" w:cs="Times New Roman"/>
          <w:sz w:val="24"/>
          <w:szCs w:val="24"/>
          <w:lang w:val="en-US"/>
        </w:rPr>
        <w:t>.</w:t>
      </w:r>
    </w:p>
    <w:p w14:paraId="39ED7F62" w14:textId="565DCDDF" w:rsidR="00C048AF" w:rsidRDefault="00DF0B19" w:rsidP="00C048AF">
      <w:pPr>
        <w:spacing w:line="360" w:lineRule="auto"/>
        <w:ind w:firstLine="567"/>
        <w:jc w:val="both"/>
        <w:rPr>
          <w:rFonts w:ascii="Times New Roman" w:hAnsi="Times New Roman" w:cs="Times New Roman"/>
          <w:sz w:val="24"/>
          <w:szCs w:val="24"/>
          <w:lang w:val="en-US"/>
        </w:rPr>
      </w:pPr>
      <w:r w:rsidRPr="00DF0B19">
        <w:rPr>
          <w:rFonts w:ascii="Times New Roman" w:hAnsi="Times New Roman" w:cs="Times New Roman"/>
          <w:sz w:val="24"/>
          <w:szCs w:val="24"/>
          <w:lang w:val="en-US"/>
        </w:rPr>
        <w:t xml:space="preserve">Based on </w:t>
      </w:r>
      <w:r w:rsidR="00C61055">
        <w:rPr>
          <w:rFonts w:ascii="Times New Roman" w:hAnsi="Times New Roman" w:cs="Times New Roman"/>
          <w:sz w:val="24"/>
          <w:szCs w:val="24"/>
          <w:lang w:val="en-US"/>
        </w:rPr>
        <w:fldChar w:fldCharType="begin" w:fldLock="1"/>
      </w:r>
      <w:r w:rsidR="00FF7E79">
        <w:rPr>
          <w:rFonts w:ascii="Times New Roman" w:hAnsi="Times New Roman" w:cs="Times New Roman"/>
          <w:sz w:val="24"/>
          <w:szCs w:val="24"/>
          <w:lang w:val="en-US"/>
        </w:rPr>
        <w:instrText>ADDIN CSL_CITATION {"citationItems":[{"id":"ITEM-1","itemData":{"author":[{"dropping-particle":"","family":"Becker","given":"Gary S","non-dropping-particle":"","parse-names":false,"suffix":""},{"dropping-particle":"","family":"Stigler","given":"George J","non-dropping-particle":"","parse-names":false,"suffix":""}],"container-title":"Journal of Legal Studies","id":"ITEM-1","issue":"1","issued":{"date-parts":[["1974"]]},"page":"1-18","title":"LAW ENFORCEMENT , MALFEASANCE AND COMPENSATIONS OF ENFORCERS","type":"article-journal","volume":"3"},"uris":["http://www.mendeley.com/documents/?uuid=ccd28173-e799-4260-94d2-6e85effeaa07"]}],"mendeley":{"formattedCitation":"(G. S. Becker &amp; Stigler, 1974)","manualFormatting":"Becker and Stigler (1974)","plainTextFormattedCitation":"(G. S. Becker &amp; Stigler, 1974)","previouslyFormattedCitation":"(G. S. Becker &amp; Stigler, 1974)"},"properties":{"noteIndex":0},"schema":"https://github.com/citation-style-language/schema/raw/master/csl-citation.json"}</w:instrText>
      </w:r>
      <w:r w:rsidR="00C61055">
        <w:rPr>
          <w:rFonts w:ascii="Times New Roman" w:hAnsi="Times New Roman" w:cs="Times New Roman"/>
          <w:sz w:val="24"/>
          <w:szCs w:val="24"/>
          <w:lang w:val="en-US"/>
        </w:rPr>
        <w:fldChar w:fldCharType="separate"/>
      </w:r>
      <w:r w:rsidR="00C61055" w:rsidRPr="00DF0B19">
        <w:rPr>
          <w:rFonts w:ascii="Times New Roman" w:hAnsi="Times New Roman" w:cs="Times New Roman"/>
          <w:noProof/>
          <w:sz w:val="24"/>
          <w:szCs w:val="24"/>
          <w:lang w:val="en-US"/>
        </w:rPr>
        <w:t xml:space="preserve">Becker </w:t>
      </w:r>
      <w:r w:rsidR="00FF7E79">
        <w:rPr>
          <w:rFonts w:ascii="Times New Roman" w:hAnsi="Times New Roman" w:cs="Times New Roman"/>
          <w:noProof/>
          <w:sz w:val="24"/>
          <w:szCs w:val="24"/>
          <w:lang w:val="en-US"/>
        </w:rPr>
        <w:t>and</w:t>
      </w:r>
      <w:r w:rsidR="00C61055" w:rsidRPr="00DF0B19">
        <w:rPr>
          <w:rFonts w:ascii="Times New Roman" w:hAnsi="Times New Roman" w:cs="Times New Roman"/>
          <w:noProof/>
          <w:sz w:val="24"/>
          <w:szCs w:val="24"/>
          <w:lang w:val="en-US"/>
        </w:rPr>
        <w:t xml:space="preserve"> Stigler </w:t>
      </w:r>
      <w:r w:rsidR="00C61055">
        <w:rPr>
          <w:rFonts w:ascii="Times New Roman" w:hAnsi="Times New Roman" w:cs="Times New Roman"/>
          <w:noProof/>
          <w:sz w:val="24"/>
          <w:szCs w:val="24"/>
          <w:lang w:val="en-US"/>
        </w:rPr>
        <w:t>(</w:t>
      </w:r>
      <w:r w:rsidR="00C61055" w:rsidRPr="00C61055">
        <w:rPr>
          <w:rFonts w:ascii="Times New Roman" w:hAnsi="Times New Roman" w:cs="Times New Roman"/>
          <w:noProof/>
          <w:sz w:val="24"/>
          <w:szCs w:val="24"/>
          <w:lang w:val="en-US"/>
        </w:rPr>
        <w:t>1974)</w:t>
      </w:r>
      <w:r w:rsidR="00C61055">
        <w:rPr>
          <w:rFonts w:ascii="Times New Roman" w:hAnsi="Times New Roman" w:cs="Times New Roman"/>
          <w:sz w:val="24"/>
          <w:szCs w:val="24"/>
          <w:lang w:val="en-US"/>
        </w:rPr>
        <w:fldChar w:fldCharType="end"/>
      </w:r>
      <w:r w:rsidRPr="00DF0B19">
        <w:rPr>
          <w:rFonts w:ascii="Times New Roman" w:hAnsi="Times New Roman" w:cs="Times New Roman"/>
          <w:sz w:val="24"/>
          <w:szCs w:val="24"/>
          <w:lang w:val="en-US"/>
        </w:rPr>
        <w:t xml:space="preserve">, </w:t>
      </w:r>
      <w:r w:rsidR="00C61055">
        <w:rPr>
          <w:rFonts w:ascii="Times New Roman" w:hAnsi="Times New Roman" w:cs="Times New Roman"/>
          <w:sz w:val="24"/>
          <w:szCs w:val="24"/>
          <w:lang w:val="en-US"/>
        </w:rPr>
        <w:fldChar w:fldCharType="begin" w:fldLock="1"/>
      </w:r>
      <w:r w:rsidR="000811AB">
        <w:rPr>
          <w:rFonts w:ascii="Times New Roman" w:hAnsi="Times New Roman" w:cs="Times New Roman"/>
          <w:sz w:val="24"/>
          <w:szCs w:val="24"/>
          <w:lang w:val="en-US"/>
        </w:rPr>
        <w:instrText>ADDIN CSL_CITATION {"citationItems":[{"id":"ITEM-1","itemData":{"DOI":"10.1146/annurev-economics-080511-110917","ISSN":"19411383","abstract":"Recent years have seen a remarkable expansion in economists' ability to measure corruption. This in turn has led to a new generation of well-identified, microeconomic studies. We review the evidence on corruption in developing countries in light of these recent advances, focusing on three questions: how much corruption is there, what are the efficiency consequences of corruption, and what determines the level of corruption quest We find robust evidence that corruption responds to standard economic incentive theory but also that the effects of anticorruption policies often attenuate as officials find alternate strategies to pursue rents. © 2012 by Annual Reviews. All rights reserved.","author":[{"dropping-particle":"","family":"Olken","given":"Benjamin A.","non-dropping-particle":"","parse-names":false,"suffix":""},{"dropping-particle":"","family":"Pande","given":"Rohini","non-dropping-particle":"","parse-names":false,"suffix":""}],"container-title":"Annual Review of Economics","id":"ITEM-1","issued":{"date-parts":[["2012"]]},"page":"479-509","title":"Corruption in developing countries","type":"article-journal","volume":"4"},"uris":["http://www.mendeley.com/documents/?uuid=71f1373d-863f-4ffe-8ab4-2dcf467001a9"]}],"mendeley":{"formattedCitation":"(Olken &amp; Pande, 2012)","manualFormatting":"Olken and Pande (2012)","plainTextFormattedCitation":"(Olken &amp; Pande, 2012)","previouslyFormattedCitation":"(Olken &amp; Pande, 2012)"},"properties":{"noteIndex":0},"schema":"https://github.com/citation-style-language/schema/raw/master/csl-citation.json"}</w:instrText>
      </w:r>
      <w:r w:rsidR="00C61055">
        <w:rPr>
          <w:rFonts w:ascii="Times New Roman" w:hAnsi="Times New Roman" w:cs="Times New Roman"/>
          <w:sz w:val="24"/>
          <w:szCs w:val="24"/>
          <w:lang w:val="en-US"/>
        </w:rPr>
        <w:fldChar w:fldCharType="separate"/>
      </w:r>
      <w:r w:rsidR="00C61055" w:rsidRPr="00C61055">
        <w:rPr>
          <w:rFonts w:ascii="Times New Roman" w:hAnsi="Times New Roman" w:cs="Times New Roman"/>
          <w:noProof/>
          <w:sz w:val="24"/>
          <w:szCs w:val="24"/>
          <w:lang w:val="en-US"/>
        </w:rPr>
        <w:t xml:space="preserve">Olken </w:t>
      </w:r>
      <w:r w:rsidR="00FF7E79">
        <w:rPr>
          <w:rFonts w:ascii="Times New Roman" w:hAnsi="Times New Roman" w:cs="Times New Roman"/>
          <w:noProof/>
          <w:sz w:val="24"/>
          <w:szCs w:val="24"/>
          <w:lang w:val="en-US"/>
        </w:rPr>
        <w:t>and</w:t>
      </w:r>
      <w:r w:rsidR="00C61055" w:rsidRPr="00C61055">
        <w:rPr>
          <w:rFonts w:ascii="Times New Roman" w:hAnsi="Times New Roman" w:cs="Times New Roman"/>
          <w:noProof/>
          <w:sz w:val="24"/>
          <w:szCs w:val="24"/>
          <w:lang w:val="en-US"/>
        </w:rPr>
        <w:t xml:space="preserve"> Pande</w:t>
      </w:r>
      <w:r w:rsidR="00C61055">
        <w:rPr>
          <w:rFonts w:ascii="Times New Roman" w:hAnsi="Times New Roman" w:cs="Times New Roman"/>
          <w:noProof/>
          <w:sz w:val="24"/>
          <w:szCs w:val="24"/>
          <w:lang w:val="en-US"/>
        </w:rPr>
        <w:t xml:space="preserve"> (</w:t>
      </w:r>
      <w:r w:rsidR="00C61055" w:rsidRPr="00C61055">
        <w:rPr>
          <w:rFonts w:ascii="Times New Roman" w:hAnsi="Times New Roman" w:cs="Times New Roman"/>
          <w:noProof/>
          <w:sz w:val="24"/>
          <w:szCs w:val="24"/>
          <w:lang w:val="en-US"/>
        </w:rPr>
        <w:t>2012)</w:t>
      </w:r>
      <w:r w:rsidR="00C61055">
        <w:rPr>
          <w:rFonts w:ascii="Times New Roman" w:hAnsi="Times New Roman" w:cs="Times New Roman"/>
          <w:sz w:val="24"/>
          <w:szCs w:val="24"/>
          <w:lang w:val="en-US"/>
        </w:rPr>
        <w:fldChar w:fldCharType="end"/>
      </w:r>
      <w:r w:rsidR="00C61055">
        <w:rPr>
          <w:rFonts w:ascii="Times New Roman" w:hAnsi="Times New Roman" w:cs="Times New Roman"/>
          <w:sz w:val="24"/>
          <w:szCs w:val="24"/>
          <w:lang w:val="en-US"/>
        </w:rPr>
        <w:t xml:space="preserve"> </w:t>
      </w:r>
      <w:r w:rsidRPr="00DF0B19">
        <w:rPr>
          <w:rFonts w:ascii="Times New Roman" w:hAnsi="Times New Roman" w:cs="Times New Roman"/>
          <w:sz w:val="24"/>
          <w:szCs w:val="24"/>
          <w:lang w:val="en-US"/>
        </w:rPr>
        <w:t xml:space="preserve">propose a simplified model (see equation 1) where the rational public agent decides between being honest or corrupt, based on the probability of being punished, the intensity of the punishment, their system of moral values ​​and the culture of their environment. The model assumes the bureaucrat receives a salary (w) from the government and that, in case of dismissal, he will work in the private sector with a salary (v). If he opts for corruption, there will be a probability (p) of being fired from the public sector, receiving (v) </w:t>
      </w:r>
      <w:r w:rsidRPr="00DF0B19">
        <w:rPr>
          <w:rFonts w:ascii="Times New Roman" w:hAnsi="Times New Roman" w:cs="Times New Roman"/>
          <w:sz w:val="24"/>
          <w:szCs w:val="24"/>
          <w:lang w:val="en-US"/>
        </w:rPr>
        <w:lastRenderedPageBreak/>
        <w:t>in the private sector. On the other hand, if his corrupt action is not detected, he will receive a salary (w) plus bribe gains (b), minus a dishonesty cost (d) (which is the psychological “cost” borne by the agent for hurting his set of moral values). Thus, in equilibrium, the individual will choose to be corrupt if and only if the corruption burden (i.e. the wage loss w – v, times the probability p of being discovered) is less than his bonus (i.e. bribery minus dishonesty cost, times the 1-p probability of not getting caught).</w:t>
      </w:r>
      <w:r w:rsidR="00155516">
        <w:rPr>
          <w:rFonts w:ascii="Times New Roman" w:hAnsi="Times New Roman" w:cs="Times New Roman"/>
          <w:sz w:val="24"/>
          <w:szCs w:val="24"/>
          <w:lang w:val="en-US"/>
        </w:rPr>
        <w:tab/>
      </w:r>
    </w:p>
    <w:p w14:paraId="04137904" w14:textId="23908D10" w:rsidR="0088076F" w:rsidRDefault="00B34A13" w:rsidP="00C048AF">
      <w:pPr>
        <w:spacing w:after="0" w:line="360" w:lineRule="auto"/>
        <w:ind w:left="567"/>
        <w:rPr>
          <w:rFonts w:ascii="Cambria Math" w:hAnsi="Cambria Math" w:cs="Times New Roman"/>
          <w:sz w:val="24"/>
          <w:szCs w:val="24"/>
          <w:lang w:val="en-US"/>
        </w:rPr>
      </w:pPr>
      <w:r w:rsidRPr="00E75CCA">
        <w:rPr>
          <w:rFonts w:ascii="Cambria Math" w:hAnsi="Cambria Math" w:cs="Times New Roman"/>
          <w:sz w:val="24"/>
          <w:szCs w:val="24"/>
          <w:lang w:val="en-US"/>
        </w:rPr>
        <w:t>(</w:t>
      </w:r>
      <w:r w:rsidRPr="00B34A13">
        <w:rPr>
          <w:rFonts w:ascii="Cambria Math" w:hAnsi="Cambria Math" w:cs="Cambria Math"/>
          <w:sz w:val="24"/>
          <w:szCs w:val="24"/>
        </w:rPr>
        <w:t>𝑤</w:t>
      </w:r>
      <w:r w:rsidRPr="00E75CCA">
        <w:rPr>
          <w:rFonts w:ascii="Cambria Math" w:hAnsi="Cambria Math" w:cs="Times New Roman"/>
          <w:sz w:val="24"/>
          <w:szCs w:val="24"/>
          <w:lang w:val="en-US"/>
        </w:rPr>
        <w:t xml:space="preserve"> − </w:t>
      </w:r>
      <w:r w:rsidRPr="00B34A13">
        <w:rPr>
          <w:rFonts w:ascii="Cambria Math" w:hAnsi="Cambria Math" w:cs="Cambria Math"/>
          <w:sz w:val="24"/>
          <w:szCs w:val="24"/>
        </w:rPr>
        <w:t>𝑣</w:t>
      </w:r>
      <w:r w:rsidRPr="00E75CCA">
        <w:rPr>
          <w:rFonts w:ascii="Cambria Math" w:hAnsi="Cambria Math" w:cs="Times New Roman"/>
          <w:sz w:val="24"/>
          <w:szCs w:val="24"/>
          <w:lang w:val="en-US"/>
        </w:rPr>
        <w:t xml:space="preserve">) </w:t>
      </w:r>
      <w:r w:rsidRPr="00B34A13">
        <w:rPr>
          <w:rFonts w:ascii="Cambria Math" w:hAnsi="Cambria Math" w:cs="Cambria Math"/>
          <w:sz w:val="24"/>
          <w:szCs w:val="24"/>
        </w:rPr>
        <w:t>𝑝</w:t>
      </w:r>
      <w:r w:rsidRPr="00E75CCA">
        <w:rPr>
          <w:rFonts w:ascii="Cambria Math" w:hAnsi="Cambria Math" w:cs="Times New Roman"/>
          <w:sz w:val="24"/>
          <w:szCs w:val="24"/>
          <w:lang w:val="en-US"/>
        </w:rPr>
        <w:t xml:space="preserve"> &lt; 1 – </w:t>
      </w:r>
      <w:r w:rsidRPr="00B34A13">
        <w:rPr>
          <w:rFonts w:ascii="Cambria Math" w:hAnsi="Cambria Math" w:cs="Cambria Math"/>
          <w:sz w:val="24"/>
          <w:szCs w:val="24"/>
        </w:rPr>
        <w:t>𝑝</w:t>
      </w:r>
      <w:r w:rsidRPr="00E75CCA">
        <w:rPr>
          <w:rFonts w:ascii="Cambria Math" w:hAnsi="Cambria Math" w:cs="Cambria Math"/>
          <w:sz w:val="24"/>
          <w:szCs w:val="24"/>
          <w:lang w:val="en-US"/>
        </w:rPr>
        <w:t xml:space="preserve"> </w:t>
      </w:r>
      <w:r w:rsidRPr="00E75CCA">
        <w:rPr>
          <w:rFonts w:ascii="Cambria Math" w:hAnsi="Cambria Math" w:cs="Times New Roman"/>
          <w:sz w:val="24"/>
          <w:szCs w:val="24"/>
          <w:lang w:val="en-US"/>
        </w:rPr>
        <w:t>(</w:t>
      </w:r>
      <w:r w:rsidRPr="00B34A13">
        <w:rPr>
          <w:rFonts w:ascii="Cambria Math" w:hAnsi="Cambria Math" w:cs="Cambria Math"/>
          <w:sz w:val="24"/>
          <w:szCs w:val="24"/>
        </w:rPr>
        <w:t>𝑏</w:t>
      </w:r>
      <w:r w:rsidRPr="00E75CCA">
        <w:rPr>
          <w:rFonts w:ascii="Cambria Math" w:hAnsi="Cambria Math" w:cs="Times New Roman"/>
          <w:sz w:val="24"/>
          <w:szCs w:val="24"/>
          <w:lang w:val="en-US"/>
        </w:rPr>
        <w:t xml:space="preserve"> − </w:t>
      </w:r>
      <w:r w:rsidRPr="00B34A13">
        <w:rPr>
          <w:rFonts w:ascii="Cambria Math" w:hAnsi="Cambria Math" w:cs="Cambria Math"/>
          <w:sz w:val="24"/>
          <w:szCs w:val="24"/>
        </w:rPr>
        <w:t>𝑑</w:t>
      </w:r>
      <w:r w:rsidRPr="00E75CCA">
        <w:rPr>
          <w:rFonts w:ascii="Cambria Math" w:hAnsi="Cambria Math" w:cs="Times New Roman"/>
          <w:sz w:val="24"/>
          <w:szCs w:val="24"/>
          <w:lang w:val="en-US"/>
        </w:rPr>
        <w:t xml:space="preserve">)                                                                    </w:t>
      </w:r>
      <w:r w:rsidR="00453C59" w:rsidRPr="00E75CCA">
        <w:rPr>
          <w:rFonts w:ascii="Cambria Math" w:hAnsi="Cambria Math" w:cs="Times New Roman"/>
          <w:sz w:val="24"/>
          <w:szCs w:val="24"/>
          <w:lang w:val="en-US"/>
        </w:rPr>
        <w:t xml:space="preserve"> </w:t>
      </w:r>
      <w:r w:rsidRPr="00E75CCA">
        <w:rPr>
          <w:rFonts w:ascii="Cambria Math" w:hAnsi="Cambria Math" w:cs="Times New Roman"/>
          <w:sz w:val="24"/>
          <w:szCs w:val="24"/>
          <w:lang w:val="en-US"/>
        </w:rPr>
        <w:t xml:space="preserve">                          (1)</w:t>
      </w:r>
    </w:p>
    <w:p w14:paraId="7B805BA7" w14:textId="77777777" w:rsidR="00C048AF" w:rsidRPr="00E75CCA" w:rsidRDefault="00C048AF" w:rsidP="00C048AF">
      <w:pPr>
        <w:spacing w:after="0" w:line="360" w:lineRule="auto"/>
        <w:ind w:left="567"/>
        <w:rPr>
          <w:rFonts w:ascii="Cambria Math" w:hAnsi="Cambria Math" w:cs="Times New Roman"/>
          <w:sz w:val="24"/>
          <w:szCs w:val="24"/>
          <w:lang w:val="en-US"/>
        </w:rPr>
      </w:pPr>
    </w:p>
    <w:p w14:paraId="710EA845" w14:textId="50E5C149" w:rsidR="00CF5782" w:rsidRPr="00CF5782" w:rsidRDefault="00CF5782" w:rsidP="00CF5782">
      <w:pPr>
        <w:spacing w:line="360" w:lineRule="auto"/>
        <w:ind w:firstLine="567"/>
        <w:jc w:val="both"/>
        <w:rPr>
          <w:rFonts w:ascii="Times New Roman" w:hAnsi="Times New Roman" w:cs="Times New Roman"/>
          <w:sz w:val="24"/>
          <w:szCs w:val="24"/>
          <w:lang w:val="en-US"/>
        </w:rPr>
      </w:pPr>
      <w:r w:rsidRPr="00CF5782">
        <w:rPr>
          <w:rFonts w:ascii="Times New Roman" w:hAnsi="Times New Roman" w:cs="Times New Roman"/>
          <w:sz w:val="24"/>
          <w:szCs w:val="24"/>
          <w:lang w:val="en-US"/>
        </w:rPr>
        <w:t>The model helps discern the system of stimuli that contribute to corruptions reduction. Ceteris paribus, the government can discourage corruption by raising the bureaucrat salary (w) to increase the loss in case of dismissal. It may also establish stricter punishments (e.g., high fines or imprisonment), reducing the utility and income (v) that the agent would get in the market if fired from the public sector. Educational campaigns and the attempt to institutionalize an anti-corruption culture, inculcating honesty and accountability as core values in the habits of thought of public servants, to raise the cost (d) of dishonesty, can also discourage it. The model predicts that more efficient controls of public sector activity increase the probability (p) of detection and punishment of trickery, helping to reverse the sense of the inequality in equation 1, discouraging corruption</w:t>
      </w:r>
      <w:r>
        <w:rPr>
          <w:rFonts w:ascii="Times New Roman" w:hAnsi="Times New Roman" w:cs="Times New Roman"/>
          <w:sz w:val="24"/>
          <w:szCs w:val="24"/>
          <w:lang w:val="en-US"/>
        </w:rPr>
        <w:t>.</w:t>
      </w:r>
    </w:p>
    <w:p w14:paraId="3B480C60" w14:textId="352090E5" w:rsidR="00315344" w:rsidRDefault="00315344" w:rsidP="0088076F">
      <w:pPr>
        <w:spacing w:line="360" w:lineRule="auto"/>
        <w:ind w:firstLine="567"/>
        <w:jc w:val="both"/>
        <w:rPr>
          <w:rFonts w:ascii="Times New Roman" w:hAnsi="Times New Roman" w:cs="Times New Roman"/>
          <w:sz w:val="24"/>
          <w:szCs w:val="24"/>
          <w:lang w:val="en-US"/>
        </w:rPr>
      </w:pPr>
      <w:r w:rsidRPr="00315344">
        <w:rPr>
          <w:rFonts w:ascii="Times New Roman" w:hAnsi="Times New Roman" w:cs="Times New Roman"/>
          <w:sz w:val="24"/>
          <w:szCs w:val="24"/>
          <w:lang w:val="en-US"/>
        </w:rPr>
        <w:t xml:space="preserve">Because of this inverse relationship between controls and corruption, the Brazilian federal constitution of 1988 defined a public expenditure control system for the Federal, State, and Municipal levels, which divides into two categories: “internal control” and “external control” </w:t>
      </w:r>
      <w:r w:rsidR="000811AB">
        <w:rPr>
          <w:rFonts w:ascii="Times New Roman" w:hAnsi="Times New Roman" w:cs="Times New Roman"/>
          <w:sz w:val="24"/>
          <w:szCs w:val="24"/>
          <w:lang w:val="en-US"/>
        </w:rPr>
        <w:fldChar w:fldCharType="begin" w:fldLock="1"/>
      </w:r>
      <w:r w:rsidR="000811AB">
        <w:rPr>
          <w:rFonts w:ascii="Times New Roman" w:hAnsi="Times New Roman" w:cs="Times New Roman"/>
          <w:sz w:val="24"/>
          <w:szCs w:val="24"/>
          <w:lang w:val="en-US"/>
        </w:rPr>
        <w:instrText>ADDIN CSL_CITATION {"citationItems":[{"id":"ITEM-1","itemData":{"author":[{"dropping-particle":"","family":"Nóbrega","given":"Marcos","non-dropping-particle":"","parse-names":false,"suffix":""}],"id":"ITEM-1","issued":{"date-parts":[["2011"]]},"publisher":"Editora Forum","publisher-place":"São Paulo","title":"Os Tribunais de Contas e o controle dos programas sociais","type":"book"},"uris":["http://www.mendeley.com/documents/?uuid=269870d8-1e0d-4149-9ba5-d278c7091c80"]}],"mendeley":{"formattedCitation":"(Nóbrega, 2011)","plainTextFormattedCitation":"(Nóbrega, 2011)","previouslyFormattedCitation":"(Nóbrega, 2011)"},"properties":{"noteIndex":0},"schema":"https://github.com/citation-style-language/schema/raw/master/csl-citation.json"}</w:instrText>
      </w:r>
      <w:r w:rsidR="000811AB">
        <w:rPr>
          <w:rFonts w:ascii="Times New Roman" w:hAnsi="Times New Roman" w:cs="Times New Roman"/>
          <w:sz w:val="24"/>
          <w:szCs w:val="24"/>
          <w:lang w:val="en-US"/>
        </w:rPr>
        <w:fldChar w:fldCharType="separate"/>
      </w:r>
      <w:r w:rsidR="000811AB" w:rsidRPr="000811AB">
        <w:rPr>
          <w:rFonts w:ascii="Times New Roman" w:hAnsi="Times New Roman" w:cs="Times New Roman"/>
          <w:noProof/>
          <w:sz w:val="24"/>
          <w:szCs w:val="24"/>
          <w:lang w:val="en-US"/>
        </w:rPr>
        <w:t>(Nóbrega, 2011)</w:t>
      </w:r>
      <w:r w:rsidR="000811AB">
        <w:rPr>
          <w:rFonts w:ascii="Times New Roman" w:hAnsi="Times New Roman" w:cs="Times New Roman"/>
          <w:sz w:val="24"/>
          <w:szCs w:val="24"/>
          <w:lang w:val="en-US"/>
        </w:rPr>
        <w:fldChar w:fldCharType="end"/>
      </w:r>
      <w:r w:rsidRPr="00315344">
        <w:rPr>
          <w:rFonts w:ascii="Times New Roman" w:hAnsi="Times New Roman" w:cs="Times New Roman"/>
          <w:sz w:val="24"/>
          <w:szCs w:val="24"/>
          <w:lang w:val="en-US"/>
        </w:rPr>
        <w:t>. Internal control refers to the set of policies and procedures adopted by an entity to ensure that its transactions run properly, avoiding misuse, deviations, and waste</w:t>
      </w:r>
      <w:r w:rsidR="000811AB">
        <w:rPr>
          <w:rFonts w:ascii="Times New Roman" w:hAnsi="Times New Roman" w:cs="Times New Roman"/>
          <w:sz w:val="24"/>
          <w:szCs w:val="24"/>
          <w:lang w:val="en-US"/>
        </w:rPr>
        <w:t xml:space="preserve"> </w:t>
      </w:r>
      <w:r w:rsidR="000811AB">
        <w:rPr>
          <w:rFonts w:ascii="Times New Roman" w:hAnsi="Times New Roman" w:cs="Times New Roman"/>
          <w:sz w:val="24"/>
          <w:szCs w:val="24"/>
          <w:lang w:val="en-US"/>
        </w:rPr>
        <w:fldChar w:fldCharType="begin" w:fldLock="1"/>
      </w:r>
      <w:r w:rsidR="000811AB">
        <w:rPr>
          <w:rFonts w:ascii="Times New Roman" w:hAnsi="Times New Roman" w:cs="Times New Roman"/>
          <w:sz w:val="24"/>
          <w:szCs w:val="24"/>
          <w:lang w:val="en-US"/>
        </w:rPr>
        <w:instrText>ADDIN CSL_CITATION {"citationItems":[{"id":"ITEM-1","itemData":{"abstract":"The purpose of this study is to establish the relationship between internal control activities and financial performance in Tertiary Institutions in Nigeria. The study area is Cross River State College of Education, Akamkpa. Data was collected using questionnaires and interview guide as well as review of documents and articles. The method of analysis employed was survey design while the stratified sampling procedure was adopted in administering the questionnaires. The data were analyzed using simple percentages, tables, correlation coefficient and z-scores. The study revealed that all activities of the College are initiated by the top management. Regarding control activities, the study found that there is clear separation of role in the institutions’ finance and account department and that superior officer in the College supervised regularly work done by their subordinate. Also, the study found that the institution financial statements are audited annually by external auditors. However, there is a possibility for a single staff to have access to all valuable financial information without the consent of other staff. On the budgetary control, the study revealed that the institution adhere strictly to the provisions of annual departmental budget and that control are in place to exclude incurring expenditure in excess of allocated fund. Also, there is poor security network in the College. The study result further shows that there is no significant relationship between internal control activities and financial performance of Cross River State College of Education. The investigation recommends proper checks and balances in all financial transactions. There should be effective and efficient security network to reduce frequent theft, threat to life and property. The study also recommends that management of the institution should organize regular training for staff on control mechanism.","author":[{"dropping-particle":"","family":"Ejoh","given":"Ndifon","non-dropping-particle":"","parse-names":false,"suffix":""},{"dropping-particle":"","family":"Ejom","given":"Patrick","non-dropping-particle":"","parse-names":false,"suffix":""}],"id":"ITEM-1","issue":"16","issued":{"date-parts":[["2014"]]},"page":"133-144","title":"The Impact of Internal Control Activities on Financial Performance of Tertiary Institutions in Nigeria","type":"article-journal","volume":"5"},"uris":["http://www.mendeley.com/documents/?uuid=863d1147-57b4-4531-8c03-28ed7a39069e"]}],"mendeley":{"formattedCitation":"(Ejoh &amp; Ejom, 2014)","plainTextFormattedCitation":"(Ejoh &amp; Ejom, 2014)","previouslyFormattedCitation":"(Ejoh &amp; Ejom, 2014)"},"properties":{"noteIndex":0},"schema":"https://github.com/citation-style-language/schema/raw/master/csl-citation.json"}</w:instrText>
      </w:r>
      <w:r w:rsidR="000811AB">
        <w:rPr>
          <w:rFonts w:ascii="Times New Roman" w:hAnsi="Times New Roman" w:cs="Times New Roman"/>
          <w:sz w:val="24"/>
          <w:szCs w:val="24"/>
          <w:lang w:val="en-US"/>
        </w:rPr>
        <w:fldChar w:fldCharType="separate"/>
      </w:r>
      <w:r w:rsidR="000811AB" w:rsidRPr="000811AB">
        <w:rPr>
          <w:rFonts w:ascii="Times New Roman" w:hAnsi="Times New Roman" w:cs="Times New Roman"/>
          <w:noProof/>
          <w:sz w:val="24"/>
          <w:szCs w:val="24"/>
          <w:lang w:val="en-US"/>
        </w:rPr>
        <w:t>(Ejoh &amp; Ejom, 2014)</w:t>
      </w:r>
      <w:r w:rsidR="000811AB">
        <w:rPr>
          <w:rFonts w:ascii="Times New Roman" w:hAnsi="Times New Roman" w:cs="Times New Roman"/>
          <w:sz w:val="24"/>
          <w:szCs w:val="24"/>
          <w:lang w:val="en-US"/>
        </w:rPr>
        <w:fldChar w:fldCharType="end"/>
      </w:r>
      <w:r w:rsidRPr="00315344">
        <w:rPr>
          <w:rFonts w:ascii="Times New Roman" w:hAnsi="Times New Roman" w:cs="Times New Roman"/>
          <w:sz w:val="24"/>
          <w:szCs w:val="24"/>
          <w:lang w:val="en-US"/>
        </w:rPr>
        <w:t xml:space="preserve">. The Comptroller General of the Union (CGU), a body linked to the Presidency of the Republic, conducts internal control in the federal executive bodies, federal public programs, and policies, whose resources and management transferred from the Union to the municipalities </w:t>
      </w:r>
      <w:r w:rsidR="000811AB">
        <w:rPr>
          <w:rFonts w:ascii="Times New Roman" w:hAnsi="Times New Roman" w:cs="Times New Roman"/>
          <w:sz w:val="24"/>
          <w:szCs w:val="24"/>
          <w:lang w:val="en-US"/>
        </w:rPr>
        <w:fldChar w:fldCharType="begin" w:fldLock="1"/>
      </w:r>
      <w:r w:rsidR="000811AB">
        <w:rPr>
          <w:rFonts w:ascii="Times New Roman" w:hAnsi="Times New Roman" w:cs="Times New Roman"/>
          <w:sz w:val="24"/>
          <w:szCs w:val="24"/>
          <w:lang w:val="en-US"/>
        </w:rPr>
        <w:instrText>ADDIN CSL_CITATION {"citationItems":[{"id":"ITEM-1","itemData":{"author":[{"dropping-particle":"","family":"Oliveira Junior","given":"Temístocles","non-dropping-particle":"","parse-names":false,"suffix":""},{"dropping-particle":"","family":"Mendes","given":"Arnaldo Paulo","non-dropping-particle":"","parse-names":false,"suffix":""}],"container-title":"Revista do Serviço Público","id":"ITEM-1","issue":"3","issued":{"date-parts":[["2014"]]},"page":"291-318","title":"The fundamentals of corruption- fighting within the accountability program of the Brazilian Federal Government","type":"article-journal","volume":"67"},"uris":["http://www.mendeley.com/documents/?uuid=468bb76d-28c3-4173-bf13-dc5825db5fcb"]}],"mendeley":{"formattedCitation":"(Oliveira Junior &amp; Mendes, 2014)","plainTextFormattedCitation":"(Oliveira Junior &amp; Mendes, 2014)","previouslyFormattedCitation":"(Oliveira Junior &amp; Mendes, 2014)"},"properties":{"noteIndex":0},"schema":"https://github.com/citation-style-language/schema/raw/master/csl-citation.json"}</w:instrText>
      </w:r>
      <w:r w:rsidR="000811AB">
        <w:rPr>
          <w:rFonts w:ascii="Times New Roman" w:hAnsi="Times New Roman" w:cs="Times New Roman"/>
          <w:sz w:val="24"/>
          <w:szCs w:val="24"/>
          <w:lang w:val="en-US"/>
        </w:rPr>
        <w:fldChar w:fldCharType="separate"/>
      </w:r>
      <w:r w:rsidR="000811AB" w:rsidRPr="000811AB">
        <w:rPr>
          <w:rFonts w:ascii="Times New Roman" w:hAnsi="Times New Roman" w:cs="Times New Roman"/>
          <w:noProof/>
          <w:sz w:val="24"/>
          <w:szCs w:val="24"/>
          <w:lang w:val="en-US"/>
        </w:rPr>
        <w:t>(Oliveira Junior &amp; Mendes, 2014)</w:t>
      </w:r>
      <w:r w:rsidR="000811AB">
        <w:rPr>
          <w:rFonts w:ascii="Times New Roman" w:hAnsi="Times New Roman" w:cs="Times New Roman"/>
          <w:sz w:val="24"/>
          <w:szCs w:val="24"/>
          <w:lang w:val="en-US"/>
        </w:rPr>
        <w:fldChar w:fldCharType="end"/>
      </w:r>
      <w:r w:rsidRPr="00315344">
        <w:rPr>
          <w:rFonts w:ascii="Times New Roman" w:hAnsi="Times New Roman" w:cs="Times New Roman"/>
          <w:sz w:val="24"/>
          <w:szCs w:val="24"/>
          <w:lang w:val="en-US"/>
        </w:rPr>
        <w:t xml:space="preserve">. As established by </w:t>
      </w:r>
      <w:r>
        <w:rPr>
          <w:rFonts w:ascii="Times New Roman" w:hAnsi="Times New Roman" w:cs="Times New Roman"/>
          <w:sz w:val="24"/>
          <w:szCs w:val="24"/>
          <w:lang w:val="en-US"/>
        </w:rPr>
        <w:t xml:space="preserve">Federal </w:t>
      </w:r>
      <w:r w:rsidRPr="00315344">
        <w:rPr>
          <w:rFonts w:ascii="Times New Roman" w:hAnsi="Times New Roman" w:cs="Times New Roman"/>
          <w:sz w:val="24"/>
          <w:szCs w:val="24"/>
          <w:lang w:val="en-US"/>
        </w:rPr>
        <w:t>law 13.341/16, it is up to the CGU to assess the legality and evaluate the results regarding the effectiveness and efficiency of budgetary and asset management in the bodies and entities of the Federal Public Administration. Although it represents the main pillar of the Brazilian public expenditure control system, internal control has severe weaknesses. Because of the continental dimensions of Brazil, it becomes impracticable for the Comptroller General of the Union to meet all its demands. Therefore, the CGU needs to resort to a randomized lottery procedure, to select a representative sample of municipalities of each Brazilian region and then audit it</w:t>
      </w:r>
      <w:r w:rsidR="000811AB">
        <w:rPr>
          <w:rFonts w:ascii="Times New Roman" w:hAnsi="Times New Roman" w:cs="Times New Roman"/>
          <w:sz w:val="24"/>
          <w:szCs w:val="24"/>
          <w:lang w:val="en-US"/>
        </w:rPr>
        <w:t xml:space="preserve"> </w:t>
      </w:r>
      <w:r w:rsidR="000811AB">
        <w:rPr>
          <w:rFonts w:ascii="Times New Roman" w:hAnsi="Times New Roman" w:cs="Times New Roman"/>
          <w:sz w:val="24"/>
          <w:szCs w:val="24"/>
          <w:lang w:val="en-US"/>
        </w:rPr>
        <w:fldChar w:fldCharType="begin" w:fldLock="1"/>
      </w:r>
      <w:r w:rsidR="000811AB">
        <w:rPr>
          <w:rFonts w:ascii="Times New Roman" w:hAnsi="Times New Roman" w:cs="Times New Roman"/>
          <w:sz w:val="24"/>
          <w:szCs w:val="24"/>
          <w:lang w:val="en-US"/>
        </w:rPr>
        <w:instrText>ADDIN CSL_CITATION {"citationItems":[{"id":"ITEM-1","itemData":{"DOI":"10.1590/0103-6351/3050","ISSN":"0103-6351","abstract":"Resumo O presente artigo avalia a probabilidade de ocorrência de corrupção municipal a partir de modelos de contagem, tendo como variáveis de interesse os achados irregulares de fiscalização considerados médios e graves, extraídos de 1600 relatórios da Controladoria-Geral da União-CGU referentes aos municípios brasileiros. Foram estimadas e testadas as sensibilidades destas irregularidades ao volume de recursos fiscalizados do município, ao seu estágio de desenvolvimento, à atuação do controle social, a sua caracterização demográfica, ao efeito contágio de um município limítrofe corrupto, ao caso de segundo mandato do prefeito e ao seu partido político. Os resultados mostraram que as irregularidades tendem a aumentar nos municípios com maiores volumes de recursos recebidos, quando o controle social tem fraca atuação, quando o mesmo possui baixo desenvolvimento e alta densidade demográfica, e são vizinhos de municípios com problemas de corrupção. Dezesseis irregularidades médias e seis graves são encontradas a cada R$ 100 milhões de recursos recebidos por um município.Abstract This article assesses the tendency to municipal corruption based on counting models, which have as response variables the findings recorded in 1600 audit reports of the Controladoria-Geral da União, CGU, referring to the Brazilian municipalities. The sensitivities of these irregularities were estimated an tested as a function of the volume of resources inspected, to their stage of development, to the role of social control, to its demographic characteristics, to the contagion effect among neighboring municipalities, to the second mandate of the mayor and his political party. The results have shown that the municipalities with medium and severe findings are those that receive a high percentage of resource transfers, they also have weak social control and a low level of municipal development, they are not sparsely populated and have neighboring municipalities with corruption problems. Sixteen medium irregularities and six serious irregularities are found of every R$ 100 million of resources received by a municipality.","author":[{"dropping-particle":"","family":"Campos","given":"Francisco de Assis Oliveira","non-dropping-particle":"","parse-names":false,"suffix":""},{"dropping-particle":"","family":"Castelar","given":"Ivan","non-dropping-particle":"","parse-names":false,"suffix":""},{"dropping-particle":"","family":"Soares","given":"Ricardo Brito","non-dropping-particle":"","parse-names":false,"suffix":""}],"container-title":"Nova Economia","id":"ITEM-1","issue":"3","issued":{"date-parts":[["2018"]]},"page":"879-911","title":"Fatores associados à corrupção municipal em transferências de recursos da União","type":"article-journal","volume":"28"},"uris":["http://www.mendeley.com/documents/?uuid=e04e3c07-8aec-48d2-b185-cd82f6950591"]}],"mendeley":{"formattedCitation":"(Campos et al., 2018)","plainTextFormattedCitation":"(Campos et al., 2018)","previouslyFormattedCitation":"(Campos et al., 2018)"},"properties":{"noteIndex":0},"schema":"https://github.com/citation-style-language/schema/raw/master/csl-citation.json"}</w:instrText>
      </w:r>
      <w:r w:rsidR="000811AB">
        <w:rPr>
          <w:rFonts w:ascii="Times New Roman" w:hAnsi="Times New Roman" w:cs="Times New Roman"/>
          <w:sz w:val="24"/>
          <w:szCs w:val="24"/>
          <w:lang w:val="en-US"/>
        </w:rPr>
        <w:fldChar w:fldCharType="separate"/>
      </w:r>
      <w:r w:rsidR="000811AB" w:rsidRPr="000811AB">
        <w:rPr>
          <w:rFonts w:ascii="Times New Roman" w:hAnsi="Times New Roman" w:cs="Times New Roman"/>
          <w:noProof/>
          <w:sz w:val="24"/>
          <w:szCs w:val="24"/>
          <w:lang w:val="en-US"/>
        </w:rPr>
        <w:t>(Campos et al., 2018)</w:t>
      </w:r>
      <w:r w:rsidR="000811AB">
        <w:rPr>
          <w:rFonts w:ascii="Times New Roman" w:hAnsi="Times New Roman" w:cs="Times New Roman"/>
          <w:sz w:val="24"/>
          <w:szCs w:val="24"/>
          <w:lang w:val="en-US"/>
        </w:rPr>
        <w:fldChar w:fldCharType="end"/>
      </w:r>
      <w:r w:rsidR="000811AB">
        <w:rPr>
          <w:rFonts w:ascii="Times New Roman" w:hAnsi="Times New Roman" w:cs="Times New Roman"/>
          <w:sz w:val="24"/>
          <w:szCs w:val="24"/>
          <w:lang w:val="en-US"/>
        </w:rPr>
        <w:t>.</w:t>
      </w:r>
    </w:p>
    <w:p w14:paraId="38844D90" w14:textId="797E734F" w:rsidR="00EF5A0B" w:rsidRPr="00EF5A0B" w:rsidRDefault="00EF5A0B" w:rsidP="00EF5A0B">
      <w:pPr>
        <w:spacing w:line="360" w:lineRule="auto"/>
        <w:ind w:firstLine="567"/>
        <w:jc w:val="both"/>
        <w:rPr>
          <w:rFonts w:ascii="Times New Roman" w:hAnsi="Times New Roman" w:cs="Times New Roman"/>
          <w:sz w:val="24"/>
          <w:szCs w:val="24"/>
          <w:lang w:val="en-US"/>
        </w:rPr>
      </w:pPr>
      <w:r w:rsidRPr="00EF5A0B">
        <w:rPr>
          <w:rFonts w:ascii="Times New Roman" w:hAnsi="Times New Roman" w:cs="Times New Roman"/>
          <w:sz w:val="24"/>
          <w:szCs w:val="24"/>
          <w:lang w:val="en-US"/>
        </w:rPr>
        <w:lastRenderedPageBreak/>
        <w:t xml:space="preserve">At the state and municipal levels, the internal controls situation of the local executive is no better. According to </w:t>
      </w:r>
      <w:r w:rsidR="000811AB">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{"citationItems":[{"id":"ITEM-1","itemData":{"author":[{"dropping-particle":"","family":"Nóbrega","given":"Marcos","non-dropping-particle":"","parse-names":false,"suffix":""}],"id":"ITEM-1","issued":{"date-parts":[["2011"]]},"publisher":"Editora Forum","publisher-place":"São Paulo","title":"Os Tribunais de Contas e o controle dos programas sociais","type":"book"},"uris":["http://www.mendeley.com/documents/?uuid=269870d8-1e0d-4149-9ba5-d278c7091c80"]}],"mendeley":{"formattedCitation":"(Nóbrega, 2011)","manualFormatting":"Nóbrega (2011)","plainTextFormattedCitation":"(Nóbrega, 2011)","previouslyFormattedCitation":"(Nóbrega, 2011)"},"properties":{"noteIndex":0},"schema":"https://github.com/citation-style-language/schema/raw/master/csl-citation.json"}</w:instrText>
      </w:r>
      <w:r w:rsidR="000811AB">
        <w:rPr>
          <w:rFonts w:ascii="Times New Roman" w:hAnsi="Times New Roman" w:cs="Times New Roman"/>
          <w:sz w:val="24"/>
          <w:szCs w:val="24"/>
          <w:lang w:val="en-US"/>
        </w:rPr>
        <w:fldChar w:fldCharType="separate"/>
      </w:r>
      <w:r w:rsidR="000811AB" w:rsidRPr="000811AB">
        <w:rPr>
          <w:rFonts w:ascii="Times New Roman" w:hAnsi="Times New Roman" w:cs="Times New Roman"/>
          <w:noProof/>
          <w:sz w:val="24"/>
          <w:szCs w:val="24"/>
          <w:lang w:val="en-US"/>
        </w:rPr>
        <w:t>Nóbrega</w:t>
      </w:r>
      <w:r w:rsidR="000811AB">
        <w:rPr>
          <w:rFonts w:ascii="Times New Roman" w:hAnsi="Times New Roman" w:cs="Times New Roman"/>
          <w:noProof/>
          <w:sz w:val="24"/>
          <w:szCs w:val="24"/>
          <w:lang w:val="en-US"/>
        </w:rPr>
        <w:t xml:space="preserve"> (</w:t>
      </w:r>
      <w:r w:rsidR="000811AB" w:rsidRPr="000811AB">
        <w:rPr>
          <w:rFonts w:ascii="Times New Roman" w:hAnsi="Times New Roman" w:cs="Times New Roman"/>
          <w:noProof/>
          <w:sz w:val="24"/>
          <w:szCs w:val="24"/>
          <w:lang w:val="en-US"/>
        </w:rPr>
        <w:t>2011)</w:t>
      </w:r>
      <w:r w:rsidR="000811AB">
        <w:rPr>
          <w:rFonts w:ascii="Times New Roman" w:hAnsi="Times New Roman" w:cs="Times New Roman"/>
          <w:sz w:val="24"/>
          <w:szCs w:val="24"/>
          <w:lang w:val="en-US"/>
        </w:rPr>
        <w:fldChar w:fldCharType="end"/>
      </w:r>
      <w:r w:rsidR="000811AB">
        <w:rPr>
          <w:rFonts w:ascii="Times New Roman" w:hAnsi="Times New Roman" w:cs="Times New Roman"/>
          <w:sz w:val="24"/>
          <w:szCs w:val="24"/>
          <w:lang w:val="en-US"/>
        </w:rPr>
        <w:t xml:space="preserve"> </w:t>
      </w:r>
      <w:r w:rsidRPr="00EF5A0B">
        <w:rPr>
          <w:rFonts w:ascii="Times New Roman" w:hAnsi="Times New Roman" w:cs="Times New Roman"/>
          <w:sz w:val="24"/>
          <w:szCs w:val="24"/>
          <w:lang w:val="en-US"/>
        </w:rPr>
        <w:t>in many states, internal control, which should be part of the government's core, reduces to an agency linked to the Secretary of Finance without its own staff. While in municipalities, especially in the smaller and more impoverished ones, the poor quality of the bureaucracy and the permeability to the interests of local elites represent obstacles to establishing controls. As stated by Nóbrega (op. cit, p. 61) “In small municipalities, control does not seem to be a value and the mayor has little or no interest in implementing”</w:t>
      </w:r>
    </w:p>
    <w:p w14:paraId="41C36F71" w14:textId="77777777" w:rsidR="005D2AFE" w:rsidRPr="005D2AFE" w:rsidRDefault="005D2AFE" w:rsidP="005D2AFE">
      <w:pPr>
        <w:spacing w:line="360" w:lineRule="auto"/>
        <w:ind w:firstLine="567"/>
        <w:jc w:val="both"/>
        <w:rPr>
          <w:rFonts w:ascii="Times New Roman" w:hAnsi="Times New Roman" w:cs="Times New Roman"/>
          <w:sz w:val="24"/>
          <w:szCs w:val="24"/>
          <w:lang w:val="en-US"/>
        </w:rPr>
      </w:pPr>
      <w:r w:rsidRPr="005D2AFE">
        <w:rPr>
          <w:rFonts w:ascii="Times New Roman" w:hAnsi="Times New Roman" w:cs="Times New Roman"/>
          <w:sz w:val="24"/>
          <w:szCs w:val="24"/>
          <w:lang w:val="en-US"/>
        </w:rPr>
        <w:t>External control is the legislative branch’s perquisite to supervise the executive branch’s spending. To guarantee the system of checks and balances necessary for democracy, article 49 (item X) of the 1988 Brazilian Federal Constitution establishes that the national congress has the competence to “inspect and control, directly, or through any of its Houses, the acts of the Executive Branch”. This inspection, in charge of the legislators, is not, thus, exercised by senators, deputies, and councilors, but by the Federal and State audit courts on their behalf. At the municipal level, the TCEs inspect expenditures financed by tax resources from the municipality itself and by state transfers, while the TCU inspects municipal spending of Federal resources transferred by the Union for the local management of federal social programs.</w:t>
      </w:r>
    </w:p>
    <w:p w14:paraId="52A0013A" w14:textId="40F4A895" w:rsidR="00C760DA" w:rsidRPr="00C760DA" w:rsidRDefault="00C760DA" w:rsidP="00C760DA">
      <w:pPr>
        <w:spacing w:line="360" w:lineRule="auto"/>
        <w:ind w:firstLine="567"/>
        <w:jc w:val="both"/>
        <w:rPr>
          <w:rFonts w:ascii="Times New Roman" w:hAnsi="Times New Roman" w:cs="Times New Roman"/>
          <w:sz w:val="24"/>
          <w:szCs w:val="24"/>
          <w:lang w:val="en-US"/>
        </w:rPr>
      </w:pPr>
      <w:r w:rsidRPr="00C760DA">
        <w:rPr>
          <w:rFonts w:ascii="Times New Roman" w:hAnsi="Times New Roman" w:cs="Times New Roman"/>
          <w:sz w:val="24"/>
          <w:szCs w:val="24"/>
          <w:lang w:val="en-US"/>
        </w:rPr>
        <w:t>Concerning TCEs, however, there is evidence that these institutions have not fulfilled their role fully and transparently. An independent assessment by the “Fundação Getúlio Vargas – RJ” university in partnership with the Brazilian Ministry of Justice found TCEs do not meet the minimum standards established by the Law of Access to Information (LAI), both in terms of active and passive transparency</w:t>
      </w:r>
      <w:r w:rsidR="00544756">
        <w:rPr>
          <w:rFonts w:ascii="Times New Roman" w:hAnsi="Times New Roman" w:cs="Times New Roman"/>
          <w:sz w:val="24"/>
          <w:szCs w:val="24"/>
          <w:lang w:val="en-US"/>
        </w:rPr>
        <w:t xml:space="preserve"> </w:t>
      </w:r>
      <w:r w:rsidR="00544756">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author":[{"dropping-particle":"","family":"Oliveira","given":"M.","non-dropping-particle":"","parse-names":false,"suffix":""},{"dropping-particle":"","family":"Rodrigues","given":"K.","non-dropping-particle":"","parse-names":false,"suffix":""}],"container-title":"Diagnóstico Institucional: primeiros passos para um plano nacional anticorrupção.","editor":[{"dropping-particle":"","family":"Mohallem","given":"M. F.;","non-dropping-particle":"","parse-names":false,"suffix":""},{"dropping-particle":"","family":"Ragazzo","given":"C. E.","non-dropping-particle":"","parse-names":false,"suffix":""}],"id":"ITEM-1","issued":{"date-parts":[["2017"]]},"publisher":"FGV - Direito Rio","publisher-place":"Rio de Janeiro","title":"Transparência em contas públicas no âmbito local no Brasil.","type":"chapter"},"uris":["http://www.mendeley.com/documents/?uuid=bc39f94a-e14e-4679-a4d5-afe1e6868089"]}],"mendeley":{"formattedCitation":"(Oliveira &amp; Rodrigues, 2017)","plainTextFormattedCitation":"(Oliveira &amp; Rodrigues, 2017)","previouslyFormattedCitation":"(Oliveira &amp; Rodrigues, 2017)"},"properties":{"noteIndex":0},"schema":"https://github.com/citation-style-language/schema/raw/master/csl-citation.json"}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(Oliveira &amp; Rodrigues, 2017)</w:t>
      </w:r>
      <w:r w:rsidR="00544756">
        <w:rPr>
          <w:rFonts w:ascii="Times New Roman" w:hAnsi="Times New Roman" w:cs="Times New Roman"/>
          <w:sz w:val="24"/>
          <w:szCs w:val="24"/>
          <w:lang w:val="en-US"/>
        </w:rPr>
        <w:fldChar w:fldCharType="end"/>
      </w:r>
      <w:r w:rsidRPr="00C760DA">
        <w:rPr>
          <w:rFonts w:ascii="Times New Roman" w:hAnsi="Times New Roman" w:cs="Times New Roman"/>
          <w:sz w:val="24"/>
          <w:szCs w:val="24"/>
          <w:lang w:val="en-US"/>
        </w:rPr>
        <w:t xml:space="preserve">. In addition, both in the TCU and in the TCEs, political indications from the legislative and executive branches appoint the ministers and counselors who work there, without a careful analysis of professional competencies and academic merits </w:t>
      </w:r>
      <w:r w:rsidR="00544756">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{"citationItems":[{"id":"ITEM-1","itemData":{"author":[{"dropping-particle":"","family":"France","given":"Guilherme","non-dropping-particle":"","parse-names":false,"suffix":""}],"id":"ITEM-1","issued":{"date-parts":[["2019"]]},"publisher":"Transparência Internacional","publisher-place":"São Paulo","title":"Brazil : Overview of corruption and anti-corruption","type":"article"},"uris":["http://www.mendeley.com/documents/?uuid=f80cd8c9-79dd-4d79-a9ed-ecd49e554e67"]}],"mendeley":{"formattedCitation":"(France, 2019)","plainTextFormattedCitation":"(France, 2019)","previouslyFormattedCitation":"(France, 2019)"},"properties":{"noteIndex":0},"schema":"https://github.com/citation-style-language/schema/raw/master/csl-citation.json"}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(France, 2019)</w:t>
      </w:r>
      <w:r w:rsidR="00544756">
        <w:rPr>
          <w:rFonts w:ascii="Times New Roman" w:hAnsi="Times New Roman" w:cs="Times New Roman"/>
          <w:sz w:val="24"/>
          <w:szCs w:val="24"/>
          <w:lang w:val="en-US"/>
        </w:rPr>
        <w:fldChar w:fldCharType="end"/>
      </w:r>
      <w:r w:rsidRPr="00C760DA">
        <w:rPr>
          <w:rFonts w:ascii="Times New Roman" w:hAnsi="Times New Roman" w:cs="Times New Roman"/>
          <w:sz w:val="24"/>
          <w:szCs w:val="24"/>
          <w:lang w:val="en-US"/>
        </w:rPr>
        <w:t xml:space="preserve">. The frequent practice of unethical patronage lead, according to </w:t>
      </w:r>
      <w:r w:rsidR="00544756">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{"citationItems":[{"id":"ITEM-1","itemData":{"URL":"https://www.transparencia.org.br/downloads/publicacoes/TBrasil - Tribunais de Contas 2016.pdf","author":[{"dropping-particle":"","family":"Sakai","given":"Juliana","non-dropping-particle":"","parse-names":false,"suffix":""},{"dropping-particle":"","family":"Paiva","given":"Natália","non-dropping-particle":"","parse-names":false,"suffix":""}],"container-title":"Transparência Brasil","id":"ITEM-1","issued":{"date-parts":[["2016"]]},"page":"1-32","title":"Quem são os conselheiros dos Tribunais de Contas","type":"webpage"},"uris":["http://www.mendeley.com/documents/?uuid=7aeb95ca-c146-41d0-a8aa-4ac3b35122dc"]}],"mendeley":{"formattedCitation":"(Sakai &amp; Paiva, 2016)","manualFormatting":"Sakai &amp; Paiva (2016)","plainTextFormattedCitation":"(Sakai &amp; Paiva, 2016)","previouslyFormattedCitation":"(Sakai &amp; Paiva, 2016)"},"properties":{"noteIndex":0},"schema":"https://github.com/citation-style-language/schema/raw/master/csl-citation.json"}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Sakai &amp; Paiva</w:t>
      </w:r>
      <w:r w:rsidR="00544756">
        <w:rPr>
          <w:rFonts w:ascii="Times New Roman" w:hAnsi="Times New Roman" w:cs="Times New Roman"/>
          <w:noProof/>
          <w:sz w:val="24"/>
          <w:szCs w:val="24"/>
          <w:lang w:val="en-US"/>
        </w:rPr>
        <w:t xml:space="preserve"> (</w:t>
      </w:r>
      <w:r w:rsidR="00544756" w:rsidRPr="00544756">
        <w:rPr>
          <w:rFonts w:ascii="Times New Roman" w:hAnsi="Times New Roman" w:cs="Times New Roman"/>
          <w:noProof/>
          <w:sz w:val="24"/>
          <w:szCs w:val="24"/>
          <w:lang w:val="en-US"/>
        </w:rPr>
        <w:t>2016)</w:t>
      </w:r>
      <w:r w:rsidR="00544756">
        <w:rPr>
          <w:rFonts w:ascii="Times New Roman" w:hAnsi="Times New Roman" w:cs="Times New Roman"/>
          <w:sz w:val="24"/>
          <w:szCs w:val="24"/>
          <w:lang w:val="en-US"/>
        </w:rPr>
        <w:fldChar w:fldCharType="end"/>
      </w:r>
      <w:r w:rsidRPr="00C760DA">
        <w:rPr>
          <w:rFonts w:ascii="Times New Roman" w:hAnsi="Times New Roman" w:cs="Times New Roman"/>
          <w:sz w:val="24"/>
          <w:szCs w:val="24"/>
          <w:lang w:val="en-US"/>
        </w:rPr>
        <w:t>, to a politicization of the audit courts where: 80 percent of ministers have held elective positions or high positions in the public administration, over 20 percent are defendants or have been convicted and over 30 percent are relatives of politicians (a clear demonstration of nepotism). Low transparency and politicization make it difficult for the Audit Courts to carry out inspection work (NÓBREGA, 2011).</w:t>
      </w:r>
    </w:p>
    <w:p w14:paraId="270B982F" w14:textId="4D780836" w:rsidR="00C760DA" w:rsidRDefault="00C760DA" w:rsidP="0088076F">
      <w:pPr>
        <w:spacing w:line="360" w:lineRule="auto"/>
        <w:ind w:firstLine="567"/>
        <w:jc w:val="both"/>
        <w:rPr>
          <w:rFonts w:ascii="Times New Roman" w:hAnsi="Times New Roman" w:cs="Times New Roman"/>
          <w:sz w:val="24"/>
          <w:szCs w:val="24"/>
          <w:lang w:val="en-US"/>
        </w:rPr>
      </w:pPr>
      <w:r w:rsidRPr="00C760DA">
        <w:rPr>
          <w:rFonts w:ascii="Times New Roman" w:hAnsi="Times New Roman" w:cs="Times New Roman"/>
          <w:sz w:val="24"/>
          <w:szCs w:val="24"/>
          <w:lang w:val="en-US"/>
        </w:rPr>
        <w:t>In this context, the social control of public spending can represent a way to mitigate the chronic corruption and inefficiency of the Brazilian public sector. When internal and external controls are restricted in their inspection capacity due to scarcity of material resources, limitations of the legal jurisdiction of the CGU, or inefficiencies of the audit courts, civil society emerges as a resource to increase the “accountability” of the public administration</w:t>
      </w:r>
      <w:r w:rsidR="00544756">
        <w:rPr>
          <w:rFonts w:ascii="Times New Roman" w:hAnsi="Times New Roman" w:cs="Times New Roman"/>
          <w:sz w:val="24"/>
          <w:szCs w:val="24"/>
          <w:lang w:val="en-US"/>
        </w:rPr>
        <w:t xml:space="preserve"> </w:t>
      </w:r>
      <w:r w:rsidR="00544756">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{"citationItems":[{"id":"ITEM-1","itemData":{"author":[{"dropping-particle":"","family":"Rich","given":"Jessica A.J.","non-dropping-particle":"","parse-names":false,"suffix":""},{"dropping-particle":"","family":"Gómez","given":"Eduardo J.","non-dropping-particle":"","parse-names":false,"suffix":""}],"container-title":"Publius: the journal of federalism","id":"ITEM-1","issue":"4","issued":{"date-parts":[["2012"]]},"page":"636-661","title":"Centralizing Decentralized Governance in Brazil","type":"article-journal","volume":"42"},"uris":["http://www.mendeley.com/documents/?uuid=ec94d431-89e5-49e1-99c2-53101023d6b0"]}],"mendeley":{"formattedCitation":"(Rich &amp; Gómez, 2012)","plainTextFormattedCitation":"(Rich &amp; Gómez, 2012)","previouslyFormattedCitation":"(Rich &amp; Gómez, 2012)"},"properties":{"noteIndex":0},"schema":"https://github.com/citation-style-language/schema/raw/master/csl-citation.json"}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(Rich &amp; Gómez, 2012)</w:t>
      </w:r>
      <w:r w:rsidR="00544756">
        <w:rPr>
          <w:rFonts w:ascii="Times New Roman" w:hAnsi="Times New Roman" w:cs="Times New Roman"/>
          <w:sz w:val="24"/>
          <w:szCs w:val="24"/>
          <w:lang w:val="en-US"/>
        </w:rPr>
        <w:fldChar w:fldCharType="end"/>
      </w:r>
      <w:r w:rsidR="00544756">
        <w:rPr>
          <w:rFonts w:ascii="Times New Roman" w:hAnsi="Times New Roman" w:cs="Times New Roman"/>
          <w:sz w:val="24"/>
          <w:szCs w:val="24"/>
          <w:lang w:val="en-US"/>
        </w:rPr>
        <w:t xml:space="preserve">. </w:t>
      </w:r>
      <w:r w:rsidRPr="00C760DA">
        <w:rPr>
          <w:rFonts w:ascii="Times New Roman" w:hAnsi="Times New Roman" w:cs="Times New Roman"/>
          <w:sz w:val="24"/>
          <w:szCs w:val="24"/>
          <w:lang w:val="en-US"/>
        </w:rPr>
        <w:t xml:space="preserve">In a </w:t>
      </w:r>
      <w:r w:rsidRPr="00C760DA">
        <w:rPr>
          <w:rFonts w:ascii="Times New Roman" w:hAnsi="Times New Roman" w:cs="Times New Roman"/>
          <w:sz w:val="24"/>
          <w:szCs w:val="24"/>
          <w:lang w:val="en-US"/>
        </w:rPr>
        <w:lastRenderedPageBreak/>
        <w:t>large country like Brazil, with 26 states and more than 5500 municipalities, civil society groups have the potential to force the correct implementation of local public policies and works, due to their ability to monitor the performance of the subnational government and call public attention to its flaws</w:t>
      </w:r>
      <w:r w:rsidR="00544756">
        <w:rPr>
          <w:rFonts w:ascii="Times New Roman" w:hAnsi="Times New Roman" w:cs="Times New Roman"/>
          <w:sz w:val="24"/>
          <w:szCs w:val="24"/>
          <w:lang w:val="en-US"/>
        </w:rPr>
        <w:t xml:space="preserve"> </w:t>
      </w:r>
      <w:r w:rsidR="00544756">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{"citationItems":[{"id":"ITEM-1","itemData":{"DOI":"10.1111/j.1548-2456.2013.00191.x","ISSN":"1531426X","abstract":"How does the state ensure the implementation of national policies in a context of decentralized political authority? This article identifies a new strategy utilized by national bureaucrats to regulate the behavior of subnational politicians: mobilizing civil society as government watchdog and political advocate. In the context of decentralized governance, in which local politicians administer most social sector programs, reform-minded bureaucrats often find that they have little control over the implementation of their progressive policies. In Brazil's AIDS policy sector, however, bureaucrats have ensured the successful implementation of their policies by developing allies outside government. These state actors-here called activist bureaucrats-have been largely overlooked in the English-language literature, yet they form a new layer of politics in Latin America. © 2013 University of Miami.","author":[{"dropping-particle":"","family":"Rich","given":"Jessica A.J.","non-dropping-particle":"","parse-names":false,"suffix":""}],"container-title":"Latin American Politics and Society","id":"ITEM-1","issue":"2","issued":{"date-parts":[["2013"]]},"page":"1-25","title":"Grassroots Bureaucracy: Intergovernmental Relations and Popular Mobilization in Brazil's AIDS Policy Sector","type":"article-journal","volume":"55"},"uris":["http://www.mendeley.com/documents/?uuid=f7ea8f3f-c05f-4e2b-b713-bffec0bc9898"]}],"mendeley":{"formattedCitation":"(Rich, 2013)","plainTextFormattedCitation":"(Rich, 2013)","previouslyFormattedCitation":"(Rich, 2013)"},"properties":{"noteIndex":0},"schema":"https://github.com/citation-style-language/schema/raw/master/csl-citation.json"}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(Rich, 2013)</w:t>
      </w:r>
      <w:r w:rsidR="00544756">
        <w:rPr>
          <w:rFonts w:ascii="Times New Roman" w:hAnsi="Times New Roman" w:cs="Times New Roman"/>
          <w:sz w:val="24"/>
          <w:szCs w:val="24"/>
          <w:lang w:val="en-US"/>
        </w:rPr>
        <w:fldChar w:fldCharType="end"/>
      </w:r>
      <w:r w:rsidR="00544756">
        <w:rPr>
          <w:rFonts w:ascii="Times New Roman" w:hAnsi="Times New Roman" w:cs="Times New Roman"/>
          <w:sz w:val="24"/>
          <w:szCs w:val="24"/>
          <w:lang w:val="en-US"/>
        </w:rPr>
        <w:t>.</w:t>
      </w:r>
    </w:p>
    <w:p w14:paraId="389D0299" w14:textId="35DC2BB0" w:rsidR="002D2103" w:rsidRDefault="00B42333" w:rsidP="002D2103">
      <w:pPr>
        <w:spacing w:line="360" w:lineRule="auto"/>
        <w:ind w:firstLine="567"/>
        <w:jc w:val="both"/>
        <w:rPr>
          <w:rFonts w:ascii="Times New Roman" w:hAnsi="Times New Roman" w:cs="Times New Roman"/>
          <w:sz w:val="24"/>
          <w:szCs w:val="24"/>
          <w:lang w:val="en-US"/>
        </w:rPr>
      </w:pPr>
      <w:r w:rsidRPr="00B42333">
        <w:rPr>
          <w:rFonts w:ascii="Times New Roman" w:hAnsi="Times New Roman" w:cs="Times New Roman"/>
          <w:sz w:val="24"/>
          <w:szCs w:val="24"/>
          <w:lang w:val="en-US"/>
        </w:rPr>
        <w:t xml:space="preserve">Although social control has the potential to fight local corruption and promote public management efficiency and accountability, we should not consider it a “cure for all ills”. In the context of Indonesia, </w:t>
      </w:r>
      <w:r w:rsidR="00544756">
        <w:rPr>
          <w:rFonts w:ascii="Times New Roman" w:hAnsi="Times New Roman" w:cs="Times New Roman"/>
          <w:sz w:val="24"/>
          <w:szCs w:val="24"/>
          <w:lang w:val="en-US"/>
        </w:rPr>
        <w:fldChar w:fldCharType="begin" w:fldLock="1"/>
      </w:r>
      <w:r w:rsidR="00544756">
        <w:rPr>
          <w:rFonts w:ascii="Times New Roman" w:hAnsi="Times New Roman" w:cs="Times New Roman"/>
          <w:sz w:val="24"/>
          <w:szCs w:val="24"/>
          <w:lang w:val="en-US"/>
        </w:rPr>
        <w:instrText>ADDIN CSL_CITATION {"citationItems":[{"id":"ITEM-1","itemData":{"abstract":"This paper presents a randomized field experiment on reducing cor- ruption in over 600 Indonesian village road projects. I find that in- creasing government audits from 4 percent of projects to 100 percent reduced missing expenditures, as measured by discrepancies between official project costs and an independent engineers’ estimate of costs, by eight percentage points. By contrast, increasing grassroots partic- ipation in monitoring had little average impact, reducing missing ex- penditures only in situations with limited free-rider problems and limited elite capture. Overall, the results suggest that traditional top- down monitoring can play an important role in reducing corruption, even in a highly corrupt environment. I.","author":[{"dropping-particle":"","family":"Olken","given":"Benjamin A.","non-dropping-particle":"","parse-names":false,"suffix":""}],"container-title":"Chicago Journal","id":"ITEM-1","issue":"2","issued":{"date-parts":[["2007"]]},"page":"200-249","title":"Monitoring Corruption : Evidence from a Field Experiment in Indonesia","type":"article-journal","volume":"115"},"uris":["http://www.mendeley.com/documents/?uuid=24cfa723-78df-4ae2-84ff-42630420599d"]}],"mendeley":{"formattedCitation":"(Olken, 2007)","manualFormatting":"Olken's (2007)","plainTextFormattedCitation":"(Olken, 2007)","previouslyFormattedCitation":"(Olken, 2007)"},"properties":{"noteIndex":0},"schema":"https://github.com/citation-style-language/schema/raw/master/csl-citation.json"}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Olken</w:t>
      </w:r>
      <w:r w:rsidR="00544756">
        <w:rPr>
          <w:rFonts w:ascii="Times New Roman" w:hAnsi="Times New Roman" w:cs="Times New Roman"/>
          <w:noProof/>
          <w:sz w:val="24"/>
          <w:szCs w:val="24"/>
          <w:lang w:val="en-US"/>
        </w:rPr>
        <w:t>'s (</w:t>
      </w:r>
      <w:r w:rsidR="00544756" w:rsidRPr="00544756">
        <w:rPr>
          <w:rFonts w:ascii="Times New Roman" w:hAnsi="Times New Roman" w:cs="Times New Roman"/>
          <w:noProof/>
          <w:sz w:val="24"/>
          <w:szCs w:val="24"/>
          <w:lang w:val="en-US"/>
        </w:rPr>
        <w:t>2007)</w:t>
      </w:r>
      <w:r w:rsidR="00544756">
        <w:rPr>
          <w:rFonts w:ascii="Times New Roman" w:hAnsi="Times New Roman" w:cs="Times New Roman"/>
          <w:sz w:val="24"/>
          <w:szCs w:val="24"/>
          <w:lang w:val="en-US"/>
        </w:rPr>
        <w:fldChar w:fldCharType="end"/>
      </w:r>
      <w:r w:rsidR="00544756">
        <w:rPr>
          <w:rFonts w:ascii="Times New Roman" w:hAnsi="Times New Roman" w:cs="Times New Roman"/>
          <w:sz w:val="24"/>
          <w:szCs w:val="24"/>
          <w:lang w:val="en-US"/>
        </w:rPr>
        <w:t xml:space="preserve"> </w:t>
      </w:r>
      <w:r w:rsidRPr="00B42333">
        <w:rPr>
          <w:rFonts w:ascii="Times New Roman" w:hAnsi="Times New Roman" w:cs="Times New Roman"/>
          <w:sz w:val="24"/>
          <w:szCs w:val="24"/>
          <w:lang w:val="en-US"/>
        </w:rPr>
        <w:t>research observed the low effectiveness of social control, reporting that the increase in popular monitoring was ineffective in reducing public spending; especially because of the co-optation, by local elites, of the citizens responsible for enforcement.</w:t>
      </w:r>
      <w:r w:rsidR="001218EE">
        <w:rPr>
          <w:rFonts w:ascii="Times New Roman" w:hAnsi="Times New Roman" w:cs="Times New Roman"/>
          <w:sz w:val="24"/>
          <w:szCs w:val="24"/>
          <w:lang w:val="en-US"/>
        </w:rPr>
        <w:t xml:space="preserve"> </w:t>
      </w:r>
      <w:r w:rsidR="00544756">
        <w:rPr>
          <w:rFonts w:ascii="Times New Roman" w:hAnsi="Times New Roman" w:cs="Times New Roman"/>
          <w:sz w:val="24"/>
          <w:szCs w:val="24"/>
          <w:lang w:val="en-US"/>
        </w:rPr>
        <w:fldChar w:fldCharType="begin" w:fldLock="1"/>
      </w:r>
      <w:r w:rsidR="00F912E3">
        <w:rPr>
          <w:rFonts w:ascii="Times New Roman" w:hAnsi="Times New Roman" w:cs="Times New Roman"/>
          <w:sz w:val="24"/>
          <w:szCs w:val="24"/>
          <w:lang w:val="en-US"/>
        </w:rPr>
        <w:instrText>ADDIN CSL_CITATION {"citationItems":[{"id":"ITEM-1","itemData":{"DOI":"10.2307/800176","ISSN":"00377791","abstract":"In this paper I examine the processes by which agencies of social control become organizationally corrupt, as one instance of the more general social problem of organizations adopting deviant goals. I define organizational corruption, and present three models of how it may develop: (1) the co-optation by social control agencies of the subjects of control; (2) the capture of social control agencies by external exploiters of the \"power to regulate\" as a marketable commodity; and (3) the domination of the agency by internal exploiters of the marketability of regulatory authority. I explore and illustrate the conditions under which each model is found and suggest some tasks for future theoretical work.","author":[{"dropping-particle":"","family":"Sherman","given":"Lawrence W.","non-dropping-particle":"","parse-names":false,"suffix":""}],"container-title":"Social Problems","id":"ITEM-1","issue":"4","issued":{"date-parts":[["1980"]]},"page":"478-491","title":"Three Models of Organizational Corruption in Agencies of Social Control","type":"article-journal","volume":"27"},"uris":["http://www.mendeley.com/documents/?uuid=66869d73-be38-4ed7-93ed-38725943d399"]}],"mendeley":{"formattedCitation":"(Sherman, 1980)","manualFormatting":"Sherman (1980)","plainTextFormattedCitation":"(Sherman, 1980)","previouslyFormattedCitation":"(Sherman, 1980)"},"properties":{"noteIndex":0},"schema":"https://github.com/citation-style-language/schema/raw/master/csl-citation.json"}</w:instrText>
      </w:r>
      <w:r w:rsidR="00544756">
        <w:rPr>
          <w:rFonts w:ascii="Times New Roman" w:hAnsi="Times New Roman" w:cs="Times New Roman"/>
          <w:sz w:val="24"/>
          <w:szCs w:val="24"/>
          <w:lang w:val="en-US"/>
        </w:rPr>
        <w:fldChar w:fldCharType="separate"/>
      </w:r>
      <w:r w:rsidR="00544756" w:rsidRPr="00544756">
        <w:rPr>
          <w:rFonts w:ascii="Times New Roman" w:hAnsi="Times New Roman" w:cs="Times New Roman"/>
          <w:noProof/>
          <w:sz w:val="24"/>
          <w:szCs w:val="24"/>
          <w:lang w:val="en-US"/>
        </w:rPr>
        <w:t xml:space="preserve">Sherman </w:t>
      </w:r>
      <w:r w:rsidR="00544756">
        <w:rPr>
          <w:rFonts w:ascii="Times New Roman" w:hAnsi="Times New Roman" w:cs="Times New Roman"/>
          <w:noProof/>
          <w:sz w:val="24"/>
          <w:szCs w:val="24"/>
          <w:lang w:val="en-US"/>
        </w:rPr>
        <w:t>(</w:t>
      </w:r>
      <w:r w:rsidR="00544756" w:rsidRPr="00544756">
        <w:rPr>
          <w:rFonts w:ascii="Times New Roman" w:hAnsi="Times New Roman" w:cs="Times New Roman"/>
          <w:noProof/>
          <w:sz w:val="24"/>
          <w:szCs w:val="24"/>
          <w:lang w:val="en-US"/>
        </w:rPr>
        <w:t>1980)</w:t>
      </w:r>
      <w:r w:rsidR="00544756">
        <w:rPr>
          <w:rFonts w:ascii="Times New Roman" w:hAnsi="Times New Roman" w:cs="Times New Roman"/>
          <w:sz w:val="24"/>
          <w:szCs w:val="24"/>
          <w:lang w:val="en-US"/>
        </w:rPr>
        <w:fldChar w:fldCharType="end"/>
      </w:r>
      <w:r w:rsidRPr="00B42333">
        <w:rPr>
          <w:rFonts w:ascii="Times New Roman" w:hAnsi="Times New Roman" w:cs="Times New Roman"/>
          <w:sz w:val="24"/>
          <w:szCs w:val="24"/>
          <w:lang w:val="en-US"/>
        </w:rPr>
        <w:t xml:space="preserve"> reports cases of agencies for social control of public spending where individual members (or even dominant coalitions of citizens who handled them) became corrupted, accepting or charging bribes to not making complaints, or being dominated by influential politicians or economic groups who used them as a bargaining chip in negotiating enforcement easing. Finally, </w:t>
      </w:r>
      <w:r w:rsidR="00F912E3">
        <w:rPr>
          <w:rFonts w:ascii="Times New Roman" w:hAnsi="Times New Roman" w:cs="Times New Roman"/>
          <w:sz w:val="24"/>
          <w:szCs w:val="24"/>
          <w:lang w:val="en-US"/>
        </w:rPr>
        <w:fldChar w:fldCharType="begin" w:fldLock="1"/>
      </w:r>
      <w:r w:rsidR="00F912E3">
        <w:rPr>
          <w:rFonts w:ascii="Times New Roman" w:hAnsi="Times New Roman" w:cs="Times New Roman"/>
          <w:sz w:val="24"/>
          <w:szCs w:val="24"/>
          <w:lang w:val="en-US"/>
        </w:rPr>
        <w:instrText>ADDIN CSL_CITATION {"citationItems":[{"id":"ITEM-1","itemData":{"author":[{"dropping-particle":"","family":"Chies Schommer","given":"Paula","non-dropping-particle":"","parse-names":false,"suffix":""},{"dropping-particle":"","family":"Lima Moraes","given":"Rubens","non-dropping-particle":"","parse-names":false,"suffix":""}],"container-title":"Gestão.Org Revista Eletrônica de Gestão Organizacional","id":"ITEM-1","issue":"3","issued":{"date-parts":[["2010"]]},"page":"298-326","title":"Observatórios Sociais como Promotores de Controle Social e Accountability: Reflexões a Partir da Experiência do Observatório Social de Itajaí","type":"article-journal","volume":"8"},"uris":["http://www.mendeley.com/documents/?uuid=658de6dd-0bc3-4ee5-97b7-f7cf7bbf77be"]}],"mendeley":{"formattedCitation":"(Chies Schommer &amp; Lima Moraes, 2010)","plainTextFormattedCitation":"(Chies Schommer &amp; Lima Moraes, 2010)","previouslyFormattedCitation":"(Chies Schommer &amp; Lima Moraes, 2010)"},"properties":{"noteIndex":0},"schema":"https://github.com/citation-style-language/schema/raw/master/csl-citation.json"}</w:instrText>
      </w:r>
      <w:r w:rsidR="00F912E3">
        <w:rPr>
          <w:rFonts w:ascii="Times New Roman" w:hAnsi="Times New Roman" w:cs="Times New Roman"/>
          <w:sz w:val="24"/>
          <w:szCs w:val="24"/>
          <w:lang w:val="en-US"/>
        </w:rPr>
        <w:fldChar w:fldCharType="separate"/>
      </w:r>
      <w:r w:rsidR="00F912E3" w:rsidRPr="00F912E3">
        <w:rPr>
          <w:rFonts w:ascii="Times New Roman" w:hAnsi="Times New Roman" w:cs="Times New Roman"/>
          <w:noProof/>
          <w:sz w:val="24"/>
          <w:szCs w:val="24"/>
          <w:lang w:val="en-US"/>
        </w:rPr>
        <w:t>(Chies Schommer &amp; Lima Moraes, 2010)</w:t>
      </w:r>
      <w:r w:rsidR="00F912E3">
        <w:rPr>
          <w:rFonts w:ascii="Times New Roman" w:hAnsi="Times New Roman" w:cs="Times New Roman"/>
          <w:sz w:val="24"/>
          <w:szCs w:val="24"/>
          <w:lang w:val="en-US"/>
        </w:rPr>
        <w:fldChar w:fldCharType="end"/>
      </w:r>
      <w:r w:rsidRPr="00B42333">
        <w:rPr>
          <w:rFonts w:ascii="Times New Roman" w:hAnsi="Times New Roman" w:cs="Times New Roman"/>
          <w:sz w:val="24"/>
          <w:szCs w:val="24"/>
          <w:lang w:val="en-US"/>
        </w:rPr>
        <w:t xml:space="preserve"> report in their case study on the Social Observatory of Itajaí (SP), that although the official discourse of the institution states that its analyses are technical, “the technique is not entirely neutral”. Because “concerning transparency, power relations are involved, choosing what to disclose, when, how, by whom and for whom” (op. cit., p. 319). Social control of public spending can represent a way to mitigate chronic Brazilian corruption. However, there are reasons to suspect that this is not always the case.</w:t>
      </w:r>
      <w:r w:rsidR="009D7980" w:rsidRPr="009D7980">
        <w:rPr>
          <w:rFonts w:ascii="Times New Roman" w:hAnsi="Times New Roman" w:cs="Times New Roman"/>
          <w:sz w:val="24"/>
          <w:szCs w:val="24"/>
          <w:lang w:val="en-US"/>
        </w:rPr>
        <w:t xml:space="preserve">Brazil has two great exponents in the control of the public sector via Social Observatories, namely the OSB network and the Social Observatory of Maringá. As we said, Maringá is the first Social Observatory of public expenditures in Brazil, having influenced both the creation of the OSB network and of a series of independent Observatories, which are inspired by its guidelines, adapting them according to their own needs. The Maringá Observatory and the OSB network follow similar methodologies for monitoring the municipal public sector, based on two pillars: i) inspection of bids and; ii) development, together with civil society and the local public sector, of a culture of transparency and accountability  </w:t>
      </w:r>
      <w:r w:rsidR="00F912E3">
        <w:rPr>
          <w:rFonts w:ascii="Times New Roman" w:hAnsi="Times New Roman" w:cs="Times New Roman"/>
          <w:sz w:val="24"/>
          <w:szCs w:val="24"/>
          <w:lang w:val="en-US"/>
        </w:rPr>
        <w:fldChar w:fldCharType="begin" w:fldLock="1"/>
      </w:r>
      <w:r w:rsidR="00424568">
        <w:rPr>
          <w:rFonts w:ascii="Times New Roman" w:hAnsi="Times New Roman" w:cs="Times New Roman"/>
          <w:sz w:val="24"/>
          <w:szCs w:val="24"/>
          <w:lang w:val="en-US"/>
        </w:rPr>
        <w:instrText>ADDIN CSL_CITATION {"citationItems":[{"id":"ITEM-1","itemData":{"abstract":"Em meio ao processo de amadurecimento político e institucional da democracia brasileira, uma das maneiras pelas quais a sociedade ocupa espaços de participação na gestão pública ocorre pelo engajamento de observatórios sociais. Neste trabalho busca-se descrever características da atuação de observatórios sociais voltados à cidadania e à educação fiscal e discutir seus potenciais e limites de contribuição para a accountability e a qualidade da gestão pública.","author":[{"dropping-particle":"","family":"Schommer","given":"Paula;","non-dropping-particle":"","parse-names":false,"suffix":""},{"dropping-particle":"","family":"Nunes","given":"Tadeu;","non-dropping-particle":"","parse-names":false,"suffix":""},{"dropping-particle":"","family":"Moraes","given":"Lima","non-dropping-particle":"","parse-names":false,"suffix":""}],"container-title":"Publicações da Escola da AGU: Gestão Pública Democrática - Escola da Advocacia-Geral da União Ministro Victor Nunes Leal","id":"ITEM-1","issued":{"date-parts":[["2012"]]},"page":"229-258","title":"Accountability, controle social e coprodução do bem público: a atuação de vinte observatórios sociais brasileiros voltados à cidadania e à educação fiscal","type":"article-journal","volume":"58"},"uris":["http://www.mendeley.com/documents/?uuid=67d745f0-0fbf-425c-943f-c010c666cd4b"]}],"mendeley":{"formattedCitation":"(Schommer et al., 2012)","plainTextFormattedCitation":"(Schommer et al., 2012)","previouslyFormattedCitation":"(Schommer et al., 2012)"},"properties":{"noteIndex":0},"schema":"https://github.com/citation-style-language/schema/raw/master/csl-citation.json"}</w:instrText>
      </w:r>
      <w:r w:rsidR="00F912E3">
        <w:rPr>
          <w:rFonts w:ascii="Times New Roman" w:hAnsi="Times New Roman" w:cs="Times New Roman"/>
          <w:sz w:val="24"/>
          <w:szCs w:val="24"/>
          <w:lang w:val="en-US"/>
        </w:rPr>
        <w:fldChar w:fldCharType="separate"/>
      </w:r>
      <w:r w:rsidR="00424568" w:rsidRPr="00424568">
        <w:rPr>
          <w:rFonts w:ascii="Times New Roman" w:hAnsi="Times New Roman" w:cs="Times New Roman"/>
          <w:noProof/>
          <w:sz w:val="24"/>
          <w:szCs w:val="24"/>
          <w:lang w:val="en-US"/>
        </w:rPr>
        <w:t>(Schommer et al., 2012)</w:t>
      </w:r>
      <w:r w:rsidR="00F912E3">
        <w:rPr>
          <w:rFonts w:ascii="Times New Roman" w:hAnsi="Times New Roman" w:cs="Times New Roman"/>
          <w:sz w:val="24"/>
          <w:szCs w:val="24"/>
          <w:lang w:val="en-US"/>
        </w:rPr>
        <w:fldChar w:fldCharType="end"/>
      </w:r>
      <w:r w:rsidR="00F912E3">
        <w:rPr>
          <w:rFonts w:ascii="Times New Roman" w:hAnsi="Times New Roman" w:cs="Times New Roman"/>
          <w:sz w:val="24"/>
          <w:szCs w:val="24"/>
          <w:lang w:val="en-US"/>
        </w:rPr>
        <w:t>.</w:t>
      </w:r>
    </w:p>
    <w:p w14:paraId="22C89983" w14:textId="79E317CC" w:rsidR="002D2103" w:rsidRDefault="002D2103" w:rsidP="002D2103">
      <w:pPr>
        <w:spacing w:line="360" w:lineRule="auto"/>
        <w:ind w:firstLine="567"/>
        <w:jc w:val="both"/>
        <w:rPr>
          <w:rFonts w:ascii="Times New Roman" w:hAnsi="Times New Roman" w:cs="Times New Roman"/>
          <w:sz w:val="24"/>
          <w:szCs w:val="24"/>
          <w:lang w:val="en-US"/>
        </w:rPr>
      </w:pPr>
      <w:r w:rsidRPr="002D2103">
        <w:rPr>
          <w:rFonts w:ascii="Times New Roman" w:hAnsi="Times New Roman" w:cs="Times New Roman"/>
          <w:sz w:val="24"/>
          <w:szCs w:val="24"/>
          <w:lang w:val="en-US"/>
        </w:rPr>
        <w:t xml:space="preserve">Regarding the monitoring of bids, the president of the OSB unit in Brasília, Antônio de Barros, describes the OSB network’s inspection of bidding processes as a two-step process. In the first, the OSB unit “checks if what is being purchased meets the needs of the municipality in terms of price, quality and quantity”. In the second, the Observatory monitors “ choosing a supplier, delivery, payment and, often, the distribution of the products” </w:t>
      </w:r>
      <w:r w:rsidR="00F912E3">
        <w:rPr>
          <w:rFonts w:ascii="Times New Roman" w:hAnsi="Times New Roman" w:cs="Times New Roman"/>
          <w:sz w:val="24"/>
          <w:szCs w:val="24"/>
          <w:lang w:val="en-US"/>
        </w:rPr>
        <w:fldChar w:fldCharType="begin" w:fldLock="1"/>
      </w:r>
      <w:r w:rsidR="00A44A19">
        <w:rPr>
          <w:rFonts w:ascii="Times New Roman" w:hAnsi="Times New Roman" w:cs="Times New Roman"/>
          <w:sz w:val="24"/>
          <w:szCs w:val="24"/>
          <w:lang w:val="en-US"/>
        </w:rPr>
        <w:instrText>ADDIN CSL_CITATION {"citationItems":[{"id":"ITEM-1","itemData":{"URL":"https://www.gov.br/cgu/pt-br/governo-aberto/noticias/2016/osb-transparencia-e-controle-social-dos-gastos-publicos","accessed":{"date-parts":[["2021","10","21"]]},"author":[{"dropping-particle":"","family":"Controladoria Geral da União","given":"","non-dropping-particle":"","parse-names":false,"suffix":""}],"id":"ITEM-1","issued":{"date-parts":[["2016"]]},"page":"8-11","title":"OSB: transparência e controle social dos gastos públicos","type":"webpage"},"uris":["http://www.mendeley.com/documents/?uuid=71318261-8c60-4131-a45c-3bce3a7aed08"]}],"mendeley":{"formattedCitation":"(Controladoria Geral da União, 2016)","manualFormatting":"(Controladoria Geral da União, 2016, p.3)","plainTextFormattedCitation":"(Controladoria Geral da União, 2016)","previouslyFormattedCitation":"(Controladoria Geral da União, 2016)"},"properties":{"noteIndex":0},"schema":"https://github.com/citation-style-language/schema/raw/master/csl-citation.json"}</w:instrText>
      </w:r>
      <w:r w:rsidR="00F912E3">
        <w:rPr>
          <w:rFonts w:ascii="Times New Roman" w:hAnsi="Times New Roman" w:cs="Times New Roman"/>
          <w:sz w:val="24"/>
          <w:szCs w:val="24"/>
          <w:lang w:val="en-US"/>
        </w:rPr>
        <w:fldChar w:fldCharType="separate"/>
      </w:r>
      <w:r w:rsidR="00F912E3" w:rsidRPr="00F912E3">
        <w:rPr>
          <w:rFonts w:ascii="Times New Roman" w:hAnsi="Times New Roman" w:cs="Times New Roman"/>
          <w:noProof/>
          <w:sz w:val="24"/>
          <w:szCs w:val="24"/>
          <w:lang w:val="en-US"/>
        </w:rPr>
        <w:t>(Controladoria Geral da União, 2016</w:t>
      </w:r>
      <w:r w:rsidR="00F912E3">
        <w:rPr>
          <w:rFonts w:ascii="Times New Roman" w:hAnsi="Times New Roman" w:cs="Times New Roman"/>
          <w:noProof/>
          <w:sz w:val="24"/>
          <w:szCs w:val="24"/>
          <w:lang w:val="en-US"/>
        </w:rPr>
        <w:t>, p.3</w:t>
      </w:r>
      <w:r w:rsidR="00F912E3" w:rsidRPr="00F912E3">
        <w:rPr>
          <w:rFonts w:ascii="Times New Roman" w:hAnsi="Times New Roman" w:cs="Times New Roman"/>
          <w:noProof/>
          <w:sz w:val="24"/>
          <w:szCs w:val="24"/>
          <w:lang w:val="en-US"/>
        </w:rPr>
        <w:t>)</w:t>
      </w:r>
      <w:r w:rsidR="00F912E3">
        <w:rPr>
          <w:rFonts w:ascii="Times New Roman" w:hAnsi="Times New Roman" w:cs="Times New Roman"/>
          <w:sz w:val="24"/>
          <w:szCs w:val="24"/>
          <w:lang w:val="en-US"/>
        </w:rPr>
        <w:fldChar w:fldCharType="end"/>
      </w:r>
      <w:r w:rsidR="00F912E3">
        <w:rPr>
          <w:rFonts w:ascii="Times New Roman" w:hAnsi="Times New Roman" w:cs="Times New Roman"/>
          <w:sz w:val="24"/>
          <w:szCs w:val="24"/>
          <w:lang w:val="en-US"/>
        </w:rPr>
        <w:t>.</w:t>
      </w:r>
      <w:r w:rsidRPr="002D2103">
        <w:rPr>
          <w:rFonts w:ascii="Times New Roman" w:hAnsi="Times New Roman" w:cs="Times New Roman"/>
          <w:sz w:val="24"/>
          <w:szCs w:val="24"/>
          <w:lang w:val="en-US"/>
        </w:rPr>
        <w:t xml:space="preserve"> In turn, in an interview with the journal of the “National Council of Justice” of Brazil, the </w:t>
      </w:r>
      <w:r w:rsidRPr="002D2103">
        <w:rPr>
          <w:rFonts w:ascii="Times New Roman" w:hAnsi="Times New Roman" w:cs="Times New Roman"/>
          <w:sz w:val="24"/>
          <w:szCs w:val="24"/>
          <w:lang w:val="en-US"/>
        </w:rPr>
        <w:lastRenderedPageBreak/>
        <w:t>president of the Social Observatory of Maringá, Fábia Sacco, describes her bids` monitoring method, as follows:</w:t>
      </w:r>
    </w:p>
    <w:p w14:paraId="77D7BBB2" w14:textId="2533C908" w:rsidR="00EC488D" w:rsidRPr="00EC488D" w:rsidRDefault="00EC488D" w:rsidP="00EC488D">
      <w:pPr>
        <w:pStyle w:val="NormalWeb"/>
        <w:ind w:left="2124"/>
        <w:jc w:val="both"/>
        <w:rPr>
          <w:sz w:val="20"/>
          <w:szCs w:val="20"/>
        </w:rPr>
      </w:pPr>
      <w:r w:rsidRPr="00EC488D">
        <w:rPr>
          <w:sz w:val="20"/>
          <w:szCs w:val="20"/>
        </w:rPr>
        <w:t>The first phase analyses the bid notice and, when necessary, ask the public authorities to challenge or amend the clauses of the bidding. After concluding the public notice is transparent, it is disclosed to as many companies as possible. The second phase focuses on the bidding process, the prices, quantities, and quality of the products and services purchased. The third phase monitors the delivery of products or services and verifies whether it complies with the bidding specifications. It also evaluates inventory control and effective consumption</w:t>
      </w:r>
      <w:r w:rsidR="00A44A19">
        <w:rPr>
          <w:sz w:val="20"/>
          <w:szCs w:val="20"/>
        </w:rPr>
        <w:t xml:space="preserve"> </w:t>
      </w:r>
      <w:r w:rsidR="00A44A19">
        <w:rPr>
          <w:sz w:val="20"/>
          <w:szCs w:val="20"/>
        </w:rPr>
        <w:fldChar w:fldCharType="begin" w:fldLock="1"/>
      </w:r>
      <w:r w:rsidR="00A44A19">
        <w:rPr>
          <w:sz w:val="20"/>
          <w:szCs w:val="20"/>
        </w:rPr>
        <w:instrText>ADDIN CSL_CITATION {"citationItems":[{"id":"ITEM-1","itemData":{"author":[{"dropping-particle":"","family":"Fernandes","given":"Waleiska","non-dropping-particle":"","parse-names":false,"suffix":""}],"container-title":"Agência CNJ de Notícias","id":"ITEM-1","issued":{"date-parts":[["2015"]]},"title":"Moradores de Maringá criam observatório para fiscalizar a gestão municipal","type":"article-magazine"},"uris":["http://www.mendeley.com/documents/?uuid=d594e315-d88f-4f8f-b51f-87fd75462a1a"]}],"mendeley":{"formattedCitation":"(Fernandes, 2015)","manualFormatting":"(Fernandes, 2015, p. 1)","plainTextFormattedCitation":"(Fernandes, 2015)","previouslyFormattedCitation":"(Fernandes, 2015)"},"properties":{"noteIndex":0},"schema":"https://github.com/citation-style-language/schema/raw/master/csl-citation.json"}</w:instrText>
      </w:r>
      <w:r w:rsidR="00A44A19">
        <w:rPr>
          <w:sz w:val="20"/>
          <w:szCs w:val="20"/>
        </w:rPr>
        <w:fldChar w:fldCharType="separate"/>
      </w:r>
      <w:r w:rsidR="00A44A19" w:rsidRPr="00A44A19">
        <w:rPr>
          <w:noProof/>
          <w:sz w:val="20"/>
          <w:szCs w:val="20"/>
        </w:rPr>
        <w:t>(Fernandes, 2015</w:t>
      </w:r>
      <w:r w:rsidR="00A44A19">
        <w:rPr>
          <w:noProof/>
          <w:sz w:val="20"/>
          <w:szCs w:val="20"/>
        </w:rPr>
        <w:t>, p. 1</w:t>
      </w:r>
      <w:r w:rsidR="00A44A19" w:rsidRPr="00A44A19">
        <w:rPr>
          <w:noProof/>
          <w:sz w:val="20"/>
          <w:szCs w:val="20"/>
        </w:rPr>
        <w:t>)</w:t>
      </w:r>
      <w:r w:rsidR="00A44A19">
        <w:rPr>
          <w:sz w:val="20"/>
          <w:szCs w:val="20"/>
        </w:rPr>
        <w:fldChar w:fldCharType="end"/>
      </w:r>
      <w:r w:rsidR="00A44A19">
        <w:rPr>
          <w:sz w:val="20"/>
          <w:szCs w:val="20"/>
        </w:rPr>
        <w:t>.</w:t>
      </w:r>
    </w:p>
    <w:p w14:paraId="7F6A00E9" w14:textId="20B1F9AF" w:rsidR="009019D9" w:rsidRPr="00E75CCA" w:rsidRDefault="009019D9" w:rsidP="009019D9">
      <w:pPr>
        <w:pStyle w:val="PargrafodaLista"/>
        <w:spacing w:after="0" w:line="240" w:lineRule="auto"/>
        <w:ind w:left="2124"/>
        <w:contextualSpacing w:val="0"/>
        <w:jc w:val="both"/>
        <w:rPr>
          <w:rFonts w:ascii="Times New Roman" w:eastAsia="Times New Roman" w:hAnsi="Times New Roman" w:cs="Times New Roman"/>
          <w:i/>
          <w:iCs/>
          <w:sz w:val="20"/>
          <w:szCs w:val="20"/>
          <w:lang w:val="en-US" w:eastAsia="pt-BR"/>
        </w:rPr>
      </w:pPr>
    </w:p>
    <w:p w14:paraId="179EF4E9" w14:textId="6C04AD3E" w:rsidR="009D09F1" w:rsidRDefault="006251B8" w:rsidP="009D09F1">
      <w:pPr>
        <w:pStyle w:val="PargrafodaLista"/>
        <w:spacing w:line="360" w:lineRule="auto"/>
        <w:ind w:left="0" w:firstLine="567"/>
        <w:jc w:val="both"/>
        <w:rPr>
          <w:rFonts w:ascii="Times New Roman" w:eastAsia="Times New Roman" w:hAnsi="Times New Roman" w:cs="Times New Roman"/>
          <w:color w:val="0E101A"/>
          <w:kern w:val="36"/>
          <w:sz w:val="48"/>
          <w:szCs w:val="48"/>
          <w:lang w:val="en-US"/>
        </w:rPr>
      </w:pPr>
      <w:r w:rsidRPr="006251B8">
        <w:rPr>
          <w:rFonts w:ascii="Times New Roman" w:hAnsi="Times New Roman" w:cs="Times New Roman"/>
          <w:sz w:val="24"/>
          <w:szCs w:val="24"/>
          <w:lang w:val="en-US"/>
        </w:rPr>
        <w:t xml:space="preserve">As to the promotion of a culture of transparency and accountability, in turn, the OSB understands that transparency is the fundamental input of social control and states that there are a large number of municipalities that comply with the legislation, making fiscal information available from the city hall in their internet portals of transparency. However, because of their technical nature, these data are difficult for the average citizen to understand. Thus, the OSB offers courses for the qualification of citizens, promotes awareness-raising actions on the importance of monitoring public spending, in addition to monitoring municipal transparency portals to verify that they are complying with the legislation. Maringá, in turn, is also concerned with raising public awareness and with citizens' fiscal education. However, it understands that these themes are very arid, obtaining little adhesion. For this reason, they promote fiscal education and awareness actions through recreational resources (Fernandes,2015); such as plays, informal debates, or writing contests, highlighting attractively and reflexively the social function of taxes and the importance of citizen participation in monitoring public spending </w:t>
      </w:r>
      <w:r w:rsidR="00A44A19">
        <w:rPr>
          <w:rFonts w:ascii="Times New Roman" w:hAnsi="Times New Roman" w:cs="Times New Roman"/>
          <w:sz w:val="24"/>
          <w:szCs w:val="24"/>
          <w:lang w:val="en-US"/>
        </w:rPr>
        <w:fldChar w:fldCharType="begin" w:fldLock="1"/>
      </w:r>
      <w:r w:rsidR="00424568">
        <w:rPr>
          <w:rFonts w:ascii="Times New Roman" w:hAnsi="Times New Roman" w:cs="Times New Roman"/>
          <w:sz w:val="24"/>
          <w:szCs w:val="24"/>
          <w:lang w:val="en-US"/>
        </w:rPr>
        <w:instrText>ADDIN CSL_CITATION {"citationItems":[{"id":"ITEM-1","itemData":{"URL":"http://www2.maringa.pr.gov.br/educacao/?cod=destaque/319","author":[{"dropping-particle":"","family":"SEDUC- Maringá","given":"","non-dropping-particle":"","parse-names":false,"suffix":""}],"id":"ITEM-1","issued":{"date-parts":[["2017"]]},"title":"Maringá é a primeira colocada em Educação Fiscal no Paraná","type":"webpage"},"uris":["http://www.mendeley.com/documents/?uuid=d1bf69c2-cdef-4010-9175-d382e1030d16"]}],"mendeley":{"formattedCitation":"(SEDUC- Maringá, 2017)","plainTextFormattedCitation":"(SEDUC- Maringá, 2017)","previouslyFormattedCitation":"(SEDUC- Maringá, 2017)"},"properties":{"noteIndex":0},"schema":"https://github.com/citation-style-language/schema/raw/master/csl-citation.json"}</w:instrText>
      </w:r>
      <w:r w:rsidR="00A44A19">
        <w:rPr>
          <w:rFonts w:ascii="Times New Roman" w:hAnsi="Times New Roman" w:cs="Times New Roman"/>
          <w:sz w:val="24"/>
          <w:szCs w:val="24"/>
          <w:lang w:val="en-US"/>
        </w:rPr>
        <w:fldChar w:fldCharType="separate"/>
      </w:r>
      <w:r w:rsidR="00A44A19" w:rsidRPr="00A44A19">
        <w:rPr>
          <w:rFonts w:ascii="Times New Roman" w:hAnsi="Times New Roman" w:cs="Times New Roman"/>
          <w:noProof/>
          <w:sz w:val="24"/>
          <w:szCs w:val="24"/>
          <w:lang w:val="en-US"/>
        </w:rPr>
        <w:t>(SEDUC- Maringá, 2017)</w:t>
      </w:r>
      <w:r w:rsidR="00A44A19">
        <w:rPr>
          <w:rFonts w:ascii="Times New Roman" w:hAnsi="Times New Roman" w:cs="Times New Roman"/>
          <w:sz w:val="24"/>
          <w:szCs w:val="24"/>
          <w:lang w:val="en-US"/>
        </w:rPr>
        <w:fldChar w:fldCharType="end"/>
      </w:r>
      <w:r w:rsidR="00A44A19">
        <w:rPr>
          <w:rFonts w:ascii="Times New Roman" w:hAnsi="Times New Roman" w:cs="Times New Roman"/>
          <w:sz w:val="24"/>
          <w:szCs w:val="24"/>
          <w:lang w:val="en-US"/>
        </w:rPr>
        <w:t>.</w:t>
      </w:r>
      <w:r w:rsidR="009D09F1" w:rsidRPr="009D09F1">
        <w:rPr>
          <w:rFonts w:ascii="Times New Roman" w:eastAsia="Times New Roman" w:hAnsi="Times New Roman" w:cs="Times New Roman"/>
          <w:color w:val="0E101A"/>
          <w:kern w:val="36"/>
          <w:sz w:val="48"/>
          <w:szCs w:val="48"/>
          <w:lang w:val="en-US"/>
        </w:rPr>
        <w:t xml:space="preserve"> </w:t>
      </w:r>
    </w:p>
    <w:p w14:paraId="767CB33F" w14:textId="708ED757" w:rsidR="006251B8" w:rsidRPr="009D09F1" w:rsidRDefault="009D09F1" w:rsidP="009D09F1">
      <w:pPr>
        <w:pStyle w:val="PargrafodaLista"/>
        <w:spacing w:line="360" w:lineRule="auto"/>
        <w:ind w:left="0" w:firstLine="567"/>
        <w:jc w:val="both"/>
        <w:rPr>
          <w:rFonts w:ascii="Times New Roman" w:hAnsi="Times New Roman" w:cs="Times New Roman"/>
          <w:sz w:val="24"/>
          <w:szCs w:val="24"/>
          <w:lang w:val="en-US"/>
        </w:rPr>
      </w:pPr>
      <w:r w:rsidRPr="009D09F1">
        <w:rPr>
          <w:rFonts w:ascii="Times New Roman" w:hAnsi="Times New Roman" w:cs="Times New Roman"/>
          <w:sz w:val="24"/>
          <w:szCs w:val="24"/>
          <w:lang w:val="en-US"/>
        </w:rPr>
        <w:t xml:space="preserve">Although some details differentiate the methodology followed by the OSB from that of Maringá, the main difference in the performance of the OSB in comparison with that of the independent Observatories seems to be organizational. This is because the Social Observatory of Brazil is an organized network, with a standardized methodology, capable of transferring its accumulated experience through training to younger and inexperienced Observatories, sharing strategic information among the network's units, and coordinating with other civil society institutions, to favor the work of local Observatories. Advantages the independent Observatories do not have access to </w:t>
      </w:r>
      <w:r w:rsidR="00424568">
        <w:rPr>
          <w:rFonts w:ascii="Times New Roman" w:hAnsi="Times New Roman" w:cs="Times New Roman"/>
          <w:sz w:val="24"/>
          <w:szCs w:val="24"/>
          <w:lang w:val="en-US"/>
        </w:rPr>
        <w:fldChar w:fldCharType="begin" w:fldLock="1"/>
      </w:r>
      <w:r w:rsidR="00424568">
        <w:rPr>
          <w:rFonts w:ascii="Times New Roman" w:hAnsi="Times New Roman" w:cs="Times New Roman"/>
          <w:sz w:val="24"/>
          <w:szCs w:val="24"/>
          <w:lang w:val="en-US"/>
        </w:rPr>
        <w:instrText>ADDIN CSL_CITATION {"citationItems":[{"id":"ITEM-1","itemData":{"abstract":"Em meio ao processo de amadurecimento político e institucional da democracia brasileira, uma das maneiras pelas quais a sociedade ocupa espaços de participação na gestão pública ocorre pelo engajamento de observatórios sociais. Neste trabalho busca-se descrever características da atuação de observatórios sociais voltados à cidadania e à educação fiscal e discutir seus potenciais e limites de contribuição para a accountability e a qualidade da gestão pública.","author":[{"dropping-particle":"","family":"Schommer","given":"Paula;","non-dropping-particle":"","parse-names":false,"suffix":""},{"dropping-particle":"","family":"Nunes","given":"Tadeu;","non-dropping-particle":"","parse-names":false,"suffix":""},{"dropping-particle":"","family":"Moraes","given":"Lima","non-dropping-particle":"","parse-names":false,"suffix":""}],"container-title":"Publicações da Escola da AGU: Gestão Pública Democrática - Escola da Advocacia-Geral da União Ministro Victor Nunes Leal","id":"ITEM-1","issued":{"date-parts":[["2012"]]},"page":"229-258","title":"Accountability, controle social e coprodução do bem público: a atuação de vinte observatórios sociais brasileiros voltados à cidadania e à educação fiscal","type":"article-journal","volume":"58"},"uris":["http://www.mendeley.com/documents/?uuid=67d745f0-0fbf-425c-943f-c010c666cd4b"]}],"mendeley":{"formattedCitation":"(Schommer et al., 2012)","plainTextFormattedCitation":"(Schommer et al., 2012)","previouslyFormattedCitation":"(Schommer et al., 2012)"},"properties":{"noteIndex":0},"schema":"https://github.com/citation-style-language/schema/raw/master/csl-citation.json"}</w:instrText>
      </w:r>
      <w:r w:rsidR="00424568">
        <w:rPr>
          <w:rFonts w:ascii="Times New Roman" w:hAnsi="Times New Roman" w:cs="Times New Roman"/>
          <w:sz w:val="24"/>
          <w:szCs w:val="24"/>
          <w:lang w:val="en-US"/>
        </w:rPr>
        <w:fldChar w:fldCharType="separate"/>
      </w:r>
      <w:r w:rsidR="00424568" w:rsidRPr="00424568">
        <w:rPr>
          <w:rFonts w:ascii="Times New Roman" w:hAnsi="Times New Roman" w:cs="Times New Roman"/>
          <w:noProof/>
          <w:sz w:val="24"/>
          <w:szCs w:val="24"/>
          <w:lang w:val="en-US"/>
        </w:rPr>
        <w:t>(Schommer et al., 2012)</w:t>
      </w:r>
      <w:r w:rsidR="00424568">
        <w:rPr>
          <w:rFonts w:ascii="Times New Roman" w:hAnsi="Times New Roman" w:cs="Times New Roman"/>
          <w:sz w:val="24"/>
          <w:szCs w:val="24"/>
          <w:lang w:val="en-US"/>
        </w:rPr>
        <w:fldChar w:fldCharType="end"/>
      </w:r>
      <w:r w:rsidRPr="009D09F1">
        <w:rPr>
          <w:rFonts w:ascii="Times New Roman" w:hAnsi="Times New Roman" w:cs="Times New Roman"/>
          <w:sz w:val="24"/>
          <w:szCs w:val="24"/>
          <w:lang w:val="en-US"/>
        </w:rPr>
        <w:t>. Given these characteristics, it is reasonable to assume that, on average, the Observatories of the OSB network are more effective in controlling the activity of the municipal public sector. One of the hypotheses we test ahead.</w:t>
      </w:r>
    </w:p>
    <w:p w14:paraId="56750A8B" w14:textId="17945F55" w:rsidR="00ED3EC5" w:rsidRPr="00ED3EC5" w:rsidRDefault="00A70398" w:rsidP="00385CB1">
      <w:pPr>
        <w:pStyle w:val="PargrafodaLista"/>
        <w:spacing w:line="360" w:lineRule="auto"/>
        <w:ind w:left="0" w:firstLine="567"/>
        <w:jc w:val="both"/>
        <w:rPr>
          <w:rFonts w:ascii="Times New Roman" w:hAnsi="Times New Roman" w:cs="Times New Roman"/>
          <w:sz w:val="24"/>
          <w:szCs w:val="24"/>
          <w:lang w:val="en-US"/>
        </w:rPr>
      </w:pPr>
      <w:r w:rsidRPr="00A70398">
        <w:rPr>
          <w:rFonts w:ascii="Times New Roman" w:hAnsi="Times New Roman" w:cs="Times New Roman"/>
          <w:sz w:val="24"/>
          <w:szCs w:val="24"/>
          <w:lang w:val="en-US"/>
        </w:rPr>
        <w:t>Given OSB network follows a standardized method, that most of the Observatories in Brazil belong to the OSB, and that the independent Observatories’ method does not differ much from that of the network, it is interesting to appraise whether there are marked differences in monitoring effectiveness in the different Brazilian States, and what would be its causes.</w:t>
      </w:r>
      <w:r w:rsidR="00F40079" w:rsidRPr="00F40079">
        <w:rPr>
          <w:rFonts w:ascii="Times New Roman" w:eastAsia="Times New Roman" w:hAnsi="Times New Roman" w:cs="Times New Roman"/>
          <w:color w:val="0E101A"/>
          <w:kern w:val="36"/>
          <w:sz w:val="48"/>
          <w:szCs w:val="48"/>
          <w:lang w:val="en-US"/>
        </w:rPr>
        <w:t xml:space="preserve"> </w:t>
      </w:r>
      <w:r w:rsidR="00F40079" w:rsidRPr="00F40079">
        <w:rPr>
          <w:rFonts w:ascii="Times New Roman" w:hAnsi="Times New Roman" w:cs="Times New Roman"/>
          <w:sz w:val="24"/>
          <w:szCs w:val="24"/>
          <w:lang w:val="en-US"/>
        </w:rPr>
        <w:t xml:space="preserve">A plausible </w:t>
      </w:r>
      <w:r w:rsidR="00F40079" w:rsidRPr="00F40079">
        <w:rPr>
          <w:rFonts w:ascii="Times New Roman" w:hAnsi="Times New Roman" w:cs="Times New Roman"/>
          <w:sz w:val="24"/>
          <w:szCs w:val="24"/>
          <w:lang w:val="en-US"/>
        </w:rPr>
        <w:lastRenderedPageBreak/>
        <w:t xml:space="preserve">explanation for the interstate </w:t>
      </w:r>
      <w:r w:rsidR="00385CB1" w:rsidRPr="00F40079">
        <w:rPr>
          <w:rFonts w:ascii="Times New Roman" w:hAnsi="Times New Roman" w:cs="Times New Roman"/>
          <w:sz w:val="24"/>
          <w:szCs w:val="24"/>
          <w:lang w:val="en-US"/>
        </w:rPr>
        <w:t xml:space="preserve">effectiveness </w:t>
      </w:r>
      <w:r w:rsidR="00F40079" w:rsidRPr="00F40079">
        <w:rPr>
          <w:rFonts w:ascii="Times New Roman" w:hAnsi="Times New Roman" w:cs="Times New Roman"/>
          <w:sz w:val="24"/>
          <w:szCs w:val="24"/>
          <w:lang w:val="en-US"/>
        </w:rPr>
        <w:t>heterogeneity could come from the distinct state</w:t>
      </w:r>
      <w:r w:rsidR="00385CB1">
        <w:rPr>
          <w:rFonts w:ascii="Times New Roman" w:hAnsi="Times New Roman" w:cs="Times New Roman"/>
          <w:sz w:val="24"/>
          <w:szCs w:val="24"/>
          <w:lang w:val="en-US"/>
        </w:rPr>
        <w:t>-</w:t>
      </w:r>
      <w:r w:rsidR="00F40079" w:rsidRPr="00F40079">
        <w:rPr>
          <w:rFonts w:ascii="Times New Roman" w:hAnsi="Times New Roman" w:cs="Times New Roman"/>
          <w:sz w:val="24"/>
          <w:szCs w:val="24"/>
          <w:lang w:val="en-US"/>
        </w:rPr>
        <w:t xml:space="preserve">levels of corruption, as the incentive for the co-option of Social Observatories’ members should increase in regions where corruption is most severe. As corruption institutionalization increases and the number of offenders grow, i) individuals’ moral feelings of guilt for breaking rules decrease, ii) the loss of reputation and social punishments to convicted corrupts decrease and, iii) the probability of corruption detection decreases, due to the police limited capability of investigation </w:t>
      </w:r>
      <w:r w:rsidR="00424568">
        <w:rPr>
          <w:rFonts w:ascii="Times New Roman" w:hAnsi="Times New Roman" w:cs="Times New Roman"/>
          <w:sz w:val="24"/>
          <w:szCs w:val="24"/>
          <w:lang w:val="en-US"/>
        </w:rPr>
        <w:fldChar w:fldCharType="begin" w:fldLock="1"/>
      </w:r>
      <w:r w:rsidR="00424568">
        <w:rPr>
          <w:rFonts w:ascii="Times New Roman" w:hAnsi="Times New Roman" w:cs="Times New Roman"/>
          <w:sz w:val="24"/>
          <w:szCs w:val="24"/>
          <w:lang w:val="en-US"/>
        </w:rPr>
        <w:instrText>ADDIN CSL_CITATION {"citationItems":[{"id":"ITEM-1","itemData":{"author":[{"dropping-particle":"","family":"Becker","given":"Gary S","non-dropping-particle":"","parse-names":false,"suffix":""},{"dropping-particle":"","family":"Stigler","given":"George J","non-dropping-particle":"","parse-names":false,"suffix":""}],"container-title":"Journal of Legal Studies","id":"ITEM-1","issue":"1","issued":{"date-parts":[["1974"]]},"page":"1-18","title":"LAW ENFORCEMENT , MALFEASANCE AND COMPENSATIONS OF ENFORCERS","type":"article-journal","volume":"3"},"uris":["http://www.mendeley.com/documents/?uuid=ccd28173-e799-4260-94d2-6e85effeaa07"]},{"id":"ITEM-2","itemData":{"DOI":"10.1016/j.ejpoleco.2006.03.004","ISSN":"01762680","abstract":"Several measures indicate the presence of substantial corruption in Italian society. This paper investigates the determinants of corruption in Italy in the period 1963-2001 using statistics on crimes against the public administration at a regional level. Our estimates show that economic variables (government consumption, level of development) and political and cultural influences (party concentration, presence of voluntary organisations, absenteeism at national elections) significantly affect corruption in Italy. © 2006 Elsevier B.V. All rights reserved.","author":[{"dropping-particle":"","family":"Monte","given":"Alfredo","non-dropping-particle":"Del","parse-names":false,"suffix":""},{"dropping-particle":"","family":"Papagni","given":"Erasmo","non-dropping-particle":"","parse-names":false,"suffix":""}],"container-title":"European Journal of Political Economy","id":"ITEM-2","issue":"2","issued":{"date-parts":[["2007"]]},"page":"379-396","title":"The determinants of corruption in Italy: Regional panel data analysis","type":"article-journal","volume":"23"},"uris":["http://www.mendeley.com/documents/?uuid=03778c0a-60d1-4adc-a1da-56a5170e3f4b"]}],"mendeley":{"formattedCitation":"(G. S. Becker &amp; Stigler, 1974; Del Monte &amp; Papagni, 2007)","plainTextFormattedCitation":"(G. S. Becker &amp; Stigler, 1974; Del Monte &amp; Papagni, 2007)","previouslyFormattedCitation":"(G. S. Becker &amp; Stigler, 1974; Del Monte &amp; Papagni, 2007)"},"properties":{"noteIndex":0},"schema":"https://github.com/citation-style-language/schema/raw/master/csl-citation.json"}</w:instrText>
      </w:r>
      <w:r w:rsidR="00424568">
        <w:rPr>
          <w:rFonts w:ascii="Times New Roman" w:hAnsi="Times New Roman" w:cs="Times New Roman"/>
          <w:sz w:val="24"/>
          <w:szCs w:val="24"/>
          <w:lang w:val="en-US"/>
        </w:rPr>
        <w:fldChar w:fldCharType="separate"/>
      </w:r>
      <w:r w:rsidR="00424568" w:rsidRPr="00424568">
        <w:rPr>
          <w:rFonts w:ascii="Times New Roman" w:hAnsi="Times New Roman" w:cs="Times New Roman"/>
          <w:noProof/>
          <w:sz w:val="24"/>
          <w:szCs w:val="24"/>
          <w:lang w:val="en-US"/>
        </w:rPr>
        <w:t>(G. S. Becker &amp; Stigler, 1974; Del Monte &amp; Papagni, 2007)</w:t>
      </w:r>
      <w:r w:rsidR="00424568">
        <w:rPr>
          <w:rFonts w:ascii="Times New Roman" w:hAnsi="Times New Roman" w:cs="Times New Roman"/>
          <w:sz w:val="24"/>
          <w:szCs w:val="24"/>
          <w:lang w:val="en-US"/>
        </w:rPr>
        <w:fldChar w:fldCharType="end"/>
      </w:r>
      <w:r w:rsidR="00ED3EC5">
        <w:rPr>
          <w:rFonts w:ascii="Times New Roman" w:hAnsi="Times New Roman" w:cs="Times New Roman"/>
          <w:sz w:val="24"/>
          <w:szCs w:val="24"/>
          <w:lang w:val="en-US"/>
        </w:rPr>
        <w:t xml:space="preserve">. </w:t>
      </w:r>
      <w:r w:rsidR="00ED3EC5" w:rsidRPr="00385CB1">
        <w:rPr>
          <w:rFonts w:ascii="Times New Roman" w:hAnsi="Times New Roman" w:cs="Times New Roman"/>
          <w:sz w:val="24"/>
          <w:szCs w:val="24"/>
          <w:lang w:val="en-US"/>
        </w:rPr>
        <w:t xml:space="preserve">Using a “spatial dependence model”, </w:t>
      </w:r>
      <w:r w:rsidR="00424568">
        <w:rPr>
          <w:rFonts w:ascii="Times New Roman" w:hAnsi="Times New Roman" w:cs="Times New Roman"/>
          <w:sz w:val="24"/>
          <w:szCs w:val="24"/>
          <w:lang w:val="en-US"/>
        </w:rPr>
        <w:fldChar w:fldCharType="begin" w:fldLock="1"/>
      </w:r>
      <w:r w:rsidR="009436A6">
        <w:rPr>
          <w:rFonts w:ascii="Times New Roman" w:hAnsi="Times New Roman" w:cs="Times New Roman"/>
          <w:sz w:val="24"/>
          <w:szCs w:val="24"/>
          <w:lang w:val="en-US"/>
        </w:rPr>
        <w:instrText>ADDIN CSL_CITATION {"citationItems":[{"id":"ITEM-1","itemData":{"DOI":"10.1007/s00168-016-0786-1","ISSN":"14320592","abstract":"Using data on 434 Brazilian municipalities, this paper explores the influence both corruption and the size of the informal sector have on economic outcomes, while allowing for the possibility of spatial dependence. Overall, this paper finds that the size of the informal sector has a statistically significant and negative association with economic outcomes that is much larger in magnitude than what is predicted by least squares estimates due to its exclusion of spillover effects, while corruption has no significant relationship. Specifically, a one standard deviation increase in the size of the informal sector is associated with a 26 % cumulative decrease in GDP per capita, compared to the maximum of a 17 % decline predicted by least squares.","author":[{"dropping-particle":"","family":"Bologna","given":"Jamie","non-dropping-particle":"","parse-names":false,"suffix":""}],"container-title":"Annals of Regional Science","id":"ITEM-1","issue":"1","issued":{"date-parts":[["2017"]]},"page":"67-118","publisher":"Springer Berlin Heidelberg","title":"Contagious corruption, informal employment, and income: evidence from Brazilian municipalities","type":"article-journal","volume":"58"},"uris":["http://www.mendeley.com/documents/?uuid=9cde4ac5-a490-4604-847b-50b12c67aa56"]}],"mendeley":{"formattedCitation":"(Bologna, 2017)","manualFormatting":"Bologna, (2017)","plainTextFormattedCitation":"(Bologna, 2017)","previouslyFormattedCitation":"(Bologna, 2017)"},"properties":{"noteIndex":0},"schema":"https://github.com/citation-style-language/schema/raw/master/csl-citation.json"}</w:instrText>
      </w:r>
      <w:r w:rsidR="00424568">
        <w:rPr>
          <w:rFonts w:ascii="Times New Roman" w:hAnsi="Times New Roman" w:cs="Times New Roman"/>
          <w:sz w:val="24"/>
          <w:szCs w:val="24"/>
          <w:lang w:val="en-US"/>
        </w:rPr>
        <w:fldChar w:fldCharType="separate"/>
      </w:r>
      <w:r w:rsidR="00424568" w:rsidRPr="00424568">
        <w:rPr>
          <w:rFonts w:ascii="Times New Roman" w:hAnsi="Times New Roman" w:cs="Times New Roman"/>
          <w:noProof/>
          <w:sz w:val="24"/>
          <w:szCs w:val="24"/>
          <w:lang w:val="en-US"/>
        </w:rPr>
        <w:t xml:space="preserve">Bologna, </w:t>
      </w:r>
      <w:r w:rsidR="00424568">
        <w:rPr>
          <w:rFonts w:ascii="Times New Roman" w:hAnsi="Times New Roman" w:cs="Times New Roman"/>
          <w:noProof/>
          <w:sz w:val="24"/>
          <w:szCs w:val="24"/>
          <w:lang w:val="en-US"/>
        </w:rPr>
        <w:t>(</w:t>
      </w:r>
      <w:r w:rsidR="00424568" w:rsidRPr="00424568">
        <w:rPr>
          <w:rFonts w:ascii="Times New Roman" w:hAnsi="Times New Roman" w:cs="Times New Roman"/>
          <w:noProof/>
          <w:sz w:val="24"/>
          <w:szCs w:val="24"/>
          <w:lang w:val="en-US"/>
        </w:rPr>
        <w:t>2017)</w:t>
      </w:r>
      <w:r w:rsidR="00424568">
        <w:rPr>
          <w:rFonts w:ascii="Times New Roman" w:hAnsi="Times New Roman" w:cs="Times New Roman"/>
          <w:sz w:val="24"/>
          <w:szCs w:val="24"/>
          <w:lang w:val="en-US"/>
        </w:rPr>
        <w:fldChar w:fldCharType="end"/>
      </w:r>
      <w:r w:rsidR="00ED3EC5" w:rsidRPr="00385CB1">
        <w:rPr>
          <w:rFonts w:ascii="Times New Roman" w:hAnsi="Times New Roman" w:cs="Times New Roman"/>
          <w:sz w:val="24"/>
          <w:szCs w:val="24"/>
          <w:lang w:val="en-US"/>
        </w:rPr>
        <w:t xml:space="preserve"> identified clusters of corruption internal to each Brazilian State, showing that the intensity of corruption varies between states and between regions of each State. If there is interstate heterogeneity in the levels of corruption, one may expect different regional levels of cultural complacency with it, leading to state-level heterogeneity both in members’ co-opting and in the Observatories’ monitoring effectiveness. Testing the interstate heterogeneity hypothesis allows mapping the regions where the Observatories are most fragile, enabling actions to be taken to alter the situation.</w:t>
      </w:r>
    </w:p>
    <w:p w14:paraId="43324DB5" w14:textId="0ECB1CBB" w:rsidR="000758DA" w:rsidRPr="00385CB1" w:rsidRDefault="00F40079" w:rsidP="00385CB1">
      <w:pPr>
        <w:pStyle w:val="PargrafodaLista"/>
        <w:spacing w:line="360" w:lineRule="auto"/>
        <w:ind w:firstLine="567"/>
        <w:jc w:val="both"/>
        <w:rPr>
          <w:rFonts w:ascii="Times New Roman" w:hAnsi="Times New Roman" w:cs="Times New Roman"/>
          <w:sz w:val="24"/>
          <w:szCs w:val="24"/>
          <w:lang w:val="en-US"/>
        </w:rPr>
      </w:pPr>
      <w:r w:rsidRPr="00F40079">
        <w:rPr>
          <w:rFonts w:ascii="Times New Roman" w:hAnsi="Times New Roman" w:cs="Times New Roman"/>
          <w:sz w:val="24"/>
          <w:szCs w:val="24"/>
          <w:lang w:val="en-US"/>
        </w:rPr>
        <w:t> </w:t>
      </w:r>
    </w:p>
    <w:p w14:paraId="03F356FD" w14:textId="77777777" w:rsidR="00E85ACC" w:rsidRPr="00BE49AB" w:rsidRDefault="00E85ACC" w:rsidP="00E85ACC">
      <w:pPr>
        <w:pStyle w:val="PargrafodaLista"/>
        <w:spacing w:after="0" w:line="240" w:lineRule="auto"/>
        <w:ind w:left="0" w:firstLine="567"/>
        <w:contextualSpacing w:val="0"/>
        <w:jc w:val="both"/>
        <w:rPr>
          <w:rFonts w:ascii="Times New Roman" w:hAnsi="Times New Roman" w:cs="Times New Roman"/>
          <w:b/>
          <w:bCs/>
          <w:sz w:val="24"/>
          <w:szCs w:val="24"/>
          <w:lang w:val="en-US"/>
        </w:rPr>
      </w:pPr>
      <w:r w:rsidRPr="00BE49AB">
        <w:rPr>
          <w:rFonts w:ascii="Times New Roman" w:hAnsi="Times New Roman" w:cs="Times New Roman"/>
          <w:b/>
          <w:bCs/>
          <w:sz w:val="24"/>
          <w:szCs w:val="24"/>
          <w:lang w:val="en-US"/>
        </w:rPr>
        <w:t>3. Data</w:t>
      </w:r>
    </w:p>
    <w:p w14:paraId="1E4E36D5" w14:textId="399A49E5" w:rsidR="00E85ACC" w:rsidRPr="00E85ACC" w:rsidRDefault="00E85ACC" w:rsidP="00E85ACC">
      <w:pPr>
        <w:pStyle w:val="PargrafodaLista"/>
        <w:spacing w:after="0" w:line="240" w:lineRule="auto"/>
        <w:ind w:left="0" w:firstLine="567"/>
        <w:contextualSpacing w:val="0"/>
        <w:jc w:val="both"/>
        <w:rPr>
          <w:rFonts w:ascii="Times New Roman" w:hAnsi="Times New Roman" w:cs="Times New Roman"/>
          <w:sz w:val="24"/>
          <w:szCs w:val="24"/>
          <w:lang w:val="en-US"/>
        </w:rPr>
      </w:pPr>
    </w:p>
    <w:p w14:paraId="2B5D15E8" w14:textId="77777777" w:rsidR="0017250A" w:rsidRDefault="00152555" w:rsidP="0017250A">
      <w:pPr>
        <w:pStyle w:val="PargrafodaLista"/>
        <w:spacing w:line="360" w:lineRule="auto"/>
        <w:ind w:left="0" w:firstLine="567"/>
        <w:jc w:val="both"/>
        <w:rPr>
          <w:rFonts w:ascii="Times New Roman" w:hAnsi="Times New Roman" w:cs="Times New Roman"/>
          <w:sz w:val="24"/>
          <w:szCs w:val="24"/>
          <w:lang w:val="en-US"/>
        </w:rPr>
      </w:pPr>
      <w:r w:rsidRPr="00152555">
        <w:rPr>
          <w:rFonts w:ascii="Times New Roman" w:hAnsi="Times New Roman" w:cs="Times New Roman"/>
          <w:sz w:val="24"/>
          <w:szCs w:val="24"/>
          <w:lang w:val="en-US"/>
        </w:rPr>
        <w:t>To estimate the impact of observatories on municipal expenditures, we used consolidated information from the Brazilian National Treasury Secretariat for the period from 2002 to 2017. With these data, we formed a panel that, after excluding municipalities with missing observations, presented 5,532 municipalities and 16 years of data. However, as explained above, computational difficulties because of the excessive volume of data forced us to use a criterion of a regional geographic division of the country, which divides it into “Immediate Regions” (i.e. clusters of municipalities interconnected by ties of economic dependence) and to work only with municipalities that take part in some “Immediate Region”. As a result, it reduced the sample to 1,463 municipalities.</w:t>
      </w:r>
    </w:p>
    <w:p w14:paraId="527506AA" w14:textId="21EEE7DD" w:rsidR="00097C00" w:rsidRPr="00097C00" w:rsidRDefault="00097C00" w:rsidP="00097C00">
      <w:pPr>
        <w:pStyle w:val="PargrafodaLista"/>
        <w:spacing w:line="360" w:lineRule="auto"/>
        <w:ind w:left="0" w:firstLine="567"/>
        <w:jc w:val="both"/>
        <w:rPr>
          <w:rFonts w:ascii="Times New Roman" w:hAnsi="Times New Roman" w:cs="Times New Roman"/>
          <w:sz w:val="24"/>
          <w:szCs w:val="24"/>
          <w:lang w:val="en-US"/>
        </w:rPr>
      </w:pPr>
      <w:r w:rsidRPr="00097C00">
        <w:rPr>
          <w:rFonts w:ascii="Times New Roman" w:hAnsi="Times New Roman" w:cs="Times New Roman"/>
          <w:sz w:val="24"/>
          <w:szCs w:val="24"/>
          <w:lang w:val="en-US"/>
        </w:rPr>
        <w:t xml:space="preserve">To capture the effects of the Observatories on the expenditure items subject to inspection, we split (as shown in table 1) the heading “Total expenses” into the items “Current” and “Capital” expenses. “Current” outlays are divided into “Personnel” outlays (i.e. salaries and labor charges of municipal employees), “Interest” (i.e. payment of debt charges), and “Other current expenses”. The group “Other current expenses” divides into: “Consumption of Materials”, “Freely Distributed Materials”, “Services Outsourced to Individuals”, “Services Outsourced to Legal Entities”, and “Per diem”. The heading “Consumption of Materials” refers to items such as uniforms, material for police patrol, hospital material, vehicle fuel, etc. The item “Freely Distributed Materials” refers to expenses with the purchase of goods and services distributed free to the population (e.g. textbooks, </w:t>
      </w:r>
      <w:r w:rsidRPr="00097C00">
        <w:rPr>
          <w:rFonts w:ascii="Times New Roman" w:hAnsi="Times New Roman" w:cs="Times New Roman"/>
          <w:sz w:val="24"/>
          <w:szCs w:val="24"/>
          <w:lang w:val="en-US"/>
        </w:rPr>
        <w:lastRenderedPageBreak/>
        <w:t xml:space="preserve">medicines, foodstuffs for public school lunches, etc.). “Outsourced services” are expenses with maintenance services for buildings and equipment which are outsourced to individuals or legal entities. And the “Per Diem” are reimbursements of accommodation, food, and transportation expenses of the public servant who travels for work </w:t>
      </w:r>
      <w:r w:rsidR="009436A6">
        <w:rPr>
          <w:rFonts w:ascii="Times New Roman" w:hAnsi="Times New Roman" w:cs="Times New Roman"/>
          <w:sz w:val="24"/>
          <w:szCs w:val="24"/>
          <w:lang w:val="en-US"/>
        </w:rPr>
        <w:fldChar w:fldCharType="begin" w:fldLock="1"/>
      </w:r>
      <w:r w:rsidR="00EF0101">
        <w:rPr>
          <w:rFonts w:ascii="Times New Roman" w:hAnsi="Times New Roman" w:cs="Times New Roman"/>
          <w:sz w:val="24"/>
          <w:szCs w:val="24"/>
          <w:lang w:val="en-US"/>
        </w:rPr>
        <w:instrText>ADDIN CSL_CITATION {"citationItems":[{"id":"ITEM-1","itemData":{"author":[{"dropping-particle":"","family":"Ministério da Fazenda","given":"","non-dropping-particle":"","parse-names":false,"suffix":""}],"container-title":"Portaria Conjunta STN/SOF nº 3, de 2008","id":"ITEM-1","issued":{"date-parts":[["2008"]]},"number-of-pages":"120","publisher":"Ministério da Fazenda","publisher-place":"Brasilia","title":"Manual de despesa nacional","type":"book"},"uris":["http://www.mendeley.com/documents/?uuid=aa1f3322-143c-490d-8dda-0d7d3a4c4ebb"]}],"mendeley":{"formattedCitation":"(Ministério da Fazenda, 2008)","plainTextFormattedCitation":"(Ministério da Fazenda, 2008)","previouslyFormattedCitation":"(Ministério da Fazenda, 2008)"},"properties":{"noteIndex":0},"schema":"https://github.com/citation-style-language/schema/raw/master/csl-citation.json"}</w:instrText>
      </w:r>
      <w:r w:rsidR="009436A6">
        <w:rPr>
          <w:rFonts w:ascii="Times New Roman" w:hAnsi="Times New Roman" w:cs="Times New Roman"/>
          <w:sz w:val="24"/>
          <w:szCs w:val="24"/>
          <w:lang w:val="en-US"/>
        </w:rPr>
        <w:fldChar w:fldCharType="separate"/>
      </w:r>
      <w:r w:rsidR="005E5202" w:rsidRPr="005E5202">
        <w:rPr>
          <w:rFonts w:ascii="Times New Roman" w:hAnsi="Times New Roman" w:cs="Times New Roman"/>
          <w:noProof/>
          <w:sz w:val="24"/>
          <w:szCs w:val="24"/>
          <w:lang w:val="en-US"/>
        </w:rPr>
        <w:t>(Ministério da Fazenda, 2008)</w:t>
      </w:r>
      <w:r w:rsidR="009436A6">
        <w:rPr>
          <w:rFonts w:ascii="Times New Roman" w:hAnsi="Times New Roman" w:cs="Times New Roman"/>
          <w:sz w:val="24"/>
          <w:szCs w:val="24"/>
          <w:lang w:val="en-US"/>
        </w:rPr>
        <w:fldChar w:fldCharType="end"/>
      </w:r>
      <w:r w:rsidR="009436A6">
        <w:rPr>
          <w:rFonts w:ascii="Times New Roman" w:hAnsi="Times New Roman" w:cs="Times New Roman"/>
          <w:sz w:val="24"/>
          <w:szCs w:val="24"/>
          <w:lang w:val="en-US"/>
        </w:rPr>
        <w:t xml:space="preserve"> </w:t>
      </w:r>
    </w:p>
    <w:p w14:paraId="17D8D83C" w14:textId="1B1E45CA" w:rsidR="004A54D2" w:rsidRPr="005E5202" w:rsidRDefault="004A54D2" w:rsidP="001540A2">
      <w:pPr>
        <w:pStyle w:val="PargrafodaLista"/>
        <w:spacing w:after="0" w:line="360" w:lineRule="auto"/>
        <w:ind w:left="0" w:firstLine="567"/>
        <w:contextualSpacing w:val="0"/>
        <w:jc w:val="both"/>
        <w:rPr>
          <w:rFonts w:ascii="Times New Roman" w:hAnsi="Times New Roman" w:cs="Times New Roman"/>
          <w:bCs/>
          <w:sz w:val="24"/>
          <w:szCs w:val="24"/>
          <w:lang w:val="en-US"/>
        </w:rPr>
      </w:pPr>
    </w:p>
    <w:p w14:paraId="28CD9BD8" w14:textId="4AA81FBF" w:rsidR="008C3E4E" w:rsidRPr="002A7AFF" w:rsidRDefault="005E5202" w:rsidP="005E5202">
      <w:pPr>
        <w:spacing w:after="0" w:line="360" w:lineRule="auto"/>
        <w:contextualSpacing/>
        <w:rPr>
          <w:rFonts w:ascii="Times New Roman" w:eastAsia="Times New Roman" w:hAnsi="Times New Roman" w:cs="Times New Roman"/>
          <w:b/>
          <w:color w:val="000000" w:themeColor="text1"/>
          <w:lang w:eastAsia="pt-BR"/>
        </w:rPr>
      </w:pPr>
      <w:r w:rsidRPr="002A7AFF">
        <w:rPr>
          <w:bCs/>
          <w:lang w:val="en-US"/>
        </w:rPr>
        <w:t xml:space="preserve">          </w:t>
      </w:r>
      <w:r w:rsidR="008C3E4E" w:rsidRPr="002A7AFF">
        <w:rPr>
          <w:b/>
        </w:rPr>
        <w:t>Table 1 – Municipal expenses</w:t>
      </w:r>
    </w:p>
    <w:tbl>
      <w:tblPr>
        <w:tblW w:w="7285" w:type="dxa"/>
        <w:tblInd w:w="600" w:type="dxa"/>
        <w:tblLook w:val="04A0" w:firstRow="1" w:lastRow="0" w:firstColumn="1" w:lastColumn="0" w:noHBand="0" w:noVBand="1"/>
      </w:tblPr>
      <w:tblGrid>
        <w:gridCol w:w="636"/>
        <w:gridCol w:w="1358"/>
        <w:gridCol w:w="1418"/>
        <w:gridCol w:w="3873"/>
      </w:tblGrid>
      <w:tr w:rsidR="008C3E4E" w:rsidRPr="008C3E4E" w14:paraId="6FD3B3AE" w14:textId="77777777" w:rsidTr="000E1ECC">
        <w:trPr>
          <w:trHeight w:val="263"/>
        </w:trPr>
        <w:tc>
          <w:tcPr>
            <w:tcW w:w="1994" w:type="dxa"/>
            <w:gridSpan w:val="2"/>
            <w:tcBorders>
              <w:top w:val="single" w:sz="12" w:space="0" w:color="auto"/>
              <w:left w:val="nil"/>
              <w:bottom w:val="single" w:sz="4" w:space="0" w:color="auto"/>
              <w:right w:val="single" w:sz="4" w:space="0" w:color="auto"/>
            </w:tcBorders>
            <w:shd w:val="clear" w:color="auto" w:fill="auto"/>
            <w:noWrap/>
            <w:vAlign w:val="bottom"/>
            <w:hideMark/>
          </w:tcPr>
          <w:p w14:paraId="72E085A8"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lang w:val="en-US"/>
              </w:rPr>
              <w:t>Expense</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A747638"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Group</w:t>
            </w:r>
          </w:p>
        </w:tc>
        <w:tc>
          <w:tcPr>
            <w:tcW w:w="3873" w:type="dxa"/>
            <w:tcBorders>
              <w:top w:val="single" w:sz="12" w:space="0" w:color="auto"/>
              <w:left w:val="single" w:sz="4" w:space="0" w:color="auto"/>
              <w:bottom w:val="single" w:sz="4" w:space="0" w:color="auto"/>
              <w:right w:val="nil"/>
            </w:tcBorders>
            <w:shd w:val="clear" w:color="auto" w:fill="auto"/>
            <w:noWrap/>
            <w:vAlign w:val="bottom"/>
            <w:hideMark/>
          </w:tcPr>
          <w:p w14:paraId="50E8034E"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Subgroup</w:t>
            </w:r>
          </w:p>
        </w:tc>
      </w:tr>
      <w:tr w:rsidR="008C3E4E" w:rsidRPr="008C3E4E" w14:paraId="263215D6" w14:textId="77777777" w:rsidTr="000E1ECC">
        <w:trPr>
          <w:trHeight w:val="329"/>
        </w:trPr>
        <w:tc>
          <w:tcPr>
            <w:tcW w:w="636"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A10D14" w14:textId="77777777" w:rsidR="008C3E4E" w:rsidRPr="008C3E4E" w:rsidRDefault="008C3E4E" w:rsidP="008C3E4E">
            <w:pPr>
              <w:spacing w:after="0" w:line="240" w:lineRule="auto"/>
              <w:jc w:val="center"/>
              <w:rPr>
                <w:rFonts w:ascii="Calibri" w:eastAsia="Times New Roman" w:hAnsi="Calibri" w:cs="Calibri"/>
                <w:color w:val="000000"/>
                <w:sz w:val="28"/>
                <w:szCs w:val="28"/>
                <w:lang w:val="en-US"/>
              </w:rPr>
            </w:pPr>
            <w:r w:rsidRPr="008C3E4E">
              <w:rPr>
                <w:rFonts w:ascii="Calibri" w:eastAsia="Times New Roman" w:hAnsi="Calibri" w:cs="Calibri"/>
                <w:color w:val="000000"/>
                <w:sz w:val="28"/>
                <w:szCs w:val="28"/>
                <w:lang w:val="en-US"/>
              </w:rPr>
              <w:t>TOTAL</w:t>
            </w:r>
          </w:p>
        </w:tc>
        <w:tc>
          <w:tcPr>
            <w:tcW w:w="135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87F7D46"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Current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CB6E"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Personnel</w:t>
            </w: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598A3578"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w:t>
            </w:r>
          </w:p>
        </w:tc>
      </w:tr>
      <w:tr w:rsidR="008C3E4E" w:rsidRPr="008C3E4E" w14:paraId="2D742684" w14:textId="77777777" w:rsidTr="000E1ECC">
        <w:trPr>
          <w:trHeight w:val="263"/>
        </w:trPr>
        <w:tc>
          <w:tcPr>
            <w:tcW w:w="636" w:type="dxa"/>
            <w:vMerge/>
            <w:tcBorders>
              <w:top w:val="nil"/>
              <w:left w:val="nil"/>
              <w:bottom w:val="nil"/>
              <w:right w:val="single" w:sz="4" w:space="0" w:color="auto"/>
            </w:tcBorders>
            <w:vAlign w:val="center"/>
            <w:hideMark/>
          </w:tcPr>
          <w:p w14:paraId="6A7C7307"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nil"/>
              <w:right w:val="single" w:sz="4" w:space="0" w:color="auto"/>
            </w:tcBorders>
            <w:vAlign w:val="center"/>
            <w:hideMark/>
          </w:tcPr>
          <w:p w14:paraId="4355CDE7"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8E225"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Interest</w:t>
            </w: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2E988D5E"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w:t>
            </w:r>
          </w:p>
        </w:tc>
      </w:tr>
      <w:tr w:rsidR="008C3E4E" w:rsidRPr="008C3E4E" w14:paraId="03C71352" w14:textId="77777777" w:rsidTr="000E1ECC">
        <w:trPr>
          <w:trHeight w:val="263"/>
        </w:trPr>
        <w:tc>
          <w:tcPr>
            <w:tcW w:w="636" w:type="dxa"/>
            <w:vMerge/>
            <w:tcBorders>
              <w:top w:val="nil"/>
              <w:left w:val="nil"/>
              <w:bottom w:val="nil"/>
              <w:right w:val="single" w:sz="4" w:space="0" w:color="auto"/>
            </w:tcBorders>
            <w:vAlign w:val="center"/>
            <w:hideMark/>
          </w:tcPr>
          <w:p w14:paraId="5BF667D9"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nil"/>
              <w:right w:val="single" w:sz="4" w:space="0" w:color="auto"/>
            </w:tcBorders>
            <w:vAlign w:val="center"/>
            <w:hideMark/>
          </w:tcPr>
          <w:p w14:paraId="16FADE21"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12859DA"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Times New Roman" w:hAnsi="Times New Roman" w:cs="Times New Roman"/>
                <w:sz w:val="24"/>
                <w:szCs w:val="24"/>
                <w:lang w:val="en-US"/>
              </w:rPr>
              <w:t>Other</w:t>
            </w: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740BCD12" w14:textId="77777777" w:rsidR="008C3E4E" w:rsidRPr="008C3E4E" w:rsidRDefault="008C3E4E" w:rsidP="008C3E4E">
            <w:pPr>
              <w:spacing w:after="0" w:line="240" w:lineRule="auto"/>
              <w:rPr>
                <w:rFonts w:ascii="Calibri" w:eastAsia="Times New Roman" w:hAnsi="Calibri" w:cs="Calibri"/>
                <w:color w:val="000000"/>
                <w:lang w:val="en-US"/>
              </w:rPr>
            </w:pPr>
            <w:r w:rsidRPr="008C3E4E">
              <w:rPr>
                <w:rFonts w:ascii="Calibri" w:eastAsia="Times New Roman" w:hAnsi="Calibri" w:cs="Calibri"/>
                <w:color w:val="000000"/>
                <w:lang w:val="en-US"/>
              </w:rPr>
              <w:t>Consumption of Materials</w:t>
            </w:r>
          </w:p>
        </w:tc>
      </w:tr>
      <w:tr w:rsidR="008C3E4E" w:rsidRPr="008C3E4E" w14:paraId="6E6A9FC5" w14:textId="77777777" w:rsidTr="000E1ECC">
        <w:trPr>
          <w:trHeight w:val="263"/>
        </w:trPr>
        <w:tc>
          <w:tcPr>
            <w:tcW w:w="636" w:type="dxa"/>
            <w:vMerge/>
            <w:tcBorders>
              <w:top w:val="nil"/>
              <w:left w:val="nil"/>
              <w:bottom w:val="nil"/>
              <w:right w:val="single" w:sz="4" w:space="0" w:color="auto"/>
            </w:tcBorders>
            <w:vAlign w:val="center"/>
            <w:hideMark/>
          </w:tcPr>
          <w:p w14:paraId="073CD3EF"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nil"/>
              <w:right w:val="single" w:sz="4" w:space="0" w:color="auto"/>
            </w:tcBorders>
            <w:vAlign w:val="center"/>
            <w:hideMark/>
          </w:tcPr>
          <w:p w14:paraId="439B3291"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vMerge/>
            <w:tcBorders>
              <w:top w:val="nil"/>
              <w:left w:val="single" w:sz="4" w:space="0" w:color="auto"/>
              <w:bottom w:val="nil"/>
              <w:right w:val="single" w:sz="4" w:space="0" w:color="auto"/>
            </w:tcBorders>
            <w:vAlign w:val="center"/>
            <w:hideMark/>
          </w:tcPr>
          <w:p w14:paraId="33EFCE1A" w14:textId="77777777" w:rsidR="008C3E4E" w:rsidRPr="008C3E4E" w:rsidRDefault="008C3E4E" w:rsidP="008C3E4E">
            <w:pPr>
              <w:spacing w:after="0" w:line="240" w:lineRule="auto"/>
              <w:rPr>
                <w:rFonts w:ascii="Calibri" w:eastAsia="Times New Roman" w:hAnsi="Calibri" w:cs="Calibri"/>
                <w:color w:val="000000"/>
                <w:lang w:val="en-US"/>
              </w:rPr>
            </w:pP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11C284BA" w14:textId="77777777" w:rsidR="008C3E4E" w:rsidRPr="008C3E4E" w:rsidRDefault="008C3E4E" w:rsidP="008C3E4E">
            <w:pPr>
              <w:spacing w:after="0" w:line="240" w:lineRule="auto"/>
              <w:rPr>
                <w:rFonts w:ascii="Calibri" w:eastAsia="Times New Roman" w:hAnsi="Calibri" w:cs="Calibri"/>
                <w:color w:val="000000"/>
                <w:lang w:val="en-US"/>
              </w:rPr>
            </w:pPr>
            <w:r w:rsidRPr="008C3E4E">
              <w:rPr>
                <w:rFonts w:ascii="Calibri" w:eastAsia="Times New Roman" w:hAnsi="Calibri" w:cs="Calibri"/>
                <w:color w:val="000000"/>
                <w:lang w:val="en-US"/>
              </w:rPr>
              <w:t>Freely Distributed Materials</w:t>
            </w:r>
          </w:p>
        </w:tc>
      </w:tr>
      <w:tr w:rsidR="008C3E4E" w:rsidRPr="008C3E4E" w14:paraId="7B220A3C" w14:textId="77777777" w:rsidTr="000E1ECC">
        <w:trPr>
          <w:trHeight w:val="263"/>
        </w:trPr>
        <w:tc>
          <w:tcPr>
            <w:tcW w:w="636" w:type="dxa"/>
            <w:vMerge/>
            <w:tcBorders>
              <w:top w:val="nil"/>
              <w:left w:val="nil"/>
              <w:bottom w:val="nil"/>
              <w:right w:val="single" w:sz="4" w:space="0" w:color="auto"/>
            </w:tcBorders>
            <w:vAlign w:val="center"/>
            <w:hideMark/>
          </w:tcPr>
          <w:p w14:paraId="0B803E5B"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nil"/>
              <w:right w:val="single" w:sz="4" w:space="0" w:color="auto"/>
            </w:tcBorders>
            <w:vAlign w:val="center"/>
            <w:hideMark/>
          </w:tcPr>
          <w:p w14:paraId="51E4F137"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vMerge/>
            <w:tcBorders>
              <w:top w:val="nil"/>
              <w:left w:val="single" w:sz="4" w:space="0" w:color="auto"/>
              <w:bottom w:val="nil"/>
              <w:right w:val="single" w:sz="4" w:space="0" w:color="auto"/>
            </w:tcBorders>
            <w:vAlign w:val="center"/>
            <w:hideMark/>
          </w:tcPr>
          <w:p w14:paraId="5706A1BF" w14:textId="77777777" w:rsidR="008C3E4E" w:rsidRPr="008C3E4E" w:rsidRDefault="008C3E4E" w:rsidP="008C3E4E">
            <w:pPr>
              <w:spacing w:after="0" w:line="240" w:lineRule="auto"/>
              <w:rPr>
                <w:rFonts w:ascii="Calibri" w:eastAsia="Times New Roman" w:hAnsi="Calibri" w:cs="Calibri"/>
                <w:color w:val="000000"/>
                <w:lang w:val="en-US"/>
              </w:rPr>
            </w:pP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34780344" w14:textId="02161B6C" w:rsidR="008C3E4E" w:rsidRPr="008C3E4E" w:rsidRDefault="008C3E4E" w:rsidP="008C3E4E">
            <w:pPr>
              <w:spacing w:after="0" w:line="240" w:lineRule="auto"/>
              <w:rPr>
                <w:rFonts w:ascii="Calibri" w:eastAsia="Times New Roman" w:hAnsi="Calibri" w:cs="Calibri"/>
                <w:color w:val="000000"/>
              </w:rPr>
            </w:pPr>
            <w:r w:rsidRPr="008C3E4E">
              <w:rPr>
                <w:rFonts w:ascii="Calibri" w:eastAsia="Times New Roman" w:hAnsi="Calibri" w:cs="Calibri"/>
                <w:color w:val="000000"/>
                <w:lang w:val="en-US"/>
              </w:rPr>
              <w:t xml:space="preserve">Outsourced </w:t>
            </w:r>
            <w:r w:rsidR="00A75E75" w:rsidRPr="008C3E4E">
              <w:rPr>
                <w:rFonts w:ascii="Calibri" w:eastAsia="Times New Roman" w:hAnsi="Calibri" w:cs="Calibri"/>
                <w:color w:val="000000"/>
                <w:lang w:val="en-US"/>
              </w:rPr>
              <w:t xml:space="preserve">Services </w:t>
            </w:r>
            <w:r w:rsidRPr="008C3E4E">
              <w:rPr>
                <w:rFonts w:ascii="Calibri" w:eastAsia="Times New Roman" w:hAnsi="Calibri" w:cs="Calibri"/>
                <w:color w:val="000000"/>
                <w:lang w:val="en-US"/>
              </w:rPr>
              <w:t>to Individuals</w:t>
            </w:r>
          </w:p>
        </w:tc>
      </w:tr>
      <w:tr w:rsidR="008C3E4E" w:rsidRPr="00E8576D" w14:paraId="1327DEBB" w14:textId="77777777" w:rsidTr="000E1ECC">
        <w:trPr>
          <w:trHeight w:val="263"/>
        </w:trPr>
        <w:tc>
          <w:tcPr>
            <w:tcW w:w="636" w:type="dxa"/>
            <w:vMerge/>
            <w:tcBorders>
              <w:top w:val="nil"/>
              <w:left w:val="nil"/>
              <w:bottom w:val="nil"/>
              <w:right w:val="single" w:sz="4" w:space="0" w:color="auto"/>
            </w:tcBorders>
            <w:vAlign w:val="center"/>
            <w:hideMark/>
          </w:tcPr>
          <w:p w14:paraId="63EFAB63" w14:textId="77777777" w:rsidR="008C3E4E" w:rsidRPr="008C3E4E" w:rsidRDefault="008C3E4E" w:rsidP="008C3E4E">
            <w:pPr>
              <w:spacing w:after="0" w:line="240" w:lineRule="auto"/>
              <w:rPr>
                <w:rFonts w:ascii="Calibri" w:eastAsia="Times New Roman" w:hAnsi="Calibri" w:cs="Calibri"/>
                <w:color w:val="000000"/>
                <w:sz w:val="28"/>
                <w:szCs w:val="28"/>
              </w:rPr>
            </w:pPr>
            <w:bookmarkStart w:id="0" w:name="_Hlk86327552"/>
          </w:p>
        </w:tc>
        <w:tc>
          <w:tcPr>
            <w:tcW w:w="1357" w:type="dxa"/>
            <w:vMerge/>
            <w:tcBorders>
              <w:top w:val="nil"/>
              <w:left w:val="single" w:sz="4" w:space="0" w:color="auto"/>
              <w:bottom w:val="nil"/>
              <w:right w:val="single" w:sz="4" w:space="0" w:color="auto"/>
            </w:tcBorders>
            <w:vAlign w:val="center"/>
            <w:hideMark/>
          </w:tcPr>
          <w:p w14:paraId="7C8EDE16" w14:textId="77777777" w:rsidR="008C3E4E" w:rsidRPr="008C3E4E" w:rsidRDefault="008C3E4E" w:rsidP="008C3E4E">
            <w:pPr>
              <w:spacing w:after="0" w:line="240" w:lineRule="auto"/>
              <w:rPr>
                <w:rFonts w:ascii="Calibri" w:eastAsia="Times New Roman" w:hAnsi="Calibri" w:cs="Calibri"/>
                <w:color w:val="000000"/>
              </w:rPr>
            </w:pPr>
          </w:p>
        </w:tc>
        <w:tc>
          <w:tcPr>
            <w:tcW w:w="1418" w:type="dxa"/>
            <w:vMerge/>
            <w:tcBorders>
              <w:top w:val="nil"/>
              <w:left w:val="single" w:sz="4" w:space="0" w:color="auto"/>
              <w:bottom w:val="nil"/>
              <w:right w:val="single" w:sz="4" w:space="0" w:color="auto"/>
            </w:tcBorders>
            <w:vAlign w:val="center"/>
            <w:hideMark/>
          </w:tcPr>
          <w:p w14:paraId="0FEAEC21" w14:textId="77777777" w:rsidR="008C3E4E" w:rsidRPr="008C3E4E" w:rsidRDefault="008C3E4E" w:rsidP="008C3E4E">
            <w:pPr>
              <w:spacing w:after="0" w:line="240" w:lineRule="auto"/>
              <w:rPr>
                <w:rFonts w:ascii="Calibri" w:eastAsia="Times New Roman" w:hAnsi="Calibri" w:cs="Calibri"/>
                <w:color w:val="000000"/>
              </w:rPr>
            </w:pP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42716476" w14:textId="69C559A7" w:rsidR="008C3E4E" w:rsidRPr="00A75E75" w:rsidRDefault="00A75E75" w:rsidP="008C3E4E">
            <w:pPr>
              <w:spacing w:after="0" w:line="240" w:lineRule="auto"/>
              <w:rPr>
                <w:rFonts w:ascii="Calibri" w:eastAsia="Times New Roman" w:hAnsi="Calibri" w:cs="Calibri"/>
                <w:color w:val="000000"/>
                <w:lang w:val="en-US"/>
              </w:rPr>
            </w:pPr>
            <w:r w:rsidRPr="00A75E75">
              <w:rPr>
                <w:rFonts w:ascii="Calibri" w:eastAsia="Times New Roman" w:hAnsi="Calibri" w:cs="Calibri"/>
                <w:color w:val="000000"/>
                <w:lang w:val="en-US"/>
              </w:rPr>
              <w:t>Outsourced Services for Legal Entities</w:t>
            </w:r>
          </w:p>
        </w:tc>
      </w:tr>
      <w:bookmarkEnd w:id="0"/>
      <w:tr w:rsidR="008C3E4E" w:rsidRPr="008C3E4E" w14:paraId="7A27430B" w14:textId="77777777" w:rsidTr="000E1ECC">
        <w:trPr>
          <w:trHeight w:val="263"/>
        </w:trPr>
        <w:tc>
          <w:tcPr>
            <w:tcW w:w="636" w:type="dxa"/>
            <w:vMerge/>
            <w:tcBorders>
              <w:top w:val="nil"/>
              <w:left w:val="nil"/>
              <w:bottom w:val="nil"/>
              <w:right w:val="single" w:sz="4" w:space="0" w:color="auto"/>
            </w:tcBorders>
            <w:vAlign w:val="center"/>
            <w:hideMark/>
          </w:tcPr>
          <w:p w14:paraId="7B9879EE"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single" w:sz="4" w:space="0" w:color="auto"/>
              <w:right w:val="single" w:sz="4" w:space="0" w:color="auto"/>
            </w:tcBorders>
            <w:vAlign w:val="center"/>
            <w:hideMark/>
          </w:tcPr>
          <w:p w14:paraId="238AA309"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189D689D" w14:textId="77777777" w:rsidR="008C3E4E" w:rsidRPr="008C3E4E" w:rsidRDefault="008C3E4E" w:rsidP="008C3E4E">
            <w:pPr>
              <w:spacing w:after="0" w:line="240" w:lineRule="auto"/>
              <w:rPr>
                <w:rFonts w:ascii="Calibri" w:eastAsia="Times New Roman" w:hAnsi="Calibri" w:cs="Calibri"/>
                <w:color w:val="000000"/>
                <w:lang w:val="en-US"/>
              </w:rPr>
            </w:pP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69C3086E" w14:textId="77777777" w:rsidR="008C3E4E" w:rsidRPr="008C3E4E" w:rsidRDefault="008C3E4E" w:rsidP="008C3E4E">
            <w:pPr>
              <w:spacing w:after="0" w:line="240" w:lineRule="auto"/>
              <w:rPr>
                <w:rFonts w:ascii="Calibri" w:eastAsia="Times New Roman" w:hAnsi="Calibri" w:cs="Calibri"/>
                <w:color w:val="000000"/>
                <w:lang w:val="en-US"/>
              </w:rPr>
            </w:pPr>
            <w:r w:rsidRPr="008C3E4E">
              <w:rPr>
                <w:rFonts w:ascii="Calibri" w:eastAsia="Times New Roman" w:hAnsi="Calibri" w:cs="Calibri"/>
                <w:color w:val="000000"/>
                <w:lang w:val="en-US"/>
              </w:rPr>
              <w:t>Per diems</w:t>
            </w:r>
          </w:p>
        </w:tc>
      </w:tr>
      <w:tr w:rsidR="008C3E4E" w:rsidRPr="008C3E4E" w14:paraId="1F64C2FC" w14:textId="77777777" w:rsidTr="000E1ECC">
        <w:trPr>
          <w:trHeight w:val="263"/>
        </w:trPr>
        <w:tc>
          <w:tcPr>
            <w:tcW w:w="636" w:type="dxa"/>
            <w:vMerge/>
            <w:tcBorders>
              <w:top w:val="nil"/>
              <w:left w:val="nil"/>
              <w:bottom w:val="nil"/>
              <w:right w:val="single" w:sz="4" w:space="0" w:color="auto"/>
            </w:tcBorders>
            <w:vAlign w:val="center"/>
            <w:hideMark/>
          </w:tcPr>
          <w:p w14:paraId="4F43EA17"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B78602D"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Capital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E86CC"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Amortization</w:t>
            </w: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4C56220A"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w:t>
            </w:r>
          </w:p>
        </w:tc>
      </w:tr>
      <w:tr w:rsidR="008C3E4E" w:rsidRPr="008C3E4E" w14:paraId="215111A9" w14:textId="77777777" w:rsidTr="000E1ECC">
        <w:trPr>
          <w:trHeight w:val="263"/>
        </w:trPr>
        <w:tc>
          <w:tcPr>
            <w:tcW w:w="636" w:type="dxa"/>
            <w:vMerge/>
            <w:tcBorders>
              <w:top w:val="nil"/>
              <w:left w:val="nil"/>
              <w:bottom w:val="nil"/>
              <w:right w:val="single" w:sz="4" w:space="0" w:color="auto"/>
            </w:tcBorders>
            <w:vAlign w:val="center"/>
            <w:hideMark/>
          </w:tcPr>
          <w:p w14:paraId="7798FFDB"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nil"/>
              <w:right w:val="single" w:sz="4" w:space="0" w:color="auto"/>
            </w:tcBorders>
            <w:vAlign w:val="center"/>
            <w:hideMark/>
          </w:tcPr>
          <w:p w14:paraId="439C6B3F"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2CB1EEF" w14:textId="77777777" w:rsidR="008C3E4E" w:rsidRPr="008C3E4E" w:rsidRDefault="008C3E4E" w:rsidP="008C3E4E">
            <w:pPr>
              <w:spacing w:after="0" w:line="240" w:lineRule="auto"/>
              <w:jc w:val="center"/>
              <w:rPr>
                <w:rFonts w:ascii="Calibri" w:eastAsia="Times New Roman" w:hAnsi="Calibri" w:cs="Calibri"/>
                <w:color w:val="000000"/>
                <w:lang w:val="en-US"/>
              </w:rPr>
            </w:pPr>
            <w:r w:rsidRPr="008C3E4E">
              <w:rPr>
                <w:rFonts w:ascii="Calibri" w:eastAsia="Times New Roman" w:hAnsi="Calibri" w:cs="Calibri"/>
                <w:color w:val="000000"/>
              </w:rPr>
              <w:t>Investiment</w:t>
            </w:r>
          </w:p>
        </w:tc>
        <w:tc>
          <w:tcPr>
            <w:tcW w:w="3873" w:type="dxa"/>
            <w:tcBorders>
              <w:top w:val="single" w:sz="4" w:space="0" w:color="auto"/>
              <w:left w:val="single" w:sz="4" w:space="0" w:color="auto"/>
              <w:bottom w:val="single" w:sz="4" w:space="0" w:color="auto"/>
              <w:right w:val="nil"/>
            </w:tcBorders>
            <w:shd w:val="clear" w:color="auto" w:fill="auto"/>
            <w:noWrap/>
            <w:vAlign w:val="center"/>
            <w:hideMark/>
          </w:tcPr>
          <w:p w14:paraId="256EA8DE" w14:textId="77777777" w:rsidR="008C3E4E" w:rsidRPr="008C3E4E" w:rsidRDefault="008C3E4E" w:rsidP="008C3E4E">
            <w:pPr>
              <w:spacing w:after="0" w:line="240" w:lineRule="auto"/>
              <w:rPr>
                <w:rFonts w:ascii="Calibri" w:eastAsia="Times New Roman" w:hAnsi="Calibri" w:cs="Calibri"/>
                <w:color w:val="000000"/>
                <w:lang w:val="en-US"/>
              </w:rPr>
            </w:pPr>
            <w:r w:rsidRPr="008C3E4E">
              <w:rPr>
                <w:rFonts w:ascii="Calibri" w:eastAsia="Times New Roman" w:hAnsi="Calibri" w:cs="Calibri"/>
                <w:color w:val="000000"/>
                <w:lang w:val="en-US"/>
              </w:rPr>
              <w:t>Equipment and Permanent Material</w:t>
            </w:r>
          </w:p>
        </w:tc>
      </w:tr>
      <w:tr w:rsidR="008C3E4E" w:rsidRPr="008C3E4E" w14:paraId="14A9BABD" w14:textId="77777777" w:rsidTr="000E1ECC">
        <w:trPr>
          <w:trHeight w:val="263"/>
        </w:trPr>
        <w:tc>
          <w:tcPr>
            <w:tcW w:w="636" w:type="dxa"/>
            <w:vMerge/>
            <w:tcBorders>
              <w:top w:val="nil"/>
              <w:left w:val="nil"/>
              <w:bottom w:val="double" w:sz="4" w:space="0" w:color="auto"/>
              <w:right w:val="single" w:sz="4" w:space="0" w:color="auto"/>
            </w:tcBorders>
            <w:vAlign w:val="center"/>
            <w:hideMark/>
          </w:tcPr>
          <w:p w14:paraId="3E1F3F09" w14:textId="77777777" w:rsidR="008C3E4E" w:rsidRPr="008C3E4E" w:rsidRDefault="008C3E4E" w:rsidP="008C3E4E">
            <w:pPr>
              <w:spacing w:after="0" w:line="240" w:lineRule="auto"/>
              <w:rPr>
                <w:rFonts w:ascii="Calibri" w:eastAsia="Times New Roman" w:hAnsi="Calibri" w:cs="Calibri"/>
                <w:color w:val="000000"/>
                <w:sz w:val="28"/>
                <w:szCs w:val="28"/>
                <w:lang w:val="en-US"/>
              </w:rPr>
            </w:pPr>
          </w:p>
        </w:tc>
        <w:tc>
          <w:tcPr>
            <w:tcW w:w="1357" w:type="dxa"/>
            <w:vMerge/>
            <w:tcBorders>
              <w:top w:val="nil"/>
              <w:left w:val="single" w:sz="4" w:space="0" w:color="auto"/>
              <w:bottom w:val="double" w:sz="4" w:space="0" w:color="auto"/>
              <w:right w:val="single" w:sz="4" w:space="0" w:color="auto"/>
            </w:tcBorders>
            <w:vAlign w:val="center"/>
            <w:hideMark/>
          </w:tcPr>
          <w:p w14:paraId="4FC2106A" w14:textId="77777777" w:rsidR="008C3E4E" w:rsidRPr="008C3E4E" w:rsidRDefault="008C3E4E" w:rsidP="008C3E4E">
            <w:pPr>
              <w:spacing w:after="0" w:line="240" w:lineRule="auto"/>
              <w:rPr>
                <w:rFonts w:ascii="Calibri" w:eastAsia="Times New Roman" w:hAnsi="Calibri" w:cs="Calibri"/>
                <w:color w:val="000000"/>
                <w:lang w:val="en-US"/>
              </w:rPr>
            </w:pPr>
          </w:p>
        </w:tc>
        <w:tc>
          <w:tcPr>
            <w:tcW w:w="1418" w:type="dxa"/>
            <w:vMerge/>
            <w:tcBorders>
              <w:top w:val="nil"/>
              <w:left w:val="single" w:sz="4" w:space="0" w:color="auto"/>
              <w:bottom w:val="double" w:sz="4" w:space="0" w:color="auto"/>
              <w:right w:val="single" w:sz="4" w:space="0" w:color="auto"/>
            </w:tcBorders>
            <w:vAlign w:val="center"/>
            <w:hideMark/>
          </w:tcPr>
          <w:p w14:paraId="62FC8BAC" w14:textId="77777777" w:rsidR="008C3E4E" w:rsidRPr="008C3E4E" w:rsidRDefault="008C3E4E" w:rsidP="008C3E4E">
            <w:pPr>
              <w:spacing w:after="0" w:line="240" w:lineRule="auto"/>
              <w:rPr>
                <w:rFonts w:ascii="Calibri" w:eastAsia="Times New Roman" w:hAnsi="Calibri" w:cs="Calibri"/>
                <w:color w:val="000000"/>
                <w:lang w:val="en-US"/>
              </w:rPr>
            </w:pPr>
          </w:p>
        </w:tc>
        <w:tc>
          <w:tcPr>
            <w:tcW w:w="3873" w:type="dxa"/>
            <w:tcBorders>
              <w:top w:val="single" w:sz="4" w:space="0" w:color="auto"/>
              <w:left w:val="single" w:sz="4" w:space="0" w:color="auto"/>
              <w:bottom w:val="double" w:sz="4" w:space="0" w:color="auto"/>
              <w:right w:val="nil"/>
            </w:tcBorders>
            <w:shd w:val="clear" w:color="auto" w:fill="auto"/>
            <w:noWrap/>
            <w:vAlign w:val="center"/>
            <w:hideMark/>
          </w:tcPr>
          <w:p w14:paraId="0D87252C" w14:textId="77777777" w:rsidR="008C3E4E" w:rsidRPr="008C3E4E" w:rsidRDefault="008C3E4E" w:rsidP="008C3E4E">
            <w:pPr>
              <w:spacing w:after="0" w:line="240" w:lineRule="auto"/>
              <w:rPr>
                <w:rFonts w:ascii="Calibri" w:eastAsia="Times New Roman" w:hAnsi="Calibri" w:cs="Calibri"/>
                <w:color w:val="000000"/>
                <w:lang w:val="en-US"/>
              </w:rPr>
            </w:pPr>
            <w:r w:rsidRPr="008C3E4E">
              <w:rPr>
                <w:rFonts w:ascii="Calibri" w:eastAsia="Times New Roman" w:hAnsi="Calibri" w:cs="Calibri"/>
                <w:color w:val="000000"/>
                <w:lang w:val="en-US"/>
              </w:rPr>
              <w:t>Construction and Installations</w:t>
            </w:r>
          </w:p>
        </w:tc>
      </w:tr>
    </w:tbl>
    <w:p w14:paraId="4E6DAF83" w14:textId="7FBDEF35" w:rsidR="008C3E4E" w:rsidRPr="00352D7D" w:rsidRDefault="008C3E4E" w:rsidP="008C3E4E">
      <w:pPr>
        <w:spacing w:after="0" w:line="360" w:lineRule="auto"/>
        <w:jc w:val="both"/>
        <w:rPr>
          <w:sz w:val="20"/>
          <w:szCs w:val="20"/>
        </w:rPr>
      </w:pPr>
      <w:r w:rsidRPr="008C3E4E">
        <w:rPr>
          <w:b/>
          <w:bCs/>
        </w:rPr>
        <w:t xml:space="preserve">           </w:t>
      </w:r>
      <w:r w:rsidRPr="00352D7D">
        <w:rPr>
          <w:sz w:val="20"/>
          <w:szCs w:val="20"/>
        </w:rPr>
        <w:t>Source: Seixas and Banhos (2021)</w:t>
      </w:r>
    </w:p>
    <w:p w14:paraId="53DDC491" w14:textId="77777777" w:rsidR="00423D7B" w:rsidRDefault="00423D7B" w:rsidP="00EE6DC2">
      <w:pPr>
        <w:pStyle w:val="PargrafodaLista"/>
        <w:spacing w:after="0" w:line="240" w:lineRule="auto"/>
        <w:ind w:left="0" w:firstLine="567"/>
        <w:contextualSpacing w:val="0"/>
        <w:jc w:val="both"/>
        <w:rPr>
          <w:rFonts w:ascii="Times New Roman" w:hAnsi="Times New Roman" w:cs="Times New Roman"/>
          <w:sz w:val="24"/>
          <w:szCs w:val="24"/>
          <w:lang w:val="en-US"/>
        </w:rPr>
      </w:pPr>
    </w:p>
    <w:p w14:paraId="2E8C5236" w14:textId="2C4BB383" w:rsidR="0017250A" w:rsidRPr="0017250A" w:rsidRDefault="0017250A" w:rsidP="0017250A">
      <w:pPr>
        <w:pStyle w:val="PargrafodaLista"/>
        <w:spacing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17250A">
        <w:rPr>
          <w:rFonts w:ascii="Times New Roman" w:hAnsi="Times New Roman" w:cs="Times New Roman"/>
          <w:sz w:val="24"/>
          <w:szCs w:val="24"/>
          <w:lang w:val="en-US"/>
        </w:rPr>
        <w:t xml:space="preserve">“Capital” expenses, divide into “Amortization” expenses (i.e. payment or refinancing of the principal and monetary correction of the municipal public debt) and “Investments” (i.e. expenses with the planning and execution of works). Investments split into the headings “Equipment and Permanent Material” (i.e. acquisition of equipment and materials with a durability of over two years) and “Construction and Installations” (i.e. structuring of electrical or hydraulic installations and the construction or acquisition of buildings) </w:t>
      </w:r>
      <w:r w:rsidR="005E5202">
        <w:rPr>
          <w:rFonts w:ascii="Times New Roman" w:hAnsi="Times New Roman" w:cs="Times New Roman"/>
          <w:sz w:val="24"/>
          <w:szCs w:val="24"/>
          <w:lang w:val="en-US"/>
        </w:rPr>
        <w:fldChar w:fldCharType="begin" w:fldLock="1"/>
      </w:r>
      <w:r w:rsidR="00EF0101">
        <w:rPr>
          <w:rFonts w:ascii="Times New Roman" w:hAnsi="Times New Roman" w:cs="Times New Roman"/>
          <w:sz w:val="24"/>
          <w:szCs w:val="24"/>
          <w:lang w:val="en-US"/>
        </w:rPr>
        <w:instrText>ADDIN CSL_CITATION {"citationItems":[{"id":"ITEM-1","itemData":{"author":[{"dropping-particle":"","family":"Ministério da Fazenda","given":"","non-dropping-particle":"","parse-names":false,"suffix":""}],"container-title":"Portaria Conjunta STN/SOF nº 3, de 2008","id":"ITEM-1","issued":{"date-parts":[["2008"]]},"number-of-pages":"120","publisher":"Ministério da Fazenda","publisher-place":"Brasilia","title":"Manual de despesa nacional","type":"book"},"uris":["http://www.mendeley.com/documents/?uuid=aa1f3322-143c-490d-8dda-0d7d3a4c4ebb"]}],"mendeley":{"formattedCitation":"(Ministério da Fazenda, 2008)","plainTextFormattedCitation":"(Ministério da Fazenda, 2008)","previouslyFormattedCitation":"(Ministério da Fazenda, 2008)"},"properties":{"noteIndex":0},"schema":"https://github.com/citation-style-language/schema/raw/master/csl-citation.json"}</w:instrText>
      </w:r>
      <w:r w:rsidR="005E5202">
        <w:rPr>
          <w:rFonts w:ascii="Times New Roman" w:hAnsi="Times New Roman" w:cs="Times New Roman"/>
          <w:sz w:val="24"/>
          <w:szCs w:val="24"/>
          <w:lang w:val="en-US"/>
        </w:rPr>
        <w:fldChar w:fldCharType="separate"/>
      </w:r>
      <w:r w:rsidR="005E5202" w:rsidRPr="005E5202">
        <w:rPr>
          <w:rFonts w:ascii="Times New Roman" w:hAnsi="Times New Roman" w:cs="Times New Roman"/>
          <w:noProof/>
          <w:sz w:val="24"/>
          <w:szCs w:val="24"/>
          <w:lang w:val="en-US"/>
        </w:rPr>
        <w:t>(Ministério da Fazenda, 2008)</w:t>
      </w:r>
      <w:r w:rsidR="005E5202">
        <w:rPr>
          <w:rFonts w:ascii="Times New Roman" w:hAnsi="Times New Roman" w:cs="Times New Roman"/>
          <w:sz w:val="24"/>
          <w:szCs w:val="24"/>
          <w:lang w:val="en-US"/>
        </w:rPr>
        <w:fldChar w:fldCharType="end"/>
      </w:r>
      <w:r w:rsidRPr="0017250A">
        <w:rPr>
          <w:rFonts w:ascii="Times New Roman" w:hAnsi="Times New Roman" w:cs="Times New Roman"/>
          <w:sz w:val="24"/>
          <w:szCs w:val="24"/>
          <w:lang w:val="en-US"/>
        </w:rPr>
        <w:t>. All values were annually corrected by the inflation and divided by the estimated population of the municipalities of each year, to get per capita measures. The data on population comes from the Brazilian Institute of Geography and Statistics (IBGE)</w:t>
      </w:r>
    </w:p>
    <w:p w14:paraId="0F27790B" w14:textId="77777777" w:rsidR="003D054B" w:rsidRDefault="005C58A2" w:rsidP="003D054B">
      <w:pPr>
        <w:pStyle w:val="PargrafodaLista"/>
        <w:spacing w:after="0" w:line="360" w:lineRule="auto"/>
        <w:ind w:left="0" w:firstLine="567"/>
        <w:jc w:val="both"/>
        <w:rPr>
          <w:rFonts w:ascii="Times New Roman" w:hAnsi="Times New Roman" w:cs="Times New Roman"/>
          <w:sz w:val="24"/>
          <w:szCs w:val="24"/>
          <w:lang w:val="en-US"/>
        </w:rPr>
      </w:pPr>
      <w:r w:rsidRPr="005C58A2">
        <w:rPr>
          <w:rFonts w:ascii="Times New Roman" w:hAnsi="Times New Roman" w:cs="Times New Roman"/>
          <w:sz w:val="24"/>
          <w:szCs w:val="24"/>
          <w:lang w:val="en-US"/>
        </w:rPr>
        <w:t xml:space="preserve">The list of municipalities that have an OSB unit installed, as well as their respective foundation dates, was got from the secretariat of the Social Observatory of Brazil, after a request by phone and e-mail. To identify the set of independent Observatories, we checked the “Rede Sim” internet portal of the Federal Revenue Service. Using the search menu with the expression “Social Observatory”, we identified all the institutions that legally operate or have operated under the name “Social Observatory” in Brazil. Rede Sim also provides the registration data of institutions, including the date of issuance of the CNPJ number, which we adopted as the foundation date of the independent Social Observatories. We could identify 163 Observatories (136 OSB units and 27 independent observatories), spread across 18 states of the federation. However, as municipal expenditure data is only available until 2017, the observatories founded between 2018 and 2021 </w:t>
      </w:r>
      <w:r w:rsidRPr="005C58A2">
        <w:rPr>
          <w:rFonts w:ascii="Times New Roman" w:hAnsi="Times New Roman" w:cs="Times New Roman"/>
          <w:sz w:val="24"/>
          <w:szCs w:val="24"/>
          <w:lang w:val="en-US"/>
        </w:rPr>
        <w:lastRenderedPageBreak/>
        <w:t>could not be used. Also, to avoid bias, we excluded data from all state capitals, as their pattern of behavior would likely diverge significantly from other municipalities.</w:t>
      </w:r>
      <w:r>
        <w:rPr>
          <w:rFonts w:ascii="Times New Roman" w:hAnsi="Times New Roman" w:cs="Times New Roman"/>
          <w:sz w:val="24"/>
          <w:szCs w:val="24"/>
          <w:lang w:val="en-US"/>
        </w:rPr>
        <w:t xml:space="preserve"> </w:t>
      </w:r>
    </w:p>
    <w:p w14:paraId="6648CD76" w14:textId="785B60D3" w:rsidR="00375D08" w:rsidRDefault="003D054B" w:rsidP="003D054B">
      <w:pPr>
        <w:pStyle w:val="PargrafodaLista"/>
        <w:spacing w:after="0" w:line="360" w:lineRule="auto"/>
        <w:ind w:left="0" w:firstLine="567"/>
        <w:jc w:val="both"/>
        <w:rPr>
          <w:rFonts w:ascii="Times New Roman" w:hAnsi="Times New Roman" w:cs="Times New Roman"/>
          <w:sz w:val="24"/>
          <w:szCs w:val="24"/>
          <w:lang w:val="en-US"/>
        </w:rPr>
      </w:pPr>
      <w:r w:rsidRPr="003D054B">
        <w:rPr>
          <w:rFonts w:ascii="Times New Roman" w:hAnsi="Times New Roman" w:cs="Times New Roman"/>
          <w:sz w:val="24"/>
          <w:szCs w:val="24"/>
          <w:lang w:val="en-US"/>
        </w:rPr>
        <w:t>Finally, we reduced the sample to “Immediate Regions”, leaving in our base 122 Observatories (106 OSB units and 16 independent observatories) distributed across 11 states of the Brazilian Federation. Besides these variables, the estimated models also include controls for the mayor’s political affiliation during the term of office. The period from 2002 to 2017 covers five terms: 2001-2004, 2005-2008, 2009-2012, 2013-2016, and 2017-2020; for these, data on incumbent mayors and political affiliation come from the results of municipal elections available on the website of the Superior Electoral Court (TSE) and the Regional Electoral Courts (TREs).</w:t>
      </w:r>
    </w:p>
    <w:p w14:paraId="649E89F1" w14:textId="77777777" w:rsidR="003D054B" w:rsidRPr="0088076F" w:rsidRDefault="003D054B" w:rsidP="003D054B">
      <w:pPr>
        <w:pStyle w:val="PargrafodaLista"/>
        <w:spacing w:after="0" w:line="360" w:lineRule="auto"/>
        <w:ind w:left="0" w:firstLine="567"/>
        <w:jc w:val="both"/>
        <w:rPr>
          <w:rFonts w:ascii="Times New Roman" w:hAnsi="Times New Roman" w:cs="Times New Roman"/>
          <w:sz w:val="24"/>
          <w:szCs w:val="24"/>
          <w:lang w:val="en-US"/>
        </w:rPr>
      </w:pPr>
    </w:p>
    <w:p w14:paraId="0263C6BA" w14:textId="537B7C03" w:rsidR="00375D08" w:rsidRPr="00BE49AB" w:rsidRDefault="00375D08" w:rsidP="00BE49AB">
      <w:pPr>
        <w:pStyle w:val="PargrafodaLista"/>
        <w:spacing w:after="0" w:line="240" w:lineRule="auto"/>
        <w:ind w:left="708" w:firstLine="567"/>
        <w:contextualSpacing w:val="0"/>
        <w:jc w:val="both"/>
        <w:rPr>
          <w:rFonts w:ascii="Times New Roman" w:hAnsi="Times New Roman" w:cs="Times New Roman"/>
          <w:b/>
          <w:bCs/>
          <w:sz w:val="24"/>
          <w:szCs w:val="24"/>
          <w:lang w:val="en-US"/>
        </w:rPr>
      </w:pPr>
      <w:r w:rsidRPr="00BE49AB">
        <w:rPr>
          <w:rFonts w:ascii="Times New Roman" w:hAnsi="Times New Roman" w:cs="Times New Roman"/>
          <w:b/>
          <w:bCs/>
          <w:sz w:val="24"/>
          <w:szCs w:val="24"/>
          <w:lang w:val="en-US"/>
        </w:rPr>
        <w:t>4. Empirical strategy</w:t>
      </w:r>
    </w:p>
    <w:p w14:paraId="43514EF7" w14:textId="214F2556" w:rsidR="00375D08" w:rsidRPr="00BE49AB" w:rsidRDefault="00375D08" w:rsidP="009B29BE">
      <w:pPr>
        <w:pStyle w:val="PargrafodaLista"/>
        <w:spacing w:after="0" w:line="240" w:lineRule="auto"/>
        <w:ind w:left="0" w:firstLine="567"/>
        <w:jc w:val="both"/>
        <w:rPr>
          <w:rFonts w:ascii="Times New Roman" w:hAnsi="Times New Roman" w:cs="Times New Roman"/>
          <w:b/>
          <w:bCs/>
          <w:sz w:val="24"/>
          <w:szCs w:val="24"/>
          <w:lang w:val="en-US"/>
        </w:rPr>
      </w:pPr>
    </w:p>
    <w:p w14:paraId="62D7F08D" w14:textId="4A2E606C" w:rsidR="001C423F" w:rsidRPr="001C423F" w:rsidRDefault="001C423F" w:rsidP="001C423F">
      <w:pPr>
        <w:pStyle w:val="PargrafodaLista"/>
        <w:spacing w:after="0" w:line="360" w:lineRule="auto"/>
        <w:ind w:left="0" w:firstLine="567"/>
        <w:jc w:val="both"/>
        <w:rPr>
          <w:rFonts w:ascii="Times New Roman" w:hAnsi="Times New Roman" w:cs="Times New Roman"/>
          <w:sz w:val="24"/>
          <w:szCs w:val="24"/>
          <w:lang w:val="en-US"/>
        </w:rPr>
      </w:pPr>
      <w:r w:rsidRPr="001C423F">
        <w:rPr>
          <w:rFonts w:ascii="Times New Roman" w:hAnsi="Times New Roman" w:cs="Times New Roman"/>
          <w:sz w:val="24"/>
          <w:szCs w:val="24"/>
          <w:lang w:val="en-US"/>
        </w:rPr>
        <w:t>Estimating the causal effect of the Observatories on municipal expenses must consider the non-experimental nature of their introduction in the municipalities. With both OSB network units and independent Observatories, the establishment of a Social Observatory in a municipality is based on the interest and initiative of the citizens in promoting social control of public spending. Thus, unobservable characteristics of the municipalities can influence both the implementation of an observatory and the quality of the municipality’s fiscal management. In a municipality, if the political preferences of the population favor the rigorous conduct of the public administration, this can influence both the choice of more competent managers and the mobilization of a group of people interested in implementing the Observatory. Here, this unobservable variable could promote a downward bias in average expenditures, since the greater efficiency of fiscal management in municipalities with an Observatory would not result only from its monitoring but also from “habits of thought and action” rooted in the population’s preferences (HODGSON, G., 2002; HODGSON, G., 2004). This and other possible omitted variables may cause the estimate of the effect of the Observatories, by a simple comparison of the average expenses of municipalities with and without the Observatory, to be polluted by selection bias</w:t>
      </w:r>
      <w:r w:rsidR="00EF0101">
        <w:rPr>
          <w:rFonts w:ascii="Times New Roman" w:hAnsi="Times New Roman" w:cs="Times New Roman"/>
          <w:sz w:val="24"/>
          <w:szCs w:val="24"/>
          <w:lang w:val="en-US"/>
        </w:rPr>
        <w:t xml:space="preserve"> </w:t>
      </w:r>
      <w:r w:rsidR="00EF0101">
        <w:rPr>
          <w:rFonts w:ascii="Times New Roman" w:hAnsi="Times New Roman" w:cs="Times New Roman"/>
          <w:sz w:val="24"/>
          <w:szCs w:val="24"/>
          <w:lang w:val="en-US"/>
        </w:rPr>
        <w:fldChar w:fldCharType="begin" w:fldLock="1"/>
      </w:r>
      <w:r w:rsidR="00EF0101">
        <w:rPr>
          <w:rFonts w:ascii="Times New Roman" w:hAnsi="Times New Roman" w:cs="Times New Roman"/>
          <w:sz w:val="24"/>
          <w:szCs w:val="24"/>
          <w:lang w:val="en-US"/>
        </w:rPr>
        <w:instrText>ADDIN CSL_CITATION {"citationItems":[{"id":"ITEM-1","itemData":{"ISBN":"9788578110796","ISSN":"1098-6596","PMID":"25246403","author":[{"dropping-particle":"","family":"Angrist","given":"Joshua D.","non-dropping-particle":"","parse-names":false,"suffix":""},{"dropping-particle":"","family":"Pischke","given":"Jörn Steffen","non-dropping-particle":"","parse-names":false,"suffix":""}],"id":"ITEM-1","issued":{"date-parts":[["2015"]]},"publisher":"Princeton University Press","publisher-place":"Princeton","title":"Mastering 'Metrics: The Path from Cause to Effect","type":"book"},"uris":["http://www.mendeley.com/documents/?uuid=fdbb1d15-fb78-4ee3-977c-d372bb5924da"]},{"id":"ITEM-2","itemData":{"DOI":"https://doi.org/10.2307/j.ctv1c29t27","author":[{"dropping-particle":"","family":"Cunningham","given":"Scott.","non-dropping-particle":"","parse-names":false,"suffix":""}],"id":"ITEM-2","issued":{"date-parts":[["2021"]]},"publisher":"Yale University Press","title":"Causal Inference : The Mixtape","type":"book"},"uris":["http://www.mendeley.com/documents/?uuid=9b7c974a-5eff-4ec7-b9e6-86977567873c"]},{"id":"ITEM-3","itemData":{"DOI":"10.1257/jel.47.1.5","ISSN":"00220515","abstract":"Many empirical questions in economics and other social sciences depend on causal effects of programs or policies. In the last two decades, much research has been done on the econometric and statistical analysis of such causal effects. This recent theoretical literature has built on, and combined features of earlier work in both the statistics and econometrics literatures. It has by now reached a level of maturity that makes it an important tool in many areas of empirical research in economics, including labor economics, public finance, development economics, industrial organization, and other areas of empirical microeconomics. In this review, we discuss some of the recent developments. We focus primarily on practical issues for empirical researchers, as well as provide a historical overview of the area and give references to more technical research.","author":[{"dropping-particle":"","family":"Imbens","given":"Guido W.","non-dropping-particle":"","parse-names":false,"suffix":""},{"dropping-particle":"","family":"Wooldridge","given":"Jeffrey M.","non-dropping-particle":"","parse-names":false,"suffix":""}],"container-title":"Journal of Economic Literature","id":"ITEM-3","issue":"1","issued":{"date-parts":[["2009"]]},"page":"5-86","title":"Recent developments in the econometrics of program evaluation","type":"article-journal","volume":"47"},"uris":["http://www.mendeley.com/documents/?uuid=efecc5a6-9be2-40bc-ae2f-38097cdf901b"]}],"mendeley":{"formattedCitation":"(Angrist &amp; Pischke, 2015; Cunningham, 2021; Imbens &amp; Wooldridge, 2009)","plainTextFormattedCitation":"(Angrist &amp; Pischke, 2015; Cunningham, 2021; Imbens &amp; Wooldridge, 2009)","previouslyFormattedCitation":"(Angrist &amp; Pischke, 2015; Cunningham, 2021; Imbens &amp; Wooldridge, 2009)"},"properties":{"noteIndex":0},"schema":"https://github.com/citation-style-language/schema/raw/master/csl-citation.json"}</w:instrText>
      </w:r>
      <w:r w:rsidR="00EF0101">
        <w:rPr>
          <w:rFonts w:ascii="Times New Roman" w:hAnsi="Times New Roman" w:cs="Times New Roman"/>
          <w:sz w:val="24"/>
          <w:szCs w:val="24"/>
          <w:lang w:val="en-US"/>
        </w:rPr>
        <w:fldChar w:fldCharType="separate"/>
      </w:r>
      <w:r w:rsidR="00EF0101" w:rsidRPr="00EF0101">
        <w:rPr>
          <w:rFonts w:ascii="Times New Roman" w:hAnsi="Times New Roman" w:cs="Times New Roman"/>
          <w:noProof/>
          <w:sz w:val="24"/>
          <w:szCs w:val="24"/>
          <w:lang w:val="en-US"/>
        </w:rPr>
        <w:t>(Angrist &amp; Pischke, 2015; Cunningham, 2021; Imbens &amp; Wooldridge, 2009)</w:t>
      </w:r>
      <w:r w:rsidR="00EF0101">
        <w:rPr>
          <w:rFonts w:ascii="Times New Roman" w:hAnsi="Times New Roman" w:cs="Times New Roman"/>
          <w:sz w:val="24"/>
          <w:szCs w:val="24"/>
          <w:lang w:val="en-US"/>
        </w:rPr>
        <w:fldChar w:fldCharType="end"/>
      </w:r>
      <w:r w:rsidRPr="001C423F">
        <w:rPr>
          <w:rFonts w:ascii="Times New Roman" w:hAnsi="Times New Roman" w:cs="Times New Roman"/>
          <w:sz w:val="24"/>
          <w:szCs w:val="24"/>
          <w:lang w:val="en-US"/>
        </w:rPr>
        <w:t xml:space="preserve"> </w:t>
      </w:r>
    </w:p>
    <w:p w14:paraId="26B90494" w14:textId="5C0B0E79" w:rsidR="00DD2870" w:rsidRPr="00DD2870" w:rsidRDefault="00527A5D" w:rsidP="00DD2870">
      <w:pPr>
        <w:pStyle w:val="PargrafodaLista"/>
        <w:spacing w:after="0" w:line="360" w:lineRule="auto"/>
        <w:ind w:left="0" w:firstLine="567"/>
        <w:jc w:val="both"/>
        <w:rPr>
          <w:rFonts w:ascii="Times New Roman" w:hAnsi="Times New Roman" w:cs="Times New Roman"/>
          <w:sz w:val="24"/>
          <w:szCs w:val="24"/>
          <w:lang w:val="en-US"/>
        </w:rPr>
      </w:pPr>
      <w:r w:rsidRPr="00527A5D">
        <w:rPr>
          <w:rFonts w:ascii="Times New Roman" w:hAnsi="Times New Roman" w:cs="Times New Roman"/>
          <w:sz w:val="24"/>
          <w:szCs w:val="24"/>
          <w:lang w:val="en-US"/>
        </w:rPr>
        <w:t>As it is not possible to carry out a controlled experiment that randomly distributes observatories among the municipalities, it is necessary to use a strategy to isolate potential unobservable “confounding effects” that could bias the result. In this article, we adopt the difference-in-differences (DD) approach capable of eliminating time-fixed effects and temporal trends, to identify the isolated effect of the intervention</w:t>
      </w:r>
      <w:r w:rsidR="00DD2870" w:rsidRPr="00DD2870">
        <w:rPr>
          <w:rFonts w:ascii="Times New Roman" w:hAnsi="Times New Roman" w:cs="Times New Roman"/>
          <w:sz w:val="24"/>
          <w:szCs w:val="24"/>
          <w:lang w:val="en-US"/>
        </w:rPr>
        <w:t xml:space="preserve">. In its canonical form, the differences-in-differences approach has two groups, two time periods, and two treatment statuses. With G = 1 and </w:t>
      </w:r>
      <w:r w:rsidR="00DD2870" w:rsidRPr="00DD2870">
        <w:rPr>
          <w:rFonts w:ascii="Times New Roman" w:hAnsi="Times New Roman" w:cs="Times New Roman"/>
          <w:sz w:val="24"/>
          <w:szCs w:val="24"/>
          <w:lang w:val="en-US"/>
        </w:rPr>
        <w:lastRenderedPageBreak/>
        <w:t>G = 0 the treatment and control groups, T=1 and T=0, the post- and pre-intervention periods, and (1) and (0) the “treated” and “non-treated” states.</w:t>
      </w:r>
    </w:p>
    <w:p w14:paraId="2EB26D30" w14:textId="3D4C4E59" w:rsidR="00FA5A5A" w:rsidRDefault="00FA5A5A" w:rsidP="00FA5A5A">
      <w:pPr>
        <w:pStyle w:val="PargrafodaLista"/>
        <w:spacing w:after="0" w:line="360" w:lineRule="auto"/>
        <w:ind w:left="0" w:firstLine="567"/>
        <w:jc w:val="both"/>
        <w:rPr>
          <w:rFonts w:ascii="Times New Roman" w:hAnsi="Times New Roman" w:cs="Times New Roman"/>
          <w:sz w:val="24"/>
          <w:szCs w:val="24"/>
          <w:lang w:val="en-US"/>
        </w:rPr>
      </w:pPr>
      <w:r w:rsidRPr="00FA5A5A">
        <w:rPr>
          <w:rFonts w:ascii="Times New Roman" w:hAnsi="Times New Roman" w:cs="Times New Roman"/>
          <w:sz w:val="24"/>
          <w:szCs w:val="24"/>
          <w:lang w:val="en-US"/>
        </w:rPr>
        <w:t>In this setting, the intervention outcome or the “Average Treatment on the Treated” (EMTT) is given by equation 2, which compares the mean outcome of the treatment group, in the treated state, in period 1 (first term of the subtraction), to its counterfactual. That is, to the average result it would get in the absence of treatment.</w:t>
      </w:r>
    </w:p>
    <w:p w14:paraId="33668041" w14:textId="77777777" w:rsidR="00FA5A5A" w:rsidRPr="00FA5A5A" w:rsidRDefault="00FA5A5A" w:rsidP="00FA5A5A">
      <w:pPr>
        <w:pStyle w:val="PargrafodaLista"/>
        <w:spacing w:after="0" w:line="360" w:lineRule="auto"/>
        <w:ind w:left="0" w:firstLine="567"/>
        <w:jc w:val="both"/>
        <w:rPr>
          <w:rFonts w:ascii="Times New Roman" w:hAnsi="Times New Roman" w:cs="Times New Roman"/>
          <w:sz w:val="24"/>
          <w:szCs w:val="24"/>
          <w:lang w:val="en-US"/>
        </w:rPr>
      </w:pPr>
    </w:p>
    <w:p w14:paraId="544E8310" w14:textId="77777777" w:rsidR="00FA5A5A" w:rsidRPr="00FA5A5A" w:rsidRDefault="00FA5A5A" w:rsidP="00FA5A5A">
      <w:pPr>
        <w:widowControl w:val="0"/>
        <w:autoSpaceDE w:val="0"/>
        <w:autoSpaceDN w:val="0"/>
        <w:spacing w:after="0" w:line="360" w:lineRule="auto"/>
        <w:ind w:left="567" w:firstLine="567"/>
        <w:jc w:val="both"/>
        <w:rPr>
          <w:rFonts w:ascii="Times New Roman" w:hAnsi="Times New Roman" w:cs="Times New Roman"/>
          <w:sz w:val="24"/>
          <w:szCs w:val="24"/>
          <w:lang w:val="en-US"/>
        </w:rPr>
      </w:pPr>
      <m:oMath>
        <m:r>
          <w:rPr>
            <w:rFonts w:ascii="Cambria Math" w:hAnsi="Cambria Math" w:cs="Times New Roman"/>
            <w:sz w:val="24"/>
            <w:szCs w:val="24"/>
          </w:rPr>
          <m:t>EMTT</m:t>
        </m:r>
        <m:r>
          <w:rPr>
            <w:rFonts w:ascii="Cambria Math" w:hAnsi="Cambria Math" w:cs="Times New Roman"/>
            <w:sz w:val="24"/>
            <w:szCs w:val="24"/>
            <w:lang w:val="en-US"/>
          </w:rPr>
          <m:t xml:space="preserve">= </m:t>
        </m:r>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Cambria Math" w:cs="Times New Roman"/>
                    <w:sz w:val="24"/>
                    <w:szCs w:val="24"/>
                    <w:lang w:val="en-US"/>
                  </w:rPr>
                  <m:t>,1</m:t>
                </m:r>
              </m:sub>
            </m:sSub>
            <m:d>
              <m:dPr>
                <m:ctrlPr>
                  <w:rPr>
                    <w:rFonts w:ascii="Cambria Math" w:hAnsi="Cambria Math" w:cs="Times New Roman"/>
                    <w:i/>
                    <w:sz w:val="24"/>
                    <w:szCs w:val="24"/>
                  </w:rPr>
                </m:ctrlPr>
              </m:dPr>
              <m:e>
                <m:r>
                  <w:rPr>
                    <w:rFonts w:ascii="Cambria Math" w:hAnsi="Cambria Math" w:cs="Times New Roman"/>
                    <w:sz w:val="24"/>
                    <w:szCs w:val="24"/>
                    <w:lang w:val="en-US"/>
                  </w:rPr>
                  <m:t>1</m:t>
                </m:r>
              </m:e>
            </m:d>
          </m:e>
        </m:d>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lang w:val="en-US"/>
          </w:rPr>
          <m:t>=1]-</m:t>
        </m:r>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Cambria Math" w:cs="Times New Roman"/>
                    <w:sz w:val="24"/>
                    <w:szCs w:val="24"/>
                    <w:lang w:val="en-US"/>
                  </w:rPr>
                  <m:t>,1</m:t>
                </m:r>
              </m:sub>
            </m:sSub>
            <m:d>
              <m:dPr>
                <m:ctrlPr>
                  <w:rPr>
                    <w:rFonts w:ascii="Cambria Math" w:hAnsi="Cambria Math" w:cs="Times New Roman"/>
                    <w:i/>
                    <w:sz w:val="24"/>
                    <w:szCs w:val="24"/>
                  </w:rPr>
                </m:ctrlPr>
              </m:dPr>
              <m:e>
                <m:r>
                  <w:rPr>
                    <w:rFonts w:ascii="Cambria Math" w:hAnsi="Cambria Math" w:cs="Times New Roman"/>
                    <w:sz w:val="24"/>
                    <w:szCs w:val="24"/>
                    <w:lang w:val="en-US"/>
                  </w:rPr>
                  <m:t>0</m:t>
                </m:r>
              </m:e>
            </m:d>
          </m:e>
        </m:d>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lang w:val="en-US"/>
          </w:rPr>
          <m:t xml:space="preserve">=1] </m:t>
        </m:r>
      </m:oMath>
      <w:r w:rsidRPr="00FA5A5A">
        <w:rPr>
          <w:rFonts w:ascii="Times New Roman" w:eastAsiaTheme="minorEastAsia" w:hAnsi="Times New Roman" w:cs="Times New Roman"/>
          <w:sz w:val="24"/>
          <w:szCs w:val="24"/>
          <w:lang w:val="en-US"/>
        </w:rPr>
        <w:t xml:space="preserve">                                                       </w:t>
      </w:r>
      <w:r w:rsidRPr="00FA5A5A">
        <w:rPr>
          <w:rFonts w:ascii="Times New Roman" w:hAnsi="Times New Roman" w:cs="Times New Roman"/>
          <w:sz w:val="24"/>
          <w:szCs w:val="24"/>
          <w:lang w:val="en-US"/>
        </w:rPr>
        <w:t>(2)</w:t>
      </w:r>
    </w:p>
    <w:p w14:paraId="1B4258DB" w14:textId="5B577F48" w:rsidR="00ED6B83" w:rsidRDefault="00ED6B83" w:rsidP="0088076F">
      <w:pPr>
        <w:pStyle w:val="PargrafodaLista"/>
        <w:spacing w:after="0" w:line="360" w:lineRule="auto"/>
        <w:ind w:left="0" w:firstLine="567"/>
        <w:jc w:val="both"/>
        <w:rPr>
          <w:rFonts w:ascii="Times New Roman" w:hAnsi="Times New Roman" w:cs="Times New Roman"/>
          <w:sz w:val="24"/>
          <w:szCs w:val="24"/>
          <w:lang w:val="en-US"/>
        </w:rPr>
      </w:pPr>
    </w:p>
    <w:p w14:paraId="46BAD010" w14:textId="7A7BC66E" w:rsidR="00ED6B83" w:rsidRDefault="00D52328" w:rsidP="0088076F">
      <w:pPr>
        <w:pStyle w:val="PargrafodaLista"/>
        <w:spacing w:after="0" w:line="360" w:lineRule="auto"/>
        <w:ind w:left="0" w:firstLine="567"/>
        <w:jc w:val="both"/>
        <w:rPr>
          <w:rFonts w:ascii="Times New Roman" w:hAnsi="Times New Roman" w:cs="Times New Roman"/>
          <w:sz w:val="24"/>
          <w:szCs w:val="24"/>
          <w:lang w:val="en-US"/>
        </w:rPr>
      </w:pPr>
      <w:r w:rsidRPr="00D52328">
        <w:rPr>
          <w:rFonts w:ascii="Times New Roman" w:hAnsi="Times New Roman" w:cs="Times New Roman"/>
          <w:sz w:val="24"/>
          <w:szCs w:val="24"/>
          <w:lang w:val="en-US"/>
        </w:rPr>
        <w:t>As it does not belong to the realm of empirical reality, the counterfactual is naturally unknown and not calculable. However, assuming the hypothesis of parallel trends, which, as shown in equation 3, presumes that in the absence of treatment, the temporal evolution of the results of the treatment and control groups would be the same, it becomes possible to estimate the ATT.</w:t>
      </w:r>
    </w:p>
    <w:p w14:paraId="55EE1ADC" w14:textId="2A893F1E" w:rsidR="00ED6B83" w:rsidRDefault="00ED6B83" w:rsidP="0088076F">
      <w:pPr>
        <w:pStyle w:val="PargrafodaLista"/>
        <w:spacing w:after="0" w:line="360" w:lineRule="auto"/>
        <w:ind w:left="0" w:firstLine="567"/>
        <w:jc w:val="both"/>
        <w:rPr>
          <w:rFonts w:ascii="Times New Roman" w:hAnsi="Times New Roman" w:cs="Times New Roman"/>
          <w:sz w:val="24"/>
          <w:szCs w:val="24"/>
          <w:lang w:val="en-US"/>
        </w:rPr>
      </w:pPr>
    </w:p>
    <w:p w14:paraId="43175F11" w14:textId="7E66846A" w:rsidR="00D52328" w:rsidRPr="005A38BF" w:rsidRDefault="00D52328" w:rsidP="00D52328">
      <w:pPr>
        <w:widowControl w:val="0"/>
        <w:autoSpaceDE w:val="0"/>
        <w:autoSpaceDN w:val="0"/>
        <w:spacing w:after="0" w:line="360" w:lineRule="auto"/>
        <w:ind w:left="567"/>
        <w:jc w:val="both"/>
        <w:rPr>
          <w:rFonts w:ascii="Times New Roman" w:eastAsiaTheme="minorEastAsia" w:hAnsi="Times New Roman" w:cs="Times New Roman"/>
          <w:sz w:val="24"/>
          <w:szCs w:val="24"/>
          <w:lang w:val="en-US"/>
        </w:rPr>
      </w:pPr>
      <w:r w:rsidRPr="005A38B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1</m:t>
                </m:r>
              </m:sub>
            </m:sSub>
            <m:d>
              <m:dPr>
                <m:ctrlPr>
                  <w:rPr>
                    <w:rFonts w:ascii="Cambria Math" w:hAnsi="Cambria Math" w:cs="Times New Roman"/>
                    <w:i/>
                    <w:sz w:val="24"/>
                    <w:szCs w:val="24"/>
                  </w:rPr>
                </m:ctrlPr>
              </m:dPr>
              <m:e>
                <m:r>
                  <w:rPr>
                    <w:rFonts w:ascii="Cambria Math" w:hAnsi="Cambria Math" w:cs="Times New Roman"/>
                    <w:sz w:val="24"/>
                    <w:szCs w:val="24"/>
                    <w:lang w:val="en-US"/>
                  </w:rPr>
                  <m:t>0</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0</m:t>
                </m:r>
              </m:sub>
            </m:sSub>
            <m:d>
              <m:dPr>
                <m:ctrlPr>
                  <w:rPr>
                    <w:rFonts w:ascii="Cambria Math" w:hAnsi="Cambria Math" w:cs="Times New Roman"/>
                    <w:i/>
                    <w:sz w:val="24"/>
                    <w:szCs w:val="24"/>
                  </w:rPr>
                </m:ctrlPr>
              </m:dPr>
              <m:e>
                <m:r>
                  <w:rPr>
                    <w:rFonts w:ascii="Cambria Math" w:hAnsi="Cambria Math" w:cs="Times New Roman"/>
                    <w:sz w:val="24"/>
                    <w:szCs w:val="24"/>
                    <w:lang w:val="en-US"/>
                  </w:rPr>
                  <m:t>0</m:t>
                </m:r>
              </m:e>
            </m:d>
            <m:r>
              <w:rPr>
                <w:rFonts w:ascii="Cambria Math" w:hAnsi="Cambria Math" w:cs="Times New Roman"/>
                <w:sz w:val="24"/>
                <w:szCs w:val="24"/>
                <w:lang w:val="en-US"/>
              </w:rPr>
              <m:t xml:space="preserve"> </m:t>
            </m:r>
          </m:e>
        </m:d>
        <m:r>
          <w:rPr>
            <w:rFonts w:ascii="Cambria Math" w:hAnsi="Cambria Math" w:cs="Times New Roman"/>
            <w:sz w:val="24"/>
            <w:szCs w:val="24"/>
          </w:rPr>
          <m:t>G</m:t>
        </m:r>
        <m:r>
          <w:rPr>
            <w:rFonts w:ascii="Cambria Math" w:hAnsi="Cambria Math" w:cs="Times New Roman"/>
            <w:sz w:val="24"/>
            <w:szCs w:val="24"/>
            <w:lang w:val="en-US"/>
          </w:rPr>
          <m:t>=1]=</m:t>
        </m:r>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1</m:t>
                </m:r>
              </m:sub>
            </m:sSub>
            <m:d>
              <m:dPr>
                <m:ctrlPr>
                  <w:rPr>
                    <w:rFonts w:ascii="Cambria Math" w:hAnsi="Cambria Math" w:cs="Times New Roman"/>
                    <w:i/>
                    <w:sz w:val="24"/>
                    <w:szCs w:val="24"/>
                  </w:rPr>
                </m:ctrlPr>
              </m:dPr>
              <m:e>
                <m:r>
                  <w:rPr>
                    <w:rFonts w:ascii="Cambria Math" w:hAnsi="Cambria Math" w:cs="Times New Roman"/>
                    <w:sz w:val="24"/>
                    <w:szCs w:val="24"/>
                    <w:lang w:val="en-US"/>
                  </w:rPr>
                  <m:t>0</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0</m:t>
                </m:r>
              </m:sub>
            </m:sSub>
            <m:d>
              <m:dPr>
                <m:ctrlPr>
                  <w:rPr>
                    <w:rFonts w:ascii="Cambria Math" w:hAnsi="Cambria Math" w:cs="Times New Roman"/>
                    <w:i/>
                    <w:sz w:val="24"/>
                    <w:szCs w:val="24"/>
                  </w:rPr>
                </m:ctrlPr>
              </m:dPr>
              <m:e>
                <m:r>
                  <w:rPr>
                    <w:rFonts w:ascii="Cambria Math" w:hAnsi="Cambria Math" w:cs="Times New Roman"/>
                    <w:sz w:val="24"/>
                    <w:szCs w:val="24"/>
                    <w:lang w:val="en-US"/>
                  </w:rPr>
                  <m:t>0</m:t>
                </m:r>
              </m:e>
            </m:d>
            <m:r>
              <w:rPr>
                <w:rFonts w:ascii="Cambria Math" w:hAnsi="Cambria Math" w:cs="Times New Roman"/>
                <w:sz w:val="24"/>
                <w:szCs w:val="24"/>
                <w:lang w:val="en-US"/>
              </w:rPr>
              <m:t xml:space="preserve"> </m:t>
            </m:r>
          </m:e>
        </m:d>
        <m:r>
          <w:rPr>
            <w:rFonts w:ascii="Cambria Math" w:hAnsi="Cambria Math" w:cs="Times New Roman"/>
            <w:sz w:val="24"/>
            <w:szCs w:val="24"/>
          </w:rPr>
          <m:t>G</m:t>
        </m:r>
        <m:r>
          <w:rPr>
            <w:rFonts w:ascii="Cambria Math" w:hAnsi="Cambria Math" w:cs="Times New Roman"/>
            <w:sz w:val="24"/>
            <w:szCs w:val="24"/>
            <w:lang w:val="en-US"/>
          </w:rPr>
          <m:t>=0]</m:t>
        </m:r>
      </m:oMath>
      <w:r w:rsidRPr="005A38BF">
        <w:rPr>
          <w:rFonts w:ascii="Times New Roman" w:eastAsiaTheme="minorEastAsia" w:hAnsi="Times New Roman" w:cs="Times New Roman"/>
          <w:sz w:val="24"/>
          <w:szCs w:val="24"/>
          <w:lang w:val="en-US"/>
        </w:rPr>
        <w:t xml:space="preserve">                                                      (3)</w:t>
      </w:r>
    </w:p>
    <w:p w14:paraId="6E472987" w14:textId="77777777" w:rsidR="00ED6B83" w:rsidRDefault="00ED6B83" w:rsidP="0088076F">
      <w:pPr>
        <w:pStyle w:val="PargrafodaLista"/>
        <w:spacing w:after="0" w:line="360" w:lineRule="auto"/>
        <w:ind w:left="0" w:firstLine="567"/>
        <w:jc w:val="both"/>
        <w:rPr>
          <w:rFonts w:ascii="Times New Roman" w:hAnsi="Times New Roman" w:cs="Times New Roman"/>
          <w:sz w:val="24"/>
          <w:szCs w:val="24"/>
          <w:lang w:val="en-US"/>
        </w:rPr>
      </w:pPr>
    </w:p>
    <w:p w14:paraId="593DB21F" w14:textId="52858162" w:rsidR="0088076F" w:rsidRDefault="005A38BF" w:rsidP="00D52328">
      <w:pPr>
        <w:widowControl w:val="0"/>
        <w:autoSpaceDE w:val="0"/>
        <w:autoSpaceDN w:val="0"/>
        <w:spacing w:after="0" w:line="360" w:lineRule="auto"/>
        <w:ind w:firstLine="709"/>
        <w:jc w:val="both"/>
        <w:rPr>
          <w:rFonts w:ascii="Times New Roman" w:eastAsiaTheme="minorEastAsia" w:hAnsi="Times New Roman" w:cs="Times New Roman"/>
          <w:color w:val="000000" w:themeColor="text1"/>
          <w:sz w:val="24"/>
          <w:szCs w:val="24"/>
          <w:lang w:val="en-US"/>
        </w:rPr>
      </w:pPr>
      <w:r w:rsidRPr="005A38BF">
        <w:rPr>
          <w:rFonts w:ascii="Times New Roman" w:eastAsiaTheme="minorEastAsia" w:hAnsi="Times New Roman" w:cs="Times New Roman"/>
          <w:color w:val="000000" w:themeColor="text1"/>
          <w:sz w:val="24"/>
          <w:szCs w:val="24"/>
          <w:lang w:val="en-US"/>
        </w:rPr>
        <w:t xml:space="preserve">When the pre-intervention trends of the treatment and control groups are very similar, as they result from the same set of influences, it is possible to assume that the averages would evolve in a parallel way in the intervention's absence </w:t>
      </w:r>
      <w:r w:rsidR="00EF0101">
        <w:rPr>
          <w:rFonts w:ascii="Times New Roman" w:eastAsiaTheme="minorEastAsia" w:hAnsi="Times New Roman" w:cs="Times New Roman"/>
          <w:color w:val="000000" w:themeColor="text1"/>
          <w:sz w:val="24"/>
          <w:szCs w:val="24"/>
          <w:lang w:val="en-US"/>
        </w:rPr>
        <w:fldChar w:fldCharType="begin" w:fldLock="1"/>
      </w:r>
      <w:r w:rsidR="00EF0101">
        <w:rPr>
          <w:rFonts w:ascii="Times New Roman" w:eastAsiaTheme="minorEastAsia" w:hAnsi="Times New Roman" w:cs="Times New Roman"/>
          <w:color w:val="000000" w:themeColor="text1"/>
          <w:sz w:val="24"/>
          <w:szCs w:val="24"/>
          <w:lang w:val="en-US"/>
        </w:rPr>
        <w:instrText>ADDIN CSL_CITATION {"citationItems":[{"id":"ITEM-1","itemData":{"DOI":"https://doi.org/10.2307/j.ctv1c29t27","author":[{"dropping-particle":"","family":"Cunningham","given":"Scott.","non-dropping-particle":"","parse-names":false,"suffix":""}],"id":"ITEM-1","issued":{"date-parts":[["2021"]]},"publisher":"Yale University Press","title":"Causal Inference : The Mixtape","type":"book"},"uris":["http://www.mendeley.com/documents/?uuid=9b7c974a-5eff-4ec7-b9e6-86977567873c"]}],"mendeley":{"formattedCitation":"(Cunningham, 2021)","plainTextFormattedCitation":"(Cunningham, 2021)","previouslyFormattedCitation":"(Cunningham, 2021)"},"properties":{"noteIndex":0},"schema":"https://github.com/citation-style-language/schema/raw/master/csl-citation.json"}</w:instrText>
      </w:r>
      <w:r w:rsidR="00EF0101">
        <w:rPr>
          <w:rFonts w:ascii="Times New Roman" w:eastAsiaTheme="minorEastAsia" w:hAnsi="Times New Roman" w:cs="Times New Roman"/>
          <w:color w:val="000000" w:themeColor="text1"/>
          <w:sz w:val="24"/>
          <w:szCs w:val="24"/>
          <w:lang w:val="en-US"/>
        </w:rPr>
        <w:fldChar w:fldCharType="separate"/>
      </w:r>
      <w:r w:rsidR="00EF0101" w:rsidRPr="00EF0101">
        <w:rPr>
          <w:rFonts w:ascii="Times New Roman" w:eastAsiaTheme="minorEastAsia" w:hAnsi="Times New Roman" w:cs="Times New Roman"/>
          <w:noProof/>
          <w:color w:val="000000" w:themeColor="text1"/>
          <w:sz w:val="24"/>
          <w:szCs w:val="24"/>
          <w:lang w:val="en-US"/>
        </w:rPr>
        <w:t>(Cunningham, 2021)</w:t>
      </w:r>
      <w:r w:rsidR="00EF0101">
        <w:rPr>
          <w:rFonts w:ascii="Times New Roman" w:eastAsiaTheme="minorEastAsia" w:hAnsi="Times New Roman" w:cs="Times New Roman"/>
          <w:color w:val="000000" w:themeColor="text1"/>
          <w:sz w:val="24"/>
          <w:szCs w:val="24"/>
          <w:lang w:val="en-US"/>
        </w:rPr>
        <w:fldChar w:fldCharType="end"/>
      </w:r>
      <w:r w:rsidRPr="005A38BF">
        <w:rPr>
          <w:rFonts w:ascii="Times New Roman" w:eastAsiaTheme="minorEastAsia" w:hAnsi="Times New Roman" w:cs="Times New Roman"/>
          <w:color w:val="000000" w:themeColor="text1"/>
          <w:sz w:val="24"/>
          <w:szCs w:val="24"/>
          <w:lang w:val="en-US"/>
        </w:rPr>
        <w:t xml:space="preserve">. Thus, when the hypothesis of parallel trends is verified, the double subtraction strategy of the difference-in-differences approach (see equation 4) allows the identification of the intervention effect, isolating it from selection bias and other influences that manifest themselves in time. The treatment effect is identified in a two-step process. The first calculates the difference between the pre-and post-intervention periods of the empirical mean of the outcome variable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0</m:t>
            </m:r>
          </m:sub>
        </m:sSub>
        <m:r>
          <w:rPr>
            <w:rFonts w:ascii="Cambria Math" w:hAnsi="Cambria Math" w:cs="Times New Roman"/>
            <w:sz w:val="24"/>
            <w:szCs w:val="24"/>
            <w:lang w:val="en-US"/>
          </w:rPr>
          <m:t>]</m:t>
        </m:r>
      </m:oMath>
      <w:r w:rsidRPr="005A38BF">
        <w:rPr>
          <w:rFonts w:ascii="Times New Roman" w:eastAsiaTheme="minorEastAsia" w:hAnsi="Times New Roman" w:cs="Times New Roman"/>
          <w:sz w:val="24"/>
          <w:szCs w:val="24"/>
          <w:lang w:val="en-US"/>
        </w:rPr>
        <w:t xml:space="preserve">, </w:t>
      </w:r>
      <w:r w:rsidRPr="005A38BF">
        <w:rPr>
          <w:rFonts w:ascii="Times New Roman" w:eastAsiaTheme="minorEastAsia" w:hAnsi="Times New Roman" w:cs="Times New Roman"/>
          <w:color w:val="000000" w:themeColor="text1"/>
          <w:sz w:val="24"/>
          <w:szCs w:val="24"/>
          <w:lang w:val="en-US"/>
        </w:rPr>
        <w:t xml:space="preserve">both for the treatment group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lang w:val="en-US"/>
          </w:rPr>
          <m:t>=1</m:t>
        </m:r>
      </m:oMath>
      <w:r w:rsidRPr="005A38BF">
        <w:rPr>
          <w:rFonts w:ascii="Times New Roman" w:eastAsiaTheme="minorEastAsia" w:hAnsi="Times New Roman" w:cs="Times New Roman"/>
          <w:color w:val="000000" w:themeColor="text1"/>
          <w:sz w:val="24"/>
          <w:szCs w:val="24"/>
          <w:lang w:val="en-US"/>
        </w:rPr>
        <w:t xml:space="preserve">and the control group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lang w:val="en-US"/>
          </w:rPr>
          <m:t>=0</m:t>
        </m:r>
      </m:oMath>
      <w:r w:rsidRPr="005A38BF">
        <w:rPr>
          <w:rFonts w:ascii="Times New Roman" w:eastAsiaTheme="minorEastAsia" w:hAnsi="Times New Roman" w:cs="Times New Roman"/>
          <w:sz w:val="24"/>
          <w:szCs w:val="24"/>
          <w:lang w:val="en-US"/>
        </w:rPr>
        <w:t>.</w:t>
      </w:r>
      <w:r w:rsidRPr="005A38BF">
        <w:rPr>
          <w:rFonts w:ascii="Times New Roman" w:eastAsiaTheme="minorEastAsia" w:hAnsi="Times New Roman" w:cs="Times New Roman"/>
          <w:color w:val="000000" w:themeColor="text1"/>
          <w:sz w:val="24"/>
          <w:szCs w:val="24"/>
          <w:lang w:val="en-US"/>
        </w:rPr>
        <w:t xml:space="preserve"> This first pair of subtractions eliminates any effects that remain fixed in time. The second step calculates the difference between the differences, isolating the treatment from its counterfactual. That is, isolating the treated group results evolution from what would happen, had the treatment have not occurred, identifying the average effect of the treatment on the treated</w:t>
      </w:r>
      <w:r w:rsidR="00EF0101">
        <w:rPr>
          <w:rFonts w:ascii="Times New Roman" w:eastAsiaTheme="minorEastAsia" w:hAnsi="Times New Roman" w:cs="Times New Roman"/>
          <w:color w:val="000000" w:themeColor="text1"/>
          <w:sz w:val="24"/>
          <w:szCs w:val="24"/>
          <w:lang w:val="en-US"/>
        </w:rPr>
        <w:t xml:space="preserve"> </w:t>
      </w:r>
      <w:r w:rsidR="00EF0101">
        <w:rPr>
          <w:rFonts w:ascii="Times New Roman" w:eastAsiaTheme="minorEastAsia" w:hAnsi="Times New Roman" w:cs="Times New Roman"/>
          <w:color w:val="000000" w:themeColor="text1"/>
          <w:sz w:val="24"/>
          <w:szCs w:val="24"/>
          <w:lang w:val="en-US"/>
        </w:rPr>
        <w:fldChar w:fldCharType="begin" w:fldLock="1"/>
      </w:r>
      <w:r w:rsidR="005D2725">
        <w:rPr>
          <w:rFonts w:ascii="Times New Roman" w:eastAsiaTheme="minorEastAsia" w:hAnsi="Times New Roman" w:cs="Times New Roman"/>
          <w:color w:val="000000" w:themeColor="text1"/>
          <w:sz w:val="24"/>
          <w:szCs w:val="24"/>
          <w:lang w:val="en-US"/>
        </w:rPr>
        <w:instrText>ADDIN CSL_CITATION {"citationItems":[{"id":"ITEM-1","itemData":{"DOI":"10.1016/j.jeconom.2020.12.001","ISSN":"18726895","abstract":"In this article, we consider identification, estimation, and inference procedures for treatment effect parameters using Difference-in-Differences (DiD) with (i) multiple time periods, (ii) variation in treatment timing, and (iii) when the “parallel trends assumption” holds potentially only after conditioning on observed covariates. We show that a family of causal effect parameters are identified in staggered DiD setups, even if differences in observed characteristics create non-parallel outcome dynamics between groups. Our identification results allow one to use outcome regression, inverse probability weighting, or doubly-robust estimands. We also propose different aggregation schemes that can be used to highlight treatment effect heterogeneity across different dimensions as well as to summarize the overall effect of participating in the treatment. We establish the asymptotic properties of the proposed estimators and prove the validity of a computationally convenient bootstrap procedure to conduct asymptotically valid simultaneous (instead of pointwise) inference. Finally, we illustrate the relevance of our proposed tools by analyzing the effect of the minimum wage on teen employment from 2001–2007. Open-source software is available for implementing the proposed methods.","author":[{"dropping-particle":"","family":"Callaway","given":"Brantly","non-dropping-particle":"","parse-names":false,"suffix":""},{"dropping-particle":"","family":"Sant'Anna","given":"Pedro H.C.","non-dropping-particle":"","parse-names":false,"suffix":""}],"container-title":"Journal of Econometrics","id":"ITEM-1","issue":"December","issued":{"date-parts":[["2020"]]},"title":"Difference-in-Differences with multiple time periods","type":"article-journal"},"uris":["http://www.mendeley.com/documents/?uuid=f4713550-4042-4a8c-b035-cc0e7056dffc"]}],"mendeley":{"formattedCitation":"(Callaway &amp; Sant’Anna, 2020)","plainTextFormattedCitation":"(Callaway &amp; Sant’Anna, 2020)","previouslyFormattedCitation":"(Callaway &amp; Sant’Anna, 2020)"},"properties":{"noteIndex":0},"schema":"https://github.com/citation-style-language/schema/raw/master/csl-citation.json"}</w:instrText>
      </w:r>
      <w:r w:rsidR="00EF0101">
        <w:rPr>
          <w:rFonts w:ascii="Times New Roman" w:eastAsiaTheme="minorEastAsia" w:hAnsi="Times New Roman" w:cs="Times New Roman"/>
          <w:color w:val="000000" w:themeColor="text1"/>
          <w:sz w:val="24"/>
          <w:szCs w:val="24"/>
          <w:lang w:val="en-US"/>
        </w:rPr>
        <w:fldChar w:fldCharType="separate"/>
      </w:r>
      <w:r w:rsidR="00EF0101" w:rsidRPr="00EF0101">
        <w:rPr>
          <w:rFonts w:ascii="Times New Roman" w:eastAsiaTheme="minorEastAsia" w:hAnsi="Times New Roman" w:cs="Times New Roman"/>
          <w:noProof/>
          <w:color w:val="000000" w:themeColor="text1"/>
          <w:sz w:val="24"/>
          <w:szCs w:val="24"/>
          <w:lang w:val="en-US"/>
        </w:rPr>
        <w:t>(Callaway &amp; Sant’Anna, 2020)</w:t>
      </w:r>
      <w:r w:rsidR="00EF0101">
        <w:rPr>
          <w:rFonts w:ascii="Times New Roman" w:eastAsiaTheme="minorEastAsia" w:hAnsi="Times New Roman" w:cs="Times New Roman"/>
          <w:color w:val="000000" w:themeColor="text1"/>
          <w:sz w:val="24"/>
          <w:szCs w:val="24"/>
          <w:lang w:val="en-US"/>
        </w:rPr>
        <w:fldChar w:fldCharType="end"/>
      </w:r>
      <w:r w:rsidR="00EF0101">
        <w:rPr>
          <w:rFonts w:ascii="Times New Roman" w:eastAsiaTheme="minorEastAsia" w:hAnsi="Times New Roman" w:cs="Times New Roman"/>
          <w:color w:val="000000" w:themeColor="text1"/>
          <w:sz w:val="24"/>
          <w:szCs w:val="24"/>
          <w:lang w:val="en-US"/>
        </w:rPr>
        <w:t>.</w:t>
      </w:r>
    </w:p>
    <w:p w14:paraId="62B8403B" w14:textId="77777777" w:rsidR="005A38BF" w:rsidRDefault="005A38BF" w:rsidP="00D52328">
      <w:pPr>
        <w:widowControl w:val="0"/>
        <w:autoSpaceDE w:val="0"/>
        <w:autoSpaceDN w:val="0"/>
        <w:spacing w:after="0" w:line="360" w:lineRule="auto"/>
        <w:ind w:firstLine="709"/>
        <w:jc w:val="both"/>
        <w:rPr>
          <w:rFonts w:ascii="Times New Roman" w:eastAsiaTheme="minorEastAsia" w:hAnsi="Times New Roman" w:cs="Times New Roman"/>
          <w:color w:val="000000" w:themeColor="text1"/>
          <w:sz w:val="24"/>
          <w:szCs w:val="24"/>
          <w:lang w:val="en-US"/>
        </w:rPr>
      </w:pPr>
    </w:p>
    <w:p w14:paraId="5DA8B4D5" w14:textId="34CEBFB2" w:rsidR="005A38BF" w:rsidRDefault="00F369B4" w:rsidP="005A38BF">
      <w:pPr>
        <w:widowControl w:val="0"/>
        <w:autoSpaceDE w:val="0"/>
        <w:autoSpaceDN w:val="0"/>
        <w:spacing w:after="0" w:line="360" w:lineRule="auto"/>
        <w:ind w:left="624"/>
        <w:jc w:val="both"/>
        <w:rPr>
          <w:rFonts w:ascii="Times New Roman" w:eastAsiaTheme="minorEastAsia" w:hAnsi="Times New Roman" w:cs="Times New Roman"/>
          <w:sz w:val="24"/>
          <w:szCs w:val="24"/>
          <w:lang w:val="en-US"/>
        </w:rPr>
      </w:pPr>
      <m:oMath>
        <m:acc>
          <m:accPr>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EMTT</m:t>
            </m:r>
          </m:e>
        </m:acc>
        <m:r>
          <w:rPr>
            <w:rFonts w:ascii="Cambria Math" w:hAnsi="Cambria Math" w:cs="Times New Roman"/>
            <w:sz w:val="24"/>
            <w:szCs w:val="24"/>
            <w:lang w:val="en-US"/>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0</m:t>
                </m:r>
              </m:sub>
            </m:sSub>
          </m:e>
        </m:d>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lang w:val="en-US"/>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n</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lang w:val="en-US"/>
                  </w:rPr>
                  <m:t>0</m:t>
                </m:r>
              </m:sub>
            </m:sSub>
          </m:e>
        </m:d>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lang w:val="en-US"/>
          </w:rPr>
          <m:t>=0]</m:t>
        </m:r>
      </m:oMath>
      <w:r w:rsidR="005A38BF" w:rsidRPr="005A38BF">
        <w:rPr>
          <w:rFonts w:ascii="Times New Roman" w:eastAsiaTheme="minorEastAsia" w:hAnsi="Times New Roman" w:cs="Times New Roman"/>
          <w:sz w:val="24"/>
          <w:szCs w:val="24"/>
          <w:lang w:val="en-US"/>
        </w:rPr>
        <w:t xml:space="preserve">        </w:t>
      </w:r>
      <w:bookmarkStart w:id="1" w:name="_Hlk93229508"/>
      <w:r w:rsidR="009E1392" w:rsidRPr="009E1392">
        <w:rPr>
          <w:rFonts w:ascii="Times New Roman" w:eastAsiaTheme="minorEastAsia" w:hAnsi="Times New Roman" w:cs="Times New Roman"/>
          <w:color w:val="000000" w:themeColor="text1"/>
          <w:sz w:val="24"/>
          <w:szCs w:val="24"/>
          <w:lang w:val="en-US"/>
        </w:rPr>
        <w:tab/>
      </w:r>
      <w:r w:rsidR="009E1392" w:rsidRPr="009E1392">
        <w:rPr>
          <w:rFonts w:ascii="Times New Roman" w:eastAsiaTheme="minorEastAsia" w:hAnsi="Times New Roman" w:cs="Times New Roman"/>
          <w:color w:val="000000" w:themeColor="text1"/>
          <w:sz w:val="24"/>
          <w:szCs w:val="24"/>
          <w:lang w:val="en-US"/>
        </w:rPr>
        <w:tab/>
      </w:r>
      <w:r w:rsidR="005A38BF">
        <w:rPr>
          <w:rFonts w:ascii="Times New Roman" w:eastAsiaTheme="minorEastAsia" w:hAnsi="Times New Roman" w:cs="Times New Roman"/>
          <w:color w:val="000000" w:themeColor="text1"/>
          <w:sz w:val="24"/>
          <w:szCs w:val="24"/>
          <w:lang w:val="en-US"/>
        </w:rPr>
        <w:t xml:space="preserve">              </w:t>
      </w:r>
      <w:r w:rsidR="00C12F51">
        <w:rPr>
          <w:rFonts w:ascii="Times New Roman" w:eastAsiaTheme="minorEastAsia" w:hAnsi="Times New Roman" w:cs="Times New Roman"/>
          <w:color w:val="000000" w:themeColor="text1"/>
          <w:sz w:val="24"/>
          <w:szCs w:val="24"/>
          <w:lang w:val="en-US"/>
        </w:rPr>
        <w:t xml:space="preserve">       </w:t>
      </w:r>
      <w:r w:rsidR="00795F19">
        <w:rPr>
          <w:rFonts w:ascii="Times New Roman" w:eastAsiaTheme="minorEastAsia" w:hAnsi="Times New Roman" w:cs="Times New Roman"/>
          <w:color w:val="000000" w:themeColor="text1"/>
          <w:sz w:val="24"/>
          <w:szCs w:val="24"/>
          <w:lang w:val="en-US"/>
        </w:rPr>
        <w:t xml:space="preserve"> </w:t>
      </w:r>
      <w:r w:rsidR="005A38BF">
        <w:rPr>
          <w:rFonts w:ascii="Times New Roman" w:eastAsiaTheme="minorEastAsia" w:hAnsi="Times New Roman" w:cs="Times New Roman"/>
          <w:color w:val="000000" w:themeColor="text1"/>
          <w:sz w:val="24"/>
          <w:szCs w:val="24"/>
          <w:lang w:val="en-US"/>
        </w:rPr>
        <w:t xml:space="preserve">           </w:t>
      </w:r>
      <w:r w:rsidR="005A38BF" w:rsidRPr="009E1392">
        <w:rPr>
          <w:rFonts w:ascii="Times New Roman" w:eastAsiaTheme="minorEastAsia" w:hAnsi="Times New Roman" w:cs="Times New Roman"/>
          <w:sz w:val="24"/>
          <w:szCs w:val="24"/>
          <w:lang w:val="en-US"/>
        </w:rPr>
        <w:t>(4)</w:t>
      </w:r>
    </w:p>
    <w:p w14:paraId="56BBA10B" w14:textId="2C2E2A32" w:rsidR="00E912AD" w:rsidRPr="005A38BF" w:rsidRDefault="009E1392" w:rsidP="005A38BF">
      <w:pPr>
        <w:widowControl w:val="0"/>
        <w:autoSpaceDE w:val="0"/>
        <w:autoSpaceDN w:val="0"/>
        <w:spacing w:after="0" w:line="360" w:lineRule="auto"/>
        <w:ind w:firstLine="709"/>
        <w:jc w:val="both"/>
        <w:rPr>
          <w:rFonts w:ascii="Times New Roman" w:eastAsiaTheme="minorEastAsia" w:hAnsi="Times New Roman" w:cs="Times New Roman"/>
          <w:color w:val="000000" w:themeColor="text1"/>
          <w:sz w:val="24"/>
          <w:szCs w:val="24"/>
          <w:lang w:val="en-US"/>
        </w:rPr>
      </w:pPr>
      <w:r w:rsidRPr="009E1392">
        <w:rPr>
          <w:rFonts w:ascii="Times New Roman" w:eastAsiaTheme="minorEastAsia" w:hAnsi="Times New Roman" w:cs="Times New Roman"/>
          <w:color w:val="000000" w:themeColor="text1"/>
          <w:sz w:val="24"/>
          <w:szCs w:val="24"/>
          <w:lang w:val="en-US"/>
        </w:rPr>
        <w:tab/>
      </w:r>
      <w:r w:rsidRPr="009E1392">
        <w:rPr>
          <w:rFonts w:ascii="Times New Roman" w:eastAsiaTheme="minorEastAsia" w:hAnsi="Times New Roman" w:cs="Times New Roman"/>
          <w:color w:val="000000" w:themeColor="text1"/>
          <w:sz w:val="24"/>
          <w:szCs w:val="24"/>
          <w:lang w:val="en-US"/>
        </w:rPr>
        <w:tab/>
      </w:r>
      <w:bookmarkEnd w:id="1"/>
    </w:p>
    <w:p w14:paraId="2B5AEC44" w14:textId="5F8AC8ED" w:rsidR="00470BB5" w:rsidRDefault="00470BB5" w:rsidP="00795F19">
      <w:pPr>
        <w:widowControl w:val="0"/>
        <w:autoSpaceDE w:val="0"/>
        <w:autoSpaceDN w:val="0"/>
        <w:spacing w:after="0" w:line="360" w:lineRule="auto"/>
        <w:ind w:firstLine="624"/>
        <w:jc w:val="both"/>
        <w:rPr>
          <w:rFonts w:ascii="Times New Roman" w:hAnsi="Times New Roman" w:cs="Times New Roman"/>
          <w:sz w:val="24"/>
          <w:szCs w:val="24"/>
          <w:lang w:val="en-US"/>
        </w:rPr>
      </w:pPr>
      <w:r w:rsidRPr="00470BB5">
        <w:rPr>
          <w:rFonts w:ascii="Times New Roman" w:hAnsi="Times New Roman" w:cs="Times New Roman"/>
          <w:sz w:val="24"/>
          <w:szCs w:val="24"/>
          <w:lang w:val="en-US"/>
        </w:rPr>
        <w:t xml:space="preserve">Equation 4, where the ATT is calculated by hand, is algebraically convertible into the DD regression equation (equation 5), in which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oMath>
      <w:r w:rsidRPr="00470BB5">
        <w:rPr>
          <w:rFonts w:ascii="Times New Roman" w:hAnsi="Times New Roman" w:cs="Times New Roman"/>
          <w:sz w:val="24"/>
          <w:szCs w:val="24"/>
          <w:lang w:val="en-US"/>
        </w:rPr>
        <w:t xml:space="preserve"> represents the expected value of the per capita </w:t>
      </w:r>
      <w:r w:rsidRPr="00470BB5">
        <w:rPr>
          <w:rFonts w:ascii="Times New Roman" w:hAnsi="Times New Roman" w:cs="Times New Roman"/>
          <w:sz w:val="24"/>
          <w:szCs w:val="24"/>
          <w:lang w:val="en-US"/>
        </w:rPr>
        <w:lastRenderedPageBreak/>
        <w:t xml:space="preserve">municipal outlays over time,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ϵ</m:t>
            </m:r>
          </m:e>
          <m:sub>
            <m:r>
              <w:rPr>
                <w:rFonts w:ascii="Cambria Math" w:eastAsiaTheme="minorEastAsia" w:hAnsi="Cambria Math" w:cs="Times New Roman"/>
                <w:sz w:val="24"/>
                <w:szCs w:val="24"/>
              </w:rPr>
              <m:t>it</m:t>
            </m:r>
          </m:sub>
        </m:sSub>
      </m:oMath>
      <w:r w:rsidRPr="00470BB5">
        <w:rPr>
          <w:rFonts w:ascii="Times New Roman" w:hAnsi="Times New Roman" w:cs="Times New Roman"/>
          <w:sz w:val="24"/>
          <w:szCs w:val="24"/>
          <w:lang w:val="en-US"/>
        </w:rPr>
        <w:t xml:space="preserve"> is the stochastic error term,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r>
              <m:rPr>
                <m:sty m:val="p"/>
              </m:rPr>
              <w:rPr>
                <w:rFonts w:ascii="Cambria Math" w:eastAsiaTheme="minorEastAsia" w:hAnsi="Cambria Math" w:cs="Times New Roman"/>
                <w:sz w:val="24"/>
                <w:szCs w:val="24"/>
                <w:lang w:val="en-US"/>
              </w:rPr>
              <m:t>O</m:t>
            </m:r>
            <m:r>
              <w:rPr>
                <w:rFonts w:ascii="Cambria Math" w:eastAsiaTheme="minorEastAsia" w:hAnsi="Cambria Math" w:cs="Times New Roman"/>
                <w:sz w:val="24"/>
                <w:szCs w:val="24"/>
              </w:rPr>
              <m:t>ST</m:t>
            </m:r>
          </m:e>
          <m:sub>
            <m:r>
              <w:rPr>
                <w:rFonts w:ascii="Cambria Math" w:eastAsiaTheme="minorEastAsia" w:hAnsi="Cambria Math" w:cs="Times New Roman"/>
                <w:sz w:val="24"/>
                <w:szCs w:val="24"/>
              </w:rPr>
              <m:t>t</m:t>
            </m:r>
          </m:sub>
        </m:sSub>
      </m:oMath>
      <w:r w:rsidRPr="00470BB5">
        <w:rPr>
          <w:rFonts w:ascii="Cambria Math" w:eastAsia="Cambria Math" w:hAnsi="Cambria Math" w:cs="Cambria Math"/>
          <w:sz w:val="24"/>
          <w:szCs w:val="24"/>
          <w:lang w:val="en-US"/>
        </w:rPr>
        <w:t xml:space="preserve"> </w:t>
      </w:r>
      <w:r w:rsidRPr="00470BB5">
        <w:rPr>
          <w:rFonts w:ascii="Times New Roman" w:hAnsi="Times New Roman" w:cs="Times New Roman"/>
          <w:sz w:val="24"/>
          <w:szCs w:val="24"/>
          <w:lang w:val="en-US"/>
        </w:rPr>
        <w:t xml:space="preserve">and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TREAT</m:t>
            </m:r>
          </m:e>
          <m:sub>
            <m:r>
              <w:rPr>
                <w:rFonts w:ascii="Cambria Math" w:eastAsiaTheme="minorEastAsia" w:hAnsi="Cambria Math" w:cs="Times New Roman"/>
                <w:sz w:val="24"/>
                <w:szCs w:val="24"/>
              </w:rPr>
              <m:t>i</m:t>
            </m:r>
          </m:sub>
        </m:sSub>
      </m:oMath>
      <w:r w:rsidRPr="00470BB5">
        <w:rPr>
          <w:rFonts w:ascii="Cambria Math" w:eastAsia="Cambria Math" w:hAnsi="Cambria Math" w:cs="Cambria Math"/>
          <w:sz w:val="24"/>
          <w:szCs w:val="24"/>
          <w:lang w:val="en-US"/>
        </w:rPr>
        <w:t xml:space="preserve"> </w:t>
      </w:r>
      <w:r w:rsidRPr="00470BB5">
        <w:rPr>
          <w:rFonts w:ascii="Times New Roman" w:hAnsi="Times New Roman" w:cs="Times New Roman"/>
          <w:sz w:val="24"/>
          <w:szCs w:val="24"/>
          <w:lang w:val="en-US"/>
        </w:rPr>
        <w:t xml:space="preserve">are dummies for treatment period and status, and the coefficient δ represents the ATT, i.e., the average difference between treated and untreated, in the post-intervention period </w:t>
      </w:r>
      <w:r w:rsidR="005D2725">
        <w:rPr>
          <w:rFonts w:ascii="Times New Roman" w:hAnsi="Times New Roman" w:cs="Times New Roman"/>
          <w:sz w:val="24"/>
          <w:szCs w:val="24"/>
          <w:lang w:val="en-US"/>
        </w:rPr>
        <w:t xml:space="preserve"> </w:t>
      </w:r>
      <w:r w:rsidR="005D2725">
        <w:rPr>
          <w:rFonts w:ascii="Times New Roman" w:hAnsi="Times New Roman" w:cs="Times New Roman"/>
          <w:sz w:val="24"/>
          <w:szCs w:val="24"/>
          <w:lang w:val="en-US"/>
        </w:rPr>
        <w:fldChar w:fldCharType="begin" w:fldLock="1"/>
      </w:r>
      <w:r w:rsidR="005D2725">
        <w:rPr>
          <w:rFonts w:ascii="Times New Roman" w:hAnsi="Times New Roman" w:cs="Times New Roman"/>
          <w:sz w:val="24"/>
          <w:szCs w:val="24"/>
          <w:lang w:val="en-US"/>
        </w:rPr>
        <w:instrText>ADDIN CSL_CITATION {"citationItems":[{"id":"ITEM-1","itemData":{"author":[{"dropping-particle":"","family":"Sant`Anna","given":"Pedro","non-dropping-particle":"","parse-names":false,"suffix":""},{"dropping-particle":"","family":"Callaway","given":"Brantly","non-dropping-particle":"","parse-names":false,"suffix":""}],"id":"ITEM-1","issued":{"date-parts":[["2020"]]},"title":"Problems with two-way fixed-effects event-study regressions.pdf","type":"article-journal"},"uris":["http://www.mendeley.com/documents/?uuid=742870a5-a9e9-4f1e-be50-511d3612054b"]}],"mendeley":{"formattedCitation":"(Sant`Anna &amp; Callaway, 2020)","plainTextFormattedCitation":"(Sant`Anna &amp; Callaway, 2020)","previouslyFormattedCitation":"(Sant`Anna &amp; Callaway, 2020)"},"properties":{"noteIndex":0},"schema":"https://github.com/citation-style-language/schema/raw/master/csl-citation.json"}</w:instrText>
      </w:r>
      <w:r w:rsidR="005D2725">
        <w:rPr>
          <w:rFonts w:ascii="Times New Roman" w:hAnsi="Times New Roman" w:cs="Times New Roman"/>
          <w:sz w:val="24"/>
          <w:szCs w:val="24"/>
          <w:lang w:val="en-US"/>
        </w:rPr>
        <w:fldChar w:fldCharType="separate"/>
      </w:r>
      <w:r w:rsidR="005D2725" w:rsidRPr="005D2725">
        <w:rPr>
          <w:rFonts w:ascii="Times New Roman" w:hAnsi="Times New Roman" w:cs="Times New Roman"/>
          <w:noProof/>
          <w:sz w:val="24"/>
          <w:szCs w:val="24"/>
          <w:lang w:val="en-US"/>
        </w:rPr>
        <w:t>(Sant`Anna &amp; Callaway, 2020)</w:t>
      </w:r>
      <w:r w:rsidR="005D2725">
        <w:rPr>
          <w:rFonts w:ascii="Times New Roman" w:hAnsi="Times New Roman" w:cs="Times New Roman"/>
          <w:sz w:val="24"/>
          <w:szCs w:val="24"/>
          <w:lang w:val="en-US"/>
        </w:rPr>
        <w:fldChar w:fldCharType="end"/>
      </w:r>
    </w:p>
    <w:p w14:paraId="3329C9E9" w14:textId="77777777" w:rsidR="00795F19" w:rsidRDefault="00795F19" w:rsidP="00795F19">
      <w:pPr>
        <w:widowControl w:val="0"/>
        <w:autoSpaceDE w:val="0"/>
        <w:autoSpaceDN w:val="0"/>
        <w:spacing w:after="0" w:line="360" w:lineRule="auto"/>
        <w:ind w:firstLine="624"/>
        <w:jc w:val="both"/>
        <w:rPr>
          <w:rFonts w:ascii="Times New Roman" w:hAnsi="Times New Roman" w:cs="Times New Roman"/>
          <w:sz w:val="24"/>
          <w:szCs w:val="24"/>
          <w:lang w:val="en-US"/>
        </w:rPr>
      </w:pPr>
    </w:p>
    <w:p w14:paraId="255D53F4" w14:textId="10B3E2B6" w:rsidR="00795F19" w:rsidRPr="00795F19" w:rsidRDefault="00F369B4" w:rsidP="00795F19">
      <w:pPr>
        <w:widowControl w:val="0"/>
        <w:autoSpaceDE w:val="0"/>
        <w:autoSpaceDN w:val="0"/>
        <w:spacing w:after="0" w:line="360" w:lineRule="auto"/>
        <w:ind w:firstLine="624"/>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POST</m:t>
            </m:r>
          </m:e>
          <m:sub>
            <m:r>
              <w:rPr>
                <w:rFonts w:ascii="Cambria Math" w:hAnsi="Cambria Math" w:cs="Times New Roman"/>
                <w:sz w:val="24"/>
                <w:szCs w:val="24"/>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TREAT</m:t>
            </m:r>
          </m:e>
          <m:sub>
            <m:r>
              <w:rPr>
                <w:rFonts w:ascii="Cambria Math" w:hAnsi="Cambria Math" w:cs="Times New Roman"/>
                <w:sz w:val="24"/>
                <w:szCs w:val="24"/>
              </w:rPr>
              <m:t>i</m:t>
            </m:r>
          </m:sub>
        </m:sSub>
        <m:r>
          <w:rPr>
            <w:rFonts w:ascii="Cambria Math" w:hAnsi="Cambria Math" w:cs="Times New Roman"/>
            <w:sz w:val="24"/>
            <w:szCs w:val="24"/>
            <w:lang w:val="en-US"/>
          </w:rPr>
          <m:t xml:space="preserve">+ </m:t>
        </m:r>
        <m:r>
          <w:rPr>
            <w:rFonts w:ascii="Cambria Math" w:hAnsi="Cambria Math" w:cs="Times New Roman"/>
            <w:sz w:val="24"/>
            <w:szCs w:val="24"/>
          </w:rPr>
          <m:t>δ</m:t>
        </m:r>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POST</m:t>
            </m:r>
          </m:e>
          <m:sub>
            <m:r>
              <w:rPr>
                <w:rFonts w:ascii="Cambria Math" w:hAnsi="Cambria Math" w:cs="Times New Roman"/>
                <w:sz w:val="24"/>
                <w:szCs w:val="24"/>
              </w:rPr>
              <m:t>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TREAT</m:t>
            </m:r>
          </m:e>
          <m:sub>
            <m:r>
              <w:rPr>
                <w:rFonts w:ascii="Cambria Math" w:hAnsi="Cambria Math" w:cs="Times New Roman"/>
                <w:sz w:val="24"/>
                <w:szCs w:val="24"/>
              </w:rPr>
              <m:t>i</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w:r w:rsidR="00795F19" w:rsidRPr="00795F19">
        <w:rPr>
          <w:rFonts w:ascii="Times New Roman" w:hAnsi="Times New Roman" w:cs="Times New Roman"/>
          <w:sz w:val="24"/>
          <w:szCs w:val="24"/>
          <w:lang w:val="en-US"/>
        </w:rPr>
        <w:tab/>
      </w:r>
      <w:r w:rsidR="00795F19" w:rsidRPr="00795F19">
        <w:rPr>
          <w:rFonts w:ascii="Times New Roman" w:hAnsi="Times New Roman" w:cs="Times New Roman"/>
          <w:sz w:val="24"/>
          <w:szCs w:val="24"/>
          <w:lang w:val="en-US"/>
        </w:rPr>
        <w:tab/>
      </w:r>
      <w:r w:rsidR="00795F19" w:rsidRPr="00795F19">
        <w:rPr>
          <w:rFonts w:ascii="Times New Roman" w:hAnsi="Times New Roman" w:cs="Times New Roman"/>
          <w:sz w:val="24"/>
          <w:szCs w:val="24"/>
          <w:lang w:val="en-US"/>
        </w:rPr>
        <w:tab/>
      </w:r>
      <w:r w:rsidR="00795F19" w:rsidRPr="00795F19">
        <w:rPr>
          <w:rFonts w:ascii="Times New Roman" w:hAnsi="Times New Roman" w:cs="Times New Roman"/>
          <w:sz w:val="24"/>
          <w:szCs w:val="24"/>
          <w:lang w:val="en-US"/>
        </w:rPr>
        <w:tab/>
      </w:r>
      <w:r w:rsidR="00795F19" w:rsidRPr="00795F19">
        <w:rPr>
          <w:rFonts w:ascii="Times New Roman" w:hAnsi="Times New Roman" w:cs="Times New Roman"/>
          <w:sz w:val="24"/>
          <w:szCs w:val="24"/>
          <w:lang w:val="en-US"/>
        </w:rPr>
        <w:tab/>
        <w:t>(5)</w:t>
      </w:r>
    </w:p>
    <w:p w14:paraId="6D7DD0A6" w14:textId="77777777" w:rsidR="00795F19" w:rsidRDefault="00795F19" w:rsidP="000E1ECC">
      <w:pPr>
        <w:widowControl w:val="0"/>
        <w:autoSpaceDE w:val="0"/>
        <w:autoSpaceDN w:val="0"/>
        <w:spacing w:after="0" w:line="360" w:lineRule="auto"/>
        <w:ind w:firstLine="624"/>
        <w:jc w:val="both"/>
        <w:rPr>
          <w:rFonts w:ascii="Times New Roman" w:hAnsi="Times New Roman" w:cs="Times New Roman"/>
          <w:sz w:val="24"/>
          <w:szCs w:val="24"/>
          <w:lang w:val="en-US"/>
        </w:rPr>
      </w:pPr>
    </w:p>
    <w:p w14:paraId="723370F3" w14:textId="1D7111E4" w:rsidR="005468C8" w:rsidRPr="005468C8" w:rsidRDefault="005468C8" w:rsidP="005468C8">
      <w:pPr>
        <w:widowControl w:val="0"/>
        <w:autoSpaceDE w:val="0"/>
        <w:autoSpaceDN w:val="0"/>
        <w:spacing w:after="0" w:line="360" w:lineRule="auto"/>
        <w:ind w:firstLine="624"/>
        <w:jc w:val="both"/>
        <w:rPr>
          <w:rFonts w:ascii="Times New Roman" w:hAnsi="Times New Roman" w:cs="Times New Roman"/>
          <w:sz w:val="24"/>
          <w:szCs w:val="24"/>
          <w:lang w:val="en-US"/>
        </w:rPr>
      </w:pPr>
      <w:r w:rsidRPr="005468C8">
        <w:rPr>
          <w:rFonts w:ascii="Times New Roman" w:hAnsi="Times New Roman" w:cs="Times New Roman"/>
          <w:sz w:val="24"/>
          <w:szCs w:val="24"/>
          <w:lang w:val="en-US"/>
        </w:rPr>
        <w:t>However, as the Observatories of the different municipalities are implemented at different moments in time, being subject to differential treatment time, we are forced to move away from the 2x2 approach, with two groups (treatment and control) and two periods ( pre and post), adopting the difference-in-differences Two Way Fixed Effects approach, which uses dummies for individuals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hAnsi="Cambria Math" w:cs="Times New Roman"/>
            <w:sz w:val="24"/>
            <w:szCs w:val="24"/>
            <w:lang w:val="en-US"/>
          </w:rPr>
          <m:t>)</m:t>
        </m:r>
      </m:oMath>
      <w:r w:rsidRPr="005468C8">
        <w:rPr>
          <w:rFonts w:ascii="Times New Roman" w:hAnsi="Times New Roman" w:cs="Times New Roman"/>
          <w:sz w:val="24"/>
          <w:szCs w:val="24"/>
          <w:lang w:val="en-US"/>
        </w:rPr>
        <w:t xml:space="preserve">and time periods </w:t>
      </w:r>
      <w:r w:rsidRPr="005468C8">
        <w:rPr>
          <w:lang w:val="en-US"/>
        </w:rPr>
        <w:t>(</w:t>
      </w:r>
      <m:oMath>
        <m:sSub>
          <m:sSubPr>
            <m:ctrlPr>
              <w:rPr>
                <w:rFonts w:ascii="Cambria Math" w:hAnsi="Cambria Math"/>
                <w:i/>
              </w:rPr>
            </m:ctrlPr>
          </m:sSubPr>
          <m:e>
            <m:r>
              <w:rPr>
                <w:rFonts w:ascii="Cambria Math" w:hAnsi="Cambria Math"/>
              </w:rPr>
              <m:t>λ</m:t>
            </m:r>
          </m:e>
          <m:sub>
            <m:r>
              <w:rPr>
                <w:rFonts w:ascii="Cambria Math" w:hAnsi="Cambria Math"/>
              </w:rPr>
              <m:t>t</m:t>
            </m:r>
          </m:sub>
        </m:sSub>
      </m:oMath>
      <w:r w:rsidRPr="005468C8">
        <w:rPr>
          <w:rFonts w:eastAsiaTheme="minorEastAsia"/>
          <w:lang w:val="en-US"/>
        </w:rPr>
        <w:t xml:space="preserve">) </w:t>
      </w:r>
      <w:r w:rsidRPr="005468C8">
        <w:rPr>
          <w:rFonts w:ascii="Times New Roman" w:hAnsi="Times New Roman" w:cs="Times New Roman"/>
          <w:sz w:val="24"/>
          <w:szCs w:val="24"/>
          <w:lang w:val="en-US"/>
        </w:rPr>
        <w:t>as fixed effects, in addition to treatment dummies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lang w:val="en-US"/>
          </w:rPr>
          <m:t>)</m:t>
        </m:r>
      </m:oMath>
      <w:r w:rsidRPr="005468C8">
        <w:rPr>
          <w:rFonts w:ascii="Times New Roman" w:hAnsi="Times New Roman" w:cs="Times New Roman"/>
          <w:sz w:val="24"/>
          <w:szCs w:val="24"/>
          <w:lang w:val="en-US"/>
        </w:rPr>
        <w:t xml:space="preserve"> </w:t>
      </w:r>
      <w:r w:rsidR="005D2725">
        <w:rPr>
          <w:rFonts w:ascii="Times New Roman" w:hAnsi="Times New Roman" w:cs="Times New Roman"/>
          <w:sz w:val="24"/>
          <w:szCs w:val="24"/>
          <w:lang w:val="en-US"/>
        </w:rPr>
        <w:fldChar w:fldCharType="begin" w:fldLock="1"/>
      </w:r>
      <w:r w:rsidR="00B47AF9">
        <w:rPr>
          <w:rFonts w:ascii="Times New Roman" w:hAnsi="Times New Roman" w:cs="Times New Roman"/>
          <w:sz w:val="24"/>
          <w:szCs w:val="24"/>
          <w:lang w:val="en-US"/>
        </w:rPr>
        <w:instrText>ADDIN CSL_CITATION {"citationItems":[{"id":"ITEM-1","itemData":{"ISBN":"9788578110796","ISSN":"00027642","PMID":"25246403","abstract":"Recent studies have found that African American managers and executives tend to have relatively few opportunities to exercise higher order and reward-relevant job functions such as job authority, job autonomy, and substantive complexity of work. Most of this research has focused on minority access to job authority in mainstream corporate America. The authors focus on a very specific industry-the National Football League (NFL)-to examine minority access to job authority. Using data collected on all active coaches in the NFL between the 2000 and 2006 seasons, this study examines the influence of race on the attainment of job authority in the NFL. Logistic regression analyses reveal significant direct effects of race on being (a) assigned to coach central positions, (b) appointed as offensive or defensive coordinators, and (c) hired as head coaches, net of measured objective qualifications, including experience, leadership, and performance. Thus, race appears to have both direct and indirect effects on access to managerial authority in the NFL. © 2012 SAGE Publications.","author":[{"dropping-particle":"","family":"Goodman-Bacon","given":"Andrew","non-dropping-particle":"","parse-names":false,"suffix":""}],"container-title":"Journal of Econometrics","id":"ITEM-1","issue":"2","issued":{"date-parts":[["2021"]]},"page":"254-277","title":"Difference-in-Differences With Variation in Treatment Timing","type":"article-journal","volume":"225"},"uris":["http://www.mendeley.com/documents/?uuid=40402dcb-95aa-472b-8d33-4d2a262d69f2"]}],"mendeley":{"formattedCitation":"(Goodman-Bacon, 2021)","plainTextFormattedCitation":"(Goodman-Bacon, 2021)","previouslyFormattedCitation":"(Goodman-Bacon, 2021)"},"properties":{"noteIndex":0},"schema":"https://github.com/citation-style-language/schema/raw/master/csl-citation.json"}</w:instrText>
      </w:r>
      <w:r w:rsidR="005D2725">
        <w:rPr>
          <w:rFonts w:ascii="Times New Roman" w:hAnsi="Times New Roman" w:cs="Times New Roman"/>
          <w:sz w:val="24"/>
          <w:szCs w:val="24"/>
          <w:lang w:val="en-US"/>
        </w:rPr>
        <w:fldChar w:fldCharType="separate"/>
      </w:r>
      <w:r w:rsidR="005D2725" w:rsidRPr="005D2725">
        <w:rPr>
          <w:rFonts w:ascii="Times New Roman" w:hAnsi="Times New Roman" w:cs="Times New Roman"/>
          <w:noProof/>
          <w:sz w:val="24"/>
          <w:szCs w:val="24"/>
          <w:lang w:val="en-US"/>
        </w:rPr>
        <w:t>(Goodman-Bacon, 2021)</w:t>
      </w:r>
      <w:r w:rsidR="005D2725">
        <w:rPr>
          <w:rFonts w:ascii="Times New Roman" w:hAnsi="Times New Roman" w:cs="Times New Roman"/>
          <w:sz w:val="24"/>
          <w:szCs w:val="24"/>
          <w:lang w:val="en-US"/>
        </w:rPr>
        <w:fldChar w:fldCharType="end"/>
      </w:r>
      <w:r w:rsidR="005D2725">
        <w:rPr>
          <w:rFonts w:ascii="Times New Roman" w:hAnsi="Times New Roman" w:cs="Times New Roman"/>
          <w:sz w:val="24"/>
          <w:szCs w:val="24"/>
          <w:lang w:val="en-US"/>
        </w:rPr>
        <w:t>.</w:t>
      </w:r>
    </w:p>
    <w:p w14:paraId="3C379B59" w14:textId="77777777" w:rsidR="008D3B3B" w:rsidRDefault="008D3B3B" w:rsidP="00BE3117">
      <w:pPr>
        <w:widowControl w:val="0"/>
        <w:autoSpaceDE w:val="0"/>
        <w:autoSpaceDN w:val="0"/>
        <w:spacing w:after="0" w:line="360" w:lineRule="auto"/>
        <w:jc w:val="both"/>
        <w:rPr>
          <w:rFonts w:ascii="Times New Roman" w:hAnsi="Times New Roman" w:cs="Times New Roman"/>
          <w:sz w:val="24"/>
          <w:szCs w:val="24"/>
          <w:lang w:val="en-US"/>
        </w:rPr>
      </w:pPr>
    </w:p>
    <w:p w14:paraId="51A32D76" w14:textId="4B7AAD16" w:rsidR="005468C8" w:rsidRPr="005468C8" w:rsidRDefault="00F369B4" w:rsidP="005468C8">
      <w:pPr>
        <w:widowControl w:val="0"/>
        <w:autoSpaceDE w:val="0"/>
        <w:autoSpaceDN w:val="0"/>
        <w:spacing w:after="0" w:line="360" w:lineRule="auto"/>
        <w:ind w:firstLine="624"/>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lang w:val="en-US"/>
          </w:rPr>
          <m:t>=</m:t>
        </m:r>
        <m:r>
          <w:rPr>
            <w:rFonts w:ascii="Cambria Math" w:hAnsi="Cambria Math" w:cs="Times New Roman"/>
            <w:sz w:val="24"/>
            <w:szCs w:val="24"/>
          </w:rPr>
          <m:t>α</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rPr>
              <m:t>δ</m:t>
            </m:r>
          </m:e>
          <m:sup>
            <m:r>
              <w:rPr>
                <w:rFonts w:ascii="Cambria Math" w:hAnsi="Cambria Math" w:cs="Times New Roman"/>
                <w:sz w:val="24"/>
                <w:szCs w:val="24"/>
                <w:lang w:val="en-US"/>
              </w:rPr>
              <m:t>DD</m:t>
            </m:r>
          </m:sup>
        </m:s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oMath>
      <w:r w:rsidR="005468C8" w:rsidRPr="005468C8">
        <w:rPr>
          <w:rFonts w:ascii="Times New Roman" w:hAnsi="Times New Roman" w:cs="Times New Roman"/>
          <w:sz w:val="24"/>
          <w:szCs w:val="24"/>
          <w:lang w:val="en-US"/>
        </w:rPr>
        <w:t xml:space="preserve">                                                                                     (6)</w:t>
      </w:r>
    </w:p>
    <w:p w14:paraId="52585AF0" w14:textId="77777777" w:rsidR="008D3B3B" w:rsidRDefault="008D3B3B" w:rsidP="000E1ECC">
      <w:pPr>
        <w:widowControl w:val="0"/>
        <w:autoSpaceDE w:val="0"/>
        <w:autoSpaceDN w:val="0"/>
        <w:spacing w:after="0" w:line="360" w:lineRule="auto"/>
        <w:ind w:firstLine="624"/>
        <w:jc w:val="both"/>
        <w:rPr>
          <w:rFonts w:ascii="Times New Roman" w:hAnsi="Times New Roman" w:cs="Times New Roman"/>
          <w:sz w:val="24"/>
          <w:szCs w:val="24"/>
          <w:lang w:val="en-US"/>
        </w:rPr>
      </w:pPr>
    </w:p>
    <w:p w14:paraId="4068F6C3" w14:textId="7DD654DD" w:rsidR="005468C8" w:rsidRDefault="00C12111" w:rsidP="005468C8">
      <w:pPr>
        <w:widowControl w:val="0"/>
        <w:autoSpaceDE w:val="0"/>
        <w:autoSpaceDN w:val="0"/>
        <w:spacing w:after="0" w:line="360" w:lineRule="auto"/>
        <w:ind w:firstLine="624"/>
        <w:jc w:val="both"/>
        <w:rPr>
          <w:rFonts w:ascii="Times New Roman" w:eastAsiaTheme="minorEastAsia" w:hAnsi="Times New Roman" w:cs="Times New Roman"/>
          <w:color w:val="000000" w:themeColor="text1"/>
          <w:sz w:val="24"/>
          <w:szCs w:val="24"/>
          <w:lang w:val="en-US"/>
        </w:rPr>
      </w:pPr>
      <w:r w:rsidRPr="00C12111">
        <w:rPr>
          <w:rFonts w:ascii="Times New Roman" w:eastAsiaTheme="minorEastAsia" w:hAnsi="Times New Roman" w:cs="Times New Roman"/>
          <w:color w:val="000000" w:themeColor="text1"/>
          <w:sz w:val="24"/>
          <w:szCs w:val="24"/>
          <w:lang w:val="en-US"/>
        </w:rPr>
        <w:tab/>
      </w:r>
      <w:r w:rsidR="005468C8" w:rsidRPr="005468C8">
        <w:rPr>
          <w:rFonts w:ascii="Times New Roman" w:eastAsiaTheme="minorEastAsia" w:hAnsi="Times New Roman" w:cs="Times New Roman"/>
          <w:color w:val="000000" w:themeColor="text1"/>
          <w:sz w:val="24"/>
          <w:szCs w:val="24"/>
          <w:lang w:val="en-US"/>
        </w:rPr>
        <w:t>To this traditional structure of the TWFE model, the basic specification of our models also adds a specific linear trend for each municipality, in addition to a vector of control variables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it</m:t>
            </m:r>
          </m:sub>
        </m:sSub>
      </m:oMath>
      <w:r w:rsidR="005468C8" w:rsidRPr="005468C8">
        <w:rPr>
          <w:rFonts w:ascii="Times New Roman" w:eastAsiaTheme="minorEastAsia" w:hAnsi="Times New Roman" w:cs="Times New Roman"/>
          <w:color w:val="000000" w:themeColor="text1"/>
          <w:sz w:val="24"/>
          <w:szCs w:val="24"/>
          <w:lang w:val="en-US"/>
        </w:rPr>
        <w:t>), as shown in equation 7.</w:t>
      </w:r>
    </w:p>
    <w:p w14:paraId="2282A27D" w14:textId="77777777" w:rsidR="005468C8" w:rsidRPr="005468C8" w:rsidRDefault="005468C8" w:rsidP="005468C8">
      <w:pPr>
        <w:widowControl w:val="0"/>
        <w:autoSpaceDE w:val="0"/>
        <w:autoSpaceDN w:val="0"/>
        <w:spacing w:after="0" w:line="360" w:lineRule="auto"/>
        <w:ind w:firstLine="624"/>
        <w:jc w:val="both"/>
        <w:rPr>
          <w:rFonts w:ascii="Times New Roman" w:eastAsiaTheme="minorEastAsia" w:hAnsi="Times New Roman" w:cs="Times New Roman"/>
          <w:color w:val="000000" w:themeColor="text1"/>
          <w:sz w:val="24"/>
          <w:szCs w:val="24"/>
          <w:lang w:val="en-US"/>
        </w:rPr>
      </w:pPr>
    </w:p>
    <w:p w14:paraId="19F8A7B3" w14:textId="7C14E6E7" w:rsidR="009E1392" w:rsidRDefault="00F369B4" w:rsidP="00721145">
      <w:pPr>
        <w:widowControl w:val="0"/>
        <w:autoSpaceDE w:val="0"/>
        <w:autoSpaceDN w:val="0"/>
        <w:spacing w:after="0" w:line="360" w:lineRule="auto"/>
        <w:ind w:left="624"/>
        <w:jc w:val="both"/>
        <w:rPr>
          <w:rFonts w:ascii="Times New Roman" w:eastAsiaTheme="minorEastAsia" w:hAnsi="Times New Roman" w:cs="Times New Roman"/>
          <w:sz w:val="24"/>
          <w:szCs w:val="24"/>
          <w:lang w:val="en-US"/>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lang w:val="en-US"/>
          </w:rPr>
          <m:t>=</m:t>
        </m:r>
        <m:r>
          <w:rPr>
            <w:rFonts w:ascii="Cambria Math" w:hAnsi="Cambria Math" w:cs="Times New Roman"/>
            <w:color w:val="000000" w:themeColor="text1"/>
            <w:sz w:val="24"/>
            <w:szCs w:val="24"/>
          </w:rPr>
          <m:t>α</m:t>
        </m:r>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γ</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lang w:val="en-US"/>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δ</m:t>
            </m:r>
            <m:r>
              <w:rPr>
                <w:rFonts w:ascii="Cambria Math" w:eastAsiaTheme="minorEastAsia" w:hAnsi="Cambria Math" w:cs="Times New Roman"/>
                <w:color w:val="000000" w:themeColor="text1"/>
                <w:sz w:val="24"/>
                <w:szCs w:val="24"/>
                <w:lang w:val="en-US"/>
              </w:rPr>
              <m:t>OS</m:t>
            </m:r>
          </m:e>
          <m:sub>
            <m:r>
              <w:rPr>
                <w:rFonts w:ascii="Cambria Math" w:eastAsiaTheme="minorEastAsia" w:hAnsi="Cambria Math" w:cs="Times New Roman"/>
                <w:color w:val="000000" w:themeColor="text1"/>
                <w:sz w:val="24"/>
                <w:szCs w:val="24"/>
                <w:lang w:val="en-US"/>
              </w:rPr>
              <m:t>it</m:t>
            </m:r>
          </m:sub>
        </m:sSub>
        <m:r>
          <w:rPr>
            <w:rFonts w:ascii="Cambria Math" w:hAnsi="Cambria Math" w:cs="Times New Roman"/>
            <w:color w:val="000000" w:themeColor="text1"/>
            <w:sz w:val="24"/>
            <w:szCs w:val="24"/>
            <w:lang w:val="en-US"/>
          </w:rPr>
          <m:t>+</m:t>
        </m:r>
        <m:r>
          <w:rPr>
            <w:rFonts w:ascii="Cambria Math" w:hAnsi="Cambria Math" w:cs="Times New Roman"/>
            <w:color w:val="000000" w:themeColor="text1"/>
            <w:sz w:val="24"/>
            <w:szCs w:val="24"/>
          </w:rPr>
          <m:t>θ</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lang w:val="en-US"/>
          </w:rPr>
          <m:t xml:space="preserve">+ </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m:t>
            </m:r>
            <m:r>
              <w:rPr>
                <w:rFonts w:ascii="Cambria Math" w:hAnsi="Cambria Math" w:cs="Times New Roman"/>
                <w:color w:val="000000" w:themeColor="text1"/>
                <w:sz w:val="24"/>
                <w:szCs w:val="24"/>
                <w:lang w:val="en-US"/>
              </w:rPr>
              <m:t>=1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Municipality</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lang w:val="en-US"/>
                  </w:rPr>
                  <m:t xml:space="preserve"> × </m:t>
                </m:r>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it</m:t>
                </m:r>
              </m:sub>
            </m:sSub>
          </m:e>
        </m:nary>
        <m:r>
          <w:rPr>
            <w:rFonts w:ascii="Cambria Math" w:hAnsi="Cambria Math" w:cs="Times New Roman"/>
            <w:color w:val="000000" w:themeColor="text1"/>
            <w:sz w:val="24"/>
            <w:szCs w:val="24"/>
            <w:lang w:val="en-US"/>
          </w:rPr>
          <m:t xml:space="preserve"> </m:t>
        </m:r>
      </m:oMath>
      <w:r w:rsidR="009E1392" w:rsidRPr="009E1392">
        <w:rPr>
          <w:rFonts w:ascii="Times New Roman" w:eastAsiaTheme="minorEastAsia" w:hAnsi="Times New Roman" w:cs="Times New Roman"/>
          <w:sz w:val="24"/>
          <w:szCs w:val="24"/>
          <w:lang w:val="en-US"/>
        </w:rPr>
        <w:tab/>
      </w:r>
      <w:r w:rsidR="009E1392">
        <w:rPr>
          <w:rFonts w:ascii="Times New Roman" w:eastAsiaTheme="minorEastAsia" w:hAnsi="Times New Roman" w:cs="Times New Roman"/>
          <w:sz w:val="24"/>
          <w:szCs w:val="24"/>
          <w:lang w:val="en-US"/>
        </w:rPr>
        <w:t xml:space="preserve"> </w:t>
      </w:r>
      <w:r w:rsidR="004F4609">
        <w:rPr>
          <w:rFonts w:ascii="Times New Roman" w:eastAsiaTheme="minorEastAsia" w:hAnsi="Times New Roman" w:cs="Times New Roman"/>
          <w:sz w:val="24"/>
          <w:szCs w:val="24"/>
          <w:lang w:val="en-US"/>
        </w:rPr>
        <w:t xml:space="preserve"> </w:t>
      </w:r>
      <w:r w:rsidR="009E1392">
        <w:rPr>
          <w:rFonts w:ascii="Times New Roman" w:eastAsiaTheme="minorEastAsia" w:hAnsi="Times New Roman" w:cs="Times New Roman"/>
          <w:sz w:val="24"/>
          <w:szCs w:val="24"/>
          <w:lang w:val="en-US"/>
        </w:rPr>
        <w:t xml:space="preserve">     </w:t>
      </w:r>
      <w:r w:rsidR="00426453">
        <w:rPr>
          <w:rFonts w:ascii="Times New Roman" w:eastAsiaTheme="minorEastAsia" w:hAnsi="Times New Roman" w:cs="Times New Roman"/>
          <w:sz w:val="24"/>
          <w:szCs w:val="24"/>
          <w:lang w:val="en-US"/>
        </w:rPr>
        <w:t xml:space="preserve">   </w:t>
      </w:r>
      <w:r w:rsidR="00890E0F">
        <w:rPr>
          <w:rFonts w:ascii="Times New Roman" w:eastAsiaTheme="minorEastAsia" w:hAnsi="Times New Roman" w:cs="Times New Roman"/>
          <w:sz w:val="24"/>
          <w:szCs w:val="24"/>
          <w:lang w:val="en-US"/>
        </w:rPr>
        <w:t xml:space="preserve">          (7)</w:t>
      </w:r>
      <w:r w:rsidR="00426453">
        <w:rPr>
          <w:rFonts w:ascii="Times New Roman" w:eastAsiaTheme="minorEastAsia" w:hAnsi="Times New Roman" w:cs="Times New Roman"/>
          <w:sz w:val="24"/>
          <w:szCs w:val="24"/>
          <w:lang w:val="en-US"/>
        </w:rPr>
        <w:t xml:space="preserve">        </w:t>
      </w:r>
    </w:p>
    <w:p w14:paraId="42E257BB" w14:textId="7346443B" w:rsidR="009E1392" w:rsidRPr="009E1392" w:rsidRDefault="009E1392" w:rsidP="0055051E">
      <w:pPr>
        <w:widowControl w:val="0"/>
        <w:autoSpaceDE w:val="0"/>
        <w:autoSpaceDN w:val="0"/>
        <w:spacing w:after="0" w:line="360" w:lineRule="auto"/>
        <w:jc w:val="both"/>
        <w:rPr>
          <w:rFonts w:ascii="Times New Roman" w:eastAsiaTheme="minorEastAsia" w:hAnsi="Times New Roman" w:cs="Times New Roman"/>
          <w:sz w:val="24"/>
          <w:szCs w:val="24"/>
          <w:lang w:val="en-US"/>
        </w:rPr>
      </w:pPr>
      <w:r w:rsidRPr="009E1392">
        <w:rPr>
          <w:rFonts w:ascii="Times New Roman" w:eastAsiaTheme="minorEastAsia" w:hAnsi="Times New Roman" w:cs="Times New Roman"/>
          <w:sz w:val="24"/>
          <w:szCs w:val="24"/>
          <w:lang w:val="en-US"/>
        </w:rPr>
        <w:tab/>
      </w:r>
      <w:r w:rsidRPr="009E1392">
        <w:rPr>
          <w:rFonts w:ascii="Times New Roman" w:eastAsiaTheme="minorEastAsia" w:hAnsi="Times New Roman" w:cs="Times New Roman"/>
          <w:sz w:val="24"/>
          <w:szCs w:val="24"/>
          <w:lang w:val="en-US"/>
        </w:rPr>
        <w:tab/>
      </w:r>
    </w:p>
    <w:p w14:paraId="515C3DCE" w14:textId="136EB7FF" w:rsidR="005468C8" w:rsidRDefault="005D14AC" w:rsidP="00E31B71">
      <w:pPr>
        <w:widowControl w:val="0"/>
        <w:autoSpaceDE w:val="0"/>
        <w:autoSpaceDN w:val="0"/>
        <w:spacing w:after="0" w:line="360" w:lineRule="auto"/>
        <w:ind w:firstLine="624"/>
        <w:jc w:val="both"/>
        <w:rPr>
          <w:rFonts w:ascii="Times New Roman" w:hAnsi="Times New Roman" w:cs="Times New Roman"/>
          <w:sz w:val="24"/>
          <w:szCs w:val="24"/>
          <w:lang w:val="en-US"/>
        </w:rPr>
      </w:pPr>
      <w:r w:rsidRPr="005D14AC">
        <w:rPr>
          <w:rFonts w:ascii="Times New Roman" w:hAnsi="Times New Roman" w:cs="Times New Roman"/>
          <w:sz w:val="24"/>
          <w:szCs w:val="24"/>
          <w:lang w:val="en-US"/>
        </w:rPr>
        <w:t xml:space="preserve">In our models, the coefficient δ serves as a measure of the effect of the observatory </w:t>
      </w:r>
      <w:bookmarkStart w:id="2" w:name="_Hlk85534468"/>
      <w:r w:rsidRPr="005D14AC">
        <w:rPr>
          <w:lang w:val="en-US"/>
        </w:rPr>
        <w:t>(</w:t>
      </w:r>
      <m:oMath>
        <m:sSub>
          <m:sSubPr>
            <m:ctrlPr>
              <w:rPr>
                <w:rFonts w:ascii="Cambria Math" w:eastAsiaTheme="minorEastAsia" w:hAnsi="Cambria Math"/>
                <w:i/>
              </w:rPr>
            </m:ctrlPr>
          </m:sSubPr>
          <m:e>
            <m:r>
              <w:rPr>
                <w:rFonts w:ascii="Cambria Math" w:eastAsiaTheme="minorEastAsia" w:hAnsi="Cambria Math"/>
              </w:rPr>
              <m:t>OS</m:t>
            </m:r>
          </m:e>
          <m:sub>
            <m:r>
              <w:rPr>
                <w:rFonts w:ascii="Cambria Math" w:eastAsiaTheme="minorEastAsia" w:hAnsi="Cambria Math"/>
              </w:rPr>
              <m:t>it</m:t>
            </m:r>
          </m:sub>
        </m:sSub>
      </m:oMath>
      <w:bookmarkEnd w:id="2"/>
      <w:r w:rsidRPr="005D14AC">
        <w:rPr>
          <w:lang w:val="en-US"/>
        </w:rPr>
        <w:t xml:space="preserve">) </w:t>
      </w:r>
      <w:r w:rsidRPr="005D14AC">
        <w:rPr>
          <w:rFonts w:ascii="Times New Roman" w:hAnsi="Times New Roman" w:cs="Times New Roman"/>
          <w:sz w:val="24"/>
          <w:szCs w:val="24"/>
          <w:lang w:val="en-US"/>
        </w:rPr>
        <w:t xml:space="preserve">on the dependent variable (municipal expenditure). Including fixed effects and linear trends makes it possible to better control for the effects of unobservable variables, correlated with the Observatory’s presence and to the dependent variables, avoiding the omitted variables bias. In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oMath>
      <w:r w:rsidRPr="005D14AC">
        <w:rPr>
          <w:rFonts w:ascii="Times New Roman" w:hAnsi="Times New Roman" w:cs="Times New Roman"/>
          <w:sz w:val="24"/>
          <w:szCs w:val="24"/>
          <w:lang w:val="en-US"/>
        </w:rPr>
        <w:t>vector, we include control variables that shift the demand for public services and that may be correlated to observatories presence, such as: per capita municipal GDP  and the added value of the agricultural, industrial, and service sectors. We further incorporate a dummy variable for the mayor’s party, to control for any effects emerging from the ideological-party orientation.</w:t>
      </w:r>
    </w:p>
    <w:p w14:paraId="771AC101" w14:textId="3EA3CBA3" w:rsidR="005468C8" w:rsidRDefault="00EE6C79" w:rsidP="00E31B71">
      <w:pPr>
        <w:widowControl w:val="0"/>
        <w:autoSpaceDE w:val="0"/>
        <w:autoSpaceDN w:val="0"/>
        <w:spacing w:after="0" w:line="360" w:lineRule="auto"/>
        <w:ind w:firstLine="624"/>
        <w:jc w:val="both"/>
        <w:rPr>
          <w:rFonts w:ascii="Times New Roman" w:hAnsi="Times New Roman" w:cs="Times New Roman"/>
          <w:sz w:val="24"/>
          <w:szCs w:val="24"/>
          <w:lang w:val="en-US"/>
        </w:rPr>
      </w:pPr>
      <w:r w:rsidRPr="00EE6C79">
        <w:rPr>
          <w:rFonts w:ascii="Times New Roman" w:hAnsi="Times New Roman" w:cs="Times New Roman"/>
          <w:sz w:val="24"/>
          <w:szCs w:val="24"/>
          <w:lang w:val="en-US"/>
        </w:rPr>
        <w:t xml:space="preserve">Besides this first analysis, we performed another three, totaling four studies. The second analysis imposes a cut on the data, analyzing only municipalities with a population of fewer than 50,000 inhabitants, to assess whether the Observatories are especially effective in small towns. The third one, changes the specification, of the basic model (for the specification of equation 8), interacting the dummy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OS</m:t>
            </m:r>
          </m:e>
          <m:sub>
            <m:r>
              <w:rPr>
                <w:rFonts w:ascii="Cambria Math" w:eastAsia="Cambria Math" w:hAnsi="Cambria Math" w:cs="Cambria Math"/>
                <w:sz w:val="24"/>
                <w:szCs w:val="24"/>
              </w:rPr>
              <m:t>it</m:t>
            </m:r>
          </m:sub>
        </m:sSub>
      </m:oMath>
      <w:r w:rsidRPr="00EE6C79">
        <w:rPr>
          <w:rFonts w:ascii="Cambria Math" w:eastAsia="Cambria Math" w:hAnsi="Cambria Math" w:cs="Cambria Math"/>
          <w:sz w:val="24"/>
          <w:szCs w:val="24"/>
          <w:lang w:val="en-US"/>
        </w:rPr>
        <w:t xml:space="preserve"> </w:t>
      </w:r>
      <w:r w:rsidRPr="00EE6C79">
        <w:rPr>
          <w:rFonts w:ascii="Times New Roman" w:hAnsi="Times New Roman" w:cs="Times New Roman"/>
          <w:sz w:val="24"/>
          <w:szCs w:val="24"/>
          <w:lang w:val="en-US"/>
        </w:rPr>
        <w:t xml:space="preserve">(with 1 denoting the presence of Observatory and 0 the opposite) with the dummy </w:t>
      </w:r>
      <m:oMath>
        <m:sSub>
          <m:sSubPr>
            <m:ctrlPr>
              <w:rPr>
                <w:rFonts w:ascii="Cambria Math" w:hAnsi="Cambria Math" w:cs="Times New Roman"/>
                <w:iCs/>
                <w:sz w:val="24"/>
                <w:szCs w:val="24"/>
              </w:rPr>
            </m:ctrlPr>
          </m:sSubPr>
          <m:e>
            <m:r>
              <m:rPr>
                <m:sty m:val="p"/>
              </m:rPr>
              <w:rPr>
                <w:rFonts w:ascii="Cambria Math" w:hAnsi="Cambria Math" w:cs="Times New Roman"/>
                <w:sz w:val="24"/>
                <w:szCs w:val="24"/>
                <w:lang w:val="en-US"/>
              </w:rPr>
              <m:t>OSB</m:t>
            </m:r>
          </m:e>
          <m:sub>
            <m:r>
              <m:rPr>
                <m:sty m:val="p"/>
              </m:rPr>
              <w:rPr>
                <w:rFonts w:ascii="Cambria Math" w:hAnsi="Cambria Math" w:cs="Times New Roman"/>
                <w:sz w:val="24"/>
                <w:szCs w:val="24"/>
                <w:lang w:val="en-US"/>
              </w:rPr>
              <m:t>it</m:t>
            </m:r>
          </m:sub>
        </m:sSub>
      </m:oMath>
      <w:r w:rsidRPr="00EE6C79">
        <w:rPr>
          <w:rFonts w:ascii="Times New Roman" w:hAnsi="Times New Roman" w:cs="Times New Roman"/>
          <w:sz w:val="24"/>
          <w:szCs w:val="24"/>
          <w:lang w:val="en-US"/>
        </w:rPr>
        <w:t xml:space="preserve"> (where 1 denotes the presence of Observatory of the OSB network and zero </w:t>
      </w:r>
      <w:r w:rsidRPr="00EE6C79">
        <w:rPr>
          <w:rFonts w:ascii="Times New Roman" w:hAnsi="Times New Roman" w:cs="Times New Roman"/>
          <w:sz w:val="24"/>
          <w:szCs w:val="24"/>
          <w:lang w:val="en-US"/>
        </w:rPr>
        <w:lastRenderedPageBreak/>
        <w:t>otherwise), to assess whether the Observatories of the OSB network achieve, on average, better results in terms of per capita municipal outlay reduction, than those promoted by the Brazilian Social Observatories in general.</w:t>
      </w:r>
    </w:p>
    <w:p w14:paraId="25DB05B3" w14:textId="77777777" w:rsidR="005468C8" w:rsidRDefault="005468C8" w:rsidP="00E31B71">
      <w:pPr>
        <w:widowControl w:val="0"/>
        <w:autoSpaceDE w:val="0"/>
        <w:autoSpaceDN w:val="0"/>
        <w:spacing w:after="0" w:line="360" w:lineRule="auto"/>
        <w:ind w:firstLine="624"/>
        <w:jc w:val="both"/>
        <w:rPr>
          <w:rFonts w:ascii="Times New Roman" w:hAnsi="Times New Roman" w:cs="Times New Roman"/>
          <w:sz w:val="24"/>
          <w:szCs w:val="24"/>
          <w:lang w:val="en-US"/>
        </w:rPr>
      </w:pPr>
    </w:p>
    <w:p w14:paraId="69C0C58D" w14:textId="0588C0C7" w:rsidR="00EE6C79" w:rsidRPr="00EE6C79" w:rsidRDefault="00EE6C79" w:rsidP="00EE6C79">
      <w:pPr>
        <w:widowControl w:val="0"/>
        <w:autoSpaceDE w:val="0"/>
        <w:autoSpaceDN w:val="0"/>
        <w:spacing w:after="0" w:line="360" w:lineRule="auto"/>
        <w:jc w:val="both"/>
        <w:rPr>
          <w:rFonts w:ascii="Times New Roman" w:hAnsi="Times New Roman" w:cs="Times New Roman"/>
          <w:sz w:val="24"/>
          <w:szCs w:val="24"/>
          <w:lang w:val="en-US"/>
        </w:rPr>
      </w:pPr>
      <w:r w:rsidRPr="00EE6C79">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lang w:val="en-US"/>
          </w:rPr>
          <m:t>=</m:t>
        </m:r>
        <m:r>
          <w:rPr>
            <w:rFonts w:ascii="Cambria Math" w:hAnsi="Cambria Math" w:cs="Times New Roman"/>
            <w:sz w:val="24"/>
            <w:szCs w:val="24"/>
          </w:rPr>
          <m:t>α</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δ</m:t>
            </m:r>
            <m:r>
              <w:rPr>
                <w:rFonts w:ascii="Cambria Math" w:hAnsi="Cambria Math" w:cs="Times New Roman"/>
                <w:sz w:val="24"/>
                <w:szCs w:val="24"/>
                <w:lang w:val="en-US"/>
              </w:rPr>
              <m:t>OS</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OSB</m:t>
            </m:r>
          </m:e>
          <m:sub>
            <m:r>
              <w:rPr>
                <w:rFonts w:ascii="Cambria Math" w:hAnsi="Cambria Math" w:cs="Times New Roman"/>
                <w:sz w:val="24"/>
                <w:szCs w:val="24"/>
              </w:rPr>
              <m:t>it</m:t>
            </m:r>
          </m:sub>
        </m:sSub>
        <m:r>
          <w:rPr>
            <w:rFonts w:ascii="Cambria Math" w:hAnsi="Cambria Math" w:cs="Times New Roman"/>
            <w:sz w:val="24"/>
            <w:szCs w:val="24"/>
            <w:lang w:val="en-US"/>
          </w:rPr>
          <m:t>+</m:t>
        </m:r>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lang w:val="en-US"/>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en-US"/>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Munic</m:t>
                    </m:r>
                    <m:r>
                      <w:rPr>
                        <w:rFonts w:ascii="Cambria Math" w:hAnsi="Cambria Math" w:cs="Times New Roman"/>
                        <w:sz w:val="24"/>
                        <w:szCs w:val="24"/>
                        <w:lang w:val="en-US"/>
                      </w:rPr>
                      <m:t>ipality</m:t>
                    </m:r>
                  </m:e>
                  <m:sub>
                    <m:r>
                      <w:rPr>
                        <w:rFonts w:ascii="Cambria Math" w:hAnsi="Cambria Math" w:cs="Times New Roman"/>
                        <w:sz w:val="24"/>
                        <w:szCs w:val="24"/>
                      </w:rPr>
                      <m:t>i</m:t>
                    </m:r>
                  </m:sub>
                </m:sSub>
                <m:r>
                  <w:rPr>
                    <w:rFonts w:ascii="Cambria Math" w:hAnsi="Cambria Math" w:cs="Times New Roman"/>
                    <w:sz w:val="24"/>
                    <w:szCs w:val="24"/>
                    <w:lang w:val="en-US"/>
                  </w:rPr>
                  <m:t xml:space="preserve"> × </m:t>
                </m:r>
                <m:r>
                  <w:rPr>
                    <w:rFonts w:ascii="Cambria Math" w:hAnsi="Cambria Math" w:cs="Times New Roman"/>
                    <w:sz w:val="24"/>
                    <w:szCs w:val="24"/>
                  </w:rPr>
                  <m:t>t</m:t>
                </m:r>
              </m:e>
            </m:d>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e>
        </m:nary>
      </m:oMath>
      <w:r w:rsidRPr="00EE6C79">
        <w:rPr>
          <w:rFonts w:ascii="Times New Roman" w:hAnsi="Times New Roman" w:cs="Times New Roman"/>
          <w:sz w:val="24"/>
          <w:szCs w:val="24"/>
          <w:lang w:val="en-US"/>
        </w:rPr>
        <w:tab/>
        <w:t>(8)</w:t>
      </w:r>
    </w:p>
    <w:p w14:paraId="7E0D55C3" w14:textId="102C32A0" w:rsidR="005468C8" w:rsidRDefault="005468C8" w:rsidP="00E31B71">
      <w:pPr>
        <w:widowControl w:val="0"/>
        <w:autoSpaceDE w:val="0"/>
        <w:autoSpaceDN w:val="0"/>
        <w:spacing w:after="0" w:line="360" w:lineRule="auto"/>
        <w:ind w:firstLine="624"/>
        <w:jc w:val="both"/>
        <w:rPr>
          <w:rFonts w:ascii="Times New Roman" w:hAnsi="Times New Roman" w:cs="Times New Roman"/>
          <w:sz w:val="24"/>
          <w:szCs w:val="24"/>
          <w:lang w:val="en-US"/>
        </w:rPr>
      </w:pPr>
    </w:p>
    <w:p w14:paraId="0A9EEC96" w14:textId="1B6C00CC" w:rsidR="00C87526" w:rsidRDefault="00C87526" w:rsidP="00E31B71">
      <w:pPr>
        <w:widowControl w:val="0"/>
        <w:autoSpaceDE w:val="0"/>
        <w:autoSpaceDN w:val="0"/>
        <w:spacing w:after="0" w:line="360" w:lineRule="auto"/>
        <w:ind w:firstLine="624"/>
        <w:jc w:val="both"/>
        <w:rPr>
          <w:rFonts w:ascii="Times New Roman" w:hAnsi="Times New Roman" w:cs="Times New Roman"/>
          <w:sz w:val="24"/>
          <w:szCs w:val="24"/>
          <w:lang w:val="en-US"/>
        </w:rPr>
      </w:pPr>
      <w:r w:rsidRPr="00C87526">
        <w:rPr>
          <w:rFonts w:ascii="Times New Roman" w:hAnsi="Times New Roman" w:cs="Times New Roman"/>
          <w:sz w:val="24"/>
          <w:szCs w:val="24"/>
          <w:lang w:val="en-US"/>
        </w:rPr>
        <w:t xml:space="preserve">Finally, the fourth study modifies the basic model again, interacting </w:t>
      </w:r>
      <m:oMath>
        <m:sSub>
          <m:sSubPr>
            <m:ctrlPr>
              <w:rPr>
                <w:rFonts w:ascii="Cambria Math" w:eastAsiaTheme="minorEastAsia" w:hAnsi="Cambria Math"/>
                <w:i/>
              </w:rPr>
            </m:ctrlPr>
          </m:sSubPr>
          <m:e>
            <m:r>
              <w:rPr>
                <w:rFonts w:ascii="Cambria Math" w:eastAsiaTheme="minorEastAsia" w:hAnsi="Cambria Math"/>
              </w:rPr>
              <m:t>OS</m:t>
            </m:r>
          </m:e>
          <m:sub>
            <m:r>
              <w:rPr>
                <w:rFonts w:ascii="Cambria Math" w:eastAsiaTheme="minorEastAsia" w:hAnsi="Cambria Math"/>
              </w:rPr>
              <m:t>it</m:t>
            </m:r>
          </m:sub>
        </m:sSub>
      </m:oMath>
      <w:r w:rsidR="00833F9C" w:rsidRPr="00833F9C">
        <w:rPr>
          <w:rFonts w:ascii="Times New Roman" w:eastAsiaTheme="minorEastAsia" w:hAnsi="Times New Roman" w:cs="Times New Roman"/>
          <w:lang w:val="en-US"/>
        </w:rPr>
        <w:t xml:space="preserve"> </w:t>
      </w:r>
      <w:r w:rsidRPr="00C87526">
        <w:rPr>
          <w:rFonts w:ascii="Times New Roman" w:hAnsi="Times New Roman" w:cs="Times New Roman"/>
          <w:sz w:val="24"/>
          <w:szCs w:val="24"/>
          <w:lang w:val="en-US"/>
        </w:rPr>
        <w:t xml:space="preserve">with the categorical variable </w:t>
      </w:r>
      <w:r>
        <w:rPr>
          <w:rFonts w:ascii="Times New Roman" w:hAnsi="Times New Roman" w:cs="Times New Roman"/>
          <w:sz w:val="24"/>
          <w:szCs w:val="24"/>
          <w:lang w:val="en-US"/>
        </w:rPr>
        <w:t>“</w:t>
      </w:r>
      <w:r w:rsidRPr="00C87526">
        <w:rPr>
          <w:rFonts w:ascii="Times New Roman" w:hAnsi="Times New Roman" w:cs="Times New Roman"/>
          <w:sz w:val="24"/>
          <w:szCs w:val="24"/>
          <w:lang w:val="en-US"/>
        </w:rPr>
        <w:t>State</w:t>
      </w:r>
      <w:r>
        <w:rPr>
          <w:rFonts w:ascii="Times New Roman" w:hAnsi="Times New Roman" w:cs="Times New Roman"/>
          <w:sz w:val="24"/>
          <w:szCs w:val="24"/>
          <w:lang w:val="en-US"/>
        </w:rPr>
        <w:t>”</w:t>
      </w:r>
      <w:r w:rsidRPr="00C87526">
        <w:rPr>
          <w:rFonts w:ascii="Times New Roman" w:hAnsi="Times New Roman" w:cs="Times New Roman"/>
          <w:sz w:val="24"/>
          <w:szCs w:val="24"/>
          <w:lang w:val="en-US"/>
        </w:rPr>
        <w:t xml:space="preserve"> (see equation 6),  seeking to assess the presence of heterogeneity in the social observatories monitoring effectiveness in different states</w:t>
      </w:r>
      <w:r>
        <w:rPr>
          <w:rFonts w:ascii="Times New Roman" w:hAnsi="Times New Roman" w:cs="Times New Roman"/>
          <w:sz w:val="24"/>
          <w:szCs w:val="24"/>
          <w:lang w:val="en-US"/>
        </w:rPr>
        <w:t xml:space="preserve"> of Brazil. </w:t>
      </w:r>
    </w:p>
    <w:p w14:paraId="3CE873CB" w14:textId="77777777" w:rsidR="00EE6C79" w:rsidRDefault="00EE6C79" w:rsidP="00E31B71">
      <w:pPr>
        <w:widowControl w:val="0"/>
        <w:autoSpaceDE w:val="0"/>
        <w:autoSpaceDN w:val="0"/>
        <w:spacing w:after="0" w:line="360" w:lineRule="auto"/>
        <w:ind w:firstLine="624"/>
        <w:jc w:val="both"/>
        <w:rPr>
          <w:rFonts w:ascii="Times New Roman" w:hAnsi="Times New Roman" w:cs="Times New Roman"/>
          <w:sz w:val="24"/>
          <w:szCs w:val="24"/>
          <w:lang w:val="en-US"/>
        </w:rPr>
      </w:pPr>
    </w:p>
    <w:p w14:paraId="48EB1F31" w14:textId="08C502B3" w:rsidR="008A05EA" w:rsidRPr="008A05EA" w:rsidRDefault="00F369B4" w:rsidP="008A05EA">
      <w:pPr>
        <w:widowControl w:val="0"/>
        <w:autoSpaceDE w:val="0"/>
        <w:autoSpaceDN w:val="0"/>
        <w:spacing w:after="0" w:line="360" w:lineRule="auto"/>
        <w:ind w:firstLine="624"/>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lang w:val="en-US"/>
          </w:rPr>
          <m:t>=</m:t>
        </m:r>
        <m:r>
          <w:rPr>
            <w:rFonts w:ascii="Cambria Math" w:hAnsi="Cambria Math" w:cs="Times New Roman"/>
            <w:sz w:val="24"/>
            <w:szCs w:val="24"/>
          </w:rPr>
          <m:t>α</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δ</m:t>
            </m:r>
            <m:r>
              <w:rPr>
                <w:rFonts w:ascii="Cambria Math" w:hAnsi="Cambria Math" w:cs="Times New Roman"/>
                <w:sz w:val="24"/>
                <w:szCs w:val="24"/>
                <w:lang w:val="en-US"/>
              </w:rPr>
              <m:t>OS</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State</m:t>
            </m:r>
          </m:e>
          <m:sub>
            <m:r>
              <w:rPr>
                <w:rFonts w:ascii="Cambria Math" w:hAnsi="Cambria Math" w:cs="Times New Roman"/>
                <w:sz w:val="24"/>
                <w:szCs w:val="24"/>
              </w:rPr>
              <m:t>it</m:t>
            </m:r>
          </m:sub>
        </m:sSub>
        <m:r>
          <w:rPr>
            <w:rFonts w:ascii="Cambria Math" w:hAnsi="Cambria Math" w:cs="Times New Roman"/>
            <w:sz w:val="24"/>
            <w:szCs w:val="24"/>
            <w:lang w:val="en-US"/>
          </w:rPr>
          <m:t>+</m:t>
        </m:r>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lang w:val="en-US"/>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lang w:val="en-US"/>
              </w:rPr>
              <m:t>=1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w:bookmarkStart w:id="3" w:name="_Hlk93956457"/>
                    <m:r>
                      <w:rPr>
                        <w:rFonts w:ascii="Cambria Math" w:hAnsi="Cambria Math" w:cs="Times New Roman"/>
                        <w:sz w:val="24"/>
                        <w:szCs w:val="24"/>
                      </w:rPr>
                      <m:t>Municipality</m:t>
                    </m:r>
                    <w:bookmarkEnd w:id="3"/>
                  </m:e>
                  <m:sub>
                    <m:r>
                      <w:rPr>
                        <w:rFonts w:ascii="Cambria Math" w:hAnsi="Cambria Math" w:cs="Times New Roman"/>
                        <w:sz w:val="24"/>
                        <w:szCs w:val="24"/>
                      </w:rPr>
                      <m:t>i</m:t>
                    </m:r>
                  </m:sub>
                </m:sSub>
                <m:r>
                  <w:rPr>
                    <w:rFonts w:ascii="Cambria Math" w:hAnsi="Cambria Math" w:cs="Times New Roman"/>
                    <w:sz w:val="24"/>
                    <w:szCs w:val="24"/>
                    <w:lang w:val="en-US"/>
                  </w:rPr>
                  <m:t xml:space="preserve"> × </m:t>
                </m:r>
                <m:r>
                  <w:rPr>
                    <w:rFonts w:ascii="Cambria Math" w:hAnsi="Cambria Math" w:cs="Times New Roman"/>
                    <w:sz w:val="24"/>
                    <w:szCs w:val="24"/>
                  </w:rPr>
                  <m:t>t</m:t>
                </m:r>
              </m:e>
            </m:d>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it</m:t>
                </m:r>
              </m:sub>
            </m:sSub>
          </m:e>
        </m:nary>
      </m:oMath>
      <w:r w:rsidR="008A05EA" w:rsidRPr="008A05EA">
        <w:rPr>
          <w:rFonts w:ascii="Times New Roman" w:hAnsi="Times New Roman" w:cs="Times New Roman"/>
          <w:sz w:val="24"/>
          <w:szCs w:val="24"/>
          <w:lang w:val="en-US"/>
        </w:rPr>
        <w:tab/>
        <w:t>(9)</w:t>
      </w:r>
    </w:p>
    <w:p w14:paraId="134855A5" w14:textId="77777777" w:rsidR="005468C8" w:rsidRDefault="005468C8" w:rsidP="008A05EA">
      <w:pPr>
        <w:widowControl w:val="0"/>
        <w:autoSpaceDE w:val="0"/>
        <w:autoSpaceDN w:val="0"/>
        <w:spacing w:after="0" w:line="360" w:lineRule="auto"/>
        <w:jc w:val="both"/>
        <w:rPr>
          <w:rFonts w:ascii="Times New Roman" w:hAnsi="Times New Roman" w:cs="Times New Roman"/>
          <w:sz w:val="24"/>
          <w:szCs w:val="24"/>
          <w:lang w:val="en-US"/>
        </w:rPr>
      </w:pPr>
    </w:p>
    <w:p w14:paraId="00544D3A" w14:textId="193EFA9C" w:rsidR="00336197" w:rsidRPr="00F31054" w:rsidRDefault="00833F9C" w:rsidP="00A60774">
      <w:pPr>
        <w:widowControl w:val="0"/>
        <w:autoSpaceDE w:val="0"/>
        <w:autoSpaceDN w:val="0"/>
        <w:spacing w:after="0" w:line="360" w:lineRule="auto"/>
        <w:ind w:firstLine="624"/>
        <w:jc w:val="both"/>
        <w:rPr>
          <w:rFonts w:ascii="Times New Roman" w:hAnsi="Times New Roman" w:cs="Times New Roman"/>
          <w:color w:val="000000" w:themeColor="text1"/>
          <w:sz w:val="24"/>
          <w:szCs w:val="24"/>
          <w:lang w:val="en-US"/>
        </w:rPr>
      </w:pPr>
      <w:r w:rsidRPr="00833F9C">
        <w:rPr>
          <w:rFonts w:ascii="Times New Roman" w:hAnsi="Times New Roman" w:cs="Times New Roman"/>
          <w:sz w:val="24"/>
          <w:szCs w:val="24"/>
          <w:lang w:val="en-US"/>
        </w:rPr>
        <w:t xml:space="preserve">Although the parallel trends hypothesis cannot be tested, it is possible to find evidence of its validity through event studies. An event study is a graphical representation of the point estimates of the TWFE model coefficients and their confidence intervals, in the pre and post-treatment periods </w:t>
      </w:r>
      <w:r w:rsidR="00B47AF9">
        <w:rPr>
          <w:rFonts w:ascii="Times New Roman" w:hAnsi="Times New Roman" w:cs="Times New Roman"/>
          <w:sz w:val="24"/>
          <w:szCs w:val="24"/>
          <w:lang w:val="en-US"/>
        </w:rPr>
        <w:fldChar w:fldCharType="begin" w:fldLock="1"/>
      </w:r>
      <w:r w:rsidR="00B47AF9">
        <w:rPr>
          <w:rFonts w:ascii="Times New Roman" w:hAnsi="Times New Roman" w:cs="Times New Roman"/>
          <w:sz w:val="24"/>
          <w:szCs w:val="24"/>
          <w:lang w:val="en-US"/>
        </w:rPr>
        <w:instrText>ADDIN CSL_CITATION {"citationItems":[{"id":"ITEM-1","itemData":{"DOI":"https://doi.org/10.2307/j.ctv1c29t27","author":[{"dropping-particle":"","family":"Cunningham","given":"Scott.","non-dropping-particle":"","parse-names":false,"suffix":""}],"id":"ITEM-1","issued":{"date-parts":[["2021"]]},"publisher":"Yale University Press","title":"Causal Inference : The Mixtape","type":"book"},"uris":["http://www.mendeley.com/documents/?uuid=9b7c974a-5eff-4ec7-b9e6-86977567873c"]}],"mendeley":{"formattedCitation":"(Cunningham, 2021)","plainTextFormattedCitation":"(Cunningham, 2021)","previouslyFormattedCitation":"(Cunningham, 2021)"},"properties":{"noteIndex":0},"schema":"https://github.com/citation-style-language/schema/raw/master/csl-citation.json"}</w:instrText>
      </w:r>
      <w:r w:rsidR="00B47AF9">
        <w:rPr>
          <w:rFonts w:ascii="Times New Roman" w:hAnsi="Times New Roman" w:cs="Times New Roman"/>
          <w:sz w:val="24"/>
          <w:szCs w:val="24"/>
          <w:lang w:val="en-US"/>
        </w:rPr>
        <w:fldChar w:fldCharType="separate"/>
      </w:r>
      <w:r w:rsidR="00B47AF9" w:rsidRPr="00B47AF9">
        <w:rPr>
          <w:rFonts w:ascii="Times New Roman" w:hAnsi="Times New Roman" w:cs="Times New Roman"/>
          <w:noProof/>
          <w:sz w:val="24"/>
          <w:szCs w:val="24"/>
          <w:lang w:val="en-US"/>
        </w:rPr>
        <w:t>(Cunningham, 2021)</w:t>
      </w:r>
      <w:r w:rsidR="00B47AF9">
        <w:rPr>
          <w:rFonts w:ascii="Times New Roman" w:hAnsi="Times New Roman" w:cs="Times New Roman"/>
          <w:sz w:val="24"/>
          <w:szCs w:val="24"/>
          <w:lang w:val="en-US"/>
        </w:rPr>
        <w:fldChar w:fldCharType="end"/>
      </w:r>
      <w:r w:rsidRPr="00833F9C">
        <w:rPr>
          <w:rFonts w:ascii="Times New Roman" w:hAnsi="Times New Roman" w:cs="Times New Roman"/>
          <w:sz w:val="24"/>
          <w:szCs w:val="24"/>
          <w:lang w:val="en-US"/>
        </w:rPr>
        <w:t xml:space="preserve">. Event studies are especially relevant in difference-in-differences analyses, as these point estimates represent the mean differences between the treatment and control groups at each time point. When the pre-intervention point estimates are statistically null, having their confidence intervals cut by zero, the difference between the results of the treatment and control groups over the period will have been non-significant, suggesting parallel trends. Likewise, statistically significant point estimates constitute evidence of non-parallelism of trends </w:t>
      </w:r>
      <w:r w:rsidR="00B47AF9">
        <w:rPr>
          <w:rFonts w:ascii="Times New Roman" w:hAnsi="Times New Roman" w:cs="Times New Roman"/>
          <w:sz w:val="24"/>
          <w:szCs w:val="24"/>
          <w:lang w:val="en-US"/>
        </w:rPr>
        <w:fldChar w:fldCharType="begin" w:fldLock="1"/>
      </w:r>
      <w:r w:rsidR="001C7BF7">
        <w:rPr>
          <w:rFonts w:ascii="Times New Roman" w:hAnsi="Times New Roman" w:cs="Times New Roman"/>
          <w:sz w:val="24"/>
          <w:szCs w:val="24"/>
          <w:lang w:val="en-US"/>
        </w:rPr>
        <w:instrText>ADDIN CSL_CITATION {"citationItems":[{"id":"ITEM-1","itemData":{"author":[{"dropping-particle":"","family":"Huntington-Klein","given":"Nick","non-dropping-particle":"","parse-names":false,"suffix":""},{"dropping-particle":"","family":"McDermott","given":"Grant","non-dropping-particle":"","parse-names":false,"suffix":""}],"container-title":"Library of Statistical Techniques (LOST)","id":"ITEM-1","issued":{"date-parts":[["2021"]]},"title":"Difference-in-Differences Event Study / Dynamic Difference-in-Differences","type":"entry-encyclopedia"},"uris":["http://www.mendeley.com/documents/?uuid=24eff8bd-3573-481e-a198-33ea83e15148"]}],"mendeley":{"formattedCitation":"(Huntington-Klein &amp; McDermott, 2021)","plainTextFormattedCitation":"(Huntington-Klein &amp; McDermott, 2021)","previouslyFormattedCitation":"(Huntington-Klein &amp; McDermott, 2021)"},"properties":{"noteIndex":0},"schema":"https://github.com/citation-style-language/schema/raw/master/csl-citation.json"}</w:instrText>
      </w:r>
      <w:r w:rsidR="00B47AF9">
        <w:rPr>
          <w:rFonts w:ascii="Times New Roman" w:hAnsi="Times New Roman" w:cs="Times New Roman"/>
          <w:sz w:val="24"/>
          <w:szCs w:val="24"/>
          <w:lang w:val="en-US"/>
        </w:rPr>
        <w:fldChar w:fldCharType="separate"/>
      </w:r>
      <w:r w:rsidR="00B47AF9" w:rsidRPr="00B47AF9">
        <w:rPr>
          <w:rFonts w:ascii="Times New Roman" w:hAnsi="Times New Roman" w:cs="Times New Roman"/>
          <w:noProof/>
          <w:sz w:val="24"/>
          <w:szCs w:val="24"/>
          <w:lang w:val="en-US"/>
        </w:rPr>
        <w:t>(Huntington-Klein &amp; McDermott, 2021)</w:t>
      </w:r>
      <w:r w:rsidR="00B47AF9">
        <w:rPr>
          <w:rFonts w:ascii="Times New Roman" w:hAnsi="Times New Roman" w:cs="Times New Roman"/>
          <w:sz w:val="24"/>
          <w:szCs w:val="24"/>
          <w:lang w:val="en-US"/>
        </w:rPr>
        <w:fldChar w:fldCharType="end"/>
      </w:r>
      <w:r w:rsidR="00B47AF9">
        <w:rPr>
          <w:rFonts w:ascii="Times New Roman" w:hAnsi="Times New Roman" w:cs="Times New Roman"/>
          <w:sz w:val="24"/>
          <w:szCs w:val="24"/>
          <w:lang w:val="en-US"/>
        </w:rPr>
        <w:t xml:space="preserve">. </w:t>
      </w:r>
      <w:r w:rsidRPr="00833F9C">
        <w:rPr>
          <w:rFonts w:ascii="Times New Roman" w:hAnsi="Times New Roman" w:cs="Times New Roman"/>
          <w:sz w:val="24"/>
          <w:szCs w:val="24"/>
          <w:lang w:val="en-US"/>
        </w:rPr>
        <w:t xml:space="preserve">For this reason, we present in the appendix a set of event studies that suggest parallel trends in thirteen of the fifteen per capita expenditures analyzed in our models. Among them, the parallel trends hypothesis is refuted for only two variables: “Outsourced services to individuals” (figure two) and “Amortization” (figure three). The estimates for these expenses, therefore, become suspect bias, not being considered in subsequent analyses. </w:t>
      </w:r>
      <w:r w:rsidRPr="00F31054">
        <w:rPr>
          <w:rFonts w:ascii="Times New Roman" w:hAnsi="Times New Roman" w:cs="Times New Roman"/>
          <w:color w:val="000000" w:themeColor="text1"/>
          <w:sz w:val="24"/>
          <w:szCs w:val="24"/>
          <w:lang w:val="en-US"/>
        </w:rPr>
        <w:t>Sun and Abraham (2021) demonstrated that in contexts where there is a difference in treatment tim</w:t>
      </w:r>
      <w:r w:rsidR="00865BFF" w:rsidRPr="00F31054">
        <w:rPr>
          <w:rFonts w:ascii="Times New Roman" w:hAnsi="Times New Roman" w:cs="Times New Roman"/>
          <w:color w:val="000000" w:themeColor="text1"/>
          <w:sz w:val="24"/>
          <w:szCs w:val="24"/>
          <w:lang w:val="en-US"/>
        </w:rPr>
        <w:t>ing</w:t>
      </w:r>
      <w:r w:rsidRPr="00F31054">
        <w:rPr>
          <w:rFonts w:ascii="Times New Roman" w:hAnsi="Times New Roman" w:cs="Times New Roman"/>
          <w:color w:val="000000" w:themeColor="text1"/>
          <w:sz w:val="24"/>
          <w:szCs w:val="24"/>
          <w:lang w:val="en-US"/>
        </w:rPr>
        <w:t xml:space="preserve"> between units, the use of the TWFE/event study specification may cause contamination of the estimated coefficients for one or more “leads” and “ lags” by the treatment effects of other periods. Thus, they propose a new estimator, free from contamination. The event studies we report in the appendix show (superimposed on the same graph) the TWFE/event study version, and the Sun and Abraham estimator.</w:t>
      </w:r>
    </w:p>
    <w:p w14:paraId="669C47D4" w14:textId="0D5128EF" w:rsidR="00B73691" w:rsidRPr="00971D53" w:rsidRDefault="00B73691" w:rsidP="00B73691">
      <w:pPr>
        <w:widowControl w:val="0"/>
        <w:autoSpaceDE w:val="0"/>
        <w:autoSpaceDN w:val="0"/>
        <w:spacing w:after="0" w:line="360" w:lineRule="auto"/>
        <w:ind w:firstLine="624"/>
        <w:jc w:val="both"/>
        <w:rPr>
          <w:rFonts w:ascii="Times New Roman" w:hAnsi="Times New Roman" w:cs="Times New Roman"/>
          <w:color w:val="000000" w:themeColor="text1"/>
          <w:sz w:val="24"/>
          <w:szCs w:val="24"/>
          <w:lang w:val="en-US"/>
        </w:rPr>
      </w:pPr>
      <w:r w:rsidRPr="00B73691">
        <w:rPr>
          <w:rFonts w:ascii="Times New Roman" w:hAnsi="Times New Roman" w:cs="Times New Roman"/>
          <w:color w:val="000000" w:themeColor="text1"/>
          <w:sz w:val="24"/>
          <w:szCs w:val="24"/>
          <w:lang w:val="en-US"/>
        </w:rPr>
        <w:t>Several recent papers</w:t>
      </w:r>
      <w:r w:rsidR="001C7BF7">
        <w:rPr>
          <w:rFonts w:ascii="Times New Roman" w:hAnsi="Times New Roman" w:cs="Times New Roman"/>
          <w:color w:val="000000" w:themeColor="text1"/>
          <w:sz w:val="24"/>
          <w:szCs w:val="24"/>
          <w:lang w:val="en-US"/>
        </w:rPr>
        <w:t xml:space="preserve"> </w:t>
      </w:r>
      <w:r w:rsidR="001C7BF7">
        <w:rPr>
          <w:rFonts w:ascii="Times New Roman" w:hAnsi="Times New Roman" w:cs="Times New Roman"/>
          <w:color w:val="000000" w:themeColor="text1"/>
          <w:sz w:val="24"/>
          <w:szCs w:val="24"/>
          <w:lang w:val="en-US"/>
        </w:rPr>
        <w:fldChar w:fldCharType="begin" w:fldLock="1"/>
      </w:r>
      <w:r w:rsidR="000F5732">
        <w:rPr>
          <w:rFonts w:ascii="Times New Roman" w:hAnsi="Times New Roman" w:cs="Times New Roman"/>
          <w:color w:val="000000" w:themeColor="text1"/>
          <w:sz w:val="24"/>
          <w:szCs w:val="24"/>
          <w:lang w:val="en-US"/>
        </w:rPr>
        <w:instrText>ADDIN CSL_CITATION {"citationItems":[{"id":"ITEM-1","itemData":{"DOI":"10.1016/j.jeconom.2020.12.001","ISSN":"18726895","abstract":"In this article, we consider identification, estimation, and inference procedures for treatment effect parameters using Difference-in-Differences (DiD) with (i) multiple time periods, (ii) variation in treatment timing, and (iii) when the “parallel trends assumption” holds potentially only after conditioning on observed covariates. We show that a family of causal effect parameters are identified in staggered DiD setups, even if differences in observed characteristics create non-parallel outcome dynamics between groups. Our identification results allow one to use outcome regression, inverse probability weighting, or doubly-robust estimands. We also propose different aggregation schemes that can be used to highlight treatment effect heterogeneity across different dimensions as well as to summarize the overall effect of participating in the treatment. We establish the asymptotic properties of the proposed estimators and prove the validity of a computationally convenient bootstrap procedure to conduct asymptotically valid simultaneous (instead of pointwise) inference. Finally, we illustrate the relevance of our proposed tools by analyzing the effect of the minimum wage on teen employment from 2001–2007. Open-source software is available for implementing the proposed methods.","author":[{"dropping-particle":"","family":"Callaway","given":"Brantly","non-dropping-particle":"","parse-names":false,"suffix":""},{"dropping-particle":"","family":"Sant'Anna","given":"Pedro H.C.","non-dropping-particle":"","parse-names":false,"suffix":""}],"container-title":"Journal of Econometrics","id":"ITEM-1","issue":"December","issued":{"date-parts":[["2020"]]},"title":"Difference-in-Differences with multiple time periods","type":"article-journal"},"uris":["http://www.mendeley.com/documents/?uuid=f4713550-4042-4a8c-b035-cc0e7056dffc"]},{"id":"ITEM-2","itemData":{"ISBN":"9788578110796","ISSN":"00027642","PMID":"25246403","abstract":"Recent studies have found that African American managers and executives tend to have relatively few opportunities to exercise higher order and reward-relevant job functions such as job authority, job autonomy, and substantive complexity of work. Most of this research has focused on minority access to job authority in mainstream corporate America. The authors focus on a very specific industry-the National Football League (NFL)-to examine minority access to job authority. Using data collected on all active coaches in the NFL between the 2000 and 2006 seasons, this study examines the influence of race on the attainment of job authority in the NFL. Logistic regression analyses reveal significant direct effects of race on being (a) assigned to coach central positions, (b) appointed as offensive or defensive coordinators, and (c) hired as head coaches, net of measured objective qualifications, including experience, leadership, and performance. Thus, race appears to have both direct and indirect effects on access to managerial authority in the NFL. © 2012 SAGE Publications.","author":[{"dropping-particle":"","family":"Goodman-Bacon","given":"Andrew","non-dropping-particle":"","parse-names":false,"suffix":""}],"container-title":"Journal of Econometrics","id":"ITEM-2","issue":"2","issued":{"date-parts":[["2021"]]},"page":"254-277","title":"Difference-in-Differences With Variation in Treatment Timing","type":"article-journal","volume":"225"},"uris":["http://www.mendeley.com/documents/?uuid=40402dcb-95aa-472b-8d33-4d2a262d69f2"]},{"id":"ITEM-3","itemData":{"DOI":"10.1257/aer.20181169","ISSN":"19447981","abstract":"Linear regressions with period and group fixed effects are widely used to estimate treatment effects. We show that they estimate weighted sums of the average treatment effects (ATE) in each group and period, with weights that may be negative. Due to the negative weights, the linear regression coefficient may for instance be negative while all the ATEs are positive. We propose another estimator that solves this issue. In the two applications we revisit, it is significantly different from the linear regression estimator.","author":[{"dropping-particle":"","family":"Chaisemartin","given":"Clément","non-dropping-particle":"de","parse-names":false,"suffix":""},{"dropping-particle":"","family":"D’Haultfœuille","given":"Xavier","non-dropping-particle":"","parse-names":false,"suffix":""}],"container-title":"American Economic Review","id":"ITEM-3","issue":"9","issued":{"date-parts":[["2020"]]},"page":"2964-2996","title":"Two-Way Fixed Effects Estimators with Heterogeneous Treatment Effects","type":"article-journal","volume":"110"},"uris":["http://www.mendeley.com/documents/?uuid=c4aa42be-576b-46c5-a33a-6ca202ce32a8"]}],"mendeley":{"formattedCitation":"(Callaway &amp; Sant’Anna, 2020; de Chaisemartin &amp; D’Haultfœuille, 2020; Goodman-Bacon, 2021)","plainTextFormattedCitation":"(Callaway &amp; Sant’Anna, 2020; de Chaisemartin &amp; D’Haultfœuille, 2020; Goodman-Bacon, 2021)","previouslyFormattedCitation":"(Callaway &amp; Sant’Anna, 2020; de Chaisemartin &amp; D’Haultfœuille, 2020; Goodman-Bacon, 2021)"},"properties":{"noteIndex":0},"schema":"https://github.com/citation-style-language/schema/raw/master/csl-citation.json"}</w:instrText>
      </w:r>
      <w:r w:rsidR="001C7BF7">
        <w:rPr>
          <w:rFonts w:ascii="Times New Roman" w:hAnsi="Times New Roman" w:cs="Times New Roman"/>
          <w:color w:val="000000" w:themeColor="text1"/>
          <w:sz w:val="24"/>
          <w:szCs w:val="24"/>
          <w:lang w:val="en-US"/>
        </w:rPr>
        <w:fldChar w:fldCharType="separate"/>
      </w:r>
      <w:r w:rsidR="00180F52" w:rsidRPr="00180F52">
        <w:rPr>
          <w:rFonts w:ascii="Times New Roman" w:hAnsi="Times New Roman" w:cs="Times New Roman"/>
          <w:noProof/>
          <w:color w:val="000000" w:themeColor="text1"/>
          <w:sz w:val="24"/>
          <w:szCs w:val="24"/>
          <w:lang w:val="en-US"/>
        </w:rPr>
        <w:t>(Callaway &amp; Sant’Anna, 2020; de Chaisemartin &amp; D’Haultfœuille, 2020; Goodman-Bacon, 2021)</w:t>
      </w:r>
      <w:r w:rsidR="001C7BF7">
        <w:rPr>
          <w:rFonts w:ascii="Times New Roman" w:hAnsi="Times New Roman" w:cs="Times New Roman"/>
          <w:color w:val="000000" w:themeColor="text1"/>
          <w:sz w:val="24"/>
          <w:szCs w:val="24"/>
          <w:lang w:val="en-US"/>
        </w:rPr>
        <w:fldChar w:fldCharType="end"/>
      </w:r>
      <w:r w:rsidRPr="00B73691">
        <w:rPr>
          <w:rFonts w:ascii="Times New Roman" w:hAnsi="Times New Roman" w:cs="Times New Roman"/>
          <w:color w:val="000000" w:themeColor="text1"/>
          <w:sz w:val="24"/>
          <w:szCs w:val="24"/>
          <w:lang w:val="en-US"/>
        </w:rPr>
        <w:t xml:space="preserve"> have criticized the TWFE, pointing out identification problems in the model. In an algebraic decomposition exercise, Goodman-Bacon (2020) demonstrated that the </w:t>
      </w:r>
      <w:r w:rsidRPr="00B73691">
        <w:rPr>
          <w:rFonts w:ascii="Times New Roman" w:hAnsi="Times New Roman" w:cs="Times New Roman"/>
          <w:color w:val="000000" w:themeColor="text1"/>
          <w:sz w:val="24"/>
          <w:szCs w:val="24"/>
          <w:lang w:val="en-US"/>
        </w:rPr>
        <w:lastRenderedPageBreak/>
        <w:t>TWFE estimator measures the ATT by calculating a weighted average of all 2x2 estimators present in the data. That is, of all comparisons between a treatment group whose treatment status changes and a control group whose status remains unchanged, between the pre-and post-intervention periods. The groups that give rise to these comparisons are treatment cohorts, i.e., groups of individuals (e.g. municipalities) who received treatment in the same period (e.g. year). As opposed to the canonical DD model, calculating this weighted average does not consider only comparisons between a treatment group and a “never treated” control group, but also comparisons to “not yet treated” cohort</w:t>
      </w:r>
      <w:r w:rsidR="0022712F">
        <w:rPr>
          <w:rFonts w:ascii="Times New Roman" w:hAnsi="Times New Roman" w:cs="Times New Roman"/>
          <w:color w:val="000000" w:themeColor="text1"/>
          <w:sz w:val="24"/>
          <w:szCs w:val="24"/>
          <w:lang w:val="en-US"/>
        </w:rPr>
        <w:t>-groups</w:t>
      </w:r>
      <w:r w:rsidRPr="00B73691">
        <w:rPr>
          <w:rFonts w:ascii="Times New Roman" w:hAnsi="Times New Roman" w:cs="Times New Roman"/>
          <w:color w:val="000000" w:themeColor="text1"/>
          <w:sz w:val="24"/>
          <w:szCs w:val="24"/>
          <w:lang w:val="en-US"/>
        </w:rPr>
        <w:t xml:space="preserve"> and even to “already treated” ones</w:t>
      </w:r>
      <w:r w:rsidR="00971D53">
        <w:rPr>
          <w:rFonts w:ascii="Times New Roman" w:hAnsi="Times New Roman" w:cs="Times New Roman"/>
          <w:color w:val="000000" w:themeColor="text1"/>
          <w:sz w:val="24"/>
          <w:szCs w:val="24"/>
          <w:lang w:val="en-US"/>
        </w:rPr>
        <w:t>. A</w:t>
      </w:r>
      <w:r w:rsidRPr="00B73691">
        <w:rPr>
          <w:rFonts w:ascii="Times New Roman" w:hAnsi="Times New Roman" w:cs="Times New Roman"/>
          <w:color w:val="000000" w:themeColor="text1"/>
          <w:sz w:val="24"/>
          <w:szCs w:val="24"/>
          <w:lang w:val="en-US"/>
        </w:rPr>
        <w:t>uthor</w:t>
      </w:r>
      <w:r w:rsidR="00971D53">
        <w:rPr>
          <w:rFonts w:ascii="Times New Roman" w:hAnsi="Times New Roman" w:cs="Times New Roman"/>
          <w:color w:val="000000" w:themeColor="text1"/>
          <w:sz w:val="24"/>
          <w:szCs w:val="24"/>
          <w:lang w:val="en-US"/>
        </w:rPr>
        <w:t>s</w:t>
      </w:r>
      <w:r w:rsidRPr="00B73691">
        <w:rPr>
          <w:rFonts w:ascii="Times New Roman" w:hAnsi="Times New Roman" w:cs="Times New Roman"/>
          <w:color w:val="000000" w:themeColor="text1"/>
          <w:sz w:val="24"/>
          <w:szCs w:val="24"/>
          <w:lang w:val="en-US"/>
        </w:rPr>
        <w:t xml:space="preserve"> show that the comparisons to already treated cohorts for measuring the ATT are “prohibited” ones, which can impute negative weights in the weighted average calculation, imposing a bias to the estimate</w:t>
      </w:r>
      <w:r w:rsidR="00971D53">
        <w:rPr>
          <w:rFonts w:ascii="Times New Roman" w:hAnsi="Times New Roman" w:cs="Times New Roman"/>
          <w:color w:val="000000" w:themeColor="text1"/>
          <w:sz w:val="24"/>
          <w:szCs w:val="24"/>
          <w:lang w:val="en-US"/>
        </w:rPr>
        <w:t xml:space="preserve"> </w:t>
      </w:r>
      <w:r w:rsidR="00971D53">
        <w:rPr>
          <w:rFonts w:ascii="Times New Roman" w:hAnsi="Times New Roman" w:cs="Times New Roman"/>
          <w:color w:val="000000" w:themeColor="text1"/>
          <w:sz w:val="24"/>
          <w:szCs w:val="24"/>
          <w:lang w:val="en-US"/>
        </w:rPr>
        <w:fldChar w:fldCharType="begin" w:fldLock="1"/>
      </w:r>
      <w:r w:rsidR="002E777A">
        <w:rPr>
          <w:rFonts w:ascii="Times New Roman" w:hAnsi="Times New Roman" w:cs="Times New Roman"/>
          <w:color w:val="000000" w:themeColor="text1"/>
          <w:sz w:val="24"/>
          <w:szCs w:val="24"/>
          <w:lang w:val="en-US"/>
        </w:rPr>
        <w:instrText>ADDIN CSL_CITATION {"citationItems":[{"id":"ITEM-1","itemData":{"DOI":"10.1016/j.jeconom.2020.12.001","ISSN":"18726895","abstract":"In this article, we consider identification, estimation, and inference procedures for treatment effect parameters using Difference-in-Differences (DiD) with (i) multiple time periods, (ii) variation in treatment timing, and (iii) when the “parallel trends assumption” holds potentially only after conditioning on observed covariates. We show that a family of causal effect parameters are identified in staggered DiD setups, even if differences in observed characteristics create non-parallel outcome dynamics between groups. Our identification results allow one to use outcome regression, inverse probability weighting, or doubly-robust estimands. We also propose different aggregation schemes that can be used to highlight treatment effect heterogeneity across different dimensions as well as to summarize the overall effect of participating in the treatment. We establish the asymptotic properties of the proposed estimators and prove the validity of a computationally convenient bootstrap procedure to conduct asymptotically valid simultaneous (instead of pointwise) inference. Finally, we illustrate the relevance of our proposed tools by analyzing the effect of the minimum wage on teen employment from 2001–2007. Open-source software is available for implementing the proposed methods.","author":[{"dropping-particle":"","family":"Callaway","given":"Brantly","non-dropping-particle":"","parse-names":false,"suffix":""},{"dropping-particle":"","family":"Sant'Anna","given":"Pedro H.C.","non-dropping-particle":"","parse-names":false,"suffix":""}],"container-title":"Journal of Econometrics","id":"ITEM-1","issue":"December","issued":{"date-parts":[["2020"]]},"title":"Difference-in-Differences with multiple time periods","type":"article-journal"},"uris":["http://www.mendeley.com/documents/?uuid=f4713550-4042-4a8c-b035-cc0e7056dffc"]},{"id":"ITEM-2","itemData":{"DOI":"https://doi.org/10.2307/j.ctv1c29t27","author":[{"dropping-particle":"","family":"Cunningham","given":"Scott.","non-dropping-particle":"","parse-names":false,"suffix":""}],"id":"ITEM-2","issued":{"date-parts":[["2021"]]},"publisher":"Yale University Press","title":"Causal Inference : The Mixtape","type":"book"},"uris":["http://www.mendeley.com/documents/?uuid=9b7c974a-5eff-4ec7-b9e6-86977567873c"]},{"id":"ITEM-3","itemData":{"URL":"https://blogs.worldbank.org/impactevaluations/new-synthesis-and-key-lessons-recent-difference-differences-literature","author":[{"dropping-particle":"","family":"Mckenzie","given":"David","non-dropping-particle":"","parse-names":false,"suffix":""}],"container-title":"Development impact - world bank blogs","id":"ITEM-3","issued":{"date-parts":[["2022"]]},"page":"1-6","title":"A new synthesis and key lessons from the recent difference-in-differences literature","type":"webpage","volume":"1"},"uris":["http://www.mendeley.com/documents/?uuid=57c90e4e-0eb0-4da4-a05d-5052ceee2ed5"]},{"id":"ITEM-4","itemData":{"abstract":"This paper synthesizes recent advances in the econometrics of difference-in-differences (DiD) and provides concrete recommendations for practitioners. We begin by articulating a simple set of \"canonical\" assumptions under which the econometrics of DiD are well-understood. We then argue that recent advances in DiD methods can be broadly classified as relaxing some components of the canonical DiD setup, with a focus on $(i)$ multiple periods and variation in treatment timing, $(ii)$ potential violations of parallel trends, or $(iii)$ alternative frameworks for inference. Our discussion highlights the different ways that the DiD literature has advanced beyond the canonical model, and helps to clarify when each of the papers will be relevant for empirical work. We conclude by discussing some promising areas for future research.","author":[{"dropping-particle":"","family":"Roth","given":"Jonathan","non-dropping-particle":"","parse-names":false,"suffix":""},{"dropping-particle":"","family":"Sant'Anna","given":"Pedro H. C.","non-dropping-particle":"","parse-names":false,"suffix":""},{"dropping-particle":"","family":"Bilinski","given":"Alyssa","non-dropping-particle":"","parse-names":false,"suffix":""},{"dropping-particle":"","family":"Poe","given":"John","non-dropping-particle":"","parse-names":false,"suffix":""}],"id":"ITEM-4","issued":{"date-parts":[["2022"]]},"page":"1-54","title":"What's Trending in Difference-in-Differences? A Synthesis of the Recent Econometrics Literature","type":"article-journal"},"uris":["http://www.mendeley.com/documents/?uuid=203aa630-8476-4411-88ed-36f0ab5411dd"]},{"id":"ITEM-5","itemData":{"ISBN":"9788578110796","ISSN":"00027642","PMID":"25246403","abstract":"Recent studies have found that African American managers and executives tend to have relatively few opportunities to exercise higher order and reward-relevant job functions such as job authority, job autonomy, and substantive complexity of work. Most of this research has focused on minority access to job authority in mainstream corporate America. The authors focus on a very specific industry-the National Football League (NFL)-to examine minority access to job authority. Using data collected on all active coaches in the NFL between the 2000 and 2006 seasons, this study examines the influence of race on the attainment of job authority in the NFL. Logistic regression analyses reveal significant direct effects of race on being (a) assigned to coach central positions, (b) appointed as offensive or defensive coordinators, and (c) hired as head coaches, net of measured objective qualifications, including experience, leadership, and performance. Thus, race appears to have both direct and indirect effects on access to managerial authority in the NFL. © 2012 SAGE Publications.","author":[{"dropping-particle":"","family":"Goodman-Bacon","given":"Andrew","non-dropping-particle":"","parse-names":false,"suffix":""}],"container-title":"Journal of Econometrics","id":"ITEM-5","issue":"2","issued":{"date-parts":[["2021"]]},"page":"254-277","title":"Difference-in-Differences With Variation in Treatment Timing","type":"article-journal","volume":"225"},"uris":["http://www.mendeley.com/documents/?uuid=40402dcb-95aa-472b-8d33-4d2a262d69f2"]}],"mendeley":{"formattedCitation":"(Callaway &amp; Sant’Anna, 2020; Cunningham, 2021; Goodman-Bacon, 2021; Mckenzie, 2022; Roth et al., 2022)","manualFormatting":"(Callaway &amp; Sant’Anna, 2020; Cunningham, 2021; Goodman-Bacon, 2021; Roth et al., 2022)","plainTextFormattedCitation":"(Callaway &amp; Sant’Anna, 2020; Cunningham, 2021; Goodman-Bacon, 2021; Mckenzie, 2022; Roth et al., 2022)","previouslyFormattedCitation":"(Callaway &amp; Sant’Anna, 2020; Cunningham, 2021; Goodman-Bacon, 2021; Mckenzie, 2022; Roth et al., 2022)"},"properties":{"noteIndex":0},"schema":"https://github.com/citation-style-language/schema/raw/master/csl-citation.json"}</w:instrText>
      </w:r>
      <w:r w:rsidR="00971D53">
        <w:rPr>
          <w:rFonts w:ascii="Times New Roman" w:hAnsi="Times New Roman" w:cs="Times New Roman"/>
          <w:color w:val="000000" w:themeColor="text1"/>
          <w:sz w:val="24"/>
          <w:szCs w:val="24"/>
          <w:lang w:val="en-US"/>
        </w:rPr>
        <w:fldChar w:fldCharType="separate"/>
      </w:r>
      <w:r w:rsidR="00971D53" w:rsidRPr="00971D53">
        <w:rPr>
          <w:rFonts w:ascii="Times New Roman" w:hAnsi="Times New Roman" w:cs="Times New Roman"/>
          <w:noProof/>
          <w:color w:val="000000" w:themeColor="text1"/>
          <w:sz w:val="24"/>
          <w:szCs w:val="24"/>
          <w:lang w:val="en-US"/>
        </w:rPr>
        <w:t>(Callaway &amp; Sant’Anna, 2020; Cunningham, 2021; Goodman-Bacon, 2021; Roth et al., 2022)</w:t>
      </w:r>
      <w:r w:rsidR="00971D53">
        <w:rPr>
          <w:rFonts w:ascii="Times New Roman" w:hAnsi="Times New Roman" w:cs="Times New Roman"/>
          <w:color w:val="000000" w:themeColor="text1"/>
          <w:sz w:val="24"/>
          <w:szCs w:val="24"/>
          <w:lang w:val="en-US"/>
        </w:rPr>
        <w:fldChar w:fldCharType="end"/>
      </w:r>
      <w:r w:rsidR="000F5732">
        <w:rPr>
          <w:rFonts w:ascii="Times New Roman" w:hAnsi="Times New Roman" w:cs="Times New Roman"/>
          <w:color w:val="000000" w:themeColor="text1"/>
          <w:sz w:val="24"/>
          <w:szCs w:val="24"/>
          <w:lang w:val="en-US"/>
        </w:rPr>
        <w:t xml:space="preserve"> </w:t>
      </w:r>
    </w:p>
    <w:p w14:paraId="07040BF5" w14:textId="01B70C46" w:rsidR="006F392F" w:rsidRDefault="0010243D" w:rsidP="006F392F">
      <w:pPr>
        <w:widowControl w:val="0"/>
        <w:autoSpaceDE w:val="0"/>
        <w:autoSpaceDN w:val="0"/>
        <w:spacing w:after="0" w:line="360" w:lineRule="auto"/>
        <w:ind w:firstLine="624"/>
        <w:jc w:val="both"/>
        <w:rPr>
          <w:rFonts w:ascii="Times New Roman" w:hAnsi="Times New Roman" w:cs="Times New Roman"/>
          <w:color w:val="000000" w:themeColor="text1"/>
          <w:sz w:val="24"/>
          <w:szCs w:val="24"/>
          <w:lang w:val="en-US"/>
        </w:rPr>
      </w:pPr>
      <w:r w:rsidRPr="00BE3117">
        <w:rPr>
          <w:rFonts w:ascii="Times New Roman" w:hAnsi="Times New Roman" w:cs="Times New Roman"/>
          <w:color w:val="000000" w:themeColor="text1"/>
          <w:sz w:val="24"/>
          <w:szCs w:val="24"/>
          <w:lang w:val="en-US"/>
        </w:rPr>
        <w:t>However, not all ATT</w:t>
      </w:r>
      <w:r w:rsidRPr="0010243D">
        <w:rPr>
          <w:rFonts w:ascii="Times New Roman" w:hAnsi="Times New Roman" w:cs="Times New Roman"/>
          <w:color w:val="000000" w:themeColor="text1"/>
          <w:sz w:val="24"/>
          <w:szCs w:val="24"/>
          <w:lang w:val="en-US"/>
        </w:rPr>
        <w:t xml:space="preserve"> estimates, via TWFE, are biased. Even when treatments are staggered in time, and there are differences in treatment timing between groups, “forbidden” comparisons may have relatively low importance in computing the weighted average composing the ATT. The Bacon decomposition allows knowing the weights of each 2x2 combination which varies according to the number of individuals in the compared pair and with its variance. It also informs the weights of the “clean” comparisons and the “prohibited” ones in the ATT computation, allowing to discern the risk of bias (GOODMAN-BACON, 2021). Using the “bacondecomp” </w:t>
      </w:r>
      <w:r w:rsidR="00D12ED1">
        <w:rPr>
          <w:rFonts w:ascii="Times New Roman" w:hAnsi="Times New Roman" w:cs="Times New Roman"/>
          <w:color w:val="000000" w:themeColor="text1"/>
          <w:sz w:val="24"/>
          <w:szCs w:val="24"/>
          <w:lang w:val="en-US"/>
        </w:rPr>
        <w:t>package</w:t>
      </w:r>
      <w:r w:rsidRPr="0010243D">
        <w:rPr>
          <w:rFonts w:ascii="Times New Roman" w:hAnsi="Times New Roman" w:cs="Times New Roman"/>
          <w:color w:val="000000" w:themeColor="text1"/>
          <w:sz w:val="24"/>
          <w:szCs w:val="24"/>
          <w:lang w:val="en-US"/>
        </w:rPr>
        <w:t xml:space="preserve"> (available for R and Stata), we estimated that the weight of the comparisons </w:t>
      </w:r>
      <w:r w:rsidR="00625FB3">
        <w:rPr>
          <w:rFonts w:ascii="Times New Roman" w:hAnsi="Times New Roman" w:cs="Times New Roman"/>
          <w:color w:val="000000" w:themeColor="text1"/>
          <w:sz w:val="24"/>
          <w:szCs w:val="24"/>
          <w:lang w:val="en-US"/>
        </w:rPr>
        <w:t xml:space="preserve">of treatment groups </w:t>
      </w:r>
      <w:r w:rsidRPr="0010243D">
        <w:rPr>
          <w:rFonts w:ascii="Times New Roman" w:hAnsi="Times New Roman" w:cs="Times New Roman"/>
          <w:color w:val="000000" w:themeColor="text1"/>
          <w:sz w:val="24"/>
          <w:szCs w:val="24"/>
          <w:lang w:val="en-US"/>
        </w:rPr>
        <w:t>to “never treated” control groups in our first two studies</w:t>
      </w:r>
      <w:r w:rsidR="009718DF">
        <w:rPr>
          <w:rFonts w:ascii="Times New Roman" w:hAnsi="Times New Roman" w:cs="Times New Roman"/>
          <w:color w:val="000000" w:themeColor="text1"/>
          <w:sz w:val="24"/>
          <w:szCs w:val="24"/>
          <w:lang w:val="en-US"/>
        </w:rPr>
        <w:t xml:space="preserve"> (</w:t>
      </w:r>
      <w:r w:rsidR="00FD0C4E">
        <w:rPr>
          <w:rFonts w:ascii="Times New Roman" w:hAnsi="Times New Roman" w:cs="Times New Roman"/>
          <w:color w:val="000000" w:themeColor="text1"/>
          <w:sz w:val="24"/>
          <w:szCs w:val="24"/>
          <w:lang w:val="en-US"/>
        </w:rPr>
        <w:t>in wich</w:t>
      </w:r>
      <w:r w:rsidR="009718DF">
        <w:rPr>
          <w:rFonts w:ascii="Times New Roman" w:hAnsi="Times New Roman" w:cs="Times New Roman"/>
          <w:color w:val="000000" w:themeColor="text1"/>
          <w:sz w:val="24"/>
          <w:szCs w:val="24"/>
          <w:lang w:val="en-US"/>
        </w:rPr>
        <w:t xml:space="preserve"> we tested our hypotheses one and two)</w:t>
      </w:r>
      <w:r w:rsidRPr="0010243D">
        <w:rPr>
          <w:rFonts w:ascii="Times New Roman" w:hAnsi="Times New Roman" w:cs="Times New Roman"/>
          <w:color w:val="000000" w:themeColor="text1"/>
          <w:sz w:val="24"/>
          <w:szCs w:val="24"/>
          <w:lang w:val="en-US"/>
        </w:rPr>
        <w:t xml:space="preserve"> are</w:t>
      </w:r>
      <w:r w:rsidR="00625FB3">
        <w:rPr>
          <w:rFonts w:ascii="Times New Roman" w:hAnsi="Times New Roman" w:cs="Times New Roman"/>
          <w:color w:val="000000" w:themeColor="text1"/>
          <w:sz w:val="24"/>
          <w:szCs w:val="24"/>
          <w:lang w:val="en-US"/>
        </w:rPr>
        <w:t>, respectively:</w:t>
      </w:r>
      <w:r w:rsidRPr="0010243D">
        <w:rPr>
          <w:rFonts w:ascii="Times New Roman" w:hAnsi="Times New Roman" w:cs="Times New Roman"/>
          <w:color w:val="000000" w:themeColor="text1"/>
          <w:sz w:val="24"/>
          <w:szCs w:val="24"/>
          <w:lang w:val="en-US"/>
        </w:rPr>
        <w:t xml:space="preserve"> 96.1% and 98.9%. These high percentages come from the use of huge “never-treated” control groups</w:t>
      </w:r>
      <w:r w:rsidR="00625FB3">
        <w:rPr>
          <w:rFonts w:ascii="Times New Roman" w:hAnsi="Times New Roman" w:cs="Times New Roman"/>
          <w:color w:val="000000" w:themeColor="text1"/>
          <w:sz w:val="24"/>
          <w:szCs w:val="24"/>
          <w:lang w:val="en-US"/>
        </w:rPr>
        <w:t>, and they warrant a low risk of bias</w:t>
      </w:r>
      <w:r w:rsidR="00625FB3" w:rsidRPr="00625FB3">
        <w:rPr>
          <w:rFonts w:ascii="Times New Roman" w:hAnsi="Times New Roman" w:cs="Times New Roman"/>
          <w:color w:val="000000" w:themeColor="text1"/>
          <w:sz w:val="24"/>
          <w:szCs w:val="24"/>
          <w:lang w:val="en-US"/>
        </w:rPr>
        <w:t xml:space="preserve"> </w:t>
      </w:r>
      <w:r w:rsidR="00FD0C4E">
        <w:rPr>
          <w:rFonts w:ascii="Times New Roman" w:hAnsi="Times New Roman" w:cs="Times New Roman"/>
          <w:color w:val="000000" w:themeColor="text1"/>
          <w:sz w:val="24"/>
          <w:szCs w:val="24"/>
          <w:lang w:val="en-US"/>
        </w:rPr>
        <w:t>coming from</w:t>
      </w:r>
      <w:r w:rsidR="00625FB3" w:rsidRPr="0010243D">
        <w:rPr>
          <w:rFonts w:ascii="Times New Roman" w:hAnsi="Times New Roman" w:cs="Times New Roman"/>
          <w:color w:val="000000" w:themeColor="text1"/>
          <w:sz w:val="24"/>
          <w:szCs w:val="24"/>
          <w:lang w:val="en-US"/>
        </w:rPr>
        <w:t xml:space="preserve"> “prohibited comparisons”</w:t>
      </w:r>
      <w:r w:rsidR="00625FB3">
        <w:rPr>
          <w:rFonts w:ascii="Times New Roman" w:hAnsi="Times New Roman" w:cs="Times New Roman"/>
          <w:color w:val="000000" w:themeColor="text1"/>
          <w:sz w:val="24"/>
          <w:szCs w:val="24"/>
          <w:lang w:val="en-US"/>
        </w:rPr>
        <w:t>.</w:t>
      </w:r>
    </w:p>
    <w:p w14:paraId="0E038D49" w14:textId="2F08FDF9" w:rsidR="0010243D" w:rsidRPr="0010243D" w:rsidRDefault="0010243D" w:rsidP="006F392F">
      <w:pPr>
        <w:widowControl w:val="0"/>
        <w:autoSpaceDE w:val="0"/>
        <w:autoSpaceDN w:val="0"/>
        <w:spacing w:after="0" w:line="360" w:lineRule="auto"/>
        <w:ind w:firstLine="624"/>
        <w:jc w:val="both"/>
        <w:rPr>
          <w:rFonts w:ascii="Times New Roman" w:hAnsi="Times New Roman" w:cs="Times New Roman"/>
          <w:color w:val="000000" w:themeColor="text1"/>
          <w:sz w:val="24"/>
          <w:szCs w:val="24"/>
          <w:lang w:val="en-US"/>
        </w:rPr>
      </w:pPr>
      <w:r w:rsidRPr="006F392F">
        <w:rPr>
          <w:rFonts w:ascii="Times New Roman" w:hAnsi="Times New Roman" w:cs="Times New Roman"/>
          <w:color w:val="000000" w:themeColor="text1"/>
          <w:sz w:val="24"/>
          <w:szCs w:val="24"/>
          <w:lang w:val="en-US"/>
        </w:rPr>
        <w:t>Unfortunately, The “bacondecomp” tool cannot decompose TWFE models which interact the treatment dummy with another variable, as would be necessary for our third and fourth studies. However, because we also use quite big “never-treated” control groups in these last two ones, most comparisons are likely to be of the “clean” sort, with a low bias probability to the ATT.</w:t>
      </w:r>
    </w:p>
    <w:p w14:paraId="474F0388" w14:textId="3D475731" w:rsidR="00BE3117" w:rsidRPr="00DC663C" w:rsidRDefault="00372F7E" w:rsidP="00372F7E">
      <w:pPr>
        <w:pStyle w:val="NormalWeb"/>
        <w:rPr>
          <w:b/>
          <w:bCs/>
        </w:rPr>
      </w:pPr>
      <w:r w:rsidRPr="00DC663C">
        <w:rPr>
          <w:b/>
          <w:bCs/>
        </w:rPr>
        <w:t>5. Hypotheses and Results Analysis</w:t>
      </w:r>
    </w:p>
    <w:p w14:paraId="769799E6" w14:textId="00B92211" w:rsidR="00372F7E" w:rsidRPr="00DC663C" w:rsidRDefault="00372F7E" w:rsidP="00372F7E">
      <w:pPr>
        <w:pStyle w:val="NormalWeb"/>
        <w:ind w:left="708"/>
        <w:rPr>
          <w:b/>
          <w:bCs/>
        </w:rPr>
      </w:pPr>
      <w:r w:rsidRPr="00DC663C">
        <w:rPr>
          <w:b/>
          <w:bCs/>
        </w:rPr>
        <w:t>5.1. The effectiveness of Social Observatories Hypothesis</w:t>
      </w:r>
    </w:p>
    <w:p w14:paraId="7DE37A86" w14:textId="491CE2AB" w:rsidR="00D658DF" w:rsidRDefault="00D658DF" w:rsidP="00F9401D">
      <w:pPr>
        <w:widowControl w:val="0"/>
        <w:autoSpaceDE w:val="0"/>
        <w:autoSpaceDN w:val="0"/>
        <w:spacing w:after="0" w:line="360" w:lineRule="auto"/>
        <w:jc w:val="both"/>
        <w:rPr>
          <w:rFonts w:ascii="Times New Roman" w:eastAsiaTheme="minorEastAsia" w:hAnsi="Times New Roman" w:cs="Times New Roman"/>
          <w:color w:val="000000" w:themeColor="text1"/>
          <w:sz w:val="24"/>
          <w:szCs w:val="24"/>
          <w:lang w:val="en-US"/>
        </w:rPr>
      </w:pPr>
      <w:r w:rsidRPr="00D658DF">
        <w:rPr>
          <w:rFonts w:ascii="Times New Roman" w:eastAsiaTheme="minorEastAsia" w:hAnsi="Times New Roman" w:cs="Times New Roman"/>
          <w:color w:val="000000" w:themeColor="text1"/>
          <w:sz w:val="24"/>
          <w:szCs w:val="24"/>
          <w:lang w:val="en-US"/>
        </w:rPr>
        <w:t xml:space="preserve">The first hypothesis is that, in the Brazilian context, the social control of Public Administration, carried out by Social Observatories, is effective in reducing municipal per capita expenses. This hypothesis corresponds to the assumption that the estimated coefficients of differences-in-differences will be negative and statistically significant, at least for expenses directly associated with the bidding processes and contract agreements that are audited by the Observatories. Among </w:t>
      </w:r>
      <w:r w:rsidRPr="00D658DF">
        <w:rPr>
          <w:rFonts w:ascii="Times New Roman" w:eastAsiaTheme="minorEastAsia" w:hAnsi="Times New Roman" w:cs="Times New Roman"/>
          <w:color w:val="000000" w:themeColor="text1"/>
          <w:sz w:val="24"/>
          <w:szCs w:val="24"/>
          <w:lang w:val="en-US"/>
        </w:rPr>
        <w:lastRenderedPageBreak/>
        <w:t>these expenses, the following headings can be mentioned: “Consumption of Materials”, “Freely Distributed Materials”, “Outsourced Services for Individuals”, “Outsourced Services for Legal Entities”, “Investments”, “Equipment and Permanent Material” and “Construction and Installations”.</w:t>
      </w:r>
    </w:p>
    <w:p w14:paraId="6A562087" w14:textId="474B3C6C" w:rsidR="007E10EF" w:rsidRDefault="002D0911" w:rsidP="0088076F">
      <w:pPr>
        <w:widowControl w:val="0"/>
        <w:autoSpaceDE w:val="0"/>
        <w:autoSpaceDN w:val="0"/>
        <w:spacing w:after="0" w:line="360" w:lineRule="auto"/>
        <w:ind w:firstLine="624"/>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In contrast</w:t>
      </w:r>
      <w:r w:rsidRPr="002D0911">
        <w:rPr>
          <w:rFonts w:ascii="Times New Roman" w:eastAsiaTheme="minorEastAsia" w:hAnsi="Times New Roman" w:cs="Times New Roman"/>
          <w:color w:val="000000" w:themeColor="text1"/>
          <w:sz w:val="24"/>
          <w:szCs w:val="24"/>
          <w:lang w:val="en-US"/>
        </w:rPr>
        <w:t>, expenses with “Personnel” (i.e. wages and labor charges), “Interest” (i.e. payment of municipal debt service), and “Per diem” (i.e. expenses with accommodation, food, and transportation of employees who travel for work) are not hired by bidding and could be thought of as free from the Observatory effects. Yet, to the extent that, by Brazilian law, these expenses must be disclosed on the municipal transparency portal on the internet, and the Observatories job presuppose a work of awareness and training of the population to track this information and denounce abuses</w:t>
      </w:r>
      <w:r w:rsidR="002E777A">
        <w:rPr>
          <w:rFonts w:ascii="Times New Roman" w:eastAsiaTheme="minorEastAsia" w:hAnsi="Times New Roman" w:cs="Times New Roman"/>
          <w:color w:val="000000" w:themeColor="text1"/>
          <w:sz w:val="24"/>
          <w:szCs w:val="24"/>
          <w:lang w:val="en-US"/>
        </w:rPr>
        <w:t xml:space="preserve"> </w:t>
      </w:r>
      <w:r w:rsidR="002E777A">
        <w:rPr>
          <w:rFonts w:ascii="Times New Roman" w:eastAsiaTheme="minorEastAsia" w:hAnsi="Times New Roman" w:cs="Times New Roman"/>
          <w:color w:val="000000" w:themeColor="text1"/>
          <w:sz w:val="24"/>
          <w:szCs w:val="24"/>
          <w:lang w:val="en-US"/>
        </w:rPr>
        <w:fldChar w:fldCharType="begin" w:fldLock="1"/>
      </w:r>
      <w:r w:rsidR="002B5A4E">
        <w:rPr>
          <w:rFonts w:ascii="Times New Roman" w:eastAsiaTheme="minorEastAsia" w:hAnsi="Times New Roman" w:cs="Times New Roman"/>
          <w:color w:val="000000" w:themeColor="text1"/>
          <w:sz w:val="24"/>
          <w:szCs w:val="24"/>
          <w:lang w:val="en-US"/>
        </w:rPr>
        <w:instrText>ADDIN CSL_CITATION {"citationItems":[{"id":"ITEM-1","itemData":{"abstract":"Em meio ao processo de amadurecimento político e institucional da democracia brasileira, uma das maneiras pelas quais a sociedade ocupa espaços de participação na gestão pública ocorre pelo engajamento de observatórios sociais. Neste trabalho busca-se descrever características da atuação de observatórios sociais voltados à cidadania e à educação fiscal e discutir seus potenciais e limites de contribuição para a accountability e a qualidade da gestão pública.","author":[{"dropping-particle":"","family":"Schommer","given":"Paula;","non-dropping-particle":"","parse-names":false,"suffix":""},{"dropping-particle":"","family":"Nunes","given":"Tadeu;","non-dropping-particle":"","parse-names":false,"suffix":""},{"dropping-particle":"","family":"Moraes","given":"Lima","non-dropping-particle":"","parse-names":false,"suffix":""}],"container-title":"Publicações da Escola da AGU: Gestão Pública Democrática - Escola da Advocacia-Geral da União Ministro Victor Nunes Leal","id":"ITEM-1","issued":{"date-parts":[["2012"]]},"page":"229-258","title":"Accountability, controle social e coprodução do bem público: a atuação de vinte observatórios sociais brasileiros voltados à cidadania e à educação fiscal","type":"article-journal","volume":"58"},"uris":["http://www.mendeley.com/documents/?uuid=67d745f0-0fbf-425c-943f-c010c666cd4b"]}],"mendeley":{"formattedCitation":"(Schommer et al., 2012)","plainTextFormattedCitation":"(Schommer et al., 2012)","previouslyFormattedCitation":"(Schommer et al., 2012)"},"properties":{"noteIndex":0},"schema":"https://github.com/citation-style-language/schema/raw/master/csl-citation.json"}</w:instrText>
      </w:r>
      <w:r w:rsidR="002E777A">
        <w:rPr>
          <w:rFonts w:ascii="Times New Roman" w:eastAsiaTheme="minorEastAsia" w:hAnsi="Times New Roman" w:cs="Times New Roman"/>
          <w:color w:val="000000" w:themeColor="text1"/>
          <w:sz w:val="24"/>
          <w:szCs w:val="24"/>
          <w:lang w:val="en-US"/>
        </w:rPr>
        <w:fldChar w:fldCharType="separate"/>
      </w:r>
      <w:r w:rsidR="002E777A" w:rsidRPr="002E777A">
        <w:rPr>
          <w:rFonts w:ascii="Times New Roman" w:eastAsiaTheme="minorEastAsia" w:hAnsi="Times New Roman" w:cs="Times New Roman"/>
          <w:noProof/>
          <w:color w:val="000000" w:themeColor="text1"/>
          <w:sz w:val="24"/>
          <w:szCs w:val="24"/>
          <w:lang w:val="en-US"/>
        </w:rPr>
        <w:t>(Schommer et al., 2012)</w:t>
      </w:r>
      <w:r w:rsidR="002E777A">
        <w:rPr>
          <w:rFonts w:ascii="Times New Roman" w:eastAsiaTheme="minorEastAsia" w:hAnsi="Times New Roman" w:cs="Times New Roman"/>
          <w:color w:val="000000" w:themeColor="text1"/>
          <w:sz w:val="24"/>
          <w:szCs w:val="24"/>
          <w:lang w:val="en-US"/>
        </w:rPr>
        <w:fldChar w:fldCharType="end"/>
      </w:r>
      <w:r w:rsidRPr="002D0911">
        <w:rPr>
          <w:rFonts w:ascii="Times New Roman" w:eastAsiaTheme="minorEastAsia" w:hAnsi="Times New Roman" w:cs="Times New Roman"/>
          <w:color w:val="000000" w:themeColor="text1"/>
          <w:sz w:val="24"/>
          <w:szCs w:val="24"/>
          <w:lang w:val="en-US"/>
        </w:rPr>
        <w:t xml:space="preserve"> it is reasonable to expect that these will also decrease after an Observatory installation.</w:t>
      </w:r>
    </w:p>
    <w:p w14:paraId="586CBC49" w14:textId="17E35CEC" w:rsidR="00BE3117" w:rsidRDefault="001708AC" w:rsidP="00A32EBD">
      <w:pPr>
        <w:widowControl w:val="0"/>
        <w:autoSpaceDE w:val="0"/>
        <w:autoSpaceDN w:val="0"/>
        <w:spacing w:after="0" w:line="360" w:lineRule="auto"/>
        <w:ind w:firstLine="624"/>
        <w:jc w:val="both"/>
        <w:rPr>
          <w:rFonts w:ascii="Times New Roman" w:eastAsiaTheme="minorEastAsia" w:hAnsi="Times New Roman" w:cs="Times New Roman"/>
          <w:color w:val="000000" w:themeColor="text1"/>
          <w:sz w:val="24"/>
          <w:szCs w:val="24"/>
          <w:lang w:val="en-US"/>
        </w:rPr>
      </w:pPr>
      <w:r w:rsidRPr="001708AC">
        <w:rPr>
          <w:rFonts w:ascii="Times New Roman" w:eastAsiaTheme="minorEastAsia" w:hAnsi="Times New Roman" w:cs="Times New Roman"/>
          <w:color w:val="000000" w:themeColor="text1"/>
          <w:sz w:val="24"/>
          <w:szCs w:val="24"/>
          <w:lang w:val="en-US"/>
        </w:rPr>
        <w:t>Tables 2a, 2b, and 2c show that of the fifteen items of expenses analyzed with the model of equation 4, nine present (at a significance level of 5%) negative and statistically significant coefficients as expected, corroborating the hypothesis of the effectiveness of the Observatories. As for the others, one is negative and significant at the level of 10%, four are statistically non-significant, and only one, the item “Outsourced Services for Individuals” (which has a positive and statistically significant sign), defies the hypothesis. This expense, however, is suspected of non-parallel</w:t>
      </w:r>
      <w:r>
        <w:rPr>
          <w:rFonts w:ascii="Times New Roman" w:eastAsiaTheme="minorEastAsia" w:hAnsi="Times New Roman" w:cs="Times New Roman"/>
          <w:color w:val="000000" w:themeColor="text1"/>
          <w:sz w:val="24"/>
          <w:szCs w:val="24"/>
          <w:lang w:val="en-US"/>
        </w:rPr>
        <w:t>ism of</w:t>
      </w:r>
      <w:r w:rsidRPr="001708AC">
        <w:rPr>
          <w:rFonts w:ascii="Times New Roman" w:eastAsiaTheme="minorEastAsia" w:hAnsi="Times New Roman" w:cs="Times New Roman"/>
          <w:color w:val="000000" w:themeColor="text1"/>
          <w:sz w:val="24"/>
          <w:szCs w:val="24"/>
          <w:lang w:val="en-US"/>
        </w:rPr>
        <w:t xml:space="preserve"> trends bias, so the evidence favorable to the hypothesis that Brazilian social observatories are effective in controlling municipal public spending is very robust.</w:t>
      </w:r>
    </w:p>
    <w:p w14:paraId="08708A2D" w14:textId="77777777" w:rsidR="00A32EBD" w:rsidRDefault="00A32EBD" w:rsidP="00A32EBD">
      <w:pPr>
        <w:widowControl w:val="0"/>
        <w:autoSpaceDE w:val="0"/>
        <w:autoSpaceDN w:val="0"/>
        <w:spacing w:after="0" w:line="360" w:lineRule="auto"/>
        <w:ind w:firstLine="624"/>
        <w:jc w:val="both"/>
        <w:rPr>
          <w:rFonts w:ascii="Times New Roman" w:eastAsiaTheme="minorEastAsia" w:hAnsi="Times New Roman" w:cs="Times New Roman"/>
          <w:color w:val="000000" w:themeColor="text1"/>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1"/>
        <w:gridCol w:w="30"/>
        <w:gridCol w:w="1713"/>
        <w:gridCol w:w="1780"/>
        <w:gridCol w:w="1558"/>
        <w:gridCol w:w="1613"/>
        <w:gridCol w:w="1838"/>
        <w:gridCol w:w="45"/>
      </w:tblGrid>
      <w:tr w:rsidR="00DC663C" w:rsidRPr="00E8576D" w14:paraId="659A5191" w14:textId="77777777" w:rsidTr="005F2052">
        <w:trPr>
          <w:gridAfter w:val="1"/>
          <w:tblCellSpacing w:w="15" w:type="dxa"/>
        </w:trPr>
        <w:tc>
          <w:tcPr>
            <w:tcW w:w="0" w:type="auto"/>
            <w:gridSpan w:val="7"/>
            <w:tcBorders>
              <w:top w:val="nil"/>
              <w:left w:val="nil"/>
              <w:bottom w:val="nil"/>
              <w:right w:val="nil"/>
            </w:tcBorders>
            <w:vAlign w:val="center"/>
            <w:hideMark/>
          </w:tcPr>
          <w:p w14:paraId="08D16EF5" w14:textId="53AB2F8B" w:rsidR="00DC663C" w:rsidRPr="00352D7D" w:rsidRDefault="00DC663C" w:rsidP="00DC663C">
            <w:pPr>
              <w:jc w:val="center"/>
              <w:rPr>
                <w:rFonts w:eastAsia="Times New Roman"/>
                <w:b/>
                <w:bCs/>
                <w:lang w:val="en-US"/>
              </w:rPr>
            </w:pPr>
            <w:bookmarkStart w:id="4" w:name="_Hlk93285509"/>
            <w:r w:rsidRPr="00352D7D">
              <w:rPr>
                <w:rFonts w:eastAsia="Times New Roman"/>
                <w:b/>
                <w:bCs/>
                <w:lang w:val="en-US"/>
              </w:rPr>
              <w:t>Tab</w:t>
            </w:r>
            <w:r w:rsidR="004C74F0" w:rsidRPr="00352D7D">
              <w:rPr>
                <w:rFonts w:eastAsia="Times New Roman"/>
                <w:b/>
                <w:bCs/>
                <w:lang w:val="en-US"/>
              </w:rPr>
              <w:t>le</w:t>
            </w:r>
            <w:r w:rsidRPr="00352D7D">
              <w:rPr>
                <w:rFonts w:eastAsia="Times New Roman"/>
                <w:b/>
                <w:bCs/>
                <w:lang w:val="en-US"/>
              </w:rPr>
              <w:t xml:space="preserve"> 2a </w:t>
            </w:r>
            <w:r w:rsidR="004C74F0" w:rsidRPr="00352D7D">
              <w:rPr>
                <w:rFonts w:eastAsia="Times New Roman"/>
                <w:b/>
                <w:bCs/>
                <w:lang w:val="en-US"/>
              </w:rPr>
              <w:t>–</w:t>
            </w:r>
            <w:r w:rsidRPr="00352D7D">
              <w:rPr>
                <w:rFonts w:eastAsia="Times New Roman"/>
                <w:b/>
                <w:bCs/>
                <w:lang w:val="en-US"/>
              </w:rPr>
              <w:t xml:space="preserve"> </w:t>
            </w:r>
            <w:r w:rsidR="004C74F0" w:rsidRPr="00352D7D">
              <w:rPr>
                <w:rFonts w:eastAsia="Times New Roman"/>
                <w:b/>
                <w:bCs/>
                <w:lang w:val="en-US"/>
              </w:rPr>
              <w:t xml:space="preserve">Observatories Impact on Percapita Expenses  </w:t>
            </w:r>
            <w:r w:rsidRPr="00352D7D">
              <w:rPr>
                <w:rFonts w:eastAsia="Times New Roman"/>
                <w:b/>
                <w:bCs/>
                <w:lang w:val="en-US"/>
              </w:rPr>
              <w:t xml:space="preserve"> (</w:t>
            </w:r>
            <w:r w:rsidR="004C74F0" w:rsidRPr="00352D7D">
              <w:rPr>
                <w:rFonts w:eastAsia="Times New Roman"/>
                <w:b/>
                <w:bCs/>
                <w:lang w:val="en-US"/>
              </w:rPr>
              <w:t>Exp</w:t>
            </w:r>
            <w:r w:rsidRPr="00352D7D">
              <w:rPr>
                <w:rFonts w:eastAsia="Times New Roman"/>
                <w:b/>
                <w:bCs/>
                <w:lang w:val="en-US"/>
              </w:rPr>
              <w:t>/</w:t>
            </w:r>
            <w:r w:rsidR="004C74F0" w:rsidRPr="00352D7D">
              <w:rPr>
                <w:rFonts w:eastAsia="Times New Roman"/>
                <w:b/>
                <w:bCs/>
                <w:lang w:val="en-US"/>
              </w:rPr>
              <w:t>Inh</w:t>
            </w:r>
            <w:r w:rsidRPr="00352D7D">
              <w:rPr>
                <w:rFonts w:eastAsia="Times New Roman"/>
                <w:b/>
                <w:bCs/>
                <w:lang w:val="en-US"/>
              </w:rPr>
              <w:t>ab.)</w:t>
            </w:r>
          </w:p>
        </w:tc>
      </w:tr>
      <w:tr w:rsidR="00DC663C" w:rsidRPr="00E8576D" w14:paraId="3F4DCC35" w14:textId="77777777" w:rsidTr="005F2052">
        <w:trPr>
          <w:gridAfter w:val="1"/>
          <w:tblCellSpacing w:w="15" w:type="dxa"/>
        </w:trPr>
        <w:tc>
          <w:tcPr>
            <w:tcW w:w="0" w:type="auto"/>
            <w:gridSpan w:val="7"/>
            <w:tcBorders>
              <w:bottom w:val="single" w:sz="6" w:space="0" w:color="000000"/>
            </w:tcBorders>
            <w:vAlign w:val="center"/>
            <w:hideMark/>
          </w:tcPr>
          <w:p w14:paraId="6C381A17" w14:textId="77777777" w:rsidR="00DC663C" w:rsidRPr="00DC663C" w:rsidRDefault="00DC663C" w:rsidP="00DC663C">
            <w:pPr>
              <w:jc w:val="center"/>
              <w:rPr>
                <w:rFonts w:eastAsia="Times New Roman"/>
                <w:lang w:val="en-US"/>
              </w:rPr>
            </w:pPr>
          </w:p>
        </w:tc>
      </w:tr>
      <w:tr w:rsidR="00934F5C" w:rsidRPr="00E8576D" w14:paraId="6E9F0695" w14:textId="77777777" w:rsidTr="004C74F0">
        <w:trPr>
          <w:gridAfter w:val="1"/>
          <w:trHeight w:val="644"/>
          <w:tblCellSpacing w:w="15" w:type="dxa"/>
        </w:trPr>
        <w:tc>
          <w:tcPr>
            <w:tcW w:w="0" w:type="auto"/>
            <w:gridSpan w:val="2"/>
            <w:vAlign w:val="center"/>
            <w:hideMark/>
          </w:tcPr>
          <w:p w14:paraId="269FDDCE" w14:textId="77777777" w:rsidR="00DC663C" w:rsidRPr="00DC663C" w:rsidRDefault="00DC663C" w:rsidP="00DC663C">
            <w:pPr>
              <w:jc w:val="center"/>
              <w:rPr>
                <w:rFonts w:eastAsia="Times New Roman"/>
                <w:sz w:val="20"/>
                <w:szCs w:val="20"/>
                <w:lang w:val="en-US"/>
              </w:rPr>
            </w:pPr>
          </w:p>
        </w:tc>
        <w:tc>
          <w:tcPr>
            <w:tcW w:w="0" w:type="auto"/>
            <w:vAlign w:val="center"/>
            <w:hideMark/>
          </w:tcPr>
          <w:p w14:paraId="5E0CE56D" w14:textId="2A726A42" w:rsidR="00DC663C" w:rsidRPr="00C426DB" w:rsidRDefault="004C74F0" w:rsidP="00DC663C">
            <w:pPr>
              <w:jc w:val="center"/>
              <w:rPr>
                <w:rFonts w:eastAsia="Times New Roman"/>
                <w:color w:val="000000" w:themeColor="text1"/>
                <w:sz w:val="24"/>
                <w:szCs w:val="24"/>
              </w:rPr>
            </w:pPr>
            <w:r w:rsidRPr="00C426DB">
              <w:rPr>
                <w:rFonts w:eastAsia="Times New Roman"/>
                <w:color w:val="000000" w:themeColor="text1"/>
              </w:rPr>
              <w:t>Total Expense</w:t>
            </w:r>
            <w:r w:rsidR="00DC663C" w:rsidRPr="00C426DB">
              <w:rPr>
                <w:rFonts w:eastAsia="Times New Roman"/>
                <w:color w:val="000000" w:themeColor="text1"/>
              </w:rPr>
              <w:t xml:space="preserve"> (</w:t>
            </w:r>
            <w:r w:rsidRPr="00C426DB">
              <w:rPr>
                <w:rFonts w:eastAsia="Times New Roman"/>
                <w:color w:val="000000" w:themeColor="text1"/>
              </w:rPr>
              <w:t>E</w:t>
            </w:r>
            <w:r w:rsidR="00CB65BE" w:rsidRPr="00C426DB">
              <w:rPr>
                <w:rFonts w:eastAsia="Times New Roman"/>
                <w:color w:val="000000" w:themeColor="text1"/>
              </w:rPr>
              <w:t>xp</w:t>
            </w:r>
            <w:r w:rsidR="00DC663C" w:rsidRPr="00C426DB">
              <w:rPr>
                <w:rFonts w:eastAsia="Times New Roman"/>
                <w:color w:val="000000" w:themeColor="text1"/>
              </w:rPr>
              <w:t>/</w:t>
            </w:r>
            <w:r w:rsidR="00CB65BE" w:rsidRPr="00C426DB">
              <w:rPr>
                <w:rFonts w:eastAsia="Times New Roman"/>
                <w:color w:val="000000" w:themeColor="text1"/>
              </w:rPr>
              <w:t>Inh</w:t>
            </w:r>
            <w:r w:rsidR="00DC663C" w:rsidRPr="00C426DB">
              <w:rPr>
                <w:rFonts w:eastAsia="Times New Roman"/>
                <w:color w:val="000000" w:themeColor="text1"/>
              </w:rPr>
              <w:t>ab.)</w:t>
            </w:r>
          </w:p>
        </w:tc>
        <w:tc>
          <w:tcPr>
            <w:tcW w:w="0" w:type="auto"/>
            <w:vAlign w:val="center"/>
            <w:hideMark/>
          </w:tcPr>
          <w:p w14:paraId="2FCA6C47" w14:textId="172F830B" w:rsidR="00DC663C" w:rsidRPr="00C426DB" w:rsidRDefault="00CB65BE" w:rsidP="00DC663C">
            <w:pPr>
              <w:jc w:val="center"/>
              <w:rPr>
                <w:rFonts w:eastAsia="Times New Roman"/>
                <w:color w:val="000000" w:themeColor="text1"/>
              </w:rPr>
            </w:pPr>
            <w:r w:rsidRPr="00C426DB">
              <w:rPr>
                <w:rFonts w:eastAsia="Times New Roman"/>
                <w:color w:val="000000" w:themeColor="text1"/>
              </w:rPr>
              <w:t>Current Expense</w:t>
            </w:r>
            <w:r w:rsidR="00DC663C" w:rsidRPr="00C426DB">
              <w:rPr>
                <w:rFonts w:eastAsia="Times New Roman"/>
                <w:color w:val="000000" w:themeColor="text1"/>
              </w:rPr>
              <w:t xml:space="preserve"> </w:t>
            </w:r>
            <w:r w:rsidRPr="00C426DB">
              <w:rPr>
                <w:rFonts w:eastAsia="Times New Roman"/>
                <w:color w:val="000000" w:themeColor="text1"/>
              </w:rPr>
              <w:t>(Exp/Inhab.)</w:t>
            </w:r>
          </w:p>
        </w:tc>
        <w:tc>
          <w:tcPr>
            <w:tcW w:w="0" w:type="auto"/>
            <w:vAlign w:val="center"/>
            <w:hideMark/>
          </w:tcPr>
          <w:p w14:paraId="03A8A5EE" w14:textId="4A1C0901" w:rsidR="00DC663C" w:rsidRPr="00C426DB" w:rsidRDefault="00CB65BE" w:rsidP="00DC663C">
            <w:pPr>
              <w:jc w:val="center"/>
              <w:rPr>
                <w:rFonts w:eastAsia="Times New Roman"/>
                <w:color w:val="000000" w:themeColor="text1"/>
              </w:rPr>
            </w:pPr>
            <w:r w:rsidRPr="00C426DB">
              <w:rPr>
                <w:rFonts w:eastAsia="Times New Roman"/>
                <w:color w:val="000000" w:themeColor="text1"/>
              </w:rPr>
              <w:t>Interest</w:t>
            </w:r>
            <w:r w:rsidR="00DC663C" w:rsidRPr="00C426DB">
              <w:rPr>
                <w:rFonts w:eastAsia="Times New Roman"/>
                <w:color w:val="000000" w:themeColor="text1"/>
              </w:rPr>
              <w:t xml:space="preserve"> </w:t>
            </w:r>
            <w:r w:rsidRPr="00C426DB">
              <w:rPr>
                <w:rFonts w:eastAsia="Times New Roman"/>
                <w:color w:val="000000" w:themeColor="text1"/>
              </w:rPr>
              <w:t>(Exp/Inhab.)</w:t>
            </w:r>
          </w:p>
        </w:tc>
        <w:tc>
          <w:tcPr>
            <w:tcW w:w="0" w:type="auto"/>
            <w:vAlign w:val="center"/>
            <w:hideMark/>
          </w:tcPr>
          <w:p w14:paraId="77F24F88" w14:textId="57A6BB50" w:rsidR="00DC663C" w:rsidRPr="00C426DB" w:rsidRDefault="00CB65BE" w:rsidP="00DC663C">
            <w:pPr>
              <w:jc w:val="center"/>
              <w:rPr>
                <w:rFonts w:eastAsia="Times New Roman"/>
                <w:color w:val="000000" w:themeColor="text1"/>
              </w:rPr>
            </w:pPr>
            <w:r w:rsidRPr="00C426DB">
              <w:rPr>
                <w:rFonts w:eastAsia="Times New Roman"/>
                <w:color w:val="000000" w:themeColor="text1"/>
              </w:rPr>
              <w:t>Personnel</w:t>
            </w:r>
            <w:r w:rsidR="00DC663C" w:rsidRPr="00C426DB">
              <w:rPr>
                <w:rFonts w:eastAsia="Times New Roman"/>
                <w:color w:val="000000" w:themeColor="text1"/>
              </w:rPr>
              <w:t xml:space="preserve"> </w:t>
            </w:r>
            <w:r w:rsidRPr="00C426DB">
              <w:rPr>
                <w:rFonts w:eastAsia="Times New Roman"/>
                <w:color w:val="000000" w:themeColor="text1"/>
              </w:rPr>
              <w:t>(Exp/Inhab.)</w:t>
            </w:r>
          </w:p>
        </w:tc>
        <w:tc>
          <w:tcPr>
            <w:tcW w:w="0" w:type="auto"/>
            <w:vAlign w:val="center"/>
            <w:hideMark/>
          </w:tcPr>
          <w:p w14:paraId="25E21DD4" w14:textId="0942C5DB" w:rsidR="00DC663C" w:rsidRPr="00C426DB" w:rsidRDefault="00DC663C" w:rsidP="00DC663C">
            <w:pPr>
              <w:jc w:val="center"/>
              <w:rPr>
                <w:rFonts w:eastAsia="Times New Roman"/>
                <w:color w:val="000000" w:themeColor="text1"/>
                <w:lang w:val="en-US"/>
              </w:rPr>
            </w:pPr>
            <w:r w:rsidRPr="00C426DB">
              <w:rPr>
                <w:rFonts w:eastAsia="Times New Roman"/>
                <w:color w:val="000000" w:themeColor="text1"/>
                <w:lang w:val="en-US"/>
              </w:rPr>
              <w:t>O</w:t>
            </w:r>
            <w:r w:rsidR="00934F5C" w:rsidRPr="00C426DB">
              <w:rPr>
                <w:rFonts w:eastAsia="Times New Roman"/>
                <w:color w:val="000000" w:themeColor="text1"/>
                <w:lang w:val="en-US"/>
              </w:rPr>
              <w:t xml:space="preserve">ther Current Exp. </w:t>
            </w:r>
            <w:r w:rsidR="00CB65BE" w:rsidRPr="00C426DB">
              <w:rPr>
                <w:rFonts w:eastAsia="Times New Roman"/>
                <w:color w:val="000000" w:themeColor="text1"/>
                <w:lang w:val="en-US"/>
              </w:rPr>
              <w:t>(Exp/Inhab.)</w:t>
            </w:r>
          </w:p>
        </w:tc>
      </w:tr>
      <w:tr w:rsidR="00DC663C" w:rsidRPr="00E8576D" w14:paraId="727CDF84" w14:textId="77777777" w:rsidTr="004C74F0">
        <w:trPr>
          <w:gridAfter w:val="1"/>
          <w:trHeight w:val="50"/>
          <w:tblCellSpacing w:w="15" w:type="dxa"/>
        </w:trPr>
        <w:tc>
          <w:tcPr>
            <w:tcW w:w="0" w:type="auto"/>
            <w:gridSpan w:val="7"/>
            <w:tcBorders>
              <w:bottom w:val="single" w:sz="6" w:space="0" w:color="000000"/>
            </w:tcBorders>
            <w:vAlign w:val="center"/>
            <w:hideMark/>
          </w:tcPr>
          <w:p w14:paraId="65CC87A6" w14:textId="77777777" w:rsidR="00DC663C" w:rsidRPr="00934F5C" w:rsidRDefault="00DC663C" w:rsidP="00DC663C">
            <w:pPr>
              <w:jc w:val="center"/>
              <w:rPr>
                <w:rFonts w:eastAsia="Times New Roman"/>
                <w:lang w:val="en-US"/>
              </w:rPr>
            </w:pPr>
          </w:p>
        </w:tc>
      </w:tr>
      <w:tr w:rsidR="00934F5C" w:rsidRPr="00DC663C" w14:paraId="04DD0F44" w14:textId="77777777" w:rsidTr="005F2052">
        <w:trPr>
          <w:gridAfter w:val="1"/>
          <w:tblCellSpacing w:w="15" w:type="dxa"/>
        </w:trPr>
        <w:tc>
          <w:tcPr>
            <w:tcW w:w="0" w:type="auto"/>
            <w:gridSpan w:val="2"/>
            <w:vAlign w:val="center"/>
            <w:hideMark/>
          </w:tcPr>
          <w:p w14:paraId="3B97C097" w14:textId="7B25D87E" w:rsidR="00DC663C" w:rsidRPr="00DC663C" w:rsidRDefault="00DC663C" w:rsidP="00DC663C">
            <w:pPr>
              <w:rPr>
                <w:rFonts w:eastAsia="Times New Roman"/>
                <w:sz w:val="24"/>
                <w:szCs w:val="24"/>
              </w:rPr>
            </w:pPr>
            <w:r w:rsidRPr="00DC663C">
              <w:rPr>
                <w:rFonts w:eastAsia="Times New Roman"/>
              </w:rPr>
              <w:t>Observatór</w:t>
            </w:r>
            <w:r w:rsidR="00934F5C">
              <w:rPr>
                <w:rFonts w:eastAsia="Times New Roman"/>
              </w:rPr>
              <w:t>y</w:t>
            </w:r>
          </w:p>
        </w:tc>
        <w:tc>
          <w:tcPr>
            <w:tcW w:w="0" w:type="auto"/>
            <w:vAlign w:val="center"/>
            <w:hideMark/>
          </w:tcPr>
          <w:p w14:paraId="47C44196" w14:textId="77777777" w:rsidR="00DC663C" w:rsidRPr="00DC663C" w:rsidRDefault="00DC663C" w:rsidP="00DC663C">
            <w:pPr>
              <w:jc w:val="center"/>
              <w:rPr>
                <w:rFonts w:eastAsia="Times New Roman"/>
              </w:rPr>
            </w:pPr>
            <w:r w:rsidRPr="00DC663C">
              <w:rPr>
                <w:rFonts w:eastAsia="Times New Roman"/>
              </w:rPr>
              <w:t>-96,208</w:t>
            </w:r>
            <w:r w:rsidRPr="00DC663C">
              <w:rPr>
                <w:rFonts w:eastAsia="Times New Roman"/>
                <w:vertAlign w:val="superscript"/>
              </w:rPr>
              <w:t>**</w:t>
            </w:r>
          </w:p>
        </w:tc>
        <w:tc>
          <w:tcPr>
            <w:tcW w:w="0" w:type="auto"/>
            <w:vAlign w:val="center"/>
            <w:hideMark/>
          </w:tcPr>
          <w:p w14:paraId="4F150470" w14:textId="77777777" w:rsidR="00DC663C" w:rsidRPr="00DC663C" w:rsidRDefault="00DC663C" w:rsidP="00DC663C">
            <w:pPr>
              <w:jc w:val="center"/>
              <w:rPr>
                <w:rFonts w:eastAsia="Times New Roman"/>
              </w:rPr>
            </w:pPr>
            <w:r w:rsidRPr="00DC663C">
              <w:rPr>
                <w:rFonts w:eastAsia="Times New Roman"/>
              </w:rPr>
              <w:t>-59,625</w:t>
            </w:r>
            <w:r w:rsidRPr="00DC663C">
              <w:rPr>
                <w:rFonts w:eastAsia="Times New Roman"/>
                <w:vertAlign w:val="superscript"/>
              </w:rPr>
              <w:t>*</w:t>
            </w:r>
          </w:p>
        </w:tc>
        <w:tc>
          <w:tcPr>
            <w:tcW w:w="0" w:type="auto"/>
            <w:vAlign w:val="center"/>
            <w:hideMark/>
          </w:tcPr>
          <w:p w14:paraId="74581A92" w14:textId="77777777" w:rsidR="00DC663C" w:rsidRPr="00DC663C" w:rsidRDefault="00DC663C" w:rsidP="00DC663C">
            <w:pPr>
              <w:jc w:val="center"/>
              <w:rPr>
                <w:rFonts w:eastAsia="Times New Roman"/>
              </w:rPr>
            </w:pPr>
            <w:r w:rsidRPr="00DC663C">
              <w:rPr>
                <w:rFonts w:eastAsia="Times New Roman"/>
              </w:rPr>
              <w:t>-0,939</w:t>
            </w:r>
          </w:p>
        </w:tc>
        <w:tc>
          <w:tcPr>
            <w:tcW w:w="0" w:type="auto"/>
            <w:vAlign w:val="center"/>
            <w:hideMark/>
          </w:tcPr>
          <w:p w14:paraId="730043BA" w14:textId="77777777" w:rsidR="00DC663C" w:rsidRPr="00DC663C" w:rsidRDefault="00DC663C" w:rsidP="00DC663C">
            <w:pPr>
              <w:jc w:val="center"/>
              <w:rPr>
                <w:rFonts w:eastAsia="Times New Roman"/>
              </w:rPr>
            </w:pPr>
            <w:r w:rsidRPr="00DC663C">
              <w:rPr>
                <w:rFonts w:eastAsia="Times New Roman"/>
              </w:rPr>
              <w:t>-78,882</w:t>
            </w:r>
            <w:r w:rsidRPr="00DC663C">
              <w:rPr>
                <w:rFonts w:eastAsia="Times New Roman"/>
                <w:vertAlign w:val="superscript"/>
              </w:rPr>
              <w:t>***</w:t>
            </w:r>
          </w:p>
        </w:tc>
        <w:tc>
          <w:tcPr>
            <w:tcW w:w="0" w:type="auto"/>
            <w:vAlign w:val="center"/>
            <w:hideMark/>
          </w:tcPr>
          <w:p w14:paraId="6C333DF7" w14:textId="77777777" w:rsidR="00DC663C" w:rsidRPr="00DC663C" w:rsidRDefault="00DC663C" w:rsidP="00DC663C">
            <w:pPr>
              <w:jc w:val="center"/>
              <w:rPr>
                <w:rFonts w:eastAsia="Times New Roman"/>
              </w:rPr>
            </w:pPr>
            <w:r w:rsidRPr="00DC663C">
              <w:rPr>
                <w:rFonts w:eastAsia="Times New Roman"/>
              </w:rPr>
              <w:t>20,196</w:t>
            </w:r>
          </w:p>
        </w:tc>
      </w:tr>
      <w:tr w:rsidR="00934F5C" w:rsidRPr="00DC663C" w14:paraId="1E47E09F" w14:textId="77777777" w:rsidTr="005F2052">
        <w:trPr>
          <w:gridAfter w:val="1"/>
          <w:tblCellSpacing w:w="15" w:type="dxa"/>
        </w:trPr>
        <w:tc>
          <w:tcPr>
            <w:tcW w:w="0" w:type="auto"/>
            <w:gridSpan w:val="2"/>
            <w:vAlign w:val="center"/>
            <w:hideMark/>
          </w:tcPr>
          <w:p w14:paraId="2F9F51C9" w14:textId="77777777" w:rsidR="00DC663C" w:rsidRPr="00DC663C" w:rsidRDefault="00DC663C" w:rsidP="00DC663C">
            <w:pPr>
              <w:jc w:val="center"/>
              <w:rPr>
                <w:rFonts w:eastAsia="Times New Roman"/>
              </w:rPr>
            </w:pPr>
          </w:p>
        </w:tc>
        <w:tc>
          <w:tcPr>
            <w:tcW w:w="0" w:type="auto"/>
            <w:vAlign w:val="center"/>
            <w:hideMark/>
          </w:tcPr>
          <w:p w14:paraId="0E115AB3" w14:textId="77777777" w:rsidR="00DC663C" w:rsidRPr="00DC663C" w:rsidRDefault="00DC663C" w:rsidP="00DC663C">
            <w:pPr>
              <w:jc w:val="center"/>
              <w:rPr>
                <w:rFonts w:eastAsia="Times New Roman"/>
                <w:sz w:val="24"/>
                <w:szCs w:val="24"/>
              </w:rPr>
            </w:pPr>
            <w:r w:rsidRPr="00DC663C">
              <w:rPr>
                <w:rFonts w:eastAsia="Times New Roman"/>
              </w:rPr>
              <w:t>(38,682)</w:t>
            </w:r>
          </w:p>
        </w:tc>
        <w:tc>
          <w:tcPr>
            <w:tcW w:w="0" w:type="auto"/>
            <w:vAlign w:val="center"/>
            <w:hideMark/>
          </w:tcPr>
          <w:p w14:paraId="4AD12DDD" w14:textId="77777777" w:rsidR="00DC663C" w:rsidRPr="00DC663C" w:rsidRDefault="00DC663C" w:rsidP="00DC663C">
            <w:pPr>
              <w:jc w:val="center"/>
              <w:rPr>
                <w:rFonts w:eastAsia="Times New Roman"/>
              </w:rPr>
            </w:pPr>
            <w:r w:rsidRPr="00DC663C">
              <w:rPr>
                <w:rFonts w:eastAsia="Times New Roman"/>
              </w:rPr>
              <w:t>(32,257)</w:t>
            </w:r>
          </w:p>
        </w:tc>
        <w:tc>
          <w:tcPr>
            <w:tcW w:w="0" w:type="auto"/>
            <w:vAlign w:val="center"/>
            <w:hideMark/>
          </w:tcPr>
          <w:p w14:paraId="55D950E6" w14:textId="77777777" w:rsidR="00DC663C" w:rsidRPr="00DC663C" w:rsidRDefault="00DC663C" w:rsidP="00DC663C">
            <w:pPr>
              <w:jc w:val="center"/>
              <w:rPr>
                <w:rFonts w:eastAsia="Times New Roman"/>
              </w:rPr>
            </w:pPr>
            <w:r w:rsidRPr="00DC663C">
              <w:rPr>
                <w:rFonts w:eastAsia="Times New Roman"/>
              </w:rPr>
              <w:t>(1,122)</w:t>
            </w:r>
          </w:p>
        </w:tc>
        <w:tc>
          <w:tcPr>
            <w:tcW w:w="0" w:type="auto"/>
            <w:vAlign w:val="center"/>
            <w:hideMark/>
          </w:tcPr>
          <w:p w14:paraId="0D016AB0" w14:textId="77777777" w:rsidR="00DC663C" w:rsidRPr="00DC663C" w:rsidRDefault="00DC663C" w:rsidP="00DC663C">
            <w:pPr>
              <w:jc w:val="center"/>
              <w:rPr>
                <w:rFonts w:eastAsia="Times New Roman"/>
              </w:rPr>
            </w:pPr>
            <w:r w:rsidRPr="00DC663C">
              <w:rPr>
                <w:rFonts w:eastAsia="Times New Roman"/>
              </w:rPr>
              <w:t>(19,930)</w:t>
            </w:r>
          </w:p>
        </w:tc>
        <w:tc>
          <w:tcPr>
            <w:tcW w:w="0" w:type="auto"/>
            <w:vAlign w:val="center"/>
            <w:hideMark/>
          </w:tcPr>
          <w:p w14:paraId="0A66A155" w14:textId="77777777" w:rsidR="00DC663C" w:rsidRPr="00DC663C" w:rsidRDefault="00DC663C" w:rsidP="00DC663C">
            <w:pPr>
              <w:jc w:val="center"/>
              <w:rPr>
                <w:rFonts w:eastAsia="Times New Roman"/>
              </w:rPr>
            </w:pPr>
            <w:r w:rsidRPr="00DC663C">
              <w:rPr>
                <w:rFonts w:eastAsia="Times New Roman"/>
              </w:rPr>
              <w:t>(21,315)</w:t>
            </w:r>
          </w:p>
        </w:tc>
      </w:tr>
      <w:tr w:rsidR="00934F5C" w:rsidRPr="00DC663C" w14:paraId="702CE5F1" w14:textId="77777777" w:rsidTr="005F2052">
        <w:trPr>
          <w:gridAfter w:val="1"/>
          <w:tblCellSpacing w:w="15" w:type="dxa"/>
        </w:trPr>
        <w:tc>
          <w:tcPr>
            <w:tcW w:w="0" w:type="auto"/>
            <w:gridSpan w:val="2"/>
            <w:vAlign w:val="center"/>
            <w:hideMark/>
          </w:tcPr>
          <w:p w14:paraId="4680E3B7" w14:textId="77777777" w:rsidR="00DC663C" w:rsidRPr="00DC663C" w:rsidRDefault="00DC663C" w:rsidP="00DC663C">
            <w:pPr>
              <w:rPr>
                <w:rFonts w:eastAsia="Times New Roman"/>
              </w:rPr>
            </w:pPr>
            <w:r w:rsidRPr="00DC663C">
              <w:rPr>
                <w:rFonts w:eastAsia="Times New Roman"/>
              </w:rPr>
              <w:t>N</w:t>
            </w:r>
          </w:p>
        </w:tc>
        <w:tc>
          <w:tcPr>
            <w:tcW w:w="0" w:type="auto"/>
            <w:vAlign w:val="center"/>
            <w:hideMark/>
          </w:tcPr>
          <w:p w14:paraId="59ACC6E9" w14:textId="77777777" w:rsidR="00DC663C" w:rsidRPr="00DC663C" w:rsidRDefault="00DC663C" w:rsidP="00DC663C">
            <w:pPr>
              <w:jc w:val="center"/>
              <w:rPr>
                <w:rFonts w:eastAsia="Times New Roman"/>
              </w:rPr>
            </w:pPr>
            <w:r w:rsidRPr="00DC663C">
              <w:rPr>
                <w:rFonts w:eastAsia="Times New Roman"/>
              </w:rPr>
              <w:t>23.011</w:t>
            </w:r>
          </w:p>
        </w:tc>
        <w:tc>
          <w:tcPr>
            <w:tcW w:w="0" w:type="auto"/>
            <w:vAlign w:val="center"/>
            <w:hideMark/>
          </w:tcPr>
          <w:p w14:paraId="5457B3E8" w14:textId="77777777" w:rsidR="00DC663C" w:rsidRPr="00DC663C" w:rsidRDefault="00DC663C" w:rsidP="00DC663C">
            <w:pPr>
              <w:jc w:val="center"/>
              <w:rPr>
                <w:rFonts w:eastAsia="Times New Roman"/>
              </w:rPr>
            </w:pPr>
            <w:r w:rsidRPr="00DC663C">
              <w:rPr>
                <w:rFonts w:eastAsia="Times New Roman"/>
              </w:rPr>
              <w:t>23.011</w:t>
            </w:r>
          </w:p>
        </w:tc>
        <w:tc>
          <w:tcPr>
            <w:tcW w:w="0" w:type="auto"/>
            <w:vAlign w:val="center"/>
            <w:hideMark/>
          </w:tcPr>
          <w:p w14:paraId="439DAE43" w14:textId="77777777" w:rsidR="00DC663C" w:rsidRPr="00DC663C" w:rsidRDefault="00DC663C" w:rsidP="00DC663C">
            <w:pPr>
              <w:jc w:val="center"/>
              <w:rPr>
                <w:rFonts w:eastAsia="Times New Roman"/>
              </w:rPr>
            </w:pPr>
            <w:r w:rsidRPr="00DC663C">
              <w:rPr>
                <w:rFonts w:eastAsia="Times New Roman"/>
              </w:rPr>
              <w:t>23.011</w:t>
            </w:r>
          </w:p>
        </w:tc>
        <w:tc>
          <w:tcPr>
            <w:tcW w:w="0" w:type="auto"/>
            <w:vAlign w:val="center"/>
            <w:hideMark/>
          </w:tcPr>
          <w:p w14:paraId="13331829" w14:textId="77777777" w:rsidR="00DC663C" w:rsidRPr="00DC663C" w:rsidRDefault="00DC663C" w:rsidP="00DC663C">
            <w:pPr>
              <w:jc w:val="center"/>
              <w:rPr>
                <w:rFonts w:eastAsia="Times New Roman"/>
              </w:rPr>
            </w:pPr>
            <w:r w:rsidRPr="00DC663C">
              <w:rPr>
                <w:rFonts w:eastAsia="Times New Roman"/>
              </w:rPr>
              <w:t>23.011</w:t>
            </w:r>
          </w:p>
        </w:tc>
        <w:tc>
          <w:tcPr>
            <w:tcW w:w="0" w:type="auto"/>
            <w:vAlign w:val="center"/>
            <w:hideMark/>
          </w:tcPr>
          <w:p w14:paraId="2A328BE0" w14:textId="77777777" w:rsidR="00DC663C" w:rsidRPr="00DC663C" w:rsidRDefault="00DC663C" w:rsidP="00DC663C">
            <w:pPr>
              <w:jc w:val="center"/>
              <w:rPr>
                <w:rFonts w:eastAsia="Times New Roman"/>
              </w:rPr>
            </w:pPr>
            <w:r w:rsidRPr="00DC663C">
              <w:rPr>
                <w:rFonts w:eastAsia="Times New Roman"/>
              </w:rPr>
              <w:t>23.011</w:t>
            </w:r>
          </w:p>
        </w:tc>
      </w:tr>
      <w:tr w:rsidR="00934F5C" w:rsidRPr="00DC663C" w14:paraId="6806EB6B" w14:textId="77777777" w:rsidTr="005F2052">
        <w:trPr>
          <w:gridAfter w:val="1"/>
          <w:tblCellSpacing w:w="15" w:type="dxa"/>
        </w:trPr>
        <w:tc>
          <w:tcPr>
            <w:tcW w:w="0" w:type="auto"/>
            <w:gridSpan w:val="2"/>
            <w:vAlign w:val="center"/>
            <w:hideMark/>
          </w:tcPr>
          <w:p w14:paraId="057E3907" w14:textId="77777777" w:rsidR="00DC663C" w:rsidRPr="00DC663C" w:rsidRDefault="00DC663C" w:rsidP="00DC663C">
            <w:pPr>
              <w:rPr>
                <w:rFonts w:eastAsia="Times New Roman"/>
              </w:rPr>
            </w:pPr>
            <w:r w:rsidRPr="00DC663C">
              <w:rPr>
                <w:rFonts w:eastAsia="Times New Roman"/>
              </w:rPr>
              <w:t>R</w:t>
            </w:r>
            <w:r w:rsidRPr="00DC663C">
              <w:rPr>
                <w:rFonts w:eastAsia="Times New Roman"/>
                <w:vertAlign w:val="superscript"/>
              </w:rPr>
              <w:t>2</w:t>
            </w:r>
          </w:p>
        </w:tc>
        <w:tc>
          <w:tcPr>
            <w:tcW w:w="0" w:type="auto"/>
            <w:vAlign w:val="center"/>
            <w:hideMark/>
          </w:tcPr>
          <w:p w14:paraId="565E795D" w14:textId="77777777" w:rsidR="00DC663C" w:rsidRPr="00DC663C" w:rsidRDefault="00DC663C" w:rsidP="00DC663C">
            <w:pPr>
              <w:jc w:val="center"/>
              <w:rPr>
                <w:rFonts w:eastAsia="Times New Roman"/>
              </w:rPr>
            </w:pPr>
            <w:r w:rsidRPr="00DC663C">
              <w:rPr>
                <w:rFonts w:eastAsia="Times New Roman"/>
              </w:rPr>
              <w:t>0,137</w:t>
            </w:r>
          </w:p>
        </w:tc>
        <w:tc>
          <w:tcPr>
            <w:tcW w:w="0" w:type="auto"/>
            <w:vAlign w:val="center"/>
            <w:hideMark/>
          </w:tcPr>
          <w:p w14:paraId="0162CAFE" w14:textId="77777777" w:rsidR="00DC663C" w:rsidRPr="00DC663C" w:rsidRDefault="00DC663C" w:rsidP="00DC663C">
            <w:pPr>
              <w:jc w:val="center"/>
              <w:rPr>
                <w:rFonts w:eastAsia="Times New Roman"/>
              </w:rPr>
            </w:pPr>
            <w:r w:rsidRPr="00DC663C">
              <w:rPr>
                <w:rFonts w:eastAsia="Times New Roman"/>
              </w:rPr>
              <w:t>0,152</w:t>
            </w:r>
          </w:p>
        </w:tc>
        <w:tc>
          <w:tcPr>
            <w:tcW w:w="0" w:type="auto"/>
            <w:vAlign w:val="center"/>
            <w:hideMark/>
          </w:tcPr>
          <w:p w14:paraId="46121C75" w14:textId="77777777" w:rsidR="00DC663C" w:rsidRPr="00DC663C" w:rsidRDefault="00DC663C" w:rsidP="00DC663C">
            <w:pPr>
              <w:jc w:val="center"/>
              <w:rPr>
                <w:rFonts w:eastAsia="Times New Roman"/>
              </w:rPr>
            </w:pPr>
            <w:r w:rsidRPr="00DC663C">
              <w:rPr>
                <w:rFonts w:eastAsia="Times New Roman"/>
              </w:rPr>
              <w:t>0,053</w:t>
            </w:r>
          </w:p>
        </w:tc>
        <w:tc>
          <w:tcPr>
            <w:tcW w:w="0" w:type="auto"/>
            <w:vAlign w:val="center"/>
            <w:hideMark/>
          </w:tcPr>
          <w:p w14:paraId="3FDA9876" w14:textId="77777777" w:rsidR="00DC663C" w:rsidRPr="00DC663C" w:rsidRDefault="00DC663C" w:rsidP="00DC663C">
            <w:pPr>
              <w:jc w:val="center"/>
              <w:rPr>
                <w:rFonts w:eastAsia="Times New Roman"/>
              </w:rPr>
            </w:pPr>
            <w:r w:rsidRPr="00DC663C">
              <w:rPr>
                <w:rFonts w:eastAsia="Times New Roman"/>
              </w:rPr>
              <w:t>0,176</w:t>
            </w:r>
          </w:p>
        </w:tc>
        <w:tc>
          <w:tcPr>
            <w:tcW w:w="0" w:type="auto"/>
            <w:vAlign w:val="center"/>
            <w:hideMark/>
          </w:tcPr>
          <w:p w14:paraId="4017B1A5" w14:textId="77777777" w:rsidR="00DC663C" w:rsidRPr="00DC663C" w:rsidRDefault="00DC663C" w:rsidP="00DC663C">
            <w:pPr>
              <w:jc w:val="center"/>
              <w:rPr>
                <w:rFonts w:eastAsia="Times New Roman"/>
              </w:rPr>
            </w:pPr>
            <w:r w:rsidRPr="00DC663C">
              <w:rPr>
                <w:rFonts w:eastAsia="Times New Roman"/>
              </w:rPr>
              <w:t>0,110</w:t>
            </w:r>
          </w:p>
        </w:tc>
      </w:tr>
      <w:tr w:rsidR="00DC663C" w:rsidRPr="00DC663C" w14:paraId="5F756E61" w14:textId="77777777" w:rsidTr="005F2052">
        <w:trPr>
          <w:gridAfter w:val="1"/>
          <w:tblCellSpacing w:w="15" w:type="dxa"/>
        </w:trPr>
        <w:tc>
          <w:tcPr>
            <w:tcW w:w="0" w:type="auto"/>
            <w:gridSpan w:val="7"/>
            <w:tcBorders>
              <w:bottom w:val="single" w:sz="6" w:space="0" w:color="000000"/>
            </w:tcBorders>
            <w:vAlign w:val="center"/>
            <w:hideMark/>
          </w:tcPr>
          <w:p w14:paraId="6C8257F6" w14:textId="77777777" w:rsidR="00DC663C" w:rsidRPr="00DC663C" w:rsidRDefault="00DC663C" w:rsidP="00DC663C">
            <w:pPr>
              <w:jc w:val="center"/>
              <w:rPr>
                <w:rFonts w:eastAsia="Times New Roman"/>
              </w:rPr>
            </w:pPr>
          </w:p>
        </w:tc>
      </w:tr>
      <w:tr w:rsidR="00934F5C" w:rsidRPr="00DC663C" w14:paraId="5FBC74C4" w14:textId="77777777" w:rsidTr="005F2052">
        <w:trPr>
          <w:gridAfter w:val="1"/>
          <w:tblCellSpacing w:w="15" w:type="dxa"/>
        </w:trPr>
        <w:tc>
          <w:tcPr>
            <w:tcW w:w="0" w:type="auto"/>
            <w:gridSpan w:val="2"/>
            <w:vAlign w:val="center"/>
            <w:hideMark/>
          </w:tcPr>
          <w:p w14:paraId="37185C60" w14:textId="77777777" w:rsidR="00DC663C" w:rsidRPr="00DC663C" w:rsidRDefault="00DC663C" w:rsidP="00DC663C">
            <w:pPr>
              <w:rPr>
                <w:rFonts w:eastAsia="Times New Roman"/>
              </w:rPr>
            </w:pPr>
          </w:p>
        </w:tc>
        <w:tc>
          <w:tcPr>
            <w:tcW w:w="0" w:type="auto"/>
            <w:gridSpan w:val="5"/>
            <w:vAlign w:val="center"/>
            <w:hideMark/>
          </w:tcPr>
          <w:p w14:paraId="3C9CA03F" w14:textId="77777777" w:rsidR="00DC663C" w:rsidRPr="00DC663C" w:rsidRDefault="00DC663C" w:rsidP="00DC663C">
            <w:pPr>
              <w:rPr>
                <w:rFonts w:eastAsia="Times New Roman"/>
                <w:sz w:val="24"/>
                <w:szCs w:val="24"/>
              </w:rPr>
            </w:pPr>
          </w:p>
        </w:tc>
      </w:tr>
      <w:tr w:rsidR="00934F5C" w:rsidRPr="00DC663C" w14:paraId="517C9C67" w14:textId="77777777" w:rsidTr="005F2052">
        <w:trPr>
          <w:tblCellSpacing w:w="15" w:type="dxa"/>
        </w:trPr>
        <w:tc>
          <w:tcPr>
            <w:tcW w:w="0" w:type="auto"/>
            <w:vAlign w:val="center"/>
            <w:hideMark/>
          </w:tcPr>
          <w:p w14:paraId="5BD861E9" w14:textId="5DAE1771" w:rsidR="00DC663C" w:rsidRPr="00DC663C" w:rsidRDefault="00DC663C" w:rsidP="00DC663C">
            <w:pPr>
              <w:rPr>
                <w:rFonts w:eastAsia="Times New Roman"/>
                <w:sz w:val="20"/>
                <w:szCs w:val="20"/>
              </w:rPr>
            </w:pPr>
            <w:bookmarkStart w:id="5" w:name="_Hlk87886840"/>
            <w:bookmarkEnd w:id="4"/>
            <w:r w:rsidRPr="00DC663C">
              <w:rPr>
                <w:rFonts w:eastAsia="Times New Roman"/>
                <w:sz w:val="20"/>
                <w:szCs w:val="20"/>
              </w:rPr>
              <w:t>Not</w:t>
            </w:r>
            <w:r w:rsidR="00C60C28">
              <w:rPr>
                <w:rFonts w:eastAsia="Times New Roman"/>
                <w:sz w:val="20"/>
                <w:szCs w:val="20"/>
              </w:rPr>
              <w:t>e</w:t>
            </w:r>
            <w:r w:rsidRPr="00DC663C">
              <w:rPr>
                <w:rFonts w:eastAsia="Times New Roman"/>
                <w:sz w:val="20"/>
                <w:szCs w:val="20"/>
              </w:rPr>
              <w:t>s</w:t>
            </w:r>
          </w:p>
        </w:tc>
        <w:tc>
          <w:tcPr>
            <w:tcW w:w="0" w:type="auto"/>
            <w:gridSpan w:val="7"/>
            <w:vAlign w:val="center"/>
            <w:hideMark/>
          </w:tcPr>
          <w:p w14:paraId="17311844" w14:textId="77777777" w:rsidR="00DC663C" w:rsidRPr="00DC663C" w:rsidRDefault="00DC663C" w:rsidP="00DC663C">
            <w:pPr>
              <w:ind w:left="708"/>
              <w:rPr>
                <w:rFonts w:eastAsia="Times New Roman"/>
                <w:sz w:val="20"/>
                <w:szCs w:val="20"/>
              </w:rPr>
            </w:pPr>
            <w:r w:rsidRPr="00DC663C">
              <w:rPr>
                <w:rFonts w:eastAsia="Times New Roman"/>
                <w:sz w:val="20"/>
                <w:szCs w:val="20"/>
                <w:vertAlign w:val="superscript"/>
              </w:rPr>
              <w:t>*</w:t>
            </w:r>
            <w:r w:rsidRPr="00DC663C">
              <w:rPr>
                <w:rFonts w:eastAsia="Times New Roman"/>
                <w:sz w:val="20"/>
                <w:szCs w:val="20"/>
              </w:rPr>
              <w:t xml:space="preserve">p &lt; ,1; </w:t>
            </w:r>
            <w:r w:rsidRPr="00DC663C">
              <w:rPr>
                <w:rFonts w:eastAsia="Times New Roman"/>
                <w:sz w:val="20"/>
                <w:szCs w:val="20"/>
                <w:vertAlign w:val="superscript"/>
              </w:rPr>
              <w:t>**</w:t>
            </w:r>
            <w:r w:rsidRPr="00DC663C">
              <w:rPr>
                <w:rFonts w:eastAsia="Times New Roman"/>
                <w:sz w:val="20"/>
                <w:szCs w:val="20"/>
              </w:rPr>
              <w:t xml:space="preserve">p &lt; ,05; </w:t>
            </w:r>
            <w:r w:rsidRPr="00DC663C">
              <w:rPr>
                <w:rFonts w:eastAsia="Times New Roman"/>
                <w:sz w:val="20"/>
                <w:szCs w:val="20"/>
                <w:vertAlign w:val="superscript"/>
              </w:rPr>
              <w:t>***</w:t>
            </w:r>
            <w:r w:rsidRPr="00DC663C">
              <w:rPr>
                <w:rFonts w:eastAsia="Times New Roman"/>
                <w:sz w:val="20"/>
                <w:szCs w:val="20"/>
              </w:rPr>
              <w:t>p &lt; ,01</w:t>
            </w:r>
          </w:p>
        </w:tc>
      </w:tr>
      <w:tr w:rsidR="00934F5C" w:rsidRPr="00DC663C" w14:paraId="336F291C" w14:textId="77777777" w:rsidTr="005F2052">
        <w:trPr>
          <w:tblCellSpacing w:w="15" w:type="dxa"/>
        </w:trPr>
        <w:tc>
          <w:tcPr>
            <w:tcW w:w="0" w:type="auto"/>
            <w:vAlign w:val="center"/>
            <w:hideMark/>
          </w:tcPr>
          <w:p w14:paraId="348901FF" w14:textId="77777777" w:rsidR="00DC663C" w:rsidRPr="00DC663C" w:rsidRDefault="00DC663C" w:rsidP="00DC663C">
            <w:pPr>
              <w:rPr>
                <w:rFonts w:eastAsia="Times New Roman"/>
                <w:sz w:val="20"/>
                <w:szCs w:val="20"/>
              </w:rPr>
            </w:pPr>
          </w:p>
        </w:tc>
        <w:tc>
          <w:tcPr>
            <w:tcW w:w="0" w:type="auto"/>
            <w:gridSpan w:val="7"/>
            <w:vAlign w:val="center"/>
            <w:hideMark/>
          </w:tcPr>
          <w:p w14:paraId="5E0DF9E6" w14:textId="27BB8BCB" w:rsidR="00AA502B" w:rsidRPr="00352D7D" w:rsidRDefault="006311DE" w:rsidP="00352D7D">
            <w:pPr>
              <w:spacing w:line="240" w:lineRule="auto"/>
              <w:ind w:left="709"/>
              <w:jc w:val="both"/>
              <w:rPr>
                <w:rFonts w:eastAsia="Times New Roman"/>
                <w:lang w:val="en-US"/>
              </w:rPr>
            </w:pPr>
            <w:r w:rsidRPr="006311DE">
              <w:rPr>
                <w:rFonts w:eastAsia="Times New Roman"/>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p w14:paraId="071E60AB" w14:textId="0986FBC2" w:rsidR="002E777A" w:rsidRPr="00DC663C" w:rsidRDefault="002E777A" w:rsidP="003E67F2">
            <w:pPr>
              <w:spacing w:line="240" w:lineRule="auto"/>
              <w:ind w:left="709"/>
              <w:jc w:val="both"/>
              <w:rPr>
                <w:rFonts w:eastAsia="Times New Roman"/>
                <w:sz w:val="20"/>
                <w:szCs w:val="20"/>
              </w:rPr>
            </w:pPr>
          </w:p>
        </w:tc>
      </w:tr>
    </w:tbl>
    <w:tbl>
      <w:tblPr>
        <w:tblpPr w:leftFromText="180" w:rightFromText="180" w:vertAnchor="text" w:horzAnchor="margin" w:tblpY="161"/>
        <w:tblW w:w="9985" w:type="dxa"/>
        <w:tblCellSpacing w:w="15" w:type="dxa"/>
        <w:tblCellMar>
          <w:top w:w="15" w:type="dxa"/>
          <w:left w:w="15" w:type="dxa"/>
          <w:bottom w:w="15" w:type="dxa"/>
          <w:right w:w="15" w:type="dxa"/>
        </w:tblCellMar>
        <w:tblLook w:val="04A0" w:firstRow="1" w:lastRow="0" w:firstColumn="1" w:lastColumn="0" w:noHBand="0" w:noVBand="1"/>
      </w:tblPr>
      <w:tblGrid>
        <w:gridCol w:w="1247"/>
        <w:gridCol w:w="1873"/>
        <w:gridCol w:w="1848"/>
        <w:gridCol w:w="1831"/>
        <w:gridCol w:w="1752"/>
        <w:gridCol w:w="1434"/>
      </w:tblGrid>
      <w:tr w:rsidR="002C0AD3" w:rsidRPr="00E8576D" w14:paraId="6ACE3452" w14:textId="77777777" w:rsidTr="006311DE">
        <w:trPr>
          <w:trHeight w:val="225"/>
          <w:tblCellSpacing w:w="15" w:type="dxa"/>
        </w:trPr>
        <w:tc>
          <w:tcPr>
            <w:tcW w:w="0" w:type="auto"/>
            <w:gridSpan w:val="6"/>
            <w:tcBorders>
              <w:top w:val="nil"/>
              <w:left w:val="nil"/>
              <w:bottom w:val="nil"/>
              <w:right w:val="nil"/>
            </w:tcBorders>
            <w:vAlign w:val="center"/>
            <w:hideMark/>
          </w:tcPr>
          <w:bookmarkEnd w:id="5"/>
          <w:p w14:paraId="6A982B9E" w14:textId="29D41586" w:rsidR="002C0AD3" w:rsidRPr="00352D7D" w:rsidRDefault="002C0AD3" w:rsidP="006311DE">
            <w:pPr>
              <w:jc w:val="center"/>
              <w:rPr>
                <w:rFonts w:eastAsia="Times New Roman"/>
                <w:b/>
                <w:bCs/>
                <w:sz w:val="24"/>
                <w:szCs w:val="24"/>
                <w:lang w:val="en-US"/>
              </w:rPr>
            </w:pPr>
            <w:r w:rsidRPr="00352D7D">
              <w:rPr>
                <w:rStyle w:val="Forte"/>
                <w:rFonts w:eastAsia="Times New Roman"/>
                <w:lang w:val="en-US"/>
              </w:rPr>
              <w:lastRenderedPageBreak/>
              <w:t>T</w:t>
            </w:r>
            <w:r w:rsidRPr="00352D7D">
              <w:rPr>
                <w:rStyle w:val="Forte"/>
                <w:lang w:val="en-US"/>
              </w:rPr>
              <w:t>ab</w:t>
            </w:r>
            <w:r w:rsidR="009A3CFD" w:rsidRPr="00352D7D">
              <w:rPr>
                <w:rStyle w:val="Forte"/>
                <w:lang w:val="en-US"/>
              </w:rPr>
              <w:t>le</w:t>
            </w:r>
            <w:r w:rsidRPr="00352D7D">
              <w:rPr>
                <w:rStyle w:val="Forte"/>
                <w:lang w:val="en-US"/>
              </w:rPr>
              <w:t xml:space="preserve"> 2b -</w:t>
            </w:r>
            <w:r w:rsidRPr="00352D7D">
              <w:rPr>
                <w:rStyle w:val="Forte"/>
                <w:b w:val="0"/>
                <w:bCs w:val="0"/>
                <w:lang w:val="en-US"/>
              </w:rPr>
              <w:t xml:space="preserve"> </w:t>
            </w:r>
            <w:r w:rsidR="009A3CFD" w:rsidRPr="00352D7D">
              <w:rPr>
                <w:rFonts w:eastAsia="Times New Roman"/>
                <w:b/>
                <w:bCs/>
                <w:lang w:val="en-US"/>
              </w:rPr>
              <w:t xml:space="preserve"> Observatories Impact on Percapita Expenses   (Exp/Inhab.)</w:t>
            </w:r>
          </w:p>
        </w:tc>
      </w:tr>
      <w:tr w:rsidR="002C0AD3" w:rsidRPr="00E8576D" w14:paraId="18245F5E" w14:textId="77777777" w:rsidTr="006311DE">
        <w:trPr>
          <w:trHeight w:val="71"/>
          <w:tblCellSpacing w:w="15" w:type="dxa"/>
        </w:trPr>
        <w:tc>
          <w:tcPr>
            <w:tcW w:w="0" w:type="auto"/>
            <w:gridSpan w:val="6"/>
            <w:tcBorders>
              <w:bottom w:val="single" w:sz="6" w:space="0" w:color="000000"/>
            </w:tcBorders>
            <w:vAlign w:val="center"/>
            <w:hideMark/>
          </w:tcPr>
          <w:p w14:paraId="03BA2B86" w14:textId="77777777" w:rsidR="002C0AD3" w:rsidRPr="009A3CFD" w:rsidRDefault="002C0AD3" w:rsidP="006311DE">
            <w:pPr>
              <w:jc w:val="center"/>
              <w:rPr>
                <w:rFonts w:eastAsia="Times New Roman"/>
                <w:lang w:val="en-US"/>
              </w:rPr>
            </w:pPr>
          </w:p>
        </w:tc>
      </w:tr>
      <w:tr w:rsidR="009A3CFD" w14:paraId="0E63D2B1" w14:textId="77777777" w:rsidTr="006311DE">
        <w:trPr>
          <w:trHeight w:val="377"/>
          <w:tblCellSpacing w:w="15" w:type="dxa"/>
        </w:trPr>
        <w:tc>
          <w:tcPr>
            <w:tcW w:w="0" w:type="auto"/>
            <w:vAlign w:val="center"/>
            <w:hideMark/>
          </w:tcPr>
          <w:p w14:paraId="466B48A7" w14:textId="77777777" w:rsidR="002C0AD3" w:rsidRPr="009A3CFD" w:rsidRDefault="002C0AD3" w:rsidP="006311DE">
            <w:pPr>
              <w:jc w:val="center"/>
              <w:rPr>
                <w:rFonts w:eastAsia="Times New Roman"/>
                <w:sz w:val="20"/>
                <w:szCs w:val="20"/>
                <w:lang w:val="en-US"/>
              </w:rPr>
            </w:pPr>
          </w:p>
        </w:tc>
        <w:tc>
          <w:tcPr>
            <w:tcW w:w="0" w:type="auto"/>
            <w:vAlign w:val="center"/>
            <w:hideMark/>
          </w:tcPr>
          <w:p w14:paraId="1CCF0EA7" w14:textId="26B64108" w:rsidR="002C0AD3" w:rsidRPr="00C426DB" w:rsidRDefault="002C0AD3" w:rsidP="006311DE">
            <w:pPr>
              <w:jc w:val="center"/>
              <w:rPr>
                <w:rFonts w:eastAsia="Times New Roman"/>
                <w:color w:val="000000" w:themeColor="text1"/>
                <w:sz w:val="24"/>
                <w:szCs w:val="24"/>
                <w:lang w:val="en-US"/>
              </w:rPr>
            </w:pPr>
            <w:r w:rsidRPr="00C426DB">
              <w:rPr>
                <w:rFonts w:eastAsia="Times New Roman"/>
                <w:color w:val="000000" w:themeColor="text1"/>
                <w:lang w:val="en-US"/>
              </w:rPr>
              <w:t>Consumption of Materials (Exp/Inhab.)</w:t>
            </w:r>
          </w:p>
        </w:tc>
        <w:tc>
          <w:tcPr>
            <w:tcW w:w="0" w:type="auto"/>
            <w:vAlign w:val="center"/>
            <w:hideMark/>
          </w:tcPr>
          <w:p w14:paraId="4E71EA4B" w14:textId="054E780F" w:rsidR="002C0AD3" w:rsidRPr="00C426DB" w:rsidRDefault="002C0AD3" w:rsidP="006311DE">
            <w:pPr>
              <w:jc w:val="center"/>
              <w:rPr>
                <w:rFonts w:eastAsia="Times New Roman"/>
                <w:color w:val="000000" w:themeColor="text1"/>
                <w:lang w:val="en-US"/>
              </w:rPr>
            </w:pPr>
            <w:r w:rsidRPr="00C426DB">
              <w:rPr>
                <w:rFonts w:eastAsia="Times New Roman"/>
                <w:color w:val="000000" w:themeColor="text1"/>
                <w:lang w:val="en-US"/>
              </w:rPr>
              <w:t xml:space="preserve">Freely Distributed Materials </w:t>
            </w:r>
            <w:r w:rsidR="009A3CFD" w:rsidRPr="00C426DB">
              <w:rPr>
                <w:rFonts w:eastAsia="Times New Roman"/>
                <w:color w:val="000000" w:themeColor="text1"/>
                <w:lang w:val="en-US"/>
              </w:rPr>
              <w:t>(Exp/Inhab.)</w:t>
            </w:r>
          </w:p>
        </w:tc>
        <w:tc>
          <w:tcPr>
            <w:tcW w:w="0" w:type="auto"/>
            <w:vAlign w:val="center"/>
            <w:hideMark/>
          </w:tcPr>
          <w:p w14:paraId="03361FFC" w14:textId="28925196" w:rsidR="002C0AD3" w:rsidRPr="00C426DB" w:rsidRDefault="009A3CFD" w:rsidP="006311DE">
            <w:pPr>
              <w:jc w:val="center"/>
              <w:rPr>
                <w:rFonts w:eastAsia="Times New Roman"/>
                <w:color w:val="000000" w:themeColor="text1"/>
                <w:lang w:val="en-US"/>
              </w:rPr>
            </w:pPr>
            <w:r w:rsidRPr="00C426DB">
              <w:rPr>
                <w:rFonts w:eastAsia="Times New Roman"/>
                <w:color w:val="000000" w:themeColor="text1"/>
                <w:lang w:val="en-US"/>
              </w:rPr>
              <w:t>Outsorced Serv. Individuals</w:t>
            </w:r>
            <w:r w:rsidR="002C0AD3" w:rsidRPr="00C426DB">
              <w:rPr>
                <w:rFonts w:eastAsia="Times New Roman"/>
                <w:color w:val="000000" w:themeColor="text1"/>
                <w:lang w:val="en-US"/>
              </w:rPr>
              <w:t xml:space="preserve"> </w:t>
            </w:r>
            <w:r w:rsidRPr="00C426DB">
              <w:rPr>
                <w:rFonts w:eastAsia="Times New Roman"/>
                <w:color w:val="000000" w:themeColor="text1"/>
                <w:lang w:val="en-US"/>
              </w:rPr>
              <w:t>(Exp/Inhab.)</w:t>
            </w:r>
          </w:p>
        </w:tc>
        <w:tc>
          <w:tcPr>
            <w:tcW w:w="0" w:type="auto"/>
            <w:vAlign w:val="center"/>
            <w:hideMark/>
          </w:tcPr>
          <w:p w14:paraId="4E75A6C4" w14:textId="01EB1006" w:rsidR="002C0AD3" w:rsidRPr="00C426DB" w:rsidRDefault="009A3CFD" w:rsidP="006311DE">
            <w:pPr>
              <w:jc w:val="center"/>
              <w:rPr>
                <w:rFonts w:eastAsia="Times New Roman"/>
                <w:color w:val="000000" w:themeColor="text1"/>
                <w:lang w:val="en-US"/>
              </w:rPr>
            </w:pPr>
            <w:r w:rsidRPr="00C426DB">
              <w:rPr>
                <w:rFonts w:eastAsia="Times New Roman"/>
                <w:color w:val="000000" w:themeColor="text1"/>
                <w:lang w:val="en-US"/>
              </w:rPr>
              <w:t>Outsorced Serv. Entities</w:t>
            </w:r>
            <w:r w:rsidR="002C0AD3" w:rsidRPr="00C426DB">
              <w:rPr>
                <w:rFonts w:eastAsia="Times New Roman"/>
                <w:color w:val="000000" w:themeColor="text1"/>
                <w:lang w:val="en-US"/>
              </w:rPr>
              <w:t xml:space="preserve"> </w:t>
            </w:r>
            <w:r w:rsidRPr="00C426DB">
              <w:rPr>
                <w:rFonts w:eastAsia="Times New Roman"/>
                <w:color w:val="000000" w:themeColor="text1"/>
                <w:lang w:val="en-US"/>
              </w:rPr>
              <w:t>(Exp/Inhab.)</w:t>
            </w:r>
          </w:p>
        </w:tc>
        <w:tc>
          <w:tcPr>
            <w:tcW w:w="0" w:type="auto"/>
            <w:vAlign w:val="center"/>
            <w:hideMark/>
          </w:tcPr>
          <w:p w14:paraId="128B8B18" w14:textId="71CA1114" w:rsidR="002C0AD3" w:rsidRPr="00C426DB" w:rsidRDefault="009A3CFD" w:rsidP="006311DE">
            <w:pPr>
              <w:jc w:val="center"/>
              <w:rPr>
                <w:rFonts w:eastAsia="Times New Roman"/>
                <w:color w:val="000000" w:themeColor="text1"/>
              </w:rPr>
            </w:pPr>
            <w:r w:rsidRPr="00C426DB">
              <w:rPr>
                <w:rFonts w:eastAsia="Times New Roman"/>
                <w:color w:val="000000" w:themeColor="text1"/>
              </w:rPr>
              <w:t>Per Diems</w:t>
            </w:r>
            <w:r w:rsidR="002C0AD3" w:rsidRPr="00C426DB">
              <w:rPr>
                <w:rFonts w:eastAsia="Times New Roman"/>
                <w:color w:val="000000" w:themeColor="text1"/>
              </w:rPr>
              <w:t xml:space="preserve"> </w:t>
            </w:r>
            <w:r w:rsidRPr="00C426DB">
              <w:rPr>
                <w:rFonts w:eastAsia="Times New Roman"/>
                <w:color w:val="000000" w:themeColor="text1"/>
              </w:rPr>
              <w:t>(Exp/Inhab.)</w:t>
            </w:r>
          </w:p>
        </w:tc>
      </w:tr>
      <w:tr w:rsidR="002C0AD3" w14:paraId="77025E32" w14:textId="77777777" w:rsidTr="006311DE">
        <w:trPr>
          <w:trHeight w:val="31"/>
          <w:tblCellSpacing w:w="15" w:type="dxa"/>
        </w:trPr>
        <w:tc>
          <w:tcPr>
            <w:tcW w:w="0" w:type="auto"/>
            <w:gridSpan w:val="6"/>
            <w:tcBorders>
              <w:bottom w:val="single" w:sz="6" w:space="0" w:color="000000"/>
            </w:tcBorders>
            <w:vAlign w:val="center"/>
            <w:hideMark/>
          </w:tcPr>
          <w:p w14:paraId="269681E8" w14:textId="77777777" w:rsidR="002C0AD3" w:rsidRDefault="002C0AD3" w:rsidP="006311DE">
            <w:pPr>
              <w:jc w:val="center"/>
              <w:rPr>
                <w:rFonts w:eastAsia="Times New Roman"/>
              </w:rPr>
            </w:pPr>
          </w:p>
        </w:tc>
      </w:tr>
      <w:tr w:rsidR="009A3CFD" w14:paraId="3A001BA2" w14:textId="77777777" w:rsidTr="006311DE">
        <w:trPr>
          <w:trHeight w:val="225"/>
          <w:tblCellSpacing w:w="15" w:type="dxa"/>
        </w:trPr>
        <w:tc>
          <w:tcPr>
            <w:tcW w:w="0" w:type="auto"/>
            <w:vAlign w:val="center"/>
            <w:hideMark/>
          </w:tcPr>
          <w:p w14:paraId="30E497DB" w14:textId="77777777" w:rsidR="002C0AD3" w:rsidRDefault="002C0AD3" w:rsidP="006311DE">
            <w:pPr>
              <w:rPr>
                <w:rFonts w:eastAsia="Times New Roman"/>
                <w:sz w:val="24"/>
                <w:szCs w:val="24"/>
              </w:rPr>
            </w:pPr>
            <w:r>
              <w:rPr>
                <w:rFonts w:eastAsia="Times New Roman"/>
              </w:rPr>
              <w:t>Observatório</w:t>
            </w:r>
          </w:p>
        </w:tc>
        <w:tc>
          <w:tcPr>
            <w:tcW w:w="0" w:type="auto"/>
            <w:vAlign w:val="center"/>
            <w:hideMark/>
          </w:tcPr>
          <w:p w14:paraId="4CA2716B" w14:textId="77777777" w:rsidR="002C0AD3" w:rsidRDefault="002C0AD3" w:rsidP="006311DE">
            <w:pPr>
              <w:jc w:val="center"/>
              <w:rPr>
                <w:rFonts w:eastAsia="Times New Roman"/>
              </w:rPr>
            </w:pPr>
            <w:r>
              <w:rPr>
                <w:rFonts w:eastAsia="Times New Roman"/>
              </w:rPr>
              <w:t>-13,096</w:t>
            </w:r>
            <w:r>
              <w:rPr>
                <w:rFonts w:eastAsia="Times New Roman"/>
                <w:vertAlign w:val="superscript"/>
              </w:rPr>
              <w:t>**</w:t>
            </w:r>
          </w:p>
        </w:tc>
        <w:tc>
          <w:tcPr>
            <w:tcW w:w="0" w:type="auto"/>
            <w:vAlign w:val="center"/>
            <w:hideMark/>
          </w:tcPr>
          <w:p w14:paraId="0EE5ECF1" w14:textId="77777777" w:rsidR="002C0AD3" w:rsidRDefault="002C0AD3" w:rsidP="006311DE">
            <w:pPr>
              <w:jc w:val="center"/>
              <w:rPr>
                <w:rFonts w:eastAsia="Times New Roman"/>
              </w:rPr>
            </w:pPr>
            <w:r>
              <w:rPr>
                <w:rFonts w:eastAsia="Times New Roman"/>
              </w:rPr>
              <w:t>-4,688</w:t>
            </w:r>
            <w:r>
              <w:rPr>
                <w:rFonts w:eastAsia="Times New Roman"/>
                <w:vertAlign w:val="superscript"/>
              </w:rPr>
              <w:t>**</w:t>
            </w:r>
          </w:p>
        </w:tc>
        <w:tc>
          <w:tcPr>
            <w:tcW w:w="0" w:type="auto"/>
            <w:vAlign w:val="center"/>
            <w:hideMark/>
          </w:tcPr>
          <w:p w14:paraId="25BF8F93" w14:textId="77777777" w:rsidR="002C0AD3" w:rsidRDefault="002C0AD3" w:rsidP="006311DE">
            <w:pPr>
              <w:jc w:val="center"/>
              <w:rPr>
                <w:rFonts w:eastAsia="Times New Roman"/>
              </w:rPr>
            </w:pPr>
            <w:r w:rsidRPr="00B75EEA">
              <w:rPr>
                <w:rFonts w:eastAsia="Times New Roman"/>
                <w:color w:val="000000" w:themeColor="text1"/>
              </w:rPr>
              <w:t>15,086</w:t>
            </w:r>
            <w:r w:rsidRPr="00B75EEA">
              <w:rPr>
                <w:rFonts w:eastAsia="Times New Roman"/>
                <w:color w:val="000000" w:themeColor="text1"/>
                <w:vertAlign w:val="superscript"/>
              </w:rPr>
              <w:t>***</w:t>
            </w:r>
          </w:p>
        </w:tc>
        <w:tc>
          <w:tcPr>
            <w:tcW w:w="0" w:type="auto"/>
            <w:vAlign w:val="center"/>
            <w:hideMark/>
          </w:tcPr>
          <w:p w14:paraId="40F3D2D1" w14:textId="77777777" w:rsidR="002C0AD3" w:rsidRDefault="002C0AD3" w:rsidP="006311DE">
            <w:pPr>
              <w:jc w:val="center"/>
              <w:rPr>
                <w:rFonts w:eastAsia="Times New Roman"/>
              </w:rPr>
            </w:pPr>
            <w:r>
              <w:rPr>
                <w:rFonts w:eastAsia="Times New Roman"/>
              </w:rPr>
              <w:t>9,113</w:t>
            </w:r>
          </w:p>
        </w:tc>
        <w:tc>
          <w:tcPr>
            <w:tcW w:w="0" w:type="auto"/>
            <w:vAlign w:val="center"/>
            <w:hideMark/>
          </w:tcPr>
          <w:p w14:paraId="64EB82A7" w14:textId="77777777" w:rsidR="002C0AD3" w:rsidRDefault="002C0AD3" w:rsidP="006311DE">
            <w:pPr>
              <w:jc w:val="center"/>
              <w:rPr>
                <w:rFonts w:eastAsia="Times New Roman"/>
              </w:rPr>
            </w:pPr>
            <w:r>
              <w:rPr>
                <w:rFonts w:eastAsia="Times New Roman"/>
              </w:rPr>
              <w:t>-2,038</w:t>
            </w:r>
            <w:r>
              <w:rPr>
                <w:rFonts w:eastAsia="Times New Roman"/>
                <w:vertAlign w:val="superscript"/>
              </w:rPr>
              <w:t>***</w:t>
            </w:r>
          </w:p>
        </w:tc>
      </w:tr>
      <w:tr w:rsidR="009A3CFD" w14:paraId="1D0B99EB" w14:textId="77777777" w:rsidTr="006311DE">
        <w:trPr>
          <w:trHeight w:val="232"/>
          <w:tblCellSpacing w:w="15" w:type="dxa"/>
        </w:trPr>
        <w:tc>
          <w:tcPr>
            <w:tcW w:w="0" w:type="auto"/>
            <w:vAlign w:val="center"/>
            <w:hideMark/>
          </w:tcPr>
          <w:p w14:paraId="3130DCF6" w14:textId="77777777" w:rsidR="002C0AD3" w:rsidRDefault="002C0AD3" w:rsidP="006311DE">
            <w:pPr>
              <w:jc w:val="center"/>
              <w:rPr>
                <w:rFonts w:eastAsia="Times New Roman"/>
              </w:rPr>
            </w:pPr>
          </w:p>
        </w:tc>
        <w:tc>
          <w:tcPr>
            <w:tcW w:w="0" w:type="auto"/>
            <w:vAlign w:val="center"/>
            <w:hideMark/>
          </w:tcPr>
          <w:p w14:paraId="3A998B4E" w14:textId="77777777" w:rsidR="002C0AD3" w:rsidRDefault="002C0AD3" w:rsidP="006311DE">
            <w:pPr>
              <w:jc w:val="center"/>
              <w:rPr>
                <w:rFonts w:eastAsia="Times New Roman"/>
                <w:sz w:val="24"/>
                <w:szCs w:val="24"/>
              </w:rPr>
            </w:pPr>
            <w:r>
              <w:rPr>
                <w:rFonts w:eastAsia="Times New Roman"/>
              </w:rPr>
              <w:t>(6,631)</w:t>
            </w:r>
          </w:p>
        </w:tc>
        <w:tc>
          <w:tcPr>
            <w:tcW w:w="0" w:type="auto"/>
            <w:vAlign w:val="center"/>
            <w:hideMark/>
          </w:tcPr>
          <w:p w14:paraId="2F82032F" w14:textId="77777777" w:rsidR="002C0AD3" w:rsidRDefault="002C0AD3" w:rsidP="006311DE">
            <w:pPr>
              <w:jc w:val="center"/>
              <w:rPr>
                <w:rFonts w:eastAsia="Times New Roman"/>
              </w:rPr>
            </w:pPr>
            <w:r>
              <w:rPr>
                <w:rFonts w:eastAsia="Times New Roman"/>
              </w:rPr>
              <w:t>(1,989)</w:t>
            </w:r>
          </w:p>
        </w:tc>
        <w:tc>
          <w:tcPr>
            <w:tcW w:w="0" w:type="auto"/>
            <w:vAlign w:val="center"/>
            <w:hideMark/>
          </w:tcPr>
          <w:p w14:paraId="29C0DF5E" w14:textId="77777777" w:rsidR="002C0AD3" w:rsidRDefault="002C0AD3" w:rsidP="006311DE">
            <w:pPr>
              <w:jc w:val="center"/>
              <w:rPr>
                <w:rFonts w:eastAsia="Times New Roman"/>
              </w:rPr>
            </w:pPr>
            <w:r>
              <w:rPr>
                <w:rFonts w:eastAsia="Times New Roman"/>
              </w:rPr>
              <w:t>(2,676)</w:t>
            </w:r>
          </w:p>
        </w:tc>
        <w:tc>
          <w:tcPr>
            <w:tcW w:w="0" w:type="auto"/>
            <w:vAlign w:val="center"/>
            <w:hideMark/>
          </w:tcPr>
          <w:p w14:paraId="6745E2F3" w14:textId="77777777" w:rsidR="002C0AD3" w:rsidRDefault="002C0AD3" w:rsidP="006311DE">
            <w:pPr>
              <w:jc w:val="center"/>
              <w:rPr>
                <w:rFonts w:eastAsia="Times New Roman"/>
              </w:rPr>
            </w:pPr>
            <w:r>
              <w:rPr>
                <w:rFonts w:eastAsia="Times New Roman"/>
              </w:rPr>
              <w:t>(17,347)</w:t>
            </w:r>
          </w:p>
        </w:tc>
        <w:tc>
          <w:tcPr>
            <w:tcW w:w="0" w:type="auto"/>
            <w:vAlign w:val="center"/>
            <w:hideMark/>
          </w:tcPr>
          <w:p w14:paraId="7F208141" w14:textId="77777777" w:rsidR="002C0AD3" w:rsidRDefault="002C0AD3" w:rsidP="006311DE">
            <w:pPr>
              <w:jc w:val="center"/>
              <w:rPr>
                <w:rFonts w:eastAsia="Times New Roman"/>
              </w:rPr>
            </w:pPr>
            <w:r>
              <w:rPr>
                <w:rFonts w:eastAsia="Times New Roman"/>
              </w:rPr>
              <w:t>(0,729)</w:t>
            </w:r>
          </w:p>
        </w:tc>
      </w:tr>
      <w:tr w:rsidR="009A3CFD" w14:paraId="288304A1" w14:textId="77777777" w:rsidTr="006311DE">
        <w:trPr>
          <w:trHeight w:val="357"/>
          <w:tblCellSpacing w:w="15" w:type="dxa"/>
        </w:trPr>
        <w:tc>
          <w:tcPr>
            <w:tcW w:w="0" w:type="auto"/>
            <w:vAlign w:val="center"/>
            <w:hideMark/>
          </w:tcPr>
          <w:p w14:paraId="611C9739" w14:textId="77777777" w:rsidR="002C0AD3" w:rsidRDefault="002C0AD3" w:rsidP="006311DE">
            <w:pPr>
              <w:rPr>
                <w:rFonts w:eastAsia="Times New Roman"/>
              </w:rPr>
            </w:pPr>
            <w:r>
              <w:rPr>
                <w:rFonts w:eastAsia="Times New Roman"/>
              </w:rPr>
              <w:t>N</w:t>
            </w:r>
          </w:p>
        </w:tc>
        <w:tc>
          <w:tcPr>
            <w:tcW w:w="0" w:type="auto"/>
            <w:vAlign w:val="center"/>
            <w:hideMark/>
          </w:tcPr>
          <w:p w14:paraId="20E25128" w14:textId="77777777" w:rsidR="002C0AD3" w:rsidRDefault="002C0AD3" w:rsidP="006311DE">
            <w:pPr>
              <w:jc w:val="center"/>
              <w:rPr>
                <w:rFonts w:eastAsia="Times New Roman"/>
              </w:rPr>
            </w:pPr>
            <w:r>
              <w:rPr>
                <w:rFonts w:eastAsia="Times New Roman"/>
              </w:rPr>
              <w:t>23.011</w:t>
            </w:r>
          </w:p>
        </w:tc>
        <w:tc>
          <w:tcPr>
            <w:tcW w:w="0" w:type="auto"/>
            <w:vAlign w:val="center"/>
            <w:hideMark/>
          </w:tcPr>
          <w:p w14:paraId="25503124" w14:textId="77777777" w:rsidR="002C0AD3" w:rsidRDefault="002C0AD3" w:rsidP="006311DE">
            <w:pPr>
              <w:jc w:val="center"/>
              <w:rPr>
                <w:rFonts w:eastAsia="Times New Roman"/>
              </w:rPr>
            </w:pPr>
            <w:r>
              <w:rPr>
                <w:rFonts w:eastAsia="Times New Roman"/>
              </w:rPr>
              <w:t>23.011</w:t>
            </w:r>
          </w:p>
        </w:tc>
        <w:tc>
          <w:tcPr>
            <w:tcW w:w="0" w:type="auto"/>
            <w:vAlign w:val="center"/>
            <w:hideMark/>
          </w:tcPr>
          <w:p w14:paraId="107A021B" w14:textId="77777777" w:rsidR="002C0AD3" w:rsidRDefault="002C0AD3" w:rsidP="006311DE">
            <w:pPr>
              <w:jc w:val="center"/>
              <w:rPr>
                <w:rFonts w:eastAsia="Times New Roman"/>
              </w:rPr>
            </w:pPr>
            <w:r>
              <w:rPr>
                <w:rFonts w:eastAsia="Times New Roman"/>
              </w:rPr>
              <w:t>23.011</w:t>
            </w:r>
          </w:p>
        </w:tc>
        <w:tc>
          <w:tcPr>
            <w:tcW w:w="0" w:type="auto"/>
            <w:vAlign w:val="center"/>
            <w:hideMark/>
          </w:tcPr>
          <w:p w14:paraId="33AF78FC" w14:textId="77777777" w:rsidR="002C0AD3" w:rsidRDefault="002C0AD3" w:rsidP="006311DE">
            <w:pPr>
              <w:jc w:val="center"/>
              <w:rPr>
                <w:rFonts w:eastAsia="Times New Roman"/>
              </w:rPr>
            </w:pPr>
            <w:r>
              <w:rPr>
                <w:rFonts w:eastAsia="Times New Roman"/>
              </w:rPr>
              <w:t>23.011</w:t>
            </w:r>
          </w:p>
        </w:tc>
        <w:tc>
          <w:tcPr>
            <w:tcW w:w="0" w:type="auto"/>
            <w:vAlign w:val="center"/>
            <w:hideMark/>
          </w:tcPr>
          <w:p w14:paraId="6DC137B5" w14:textId="77777777" w:rsidR="002C0AD3" w:rsidRDefault="002C0AD3" w:rsidP="006311DE">
            <w:pPr>
              <w:jc w:val="center"/>
              <w:rPr>
                <w:rFonts w:eastAsia="Times New Roman"/>
              </w:rPr>
            </w:pPr>
            <w:r>
              <w:rPr>
                <w:rFonts w:eastAsia="Times New Roman"/>
              </w:rPr>
              <w:t>23.011</w:t>
            </w:r>
          </w:p>
        </w:tc>
      </w:tr>
      <w:tr w:rsidR="009A3CFD" w14:paraId="77A4C3D9" w14:textId="77777777" w:rsidTr="006311DE">
        <w:trPr>
          <w:trHeight w:val="232"/>
          <w:tblCellSpacing w:w="15" w:type="dxa"/>
        </w:trPr>
        <w:tc>
          <w:tcPr>
            <w:tcW w:w="0" w:type="auto"/>
            <w:vAlign w:val="center"/>
            <w:hideMark/>
          </w:tcPr>
          <w:p w14:paraId="4555614A" w14:textId="77777777" w:rsidR="002C0AD3" w:rsidRDefault="002C0AD3" w:rsidP="006311DE">
            <w:pPr>
              <w:rPr>
                <w:rFonts w:eastAsia="Times New Roman"/>
              </w:rPr>
            </w:pPr>
            <w:r>
              <w:rPr>
                <w:rFonts w:eastAsia="Times New Roman"/>
              </w:rPr>
              <w:t>R</w:t>
            </w:r>
            <w:r>
              <w:rPr>
                <w:rFonts w:eastAsia="Times New Roman"/>
                <w:vertAlign w:val="superscript"/>
              </w:rPr>
              <w:t>2</w:t>
            </w:r>
          </w:p>
        </w:tc>
        <w:tc>
          <w:tcPr>
            <w:tcW w:w="0" w:type="auto"/>
            <w:vAlign w:val="center"/>
            <w:hideMark/>
          </w:tcPr>
          <w:p w14:paraId="778234B0" w14:textId="77777777" w:rsidR="002C0AD3" w:rsidRDefault="002C0AD3" w:rsidP="006311DE">
            <w:pPr>
              <w:jc w:val="center"/>
              <w:rPr>
                <w:rFonts w:eastAsia="Times New Roman"/>
              </w:rPr>
            </w:pPr>
            <w:r>
              <w:rPr>
                <w:rFonts w:eastAsia="Times New Roman"/>
              </w:rPr>
              <w:t>0,052</w:t>
            </w:r>
          </w:p>
        </w:tc>
        <w:tc>
          <w:tcPr>
            <w:tcW w:w="0" w:type="auto"/>
            <w:vAlign w:val="center"/>
            <w:hideMark/>
          </w:tcPr>
          <w:p w14:paraId="592C37DA" w14:textId="77777777" w:rsidR="002C0AD3" w:rsidRDefault="002C0AD3" w:rsidP="006311DE">
            <w:pPr>
              <w:jc w:val="center"/>
              <w:rPr>
                <w:rFonts w:eastAsia="Times New Roman"/>
              </w:rPr>
            </w:pPr>
            <w:r>
              <w:rPr>
                <w:rFonts w:eastAsia="Times New Roman"/>
              </w:rPr>
              <w:t>0,114</w:t>
            </w:r>
          </w:p>
        </w:tc>
        <w:tc>
          <w:tcPr>
            <w:tcW w:w="0" w:type="auto"/>
            <w:vAlign w:val="center"/>
            <w:hideMark/>
          </w:tcPr>
          <w:p w14:paraId="1067800A" w14:textId="77777777" w:rsidR="002C0AD3" w:rsidRDefault="002C0AD3" w:rsidP="006311DE">
            <w:pPr>
              <w:jc w:val="center"/>
              <w:rPr>
                <w:rFonts w:eastAsia="Times New Roman"/>
              </w:rPr>
            </w:pPr>
            <w:r>
              <w:rPr>
                <w:rFonts w:eastAsia="Times New Roman"/>
              </w:rPr>
              <w:t>0,074</w:t>
            </w:r>
          </w:p>
        </w:tc>
        <w:tc>
          <w:tcPr>
            <w:tcW w:w="0" w:type="auto"/>
            <w:vAlign w:val="center"/>
            <w:hideMark/>
          </w:tcPr>
          <w:p w14:paraId="6DA7AAF0" w14:textId="77777777" w:rsidR="002C0AD3" w:rsidRDefault="002C0AD3" w:rsidP="006311DE">
            <w:pPr>
              <w:jc w:val="center"/>
              <w:rPr>
                <w:rFonts w:eastAsia="Times New Roman"/>
              </w:rPr>
            </w:pPr>
            <w:r>
              <w:rPr>
                <w:rFonts w:eastAsia="Times New Roman"/>
              </w:rPr>
              <w:t>0,083</w:t>
            </w:r>
          </w:p>
        </w:tc>
        <w:tc>
          <w:tcPr>
            <w:tcW w:w="0" w:type="auto"/>
            <w:vAlign w:val="center"/>
            <w:hideMark/>
          </w:tcPr>
          <w:p w14:paraId="5455B8F0" w14:textId="77777777" w:rsidR="002C0AD3" w:rsidRDefault="002C0AD3" w:rsidP="006311DE">
            <w:pPr>
              <w:jc w:val="center"/>
              <w:rPr>
                <w:rFonts w:eastAsia="Times New Roman"/>
              </w:rPr>
            </w:pPr>
            <w:r>
              <w:rPr>
                <w:rFonts w:eastAsia="Times New Roman"/>
              </w:rPr>
              <w:t>0,050</w:t>
            </w:r>
          </w:p>
        </w:tc>
      </w:tr>
      <w:tr w:rsidR="002C0AD3" w14:paraId="4C98833A" w14:textId="77777777" w:rsidTr="006311DE">
        <w:trPr>
          <w:trHeight w:val="50"/>
          <w:tblCellSpacing w:w="15" w:type="dxa"/>
        </w:trPr>
        <w:tc>
          <w:tcPr>
            <w:tcW w:w="0" w:type="auto"/>
            <w:gridSpan w:val="6"/>
            <w:vAlign w:val="center"/>
            <w:hideMark/>
          </w:tcPr>
          <w:p w14:paraId="06FA54EC" w14:textId="77777777" w:rsidR="002C0AD3" w:rsidRDefault="002C0AD3" w:rsidP="006311DE">
            <w:pPr>
              <w:jc w:val="center"/>
              <w:rPr>
                <w:rFonts w:eastAsia="Times New Roman"/>
              </w:rPr>
            </w:pPr>
          </w:p>
        </w:tc>
      </w:tr>
      <w:tr w:rsidR="002C0AD3" w14:paraId="1F114C84" w14:textId="77777777" w:rsidTr="003E67F2">
        <w:trPr>
          <w:trHeight w:val="50"/>
          <w:tblCellSpacing w:w="15" w:type="dxa"/>
        </w:trPr>
        <w:tc>
          <w:tcPr>
            <w:tcW w:w="0" w:type="auto"/>
            <w:gridSpan w:val="6"/>
            <w:tcBorders>
              <w:bottom w:val="single" w:sz="6" w:space="0" w:color="000000"/>
            </w:tcBorders>
            <w:vAlign w:val="center"/>
          </w:tcPr>
          <w:p w14:paraId="11EF2955" w14:textId="77777777" w:rsidR="002C0AD3" w:rsidRDefault="002C0AD3" w:rsidP="006311DE">
            <w:pPr>
              <w:rPr>
                <w:rFonts w:eastAsia="Times New Roman"/>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9173"/>
      </w:tblGrid>
      <w:tr w:rsidR="00C60C28" w:rsidRPr="00DC663C" w14:paraId="23661B90" w14:textId="77777777" w:rsidTr="00633129">
        <w:trPr>
          <w:tblCellSpacing w:w="15" w:type="dxa"/>
        </w:trPr>
        <w:tc>
          <w:tcPr>
            <w:tcW w:w="0" w:type="auto"/>
            <w:vAlign w:val="center"/>
            <w:hideMark/>
          </w:tcPr>
          <w:p w14:paraId="700D647D" w14:textId="1E55F3C3" w:rsidR="00C60C28" w:rsidRPr="00DC663C" w:rsidRDefault="00C60C28" w:rsidP="00633129">
            <w:pPr>
              <w:rPr>
                <w:rFonts w:eastAsia="Times New Roman"/>
                <w:sz w:val="20"/>
                <w:szCs w:val="20"/>
              </w:rPr>
            </w:pPr>
            <w:r w:rsidRPr="00DC663C">
              <w:rPr>
                <w:rFonts w:eastAsia="Times New Roman"/>
                <w:sz w:val="20"/>
                <w:szCs w:val="20"/>
              </w:rPr>
              <w:t>Not</w:t>
            </w:r>
            <w:r>
              <w:rPr>
                <w:rFonts w:eastAsia="Times New Roman"/>
                <w:sz w:val="20"/>
                <w:szCs w:val="20"/>
              </w:rPr>
              <w:t>e</w:t>
            </w:r>
            <w:r w:rsidRPr="00DC663C">
              <w:rPr>
                <w:rFonts w:eastAsia="Times New Roman"/>
                <w:sz w:val="20"/>
                <w:szCs w:val="20"/>
              </w:rPr>
              <w:t>s</w:t>
            </w:r>
          </w:p>
        </w:tc>
        <w:tc>
          <w:tcPr>
            <w:tcW w:w="0" w:type="auto"/>
            <w:vAlign w:val="center"/>
            <w:hideMark/>
          </w:tcPr>
          <w:p w14:paraId="4CD50679" w14:textId="77777777" w:rsidR="00C60C28" w:rsidRPr="00DC663C" w:rsidRDefault="00C60C28" w:rsidP="00633129">
            <w:pPr>
              <w:ind w:left="708"/>
              <w:rPr>
                <w:rFonts w:eastAsia="Times New Roman"/>
                <w:sz w:val="20"/>
                <w:szCs w:val="20"/>
              </w:rPr>
            </w:pPr>
            <w:r w:rsidRPr="00DC663C">
              <w:rPr>
                <w:rFonts w:eastAsia="Times New Roman"/>
                <w:sz w:val="20"/>
                <w:szCs w:val="20"/>
                <w:vertAlign w:val="superscript"/>
              </w:rPr>
              <w:t>*</w:t>
            </w:r>
            <w:r w:rsidRPr="00DC663C">
              <w:rPr>
                <w:rFonts w:eastAsia="Times New Roman"/>
                <w:sz w:val="20"/>
                <w:szCs w:val="20"/>
              </w:rPr>
              <w:t xml:space="preserve">p &lt; ,1; </w:t>
            </w:r>
            <w:r w:rsidRPr="00DC663C">
              <w:rPr>
                <w:rFonts w:eastAsia="Times New Roman"/>
                <w:sz w:val="20"/>
                <w:szCs w:val="20"/>
                <w:vertAlign w:val="superscript"/>
              </w:rPr>
              <w:t>**</w:t>
            </w:r>
            <w:r w:rsidRPr="00DC663C">
              <w:rPr>
                <w:rFonts w:eastAsia="Times New Roman"/>
                <w:sz w:val="20"/>
                <w:szCs w:val="20"/>
              </w:rPr>
              <w:t xml:space="preserve">p &lt; ,05; </w:t>
            </w:r>
            <w:r w:rsidRPr="00DC663C">
              <w:rPr>
                <w:rFonts w:eastAsia="Times New Roman"/>
                <w:sz w:val="20"/>
                <w:szCs w:val="20"/>
                <w:vertAlign w:val="superscript"/>
              </w:rPr>
              <w:t>***</w:t>
            </w:r>
            <w:r w:rsidRPr="00DC663C">
              <w:rPr>
                <w:rFonts w:eastAsia="Times New Roman"/>
                <w:sz w:val="20"/>
                <w:szCs w:val="20"/>
              </w:rPr>
              <w:t>p &lt; ,01</w:t>
            </w:r>
          </w:p>
        </w:tc>
      </w:tr>
      <w:tr w:rsidR="00C60C28" w:rsidRPr="00C60C28" w14:paraId="6853E60F" w14:textId="77777777" w:rsidTr="00633129">
        <w:trPr>
          <w:tblCellSpacing w:w="15" w:type="dxa"/>
        </w:trPr>
        <w:tc>
          <w:tcPr>
            <w:tcW w:w="0" w:type="auto"/>
            <w:vAlign w:val="center"/>
            <w:hideMark/>
          </w:tcPr>
          <w:p w14:paraId="1F3C215B" w14:textId="77777777" w:rsidR="00C60C28" w:rsidRPr="00C60C28" w:rsidRDefault="00C60C28" w:rsidP="00633129">
            <w:pPr>
              <w:rPr>
                <w:rFonts w:eastAsia="Times New Roman"/>
                <w:sz w:val="20"/>
                <w:szCs w:val="20"/>
              </w:rPr>
            </w:pPr>
          </w:p>
        </w:tc>
        <w:tc>
          <w:tcPr>
            <w:tcW w:w="0" w:type="auto"/>
            <w:vAlign w:val="center"/>
            <w:hideMark/>
          </w:tcPr>
          <w:p w14:paraId="42FC3A92" w14:textId="12C29393" w:rsidR="00F85DCC" w:rsidRDefault="006311DE" w:rsidP="00F9401D">
            <w:pPr>
              <w:spacing w:line="240" w:lineRule="auto"/>
              <w:ind w:left="709"/>
              <w:jc w:val="both"/>
              <w:rPr>
                <w:rFonts w:eastAsia="Times New Roman"/>
                <w:sz w:val="20"/>
                <w:szCs w:val="20"/>
                <w:lang w:val="en-US"/>
              </w:rPr>
            </w:pPr>
            <w:r w:rsidRPr="003E67F2">
              <w:rPr>
                <w:rFonts w:eastAsia="Times New Roman"/>
                <w:sz w:val="20"/>
                <w:szCs w:val="20"/>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p w14:paraId="60D862D1" w14:textId="1332BB57" w:rsidR="00204086" w:rsidRPr="003E67F2" w:rsidRDefault="00204086" w:rsidP="003E67F2">
            <w:pPr>
              <w:spacing w:line="240" w:lineRule="auto"/>
              <w:ind w:left="709"/>
              <w:jc w:val="both"/>
              <w:rPr>
                <w:rFonts w:eastAsia="Times New Roman"/>
                <w:sz w:val="20"/>
                <w:szCs w:val="20"/>
              </w:rPr>
            </w:pPr>
          </w:p>
        </w:tc>
      </w:tr>
    </w:tbl>
    <w:tbl>
      <w:tblPr>
        <w:tblpPr w:leftFromText="180" w:rightFromText="180" w:vertAnchor="text" w:horzAnchor="margin" w:tblpY="59"/>
        <w:tblW w:w="9640" w:type="dxa"/>
        <w:tblCellSpacing w:w="15" w:type="dxa"/>
        <w:tblCellMar>
          <w:top w:w="15" w:type="dxa"/>
          <w:left w:w="15" w:type="dxa"/>
          <w:bottom w:w="15" w:type="dxa"/>
          <w:right w:w="15" w:type="dxa"/>
        </w:tblCellMar>
        <w:tblLook w:val="04A0" w:firstRow="1" w:lastRow="0" w:firstColumn="1" w:lastColumn="0" w:noHBand="0" w:noVBand="1"/>
      </w:tblPr>
      <w:tblGrid>
        <w:gridCol w:w="1180"/>
        <w:gridCol w:w="1574"/>
        <w:gridCol w:w="1565"/>
        <w:gridCol w:w="1484"/>
        <w:gridCol w:w="1964"/>
        <w:gridCol w:w="1873"/>
      </w:tblGrid>
      <w:tr w:rsidR="00204086" w:rsidRPr="00E8576D" w14:paraId="6724E1CE" w14:textId="77777777" w:rsidTr="00F9401D">
        <w:trPr>
          <w:trHeight w:val="440"/>
          <w:tblCellSpacing w:w="15" w:type="dxa"/>
        </w:trPr>
        <w:tc>
          <w:tcPr>
            <w:tcW w:w="0" w:type="auto"/>
            <w:gridSpan w:val="6"/>
            <w:tcBorders>
              <w:top w:val="nil"/>
              <w:left w:val="nil"/>
              <w:bottom w:val="nil"/>
              <w:right w:val="nil"/>
            </w:tcBorders>
            <w:vAlign w:val="center"/>
            <w:hideMark/>
          </w:tcPr>
          <w:p w14:paraId="5D78320C" w14:textId="2C74AD8D" w:rsidR="00204086" w:rsidRPr="00062376" w:rsidRDefault="00204086" w:rsidP="00204086">
            <w:pPr>
              <w:rPr>
                <w:rFonts w:eastAsia="Times New Roman"/>
                <w:b/>
                <w:bCs/>
                <w:sz w:val="24"/>
                <w:szCs w:val="24"/>
                <w:lang w:val="en-US"/>
              </w:rPr>
            </w:pPr>
            <w:r>
              <w:rPr>
                <w:rStyle w:val="Forte"/>
                <w:rFonts w:eastAsia="Times New Roman"/>
                <w:lang w:val="en-US"/>
              </w:rPr>
              <w:t xml:space="preserve">                       </w:t>
            </w:r>
            <w:r w:rsidRPr="00352D7D">
              <w:rPr>
                <w:rStyle w:val="Forte"/>
                <w:rFonts w:eastAsia="Times New Roman"/>
                <w:lang w:val="en-US"/>
              </w:rPr>
              <w:t>T</w:t>
            </w:r>
            <w:r w:rsidRPr="00352D7D">
              <w:rPr>
                <w:rStyle w:val="Forte"/>
                <w:lang w:val="en-US"/>
              </w:rPr>
              <w:t>able 2c -</w:t>
            </w:r>
            <w:r w:rsidRPr="00062376">
              <w:rPr>
                <w:rStyle w:val="Forte"/>
                <w:b w:val="0"/>
                <w:bCs w:val="0"/>
                <w:lang w:val="en-US"/>
              </w:rPr>
              <w:t xml:space="preserve"> </w:t>
            </w:r>
            <w:r w:rsidRPr="00062376">
              <w:rPr>
                <w:rFonts w:eastAsia="Times New Roman"/>
                <w:b/>
                <w:bCs/>
                <w:lang w:val="en-US"/>
              </w:rPr>
              <w:t xml:space="preserve"> </w:t>
            </w:r>
            <w:r w:rsidRPr="00352D7D">
              <w:rPr>
                <w:rFonts w:eastAsia="Times New Roman"/>
                <w:b/>
                <w:bCs/>
                <w:lang w:val="en-US"/>
              </w:rPr>
              <w:t>Observatories Impact on Percapita Expenses   (Exp/Inhab.)</w:t>
            </w:r>
          </w:p>
        </w:tc>
      </w:tr>
      <w:tr w:rsidR="00204086" w:rsidRPr="00E8576D" w14:paraId="0F21E03A" w14:textId="77777777" w:rsidTr="00F9401D">
        <w:trPr>
          <w:trHeight w:val="140"/>
          <w:tblCellSpacing w:w="15" w:type="dxa"/>
        </w:trPr>
        <w:tc>
          <w:tcPr>
            <w:tcW w:w="0" w:type="auto"/>
            <w:gridSpan w:val="6"/>
            <w:tcBorders>
              <w:bottom w:val="single" w:sz="6" w:space="0" w:color="000000"/>
            </w:tcBorders>
            <w:vAlign w:val="center"/>
            <w:hideMark/>
          </w:tcPr>
          <w:p w14:paraId="0CF787D0" w14:textId="77777777" w:rsidR="00204086" w:rsidRPr="005E36C5" w:rsidRDefault="00204086" w:rsidP="00204086">
            <w:pPr>
              <w:jc w:val="center"/>
              <w:rPr>
                <w:rFonts w:eastAsia="Times New Roman"/>
                <w:lang w:val="en-US"/>
              </w:rPr>
            </w:pPr>
          </w:p>
        </w:tc>
      </w:tr>
      <w:tr w:rsidR="00204086" w:rsidRPr="00E8576D" w14:paraId="44EED92C" w14:textId="77777777" w:rsidTr="00F9401D">
        <w:trPr>
          <w:trHeight w:val="997"/>
          <w:tblCellSpacing w:w="15" w:type="dxa"/>
        </w:trPr>
        <w:tc>
          <w:tcPr>
            <w:tcW w:w="0" w:type="auto"/>
            <w:vAlign w:val="center"/>
            <w:hideMark/>
          </w:tcPr>
          <w:p w14:paraId="21A3C440" w14:textId="77777777" w:rsidR="00204086" w:rsidRPr="005E36C5" w:rsidRDefault="00204086" w:rsidP="00204086">
            <w:pPr>
              <w:jc w:val="center"/>
              <w:rPr>
                <w:rFonts w:eastAsia="Times New Roman"/>
                <w:sz w:val="20"/>
                <w:szCs w:val="20"/>
                <w:lang w:val="en-US"/>
              </w:rPr>
            </w:pPr>
          </w:p>
        </w:tc>
        <w:tc>
          <w:tcPr>
            <w:tcW w:w="0" w:type="auto"/>
            <w:vAlign w:val="center"/>
            <w:hideMark/>
          </w:tcPr>
          <w:p w14:paraId="22AC810D" w14:textId="77777777" w:rsidR="00204086" w:rsidRPr="00C426DB" w:rsidRDefault="00204086" w:rsidP="00204086">
            <w:pPr>
              <w:jc w:val="center"/>
              <w:rPr>
                <w:rFonts w:eastAsia="Times New Roman"/>
                <w:color w:val="000000" w:themeColor="text1"/>
                <w:sz w:val="24"/>
                <w:szCs w:val="24"/>
              </w:rPr>
            </w:pPr>
            <w:r w:rsidRPr="00C426DB">
              <w:rPr>
                <w:rFonts w:eastAsia="Times New Roman"/>
                <w:color w:val="000000" w:themeColor="text1"/>
              </w:rPr>
              <w:t xml:space="preserve">Capital Expenses </w:t>
            </w:r>
            <w:r w:rsidRPr="00C426DB">
              <w:rPr>
                <w:rFonts w:eastAsia="Times New Roman"/>
                <w:color w:val="000000" w:themeColor="text1"/>
                <w:lang w:val="en-US"/>
              </w:rPr>
              <w:t>(Exp/Inhab.)</w:t>
            </w:r>
          </w:p>
        </w:tc>
        <w:tc>
          <w:tcPr>
            <w:tcW w:w="0" w:type="auto"/>
            <w:vAlign w:val="center"/>
            <w:hideMark/>
          </w:tcPr>
          <w:p w14:paraId="4EDF933C" w14:textId="77777777" w:rsidR="00204086" w:rsidRPr="00C426DB" w:rsidRDefault="00204086" w:rsidP="00204086">
            <w:pPr>
              <w:jc w:val="center"/>
              <w:rPr>
                <w:rFonts w:eastAsia="Times New Roman"/>
                <w:color w:val="000000" w:themeColor="text1"/>
              </w:rPr>
            </w:pPr>
            <w:r w:rsidRPr="00C426DB">
              <w:rPr>
                <w:rFonts w:eastAsia="Times New Roman"/>
                <w:color w:val="000000" w:themeColor="text1"/>
              </w:rPr>
              <w:t xml:space="preserve">Amortization </w:t>
            </w:r>
            <w:r w:rsidRPr="00C426DB">
              <w:rPr>
                <w:rFonts w:eastAsia="Times New Roman"/>
                <w:color w:val="000000" w:themeColor="text1"/>
                <w:lang w:val="en-US"/>
              </w:rPr>
              <w:t>(Exp/Inhab.)</w:t>
            </w:r>
          </w:p>
        </w:tc>
        <w:tc>
          <w:tcPr>
            <w:tcW w:w="0" w:type="auto"/>
            <w:vAlign w:val="center"/>
            <w:hideMark/>
          </w:tcPr>
          <w:p w14:paraId="72203185" w14:textId="77777777" w:rsidR="00204086" w:rsidRPr="00C426DB" w:rsidRDefault="00204086" w:rsidP="00204086">
            <w:pPr>
              <w:jc w:val="center"/>
              <w:rPr>
                <w:rFonts w:eastAsia="Times New Roman"/>
                <w:color w:val="000000" w:themeColor="text1"/>
              </w:rPr>
            </w:pPr>
            <w:r w:rsidRPr="00C426DB">
              <w:rPr>
                <w:rFonts w:eastAsia="Times New Roman"/>
                <w:color w:val="000000" w:themeColor="text1"/>
              </w:rPr>
              <w:t xml:space="preserve">Investiment </w:t>
            </w:r>
            <w:r w:rsidRPr="00C426DB">
              <w:rPr>
                <w:rFonts w:eastAsia="Times New Roman"/>
                <w:color w:val="000000" w:themeColor="text1"/>
                <w:lang w:val="en-US"/>
              </w:rPr>
              <w:t>(Exp/Inhab.)</w:t>
            </w:r>
          </w:p>
        </w:tc>
        <w:tc>
          <w:tcPr>
            <w:tcW w:w="0" w:type="auto"/>
            <w:vAlign w:val="center"/>
            <w:hideMark/>
          </w:tcPr>
          <w:p w14:paraId="5818BB84" w14:textId="77777777" w:rsidR="00204086" w:rsidRPr="00C426DB" w:rsidRDefault="00204086" w:rsidP="00204086">
            <w:pPr>
              <w:jc w:val="center"/>
              <w:rPr>
                <w:rFonts w:eastAsia="Times New Roman"/>
                <w:color w:val="000000" w:themeColor="text1"/>
                <w:lang w:val="en-US"/>
              </w:rPr>
            </w:pPr>
            <w:r w:rsidRPr="00C426DB">
              <w:rPr>
                <w:rFonts w:eastAsia="Times New Roman"/>
                <w:color w:val="000000" w:themeColor="text1"/>
                <w:lang w:val="en-US"/>
              </w:rPr>
              <w:t>Equipament and Permanent Material (Exp/Inhab.)</w:t>
            </w:r>
          </w:p>
        </w:tc>
        <w:tc>
          <w:tcPr>
            <w:tcW w:w="0" w:type="auto"/>
            <w:vAlign w:val="center"/>
            <w:hideMark/>
          </w:tcPr>
          <w:p w14:paraId="47DEAF10" w14:textId="77777777" w:rsidR="00204086" w:rsidRPr="00C426DB" w:rsidRDefault="00204086" w:rsidP="00204086">
            <w:pPr>
              <w:jc w:val="center"/>
              <w:rPr>
                <w:rFonts w:eastAsia="Times New Roman"/>
                <w:color w:val="000000" w:themeColor="text1"/>
                <w:lang w:val="en-US"/>
              </w:rPr>
            </w:pPr>
            <w:r w:rsidRPr="00C426DB">
              <w:rPr>
                <w:rFonts w:eastAsia="Times New Roman"/>
                <w:color w:val="000000" w:themeColor="text1"/>
                <w:lang w:val="en-US"/>
              </w:rPr>
              <w:t>Construction and Instalations (Exp/Inhab.)</w:t>
            </w:r>
          </w:p>
        </w:tc>
      </w:tr>
      <w:tr w:rsidR="00204086" w:rsidRPr="00E8576D" w14:paraId="2E64397C" w14:textId="77777777" w:rsidTr="00F9401D">
        <w:trPr>
          <w:trHeight w:val="140"/>
          <w:tblCellSpacing w:w="15" w:type="dxa"/>
        </w:trPr>
        <w:tc>
          <w:tcPr>
            <w:tcW w:w="0" w:type="auto"/>
            <w:gridSpan w:val="6"/>
            <w:tcBorders>
              <w:bottom w:val="single" w:sz="6" w:space="0" w:color="000000"/>
            </w:tcBorders>
            <w:vAlign w:val="center"/>
            <w:hideMark/>
          </w:tcPr>
          <w:p w14:paraId="1A0E3717" w14:textId="77777777" w:rsidR="00204086" w:rsidRPr="0079514F" w:rsidRDefault="00204086" w:rsidP="00204086">
            <w:pPr>
              <w:jc w:val="center"/>
              <w:rPr>
                <w:rFonts w:eastAsia="Times New Roman"/>
                <w:lang w:val="en-US"/>
              </w:rPr>
            </w:pPr>
          </w:p>
        </w:tc>
      </w:tr>
      <w:tr w:rsidR="00204086" w14:paraId="0CEDD595" w14:textId="77777777" w:rsidTr="00F9401D">
        <w:trPr>
          <w:trHeight w:val="440"/>
          <w:tblCellSpacing w:w="15" w:type="dxa"/>
        </w:trPr>
        <w:tc>
          <w:tcPr>
            <w:tcW w:w="0" w:type="auto"/>
            <w:vAlign w:val="center"/>
            <w:hideMark/>
          </w:tcPr>
          <w:p w14:paraId="55FE1280" w14:textId="77777777" w:rsidR="00204086" w:rsidRDefault="00204086" w:rsidP="00204086">
            <w:pPr>
              <w:rPr>
                <w:rFonts w:eastAsia="Times New Roman"/>
                <w:sz w:val="24"/>
                <w:szCs w:val="24"/>
              </w:rPr>
            </w:pPr>
            <w:r>
              <w:rPr>
                <w:rFonts w:eastAsia="Times New Roman"/>
              </w:rPr>
              <w:t>Observatory</w:t>
            </w:r>
          </w:p>
        </w:tc>
        <w:tc>
          <w:tcPr>
            <w:tcW w:w="0" w:type="auto"/>
            <w:vAlign w:val="center"/>
            <w:hideMark/>
          </w:tcPr>
          <w:p w14:paraId="0F18AB25" w14:textId="77777777" w:rsidR="00204086" w:rsidRDefault="00204086" w:rsidP="00204086">
            <w:pPr>
              <w:jc w:val="center"/>
              <w:rPr>
                <w:rFonts w:eastAsia="Times New Roman"/>
              </w:rPr>
            </w:pPr>
            <w:r>
              <w:rPr>
                <w:rFonts w:eastAsia="Times New Roman"/>
              </w:rPr>
              <w:t>-36,721</w:t>
            </w:r>
            <w:r>
              <w:rPr>
                <w:rFonts w:eastAsia="Times New Roman"/>
                <w:vertAlign w:val="superscript"/>
              </w:rPr>
              <w:t>**</w:t>
            </w:r>
          </w:p>
        </w:tc>
        <w:tc>
          <w:tcPr>
            <w:tcW w:w="0" w:type="auto"/>
            <w:vAlign w:val="center"/>
            <w:hideMark/>
          </w:tcPr>
          <w:p w14:paraId="406A5A79" w14:textId="77777777" w:rsidR="00204086" w:rsidRDefault="00204086" w:rsidP="00204086">
            <w:pPr>
              <w:jc w:val="center"/>
              <w:rPr>
                <w:rFonts w:eastAsia="Times New Roman"/>
              </w:rPr>
            </w:pPr>
            <w:r w:rsidRPr="00B75EEA">
              <w:rPr>
                <w:rFonts w:eastAsia="Times New Roman"/>
                <w:color w:val="000000" w:themeColor="text1"/>
              </w:rPr>
              <w:t>2,606</w:t>
            </w:r>
          </w:p>
        </w:tc>
        <w:tc>
          <w:tcPr>
            <w:tcW w:w="0" w:type="auto"/>
            <w:vAlign w:val="center"/>
            <w:hideMark/>
          </w:tcPr>
          <w:p w14:paraId="4B1D97FE" w14:textId="77777777" w:rsidR="00204086" w:rsidRDefault="00204086" w:rsidP="00204086">
            <w:pPr>
              <w:jc w:val="center"/>
              <w:rPr>
                <w:rFonts w:eastAsia="Times New Roman"/>
              </w:rPr>
            </w:pPr>
            <w:r>
              <w:rPr>
                <w:rFonts w:eastAsia="Times New Roman"/>
              </w:rPr>
              <w:t>-40,049</w:t>
            </w:r>
            <w:r>
              <w:rPr>
                <w:rFonts w:eastAsia="Times New Roman"/>
                <w:vertAlign w:val="superscript"/>
              </w:rPr>
              <w:t>***</w:t>
            </w:r>
          </w:p>
        </w:tc>
        <w:tc>
          <w:tcPr>
            <w:tcW w:w="0" w:type="auto"/>
            <w:vAlign w:val="center"/>
            <w:hideMark/>
          </w:tcPr>
          <w:p w14:paraId="495CC26A" w14:textId="77777777" w:rsidR="00204086" w:rsidRDefault="00204086" w:rsidP="00204086">
            <w:pPr>
              <w:jc w:val="center"/>
              <w:rPr>
                <w:rFonts w:eastAsia="Times New Roman"/>
              </w:rPr>
            </w:pPr>
            <w:r>
              <w:rPr>
                <w:rFonts w:eastAsia="Times New Roman"/>
              </w:rPr>
              <w:t>-22,380</w:t>
            </w:r>
            <w:r>
              <w:rPr>
                <w:rFonts w:eastAsia="Times New Roman"/>
                <w:vertAlign w:val="superscript"/>
              </w:rPr>
              <w:t>***</w:t>
            </w:r>
          </w:p>
        </w:tc>
        <w:tc>
          <w:tcPr>
            <w:tcW w:w="0" w:type="auto"/>
            <w:vAlign w:val="center"/>
            <w:hideMark/>
          </w:tcPr>
          <w:p w14:paraId="069B3FDE" w14:textId="77777777" w:rsidR="00204086" w:rsidRDefault="00204086" w:rsidP="00204086">
            <w:pPr>
              <w:jc w:val="center"/>
              <w:rPr>
                <w:rFonts w:eastAsia="Times New Roman"/>
              </w:rPr>
            </w:pPr>
            <w:r>
              <w:rPr>
                <w:rFonts w:eastAsia="Times New Roman"/>
              </w:rPr>
              <w:t>-45,962</w:t>
            </w:r>
            <w:r>
              <w:rPr>
                <w:rFonts w:eastAsia="Times New Roman"/>
                <w:vertAlign w:val="superscript"/>
              </w:rPr>
              <w:t>***</w:t>
            </w:r>
          </w:p>
        </w:tc>
      </w:tr>
      <w:tr w:rsidR="00204086" w14:paraId="4D8A0AB8" w14:textId="77777777" w:rsidTr="00F9401D">
        <w:trPr>
          <w:trHeight w:val="430"/>
          <w:tblCellSpacing w:w="15" w:type="dxa"/>
        </w:trPr>
        <w:tc>
          <w:tcPr>
            <w:tcW w:w="0" w:type="auto"/>
            <w:vAlign w:val="center"/>
            <w:hideMark/>
          </w:tcPr>
          <w:p w14:paraId="1B2775DF" w14:textId="77777777" w:rsidR="00204086" w:rsidRDefault="00204086" w:rsidP="00204086">
            <w:pPr>
              <w:jc w:val="center"/>
              <w:rPr>
                <w:rFonts w:eastAsia="Times New Roman"/>
              </w:rPr>
            </w:pPr>
          </w:p>
        </w:tc>
        <w:tc>
          <w:tcPr>
            <w:tcW w:w="0" w:type="auto"/>
            <w:vAlign w:val="center"/>
            <w:hideMark/>
          </w:tcPr>
          <w:p w14:paraId="53E19D17" w14:textId="77777777" w:rsidR="00204086" w:rsidRDefault="00204086" w:rsidP="00204086">
            <w:pPr>
              <w:jc w:val="center"/>
              <w:rPr>
                <w:rFonts w:eastAsia="Times New Roman"/>
                <w:sz w:val="24"/>
                <w:szCs w:val="24"/>
              </w:rPr>
            </w:pPr>
            <w:r>
              <w:rPr>
                <w:rFonts w:eastAsia="Times New Roman"/>
              </w:rPr>
              <w:t>(16,273)</w:t>
            </w:r>
          </w:p>
        </w:tc>
        <w:tc>
          <w:tcPr>
            <w:tcW w:w="0" w:type="auto"/>
            <w:vAlign w:val="center"/>
            <w:hideMark/>
          </w:tcPr>
          <w:p w14:paraId="11545439" w14:textId="77777777" w:rsidR="00204086" w:rsidRDefault="00204086" w:rsidP="00204086">
            <w:pPr>
              <w:jc w:val="center"/>
              <w:rPr>
                <w:rFonts w:eastAsia="Times New Roman"/>
              </w:rPr>
            </w:pPr>
            <w:r>
              <w:rPr>
                <w:rFonts w:eastAsia="Times New Roman"/>
              </w:rPr>
              <w:t>(2,837)</w:t>
            </w:r>
          </w:p>
        </w:tc>
        <w:tc>
          <w:tcPr>
            <w:tcW w:w="0" w:type="auto"/>
            <w:vAlign w:val="center"/>
            <w:hideMark/>
          </w:tcPr>
          <w:p w14:paraId="6B2FD284" w14:textId="77777777" w:rsidR="00204086" w:rsidRDefault="00204086" w:rsidP="00204086">
            <w:pPr>
              <w:jc w:val="center"/>
              <w:rPr>
                <w:rFonts w:eastAsia="Times New Roman"/>
              </w:rPr>
            </w:pPr>
            <w:r>
              <w:rPr>
                <w:rFonts w:eastAsia="Times New Roman"/>
              </w:rPr>
              <w:t>(14,511)</w:t>
            </w:r>
          </w:p>
        </w:tc>
        <w:tc>
          <w:tcPr>
            <w:tcW w:w="0" w:type="auto"/>
            <w:vAlign w:val="center"/>
            <w:hideMark/>
          </w:tcPr>
          <w:p w14:paraId="24ABFA8E" w14:textId="77777777" w:rsidR="00204086" w:rsidRDefault="00204086" w:rsidP="00204086">
            <w:pPr>
              <w:jc w:val="center"/>
              <w:rPr>
                <w:rFonts w:eastAsia="Times New Roman"/>
              </w:rPr>
            </w:pPr>
            <w:r>
              <w:rPr>
                <w:rFonts w:eastAsia="Times New Roman"/>
              </w:rPr>
              <w:t>(3,402)</w:t>
            </w:r>
          </w:p>
        </w:tc>
        <w:tc>
          <w:tcPr>
            <w:tcW w:w="0" w:type="auto"/>
            <w:vAlign w:val="center"/>
            <w:hideMark/>
          </w:tcPr>
          <w:p w14:paraId="74B7E2F0" w14:textId="77777777" w:rsidR="00204086" w:rsidRDefault="00204086" w:rsidP="00204086">
            <w:pPr>
              <w:jc w:val="center"/>
              <w:rPr>
                <w:rFonts w:eastAsia="Times New Roman"/>
              </w:rPr>
            </w:pPr>
            <w:r>
              <w:rPr>
                <w:rFonts w:eastAsia="Times New Roman"/>
              </w:rPr>
              <w:t>(9,875)</w:t>
            </w:r>
          </w:p>
        </w:tc>
      </w:tr>
      <w:tr w:rsidR="00204086" w14:paraId="655AB8A1" w14:textId="77777777" w:rsidTr="00F9401D">
        <w:trPr>
          <w:trHeight w:val="430"/>
          <w:tblCellSpacing w:w="15" w:type="dxa"/>
        </w:trPr>
        <w:tc>
          <w:tcPr>
            <w:tcW w:w="0" w:type="auto"/>
            <w:vAlign w:val="center"/>
            <w:hideMark/>
          </w:tcPr>
          <w:p w14:paraId="43CA26A9" w14:textId="77777777" w:rsidR="00204086" w:rsidRDefault="00204086" w:rsidP="00204086">
            <w:pPr>
              <w:rPr>
                <w:rFonts w:eastAsia="Times New Roman"/>
              </w:rPr>
            </w:pPr>
            <w:r>
              <w:rPr>
                <w:rFonts w:eastAsia="Times New Roman"/>
              </w:rPr>
              <w:t>N</w:t>
            </w:r>
          </w:p>
        </w:tc>
        <w:tc>
          <w:tcPr>
            <w:tcW w:w="0" w:type="auto"/>
            <w:vAlign w:val="center"/>
            <w:hideMark/>
          </w:tcPr>
          <w:p w14:paraId="3D39F7DD" w14:textId="77777777" w:rsidR="00204086" w:rsidRDefault="00204086" w:rsidP="00204086">
            <w:pPr>
              <w:jc w:val="center"/>
              <w:rPr>
                <w:rFonts w:eastAsia="Times New Roman"/>
              </w:rPr>
            </w:pPr>
            <w:r>
              <w:rPr>
                <w:rFonts w:eastAsia="Times New Roman"/>
              </w:rPr>
              <w:t>23.011</w:t>
            </w:r>
          </w:p>
        </w:tc>
        <w:tc>
          <w:tcPr>
            <w:tcW w:w="0" w:type="auto"/>
            <w:vAlign w:val="center"/>
            <w:hideMark/>
          </w:tcPr>
          <w:p w14:paraId="73E6A449" w14:textId="77777777" w:rsidR="00204086" w:rsidRDefault="00204086" w:rsidP="00204086">
            <w:pPr>
              <w:jc w:val="center"/>
              <w:rPr>
                <w:rFonts w:eastAsia="Times New Roman"/>
              </w:rPr>
            </w:pPr>
            <w:r>
              <w:rPr>
                <w:rFonts w:eastAsia="Times New Roman"/>
              </w:rPr>
              <w:t>23.011</w:t>
            </w:r>
          </w:p>
        </w:tc>
        <w:tc>
          <w:tcPr>
            <w:tcW w:w="0" w:type="auto"/>
            <w:vAlign w:val="center"/>
            <w:hideMark/>
          </w:tcPr>
          <w:p w14:paraId="72397DE7" w14:textId="77777777" w:rsidR="00204086" w:rsidRDefault="00204086" w:rsidP="00204086">
            <w:pPr>
              <w:jc w:val="center"/>
              <w:rPr>
                <w:rFonts w:eastAsia="Times New Roman"/>
              </w:rPr>
            </w:pPr>
            <w:r>
              <w:rPr>
                <w:rFonts w:eastAsia="Times New Roman"/>
              </w:rPr>
              <w:t>23.011</w:t>
            </w:r>
          </w:p>
        </w:tc>
        <w:tc>
          <w:tcPr>
            <w:tcW w:w="0" w:type="auto"/>
            <w:vAlign w:val="center"/>
            <w:hideMark/>
          </w:tcPr>
          <w:p w14:paraId="229FEAA6" w14:textId="77777777" w:rsidR="00204086" w:rsidRDefault="00204086" w:rsidP="00204086">
            <w:pPr>
              <w:jc w:val="center"/>
              <w:rPr>
                <w:rFonts w:eastAsia="Times New Roman"/>
              </w:rPr>
            </w:pPr>
            <w:r>
              <w:rPr>
                <w:rFonts w:eastAsia="Times New Roman"/>
              </w:rPr>
              <w:t>23.011</w:t>
            </w:r>
          </w:p>
        </w:tc>
        <w:tc>
          <w:tcPr>
            <w:tcW w:w="0" w:type="auto"/>
            <w:vAlign w:val="center"/>
            <w:hideMark/>
          </w:tcPr>
          <w:p w14:paraId="6BF9B326" w14:textId="77777777" w:rsidR="00204086" w:rsidRDefault="00204086" w:rsidP="00204086">
            <w:pPr>
              <w:jc w:val="center"/>
              <w:rPr>
                <w:rFonts w:eastAsia="Times New Roman"/>
              </w:rPr>
            </w:pPr>
            <w:r>
              <w:rPr>
                <w:rFonts w:eastAsia="Times New Roman"/>
              </w:rPr>
              <w:t>23.011</w:t>
            </w:r>
          </w:p>
        </w:tc>
      </w:tr>
      <w:tr w:rsidR="00204086" w14:paraId="7B541843" w14:textId="77777777" w:rsidTr="00F9401D">
        <w:trPr>
          <w:trHeight w:val="440"/>
          <w:tblCellSpacing w:w="15" w:type="dxa"/>
        </w:trPr>
        <w:tc>
          <w:tcPr>
            <w:tcW w:w="0" w:type="auto"/>
            <w:vAlign w:val="center"/>
            <w:hideMark/>
          </w:tcPr>
          <w:p w14:paraId="6469F431" w14:textId="77777777" w:rsidR="00204086" w:rsidRDefault="00204086" w:rsidP="00204086">
            <w:pPr>
              <w:rPr>
                <w:rFonts w:eastAsia="Times New Roman"/>
              </w:rPr>
            </w:pPr>
            <w:r>
              <w:rPr>
                <w:rFonts w:eastAsia="Times New Roman"/>
              </w:rPr>
              <w:t>R</w:t>
            </w:r>
            <w:r>
              <w:rPr>
                <w:rFonts w:eastAsia="Times New Roman"/>
                <w:vertAlign w:val="superscript"/>
              </w:rPr>
              <w:t>2</w:t>
            </w:r>
          </w:p>
        </w:tc>
        <w:tc>
          <w:tcPr>
            <w:tcW w:w="0" w:type="auto"/>
            <w:vAlign w:val="center"/>
            <w:hideMark/>
          </w:tcPr>
          <w:p w14:paraId="4FC9F7BB" w14:textId="77777777" w:rsidR="00204086" w:rsidRDefault="00204086" w:rsidP="00204086">
            <w:pPr>
              <w:jc w:val="center"/>
              <w:rPr>
                <w:rFonts w:eastAsia="Times New Roman"/>
              </w:rPr>
            </w:pPr>
            <w:r>
              <w:rPr>
                <w:rFonts w:eastAsia="Times New Roman"/>
              </w:rPr>
              <w:t>0,049</w:t>
            </w:r>
          </w:p>
        </w:tc>
        <w:tc>
          <w:tcPr>
            <w:tcW w:w="0" w:type="auto"/>
            <w:vAlign w:val="center"/>
            <w:hideMark/>
          </w:tcPr>
          <w:p w14:paraId="1231AB69" w14:textId="77777777" w:rsidR="00204086" w:rsidRDefault="00204086" w:rsidP="00204086">
            <w:pPr>
              <w:jc w:val="center"/>
              <w:rPr>
                <w:rFonts w:eastAsia="Times New Roman"/>
              </w:rPr>
            </w:pPr>
            <w:r>
              <w:rPr>
                <w:rFonts w:eastAsia="Times New Roman"/>
              </w:rPr>
              <w:t>0,037</w:t>
            </w:r>
          </w:p>
        </w:tc>
        <w:tc>
          <w:tcPr>
            <w:tcW w:w="0" w:type="auto"/>
            <w:vAlign w:val="center"/>
            <w:hideMark/>
          </w:tcPr>
          <w:p w14:paraId="168992E5" w14:textId="77777777" w:rsidR="00204086" w:rsidRDefault="00204086" w:rsidP="00204086">
            <w:pPr>
              <w:jc w:val="center"/>
              <w:rPr>
                <w:rFonts w:eastAsia="Times New Roman"/>
              </w:rPr>
            </w:pPr>
            <w:r>
              <w:rPr>
                <w:rFonts w:eastAsia="Times New Roman"/>
              </w:rPr>
              <w:t>0,050</w:t>
            </w:r>
          </w:p>
        </w:tc>
        <w:tc>
          <w:tcPr>
            <w:tcW w:w="0" w:type="auto"/>
            <w:vAlign w:val="center"/>
            <w:hideMark/>
          </w:tcPr>
          <w:p w14:paraId="36D51410" w14:textId="77777777" w:rsidR="00204086" w:rsidRDefault="00204086" w:rsidP="00204086">
            <w:pPr>
              <w:jc w:val="center"/>
              <w:rPr>
                <w:rFonts w:eastAsia="Times New Roman"/>
              </w:rPr>
            </w:pPr>
            <w:r>
              <w:rPr>
                <w:rFonts w:eastAsia="Times New Roman"/>
              </w:rPr>
              <w:t>0,037</w:t>
            </w:r>
          </w:p>
        </w:tc>
        <w:tc>
          <w:tcPr>
            <w:tcW w:w="0" w:type="auto"/>
            <w:vAlign w:val="center"/>
            <w:hideMark/>
          </w:tcPr>
          <w:p w14:paraId="276F7E7C" w14:textId="77777777" w:rsidR="00204086" w:rsidRDefault="00204086" w:rsidP="00204086">
            <w:pPr>
              <w:jc w:val="center"/>
              <w:rPr>
                <w:rFonts w:eastAsia="Times New Roman"/>
              </w:rPr>
            </w:pPr>
            <w:r>
              <w:rPr>
                <w:rFonts w:eastAsia="Times New Roman"/>
              </w:rPr>
              <w:t>0,033</w:t>
            </w:r>
          </w:p>
        </w:tc>
      </w:tr>
      <w:tr w:rsidR="00204086" w14:paraId="2D48A7DF" w14:textId="77777777" w:rsidTr="00F9401D">
        <w:trPr>
          <w:trHeight w:val="140"/>
          <w:tblCellSpacing w:w="15" w:type="dxa"/>
        </w:trPr>
        <w:tc>
          <w:tcPr>
            <w:tcW w:w="0" w:type="auto"/>
            <w:gridSpan w:val="6"/>
            <w:tcBorders>
              <w:bottom w:val="single" w:sz="6" w:space="0" w:color="000000"/>
            </w:tcBorders>
            <w:vAlign w:val="center"/>
            <w:hideMark/>
          </w:tcPr>
          <w:p w14:paraId="6433AB8A" w14:textId="77777777" w:rsidR="00204086" w:rsidRDefault="00204086" w:rsidP="00204086">
            <w:pPr>
              <w:jc w:val="center"/>
              <w:rPr>
                <w:rFonts w:eastAsia="Times New Roman"/>
              </w:rPr>
            </w:pPr>
          </w:p>
        </w:tc>
      </w:tr>
      <w:tr w:rsidR="00204086" w14:paraId="6DD9C8E5" w14:textId="77777777" w:rsidTr="00F9401D">
        <w:trPr>
          <w:trHeight w:val="430"/>
          <w:tblCellSpacing w:w="15" w:type="dxa"/>
        </w:trPr>
        <w:tc>
          <w:tcPr>
            <w:tcW w:w="0" w:type="auto"/>
            <w:vAlign w:val="center"/>
            <w:hideMark/>
          </w:tcPr>
          <w:p w14:paraId="575CEE93" w14:textId="77777777" w:rsidR="00204086" w:rsidRPr="00434F7E" w:rsidRDefault="00204086" w:rsidP="00204086">
            <w:pPr>
              <w:rPr>
                <w:rFonts w:eastAsia="Times New Roman"/>
                <w:b/>
                <w:bCs/>
              </w:rPr>
            </w:pPr>
            <w:r w:rsidRPr="00434F7E">
              <w:rPr>
                <w:rFonts w:eastAsia="Times New Roman"/>
              </w:rPr>
              <w:t>Not</w:t>
            </w:r>
            <w:r>
              <w:rPr>
                <w:rFonts w:eastAsia="Times New Roman"/>
              </w:rPr>
              <w:t>e</w:t>
            </w:r>
            <w:r w:rsidRPr="00434F7E">
              <w:rPr>
                <w:rFonts w:eastAsia="Times New Roman"/>
              </w:rPr>
              <w:t>s</w:t>
            </w:r>
          </w:p>
        </w:tc>
        <w:tc>
          <w:tcPr>
            <w:tcW w:w="0" w:type="auto"/>
            <w:gridSpan w:val="5"/>
            <w:vAlign w:val="center"/>
            <w:hideMark/>
          </w:tcPr>
          <w:p w14:paraId="23397211" w14:textId="77777777" w:rsidR="00204086" w:rsidRPr="00434F7E" w:rsidRDefault="00204086" w:rsidP="00204086">
            <w:pPr>
              <w:rPr>
                <w:rFonts w:eastAsia="Times New Roman"/>
              </w:rPr>
            </w:pPr>
            <w:r w:rsidRPr="00434F7E">
              <w:rPr>
                <w:rFonts w:eastAsia="Times New Roman"/>
              </w:rPr>
              <w:t>*p &lt; ,1; **p &lt; ,05; ***p &lt; ,01</w:t>
            </w:r>
          </w:p>
        </w:tc>
      </w:tr>
      <w:tr w:rsidR="00204086" w14:paraId="0FEE884A" w14:textId="77777777" w:rsidTr="00F9401D">
        <w:trPr>
          <w:trHeight w:val="1124"/>
          <w:tblCellSpacing w:w="15" w:type="dxa"/>
        </w:trPr>
        <w:tc>
          <w:tcPr>
            <w:tcW w:w="0" w:type="auto"/>
            <w:vAlign w:val="center"/>
            <w:hideMark/>
          </w:tcPr>
          <w:p w14:paraId="56FCE769" w14:textId="77777777" w:rsidR="00204086" w:rsidRDefault="00204086" w:rsidP="00204086">
            <w:pPr>
              <w:rPr>
                <w:rFonts w:eastAsia="Times New Roman"/>
              </w:rPr>
            </w:pPr>
          </w:p>
        </w:tc>
        <w:tc>
          <w:tcPr>
            <w:tcW w:w="0" w:type="auto"/>
            <w:gridSpan w:val="5"/>
            <w:vAlign w:val="center"/>
            <w:hideMark/>
          </w:tcPr>
          <w:p w14:paraId="3F46887A" w14:textId="77777777" w:rsidR="00204086" w:rsidRPr="00352D7D" w:rsidRDefault="00204086" w:rsidP="00204086">
            <w:pPr>
              <w:spacing w:line="240" w:lineRule="auto"/>
              <w:jc w:val="both"/>
              <w:rPr>
                <w:rFonts w:eastAsia="Times New Roman"/>
                <w:sz w:val="20"/>
                <w:szCs w:val="20"/>
              </w:rPr>
            </w:pPr>
            <w:r w:rsidRPr="00352D7D">
              <w:rPr>
                <w:rFonts w:eastAsia="Times New Roman"/>
                <w:sz w:val="20"/>
                <w:szCs w:val="20"/>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tc>
      </w:tr>
    </w:tbl>
    <w:p w14:paraId="7BE2ECA7" w14:textId="1401720B" w:rsidR="00F9401D" w:rsidRDefault="00425B3F" w:rsidP="00F9401D">
      <w:pPr>
        <w:spacing w:after="0" w:line="360" w:lineRule="auto"/>
        <w:jc w:val="both"/>
        <w:rPr>
          <w:rFonts w:ascii="Times New Roman" w:hAnsi="Times New Roman" w:cs="Times New Roman"/>
          <w:b/>
          <w:bCs/>
          <w:sz w:val="24"/>
          <w:szCs w:val="24"/>
          <w:lang w:val="en-US"/>
        </w:rPr>
      </w:pPr>
      <w:r w:rsidRPr="00F9401D">
        <w:rPr>
          <w:rFonts w:ascii="Times New Roman" w:hAnsi="Times New Roman" w:cs="Times New Roman"/>
          <w:b/>
          <w:bCs/>
          <w:sz w:val="24"/>
          <w:szCs w:val="24"/>
          <w:lang w:val="en-US"/>
        </w:rPr>
        <w:t xml:space="preserve">5.2 </w:t>
      </w:r>
      <w:r w:rsidR="00062376" w:rsidRPr="00F9401D">
        <w:rPr>
          <w:rFonts w:ascii="Times New Roman" w:hAnsi="Times New Roman" w:cs="Times New Roman"/>
          <w:b/>
          <w:bCs/>
          <w:sz w:val="24"/>
          <w:szCs w:val="24"/>
          <w:lang w:val="en-US"/>
        </w:rPr>
        <w:t>Social Observatories small town greater effectiveness hypothesis.</w:t>
      </w:r>
    </w:p>
    <w:p w14:paraId="1680C858" w14:textId="77777777" w:rsidR="00352D7D" w:rsidRPr="00F9401D" w:rsidRDefault="00352D7D" w:rsidP="00F9401D">
      <w:pPr>
        <w:spacing w:after="0" w:line="360" w:lineRule="auto"/>
        <w:jc w:val="both"/>
        <w:rPr>
          <w:rFonts w:ascii="Times New Roman" w:hAnsi="Times New Roman" w:cs="Times New Roman"/>
          <w:b/>
          <w:bCs/>
          <w:sz w:val="24"/>
          <w:szCs w:val="24"/>
          <w:lang w:val="en-US"/>
        </w:rPr>
      </w:pPr>
    </w:p>
    <w:p w14:paraId="04339AC4" w14:textId="2603C42F" w:rsidR="006A7590" w:rsidRPr="006A7590" w:rsidRDefault="006A7590" w:rsidP="006A7590">
      <w:pPr>
        <w:pStyle w:val="PargrafodaLista"/>
        <w:spacing w:after="0" w:line="360" w:lineRule="auto"/>
        <w:ind w:left="0" w:firstLine="624"/>
        <w:jc w:val="both"/>
        <w:rPr>
          <w:rFonts w:ascii="Times New Roman" w:hAnsi="Times New Roman" w:cs="Times New Roman"/>
          <w:sz w:val="24"/>
          <w:szCs w:val="24"/>
          <w:lang w:val="en-US"/>
        </w:rPr>
      </w:pPr>
      <w:r w:rsidRPr="006A7590">
        <w:rPr>
          <w:rFonts w:ascii="Times New Roman" w:hAnsi="Times New Roman" w:cs="Times New Roman"/>
          <w:sz w:val="24"/>
          <w:szCs w:val="24"/>
          <w:lang w:val="en-US"/>
        </w:rPr>
        <w:t>Th</w:t>
      </w:r>
      <w:r>
        <w:rPr>
          <w:rFonts w:ascii="Times New Roman" w:hAnsi="Times New Roman" w:cs="Times New Roman"/>
          <w:sz w:val="24"/>
          <w:szCs w:val="24"/>
          <w:lang w:val="en-US"/>
        </w:rPr>
        <w:t>is</w:t>
      </w:r>
      <w:r w:rsidRPr="006A7590">
        <w:rPr>
          <w:rFonts w:ascii="Times New Roman" w:hAnsi="Times New Roman" w:cs="Times New Roman"/>
          <w:sz w:val="24"/>
          <w:szCs w:val="24"/>
          <w:lang w:val="en-US"/>
        </w:rPr>
        <w:t xml:space="preserve"> second study examines municipalities with less than 50,000 inhabitants, which, as we have argued, are specially lacking in controls. In these towns, both the internal control (of the Federal and Municipal Executive Branches) and the external one (under the responsibility of the </w:t>
      </w:r>
      <w:r w:rsidRPr="006A7590">
        <w:rPr>
          <w:rFonts w:ascii="Times New Roman" w:hAnsi="Times New Roman" w:cs="Times New Roman"/>
          <w:sz w:val="24"/>
          <w:szCs w:val="24"/>
          <w:lang w:val="en-US"/>
        </w:rPr>
        <w:lastRenderedPageBreak/>
        <w:t xml:space="preserve">Legislature and carried out by the TCU and TCEs) show great precariousness. The context of the small municipalities establishes a dilemma because, on the one hand, it is plausible to assume that implementing a new control unit (such as a new observatory) should produce a considerable marginal effect, even higher than the observed in bigger municipalities. But on the other, because of the greater probability of co-optation of Observatories’ team members by local elites, due to their proximity in the small town’s social network to bureaucrats and local politicians, the observatory’s effectiveness could even diminish </w:t>
      </w:r>
      <w:r w:rsidR="002B5A4E">
        <w:rPr>
          <w:rFonts w:ascii="Times New Roman" w:hAnsi="Times New Roman" w:cs="Times New Roman"/>
          <w:sz w:val="24"/>
          <w:szCs w:val="24"/>
          <w:lang w:val="en-US"/>
        </w:rPr>
        <w:fldChar w:fldCharType="begin" w:fldLock="1"/>
      </w:r>
      <w:r w:rsidR="00F931A6">
        <w:rPr>
          <w:rFonts w:ascii="Times New Roman" w:hAnsi="Times New Roman" w:cs="Times New Roman"/>
          <w:sz w:val="24"/>
          <w:szCs w:val="24"/>
          <w:lang w:val="en-US"/>
        </w:rPr>
        <w:instrText>ADDIN CSL_CITATION {"citationItems":[{"id":"ITEM-1","itemData":{"DOI":"10.1093/wbro/10.2.201","ISSN":"02573032","abstract":"Demand for decentralization is strong throughout the world. But the benefits of decentralization are not as obvious as the standard theory of fiscal federalism suggests, and there are serious drawbacks that should be considered in designing any decentralization program. An analysis of these dangers makes it easier to understand some of the real choices. These choices are not so much whether to decentralize in general, but rather what functions to decentralize, in which sectors, and in which regions. In many cases the problem is not so much whether a certain service should be provided by a central, regional, or local government, but rather how to organize the joint production of the service by the various levels.In many-if not most-cases, such measures have an enormous potential and could, if properly designed and implemented, significantly improve the efficiency of the public sector. Decentralization measures are like some potent drugs, however: when prescribed for the relevant illness, at the appropriate moment and in the correct dose, they can have the desired salutary effect; but in the wrong circumstances, they can harm rather than heal. This article looks at some of the negative effects of decentralization in the hope that a better understanding of its dangers will contribute to a wiser application of potentially desirable decentralization programs. © 1995 The International Bank for Reconstruction and Development/THE WORLD BANK.","author":[{"dropping-particle":"","family":"Prud'homme","given":"Rémy","non-dropping-particle":"","parse-names":false,"suffix":""}],"container-title":"World Bank Research Observer","id":"ITEM-1","issue":"2","issued":{"date-parts":[["1995"]]},"page":"201-220","title":"The dangers of decentralization","type":"article-journal","volume":"10"},"uris":["http://www.mendeley.com/documents/?uuid=05d3fd55-66ac-4251-a223-351ca7912efd"]}],"mendeley":{"formattedCitation":"(Prud’homme, 1995)","plainTextFormattedCitation":"(Prud’homme, 1995)","previouslyFormattedCitation":"(Prud’homme, 1995)"},"properties":{"noteIndex":0},"schema":"https://github.com/citation-style-language/schema/raw/master/csl-citation.json"}</w:instrText>
      </w:r>
      <w:r w:rsidR="002B5A4E">
        <w:rPr>
          <w:rFonts w:ascii="Times New Roman" w:hAnsi="Times New Roman" w:cs="Times New Roman"/>
          <w:sz w:val="24"/>
          <w:szCs w:val="24"/>
          <w:lang w:val="en-US"/>
        </w:rPr>
        <w:fldChar w:fldCharType="separate"/>
      </w:r>
      <w:r w:rsidR="002B5A4E" w:rsidRPr="002B5A4E">
        <w:rPr>
          <w:rFonts w:ascii="Times New Roman" w:hAnsi="Times New Roman" w:cs="Times New Roman"/>
          <w:noProof/>
          <w:sz w:val="24"/>
          <w:szCs w:val="24"/>
          <w:lang w:val="en-US"/>
        </w:rPr>
        <w:t>(Prud’homme, 1995)</w:t>
      </w:r>
      <w:r w:rsidR="002B5A4E">
        <w:rPr>
          <w:rFonts w:ascii="Times New Roman" w:hAnsi="Times New Roman" w:cs="Times New Roman"/>
          <w:sz w:val="24"/>
          <w:szCs w:val="24"/>
          <w:lang w:val="en-US"/>
        </w:rPr>
        <w:fldChar w:fldCharType="end"/>
      </w:r>
      <w:r w:rsidR="00F931A6">
        <w:rPr>
          <w:rFonts w:ascii="Times New Roman" w:hAnsi="Times New Roman" w:cs="Times New Roman"/>
          <w:sz w:val="24"/>
          <w:szCs w:val="24"/>
          <w:lang w:val="en-US"/>
        </w:rPr>
        <w:t>.</w:t>
      </w:r>
    </w:p>
    <w:p w14:paraId="7684287F" w14:textId="77777777" w:rsidR="00C97148" w:rsidRDefault="00C97148" w:rsidP="00655534">
      <w:pPr>
        <w:pStyle w:val="PargrafodaLista"/>
        <w:spacing w:after="0" w:line="360" w:lineRule="auto"/>
        <w:ind w:left="0" w:firstLine="624"/>
        <w:jc w:val="both"/>
        <w:rPr>
          <w:rFonts w:ascii="Times New Roman" w:hAnsi="Times New Roman" w:cs="Times New Roman"/>
          <w:sz w:val="24"/>
          <w:szCs w:val="24"/>
          <w:lang w:val="en-US"/>
        </w:rPr>
      </w:pPr>
      <w:r w:rsidRPr="00C97148">
        <w:rPr>
          <w:rFonts w:ascii="Times New Roman" w:hAnsi="Times New Roman" w:cs="Times New Roman"/>
          <w:sz w:val="24"/>
          <w:szCs w:val="24"/>
          <w:lang w:val="en-US"/>
        </w:rPr>
        <w:t>The study intends to solve the puzzle empirically. However, the evidence presented in tables 3a, 3b, and 3c at first appears to be ambiguous. The tables reveal that only three out of the fifteen per capita expenditure items had their averages significantly reduced after treatment, being them: “Current Expenses”, “Personnel Expenses” and the investments in “Equipment and Permanent Material”. For eleven other expenses, including headings such as “Investments” and “Construction and Installations”, which are strong targets for inspection by the Observatories, the effects were statistically null. However, despite the small number of expenses with negative and significant coefficients, the comparison of these coefficients with the estimated ones for Brazil as a whole (see Tables 2a, 2b, and 2c), reveals that the reduction of the expenses, in the small municipalities, was significantly more expressive.</w:t>
      </w:r>
    </w:p>
    <w:p w14:paraId="4C7CDAE3" w14:textId="56044041" w:rsidR="00352D7D" w:rsidRPr="00352D7D" w:rsidRDefault="00C97148" w:rsidP="00352D7D">
      <w:pPr>
        <w:pStyle w:val="PargrafodaLista"/>
        <w:spacing w:after="0" w:line="360" w:lineRule="auto"/>
        <w:ind w:left="0" w:firstLine="624"/>
        <w:jc w:val="both"/>
        <w:rPr>
          <w:rFonts w:ascii="Times New Roman" w:hAnsi="Times New Roman" w:cs="Times New Roman"/>
          <w:sz w:val="24"/>
          <w:szCs w:val="24"/>
          <w:lang w:val="en-US"/>
        </w:rPr>
      </w:pPr>
      <w:r w:rsidRPr="00C97148">
        <w:rPr>
          <w:rFonts w:ascii="Times New Roman" w:hAnsi="Times New Roman" w:cs="Times New Roman"/>
          <w:sz w:val="24"/>
          <w:szCs w:val="24"/>
          <w:lang w:val="en-US"/>
        </w:rPr>
        <w:t>The average decline, after treatment, in municipalities with less than 50,000 inhabitants for the headings: “Current Expenditure” (R$ -132.98), “Personnel” (R$ -112.49) and “Equipment and Permanent Material” (R$ -25.02) are, respectively, 123%, 42.6% and 11.8% more intense than the declines experienced at the national level for the same expenses. With this, we reached evidence partially favorable to the hypothesis in question, being able to state that, at least about these items, the effectiveness of the Social Observatories is more expressive in small municipalities than in the wider sample, with municipalities of all sizes.</w:t>
      </w:r>
    </w:p>
    <w:tbl>
      <w:tblPr>
        <w:tblW w:w="10466" w:type="dxa"/>
        <w:tblCellSpacing w:w="15" w:type="dxa"/>
        <w:tblCellMar>
          <w:top w:w="15" w:type="dxa"/>
          <w:left w:w="15" w:type="dxa"/>
          <w:bottom w:w="15" w:type="dxa"/>
          <w:right w:w="15" w:type="dxa"/>
        </w:tblCellMar>
        <w:tblLook w:val="04A0" w:firstRow="1" w:lastRow="0" w:firstColumn="1" w:lastColumn="0" w:noHBand="0" w:noVBand="1"/>
      </w:tblPr>
      <w:tblGrid>
        <w:gridCol w:w="598"/>
        <w:gridCol w:w="583"/>
        <w:gridCol w:w="310"/>
        <w:gridCol w:w="519"/>
        <w:gridCol w:w="730"/>
        <w:gridCol w:w="434"/>
        <w:gridCol w:w="562"/>
        <w:gridCol w:w="468"/>
        <w:gridCol w:w="468"/>
        <w:gridCol w:w="437"/>
        <w:gridCol w:w="711"/>
        <w:gridCol w:w="627"/>
        <w:gridCol w:w="30"/>
        <w:gridCol w:w="1531"/>
        <w:gridCol w:w="30"/>
        <w:gridCol w:w="676"/>
        <w:gridCol w:w="919"/>
        <w:gridCol w:w="443"/>
        <w:gridCol w:w="315"/>
        <w:gridCol w:w="30"/>
        <w:gridCol w:w="45"/>
      </w:tblGrid>
      <w:tr w:rsidR="00FA2153" w:rsidRPr="00E8576D" w14:paraId="0CAC3EEB" w14:textId="77777777" w:rsidTr="007317BC">
        <w:trPr>
          <w:gridAfter w:val="2"/>
          <w:tblCellSpacing w:w="15" w:type="dxa"/>
        </w:trPr>
        <w:tc>
          <w:tcPr>
            <w:tcW w:w="0" w:type="auto"/>
            <w:gridSpan w:val="19"/>
            <w:tcBorders>
              <w:top w:val="nil"/>
              <w:left w:val="nil"/>
              <w:bottom w:val="nil"/>
              <w:right w:val="nil"/>
            </w:tcBorders>
            <w:vAlign w:val="center"/>
            <w:hideMark/>
          </w:tcPr>
          <w:p w14:paraId="091F3120" w14:textId="5F687A8B" w:rsidR="00FA2153" w:rsidRPr="00352D7D" w:rsidRDefault="00FA2153" w:rsidP="00633129">
            <w:pPr>
              <w:jc w:val="center"/>
              <w:rPr>
                <w:rFonts w:eastAsia="Times New Roman"/>
                <w:sz w:val="24"/>
                <w:szCs w:val="24"/>
                <w:lang w:val="en-US"/>
              </w:rPr>
            </w:pPr>
            <w:r w:rsidRPr="00352D7D">
              <w:rPr>
                <w:rStyle w:val="Forte"/>
                <w:rFonts w:eastAsia="Times New Roman"/>
                <w:lang w:val="en-US"/>
              </w:rPr>
              <w:t xml:space="preserve">Table 3a - </w:t>
            </w:r>
            <w:r w:rsidRPr="00352D7D">
              <w:rPr>
                <w:rFonts w:eastAsia="Times New Roman"/>
                <w:b/>
                <w:bCs/>
                <w:lang w:val="en-US"/>
              </w:rPr>
              <w:t>Observatories Impact on Percapita Expenses   (Exp/Inhab.)</w:t>
            </w:r>
          </w:p>
        </w:tc>
      </w:tr>
      <w:tr w:rsidR="00FA2153" w:rsidRPr="00E8576D" w14:paraId="7648B287" w14:textId="77777777" w:rsidTr="007317BC">
        <w:trPr>
          <w:gridAfter w:val="2"/>
          <w:tblCellSpacing w:w="15" w:type="dxa"/>
        </w:trPr>
        <w:tc>
          <w:tcPr>
            <w:tcW w:w="0" w:type="auto"/>
            <w:gridSpan w:val="19"/>
            <w:tcBorders>
              <w:bottom w:val="single" w:sz="6" w:space="0" w:color="000000"/>
            </w:tcBorders>
            <w:vAlign w:val="center"/>
            <w:hideMark/>
          </w:tcPr>
          <w:p w14:paraId="46F669E1" w14:textId="77777777" w:rsidR="00FA2153" w:rsidRPr="00FA2153" w:rsidRDefault="00FA2153" w:rsidP="00633129">
            <w:pPr>
              <w:jc w:val="center"/>
              <w:rPr>
                <w:rFonts w:eastAsia="Times New Roman"/>
                <w:lang w:val="en-US"/>
              </w:rPr>
            </w:pPr>
          </w:p>
        </w:tc>
      </w:tr>
      <w:tr w:rsidR="003E67F2" w:rsidRPr="00E8576D" w14:paraId="26F059B3" w14:textId="77777777" w:rsidTr="007317BC">
        <w:trPr>
          <w:gridAfter w:val="2"/>
          <w:tblCellSpacing w:w="15" w:type="dxa"/>
        </w:trPr>
        <w:tc>
          <w:tcPr>
            <w:tcW w:w="0" w:type="auto"/>
            <w:gridSpan w:val="2"/>
            <w:vAlign w:val="center"/>
            <w:hideMark/>
          </w:tcPr>
          <w:p w14:paraId="5DF5E46B" w14:textId="77777777" w:rsidR="00720228" w:rsidRPr="00FA2153" w:rsidRDefault="00720228" w:rsidP="00720228">
            <w:pPr>
              <w:jc w:val="center"/>
              <w:rPr>
                <w:rFonts w:eastAsia="Times New Roman"/>
                <w:sz w:val="20"/>
                <w:szCs w:val="20"/>
                <w:lang w:val="en-US"/>
              </w:rPr>
            </w:pPr>
          </w:p>
        </w:tc>
        <w:tc>
          <w:tcPr>
            <w:tcW w:w="0" w:type="auto"/>
            <w:gridSpan w:val="4"/>
            <w:vAlign w:val="center"/>
            <w:hideMark/>
          </w:tcPr>
          <w:p w14:paraId="3D48D4FB" w14:textId="090868FA" w:rsidR="00720228" w:rsidRDefault="00720228" w:rsidP="00720228">
            <w:pPr>
              <w:jc w:val="center"/>
              <w:rPr>
                <w:rFonts w:eastAsia="Times New Roman"/>
                <w:sz w:val="24"/>
                <w:szCs w:val="24"/>
              </w:rPr>
            </w:pPr>
            <w:r>
              <w:rPr>
                <w:rFonts w:eastAsia="Times New Roman"/>
              </w:rPr>
              <w:t>T</w:t>
            </w:r>
            <w:r>
              <w:t>otal Expense</w:t>
            </w:r>
            <w:r>
              <w:rPr>
                <w:rFonts w:eastAsia="Times New Roman"/>
              </w:rPr>
              <w:t xml:space="preserve"> </w:t>
            </w:r>
            <w:r w:rsidRPr="00934F5C">
              <w:rPr>
                <w:rFonts w:eastAsia="Times New Roman"/>
                <w:lang w:val="en-US"/>
              </w:rPr>
              <w:t>(Exp/Inhab.)</w:t>
            </w:r>
          </w:p>
        </w:tc>
        <w:tc>
          <w:tcPr>
            <w:tcW w:w="0" w:type="auto"/>
            <w:gridSpan w:val="3"/>
            <w:vAlign w:val="center"/>
            <w:hideMark/>
          </w:tcPr>
          <w:p w14:paraId="2E1F818B" w14:textId="6656E1AA" w:rsidR="00720228" w:rsidRDefault="00720228" w:rsidP="00720228">
            <w:pPr>
              <w:jc w:val="center"/>
              <w:rPr>
                <w:rFonts w:eastAsia="Times New Roman"/>
              </w:rPr>
            </w:pPr>
            <w:r>
              <w:rPr>
                <w:rFonts w:eastAsia="Times New Roman"/>
              </w:rPr>
              <w:t xml:space="preserve">Current Expense </w:t>
            </w:r>
            <w:r w:rsidRPr="00934F5C">
              <w:rPr>
                <w:rFonts w:eastAsia="Times New Roman"/>
                <w:lang w:val="en-US"/>
              </w:rPr>
              <w:t>(Exp/Inhab.)</w:t>
            </w:r>
          </w:p>
        </w:tc>
        <w:tc>
          <w:tcPr>
            <w:tcW w:w="0" w:type="auto"/>
            <w:gridSpan w:val="3"/>
            <w:vAlign w:val="center"/>
            <w:hideMark/>
          </w:tcPr>
          <w:p w14:paraId="09B97B9B" w14:textId="0DAA82C7" w:rsidR="00720228" w:rsidRDefault="00720228" w:rsidP="00720228">
            <w:pPr>
              <w:jc w:val="center"/>
              <w:rPr>
                <w:rFonts w:eastAsia="Times New Roman"/>
              </w:rPr>
            </w:pPr>
            <w:r>
              <w:rPr>
                <w:rFonts w:eastAsia="Times New Roman"/>
              </w:rPr>
              <w:t xml:space="preserve">Interest </w:t>
            </w:r>
            <w:r w:rsidRPr="00934F5C">
              <w:rPr>
                <w:rFonts w:eastAsia="Times New Roman"/>
                <w:lang w:val="en-US"/>
              </w:rPr>
              <w:t>(Exp/Inhab.)</w:t>
            </w:r>
          </w:p>
        </w:tc>
        <w:tc>
          <w:tcPr>
            <w:tcW w:w="0" w:type="auto"/>
            <w:gridSpan w:val="3"/>
            <w:vAlign w:val="center"/>
            <w:hideMark/>
          </w:tcPr>
          <w:p w14:paraId="2BC78F13" w14:textId="4456E60D" w:rsidR="00720228" w:rsidRDefault="00720228" w:rsidP="00720228">
            <w:pPr>
              <w:jc w:val="center"/>
              <w:rPr>
                <w:rFonts w:eastAsia="Times New Roman"/>
              </w:rPr>
            </w:pPr>
            <w:r>
              <w:rPr>
                <w:rFonts w:eastAsia="Times New Roman"/>
              </w:rPr>
              <w:t xml:space="preserve">Personnell </w:t>
            </w:r>
            <w:r w:rsidRPr="00934F5C">
              <w:rPr>
                <w:rFonts w:eastAsia="Times New Roman"/>
                <w:lang w:val="en-US"/>
              </w:rPr>
              <w:t>(Exp/Inhab.)</w:t>
            </w:r>
          </w:p>
        </w:tc>
        <w:tc>
          <w:tcPr>
            <w:tcW w:w="0" w:type="auto"/>
            <w:gridSpan w:val="4"/>
            <w:vAlign w:val="center"/>
            <w:hideMark/>
          </w:tcPr>
          <w:p w14:paraId="21C8945C" w14:textId="728123C2" w:rsidR="00720228" w:rsidRPr="00720228" w:rsidRDefault="00720228" w:rsidP="00720228">
            <w:pPr>
              <w:jc w:val="center"/>
              <w:rPr>
                <w:rFonts w:eastAsia="Times New Roman"/>
                <w:lang w:val="en-US"/>
              </w:rPr>
            </w:pPr>
            <w:r w:rsidRPr="00934F5C">
              <w:rPr>
                <w:rFonts w:eastAsia="Times New Roman"/>
                <w:lang w:val="en-US"/>
              </w:rPr>
              <w:t xml:space="preserve">Other </w:t>
            </w:r>
            <w:r>
              <w:rPr>
                <w:rFonts w:eastAsia="Times New Roman"/>
                <w:lang w:val="en-US"/>
              </w:rPr>
              <w:t>Current E</w:t>
            </w:r>
            <w:r w:rsidRPr="00934F5C">
              <w:rPr>
                <w:rFonts w:eastAsia="Times New Roman"/>
                <w:lang w:val="en-US"/>
              </w:rPr>
              <w:t>xp</w:t>
            </w:r>
            <w:r>
              <w:rPr>
                <w:rFonts w:eastAsia="Times New Roman"/>
                <w:lang w:val="en-US"/>
              </w:rPr>
              <w:t xml:space="preserve">. </w:t>
            </w:r>
            <w:r w:rsidRPr="00934F5C">
              <w:rPr>
                <w:rFonts w:eastAsia="Times New Roman"/>
                <w:lang w:val="en-US"/>
              </w:rPr>
              <w:t>(Exp/Inhab.)</w:t>
            </w:r>
          </w:p>
        </w:tc>
      </w:tr>
      <w:tr w:rsidR="00720228" w:rsidRPr="00E8576D" w14:paraId="47063945" w14:textId="77777777" w:rsidTr="007317BC">
        <w:trPr>
          <w:gridAfter w:val="2"/>
          <w:tblCellSpacing w:w="15" w:type="dxa"/>
        </w:trPr>
        <w:tc>
          <w:tcPr>
            <w:tcW w:w="0" w:type="auto"/>
            <w:gridSpan w:val="19"/>
            <w:tcBorders>
              <w:bottom w:val="single" w:sz="6" w:space="0" w:color="000000"/>
            </w:tcBorders>
            <w:vAlign w:val="center"/>
            <w:hideMark/>
          </w:tcPr>
          <w:p w14:paraId="6DADFE6B" w14:textId="77777777" w:rsidR="00720228" w:rsidRPr="00720228" w:rsidRDefault="00720228" w:rsidP="00720228">
            <w:pPr>
              <w:jc w:val="center"/>
              <w:rPr>
                <w:rFonts w:eastAsia="Times New Roman"/>
                <w:lang w:val="en-US"/>
              </w:rPr>
            </w:pPr>
          </w:p>
        </w:tc>
      </w:tr>
      <w:tr w:rsidR="003E67F2" w14:paraId="6189F657" w14:textId="77777777" w:rsidTr="007317BC">
        <w:trPr>
          <w:gridAfter w:val="2"/>
          <w:tblCellSpacing w:w="15" w:type="dxa"/>
        </w:trPr>
        <w:tc>
          <w:tcPr>
            <w:tcW w:w="0" w:type="auto"/>
            <w:gridSpan w:val="2"/>
            <w:vAlign w:val="center"/>
            <w:hideMark/>
          </w:tcPr>
          <w:p w14:paraId="54CFE335" w14:textId="6C75367E" w:rsidR="00720228" w:rsidRDefault="00720228" w:rsidP="00720228">
            <w:pPr>
              <w:rPr>
                <w:rFonts w:eastAsia="Times New Roman"/>
                <w:sz w:val="24"/>
                <w:szCs w:val="24"/>
              </w:rPr>
            </w:pPr>
            <w:r>
              <w:rPr>
                <w:rFonts w:eastAsia="Times New Roman"/>
              </w:rPr>
              <w:t>Observatory</w:t>
            </w:r>
          </w:p>
        </w:tc>
        <w:tc>
          <w:tcPr>
            <w:tcW w:w="0" w:type="auto"/>
            <w:gridSpan w:val="4"/>
            <w:vAlign w:val="center"/>
            <w:hideMark/>
          </w:tcPr>
          <w:p w14:paraId="464C4B9C" w14:textId="77777777" w:rsidR="00720228" w:rsidRDefault="00720228" w:rsidP="00720228">
            <w:pPr>
              <w:jc w:val="center"/>
              <w:rPr>
                <w:rFonts w:eastAsia="Times New Roman"/>
              </w:rPr>
            </w:pPr>
            <w:r>
              <w:rPr>
                <w:rFonts w:eastAsia="Times New Roman"/>
              </w:rPr>
              <w:t>-140,742</w:t>
            </w:r>
          </w:p>
        </w:tc>
        <w:tc>
          <w:tcPr>
            <w:tcW w:w="0" w:type="auto"/>
            <w:gridSpan w:val="3"/>
            <w:vAlign w:val="center"/>
            <w:hideMark/>
          </w:tcPr>
          <w:p w14:paraId="77FD73F7" w14:textId="77777777" w:rsidR="00720228" w:rsidRDefault="00720228" w:rsidP="00720228">
            <w:pPr>
              <w:jc w:val="center"/>
              <w:rPr>
                <w:rFonts w:eastAsia="Times New Roman"/>
              </w:rPr>
            </w:pPr>
            <w:r>
              <w:rPr>
                <w:rFonts w:eastAsia="Times New Roman"/>
              </w:rPr>
              <w:t>-132,986</w:t>
            </w:r>
            <w:r>
              <w:rPr>
                <w:rFonts w:eastAsia="Times New Roman"/>
                <w:vertAlign w:val="superscript"/>
              </w:rPr>
              <w:t>**</w:t>
            </w:r>
          </w:p>
        </w:tc>
        <w:tc>
          <w:tcPr>
            <w:tcW w:w="0" w:type="auto"/>
            <w:gridSpan w:val="3"/>
            <w:vAlign w:val="center"/>
            <w:hideMark/>
          </w:tcPr>
          <w:p w14:paraId="5156B1D5" w14:textId="77777777" w:rsidR="00720228" w:rsidRDefault="00720228" w:rsidP="00720228">
            <w:pPr>
              <w:jc w:val="center"/>
              <w:rPr>
                <w:rFonts w:eastAsia="Times New Roman"/>
              </w:rPr>
            </w:pPr>
            <w:r>
              <w:rPr>
                <w:rFonts w:eastAsia="Times New Roman"/>
              </w:rPr>
              <w:t>1,817</w:t>
            </w:r>
          </w:p>
        </w:tc>
        <w:tc>
          <w:tcPr>
            <w:tcW w:w="0" w:type="auto"/>
            <w:gridSpan w:val="3"/>
            <w:vAlign w:val="center"/>
            <w:hideMark/>
          </w:tcPr>
          <w:p w14:paraId="05F10FD3" w14:textId="77777777" w:rsidR="00720228" w:rsidRDefault="00720228" w:rsidP="00720228">
            <w:pPr>
              <w:jc w:val="center"/>
              <w:rPr>
                <w:rFonts w:eastAsia="Times New Roman"/>
              </w:rPr>
            </w:pPr>
            <w:r>
              <w:rPr>
                <w:rFonts w:eastAsia="Times New Roman"/>
              </w:rPr>
              <w:t>-112,492</w:t>
            </w:r>
            <w:r>
              <w:rPr>
                <w:rFonts w:eastAsia="Times New Roman"/>
                <w:vertAlign w:val="superscript"/>
              </w:rPr>
              <w:t>***</w:t>
            </w:r>
          </w:p>
        </w:tc>
        <w:tc>
          <w:tcPr>
            <w:tcW w:w="0" w:type="auto"/>
            <w:gridSpan w:val="4"/>
            <w:vAlign w:val="center"/>
            <w:hideMark/>
          </w:tcPr>
          <w:p w14:paraId="0BF8C428" w14:textId="77777777" w:rsidR="00720228" w:rsidRDefault="00720228" w:rsidP="00720228">
            <w:pPr>
              <w:jc w:val="center"/>
              <w:rPr>
                <w:rFonts w:eastAsia="Times New Roman"/>
              </w:rPr>
            </w:pPr>
            <w:r>
              <w:rPr>
                <w:rFonts w:eastAsia="Times New Roman"/>
              </w:rPr>
              <w:t>-22,311</w:t>
            </w:r>
          </w:p>
        </w:tc>
      </w:tr>
      <w:tr w:rsidR="003E67F2" w14:paraId="14DA54B3" w14:textId="77777777" w:rsidTr="007317BC">
        <w:trPr>
          <w:gridAfter w:val="2"/>
          <w:tblCellSpacing w:w="15" w:type="dxa"/>
        </w:trPr>
        <w:tc>
          <w:tcPr>
            <w:tcW w:w="0" w:type="auto"/>
            <w:gridSpan w:val="2"/>
            <w:vAlign w:val="center"/>
            <w:hideMark/>
          </w:tcPr>
          <w:p w14:paraId="04BC5036" w14:textId="77777777" w:rsidR="00720228" w:rsidRDefault="00720228" w:rsidP="00720228">
            <w:pPr>
              <w:jc w:val="center"/>
              <w:rPr>
                <w:rFonts w:eastAsia="Times New Roman"/>
              </w:rPr>
            </w:pPr>
          </w:p>
        </w:tc>
        <w:tc>
          <w:tcPr>
            <w:tcW w:w="0" w:type="auto"/>
            <w:gridSpan w:val="4"/>
            <w:vAlign w:val="center"/>
            <w:hideMark/>
          </w:tcPr>
          <w:p w14:paraId="475DCA9C" w14:textId="77777777" w:rsidR="00720228" w:rsidRDefault="00720228" w:rsidP="00720228">
            <w:pPr>
              <w:jc w:val="center"/>
              <w:rPr>
                <w:rFonts w:eastAsia="Times New Roman"/>
                <w:sz w:val="24"/>
                <w:szCs w:val="24"/>
              </w:rPr>
            </w:pPr>
            <w:r>
              <w:rPr>
                <w:rFonts w:eastAsia="Times New Roman"/>
              </w:rPr>
              <w:t>(91,633)</w:t>
            </w:r>
          </w:p>
        </w:tc>
        <w:tc>
          <w:tcPr>
            <w:tcW w:w="0" w:type="auto"/>
            <w:gridSpan w:val="3"/>
            <w:vAlign w:val="center"/>
            <w:hideMark/>
          </w:tcPr>
          <w:p w14:paraId="743295D7" w14:textId="77777777" w:rsidR="00720228" w:rsidRDefault="00720228" w:rsidP="00720228">
            <w:pPr>
              <w:jc w:val="center"/>
              <w:rPr>
                <w:rFonts w:eastAsia="Times New Roman"/>
              </w:rPr>
            </w:pPr>
            <w:r>
              <w:rPr>
                <w:rFonts w:eastAsia="Times New Roman"/>
              </w:rPr>
              <w:t>(64,326)</w:t>
            </w:r>
          </w:p>
        </w:tc>
        <w:tc>
          <w:tcPr>
            <w:tcW w:w="0" w:type="auto"/>
            <w:gridSpan w:val="3"/>
            <w:vAlign w:val="center"/>
            <w:hideMark/>
          </w:tcPr>
          <w:p w14:paraId="53AB4AC5" w14:textId="77777777" w:rsidR="00720228" w:rsidRDefault="00720228" w:rsidP="00720228">
            <w:pPr>
              <w:jc w:val="center"/>
              <w:rPr>
                <w:rFonts w:eastAsia="Times New Roman"/>
              </w:rPr>
            </w:pPr>
            <w:r>
              <w:rPr>
                <w:rFonts w:eastAsia="Times New Roman"/>
              </w:rPr>
              <w:t>(2,243)</w:t>
            </w:r>
          </w:p>
        </w:tc>
        <w:tc>
          <w:tcPr>
            <w:tcW w:w="0" w:type="auto"/>
            <w:gridSpan w:val="3"/>
            <w:vAlign w:val="center"/>
            <w:hideMark/>
          </w:tcPr>
          <w:p w14:paraId="6D605688" w14:textId="77777777" w:rsidR="00720228" w:rsidRDefault="00720228" w:rsidP="00720228">
            <w:pPr>
              <w:jc w:val="center"/>
              <w:rPr>
                <w:rFonts w:eastAsia="Times New Roman"/>
              </w:rPr>
            </w:pPr>
            <w:r>
              <w:rPr>
                <w:rFonts w:eastAsia="Times New Roman"/>
              </w:rPr>
              <w:t>(38,710)</w:t>
            </w:r>
          </w:p>
        </w:tc>
        <w:tc>
          <w:tcPr>
            <w:tcW w:w="0" w:type="auto"/>
            <w:gridSpan w:val="4"/>
            <w:vAlign w:val="center"/>
            <w:hideMark/>
          </w:tcPr>
          <w:p w14:paraId="23E49FFC" w14:textId="77777777" w:rsidR="00720228" w:rsidRDefault="00720228" w:rsidP="00720228">
            <w:pPr>
              <w:jc w:val="center"/>
              <w:rPr>
                <w:rFonts w:eastAsia="Times New Roman"/>
              </w:rPr>
            </w:pPr>
            <w:r>
              <w:rPr>
                <w:rFonts w:eastAsia="Times New Roman"/>
              </w:rPr>
              <w:t>(41,300)</w:t>
            </w:r>
          </w:p>
        </w:tc>
      </w:tr>
      <w:tr w:rsidR="003E67F2" w14:paraId="30D48C49" w14:textId="77777777" w:rsidTr="007317BC">
        <w:trPr>
          <w:gridAfter w:val="2"/>
          <w:tblCellSpacing w:w="15" w:type="dxa"/>
        </w:trPr>
        <w:tc>
          <w:tcPr>
            <w:tcW w:w="0" w:type="auto"/>
            <w:gridSpan w:val="2"/>
            <w:vAlign w:val="center"/>
            <w:hideMark/>
          </w:tcPr>
          <w:p w14:paraId="16F01BD0" w14:textId="77777777" w:rsidR="00720228" w:rsidRDefault="00720228" w:rsidP="00720228">
            <w:pPr>
              <w:rPr>
                <w:rFonts w:eastAsia="Times New Roman"/>
              </w:rPr>
            </w:pPr>
            <w:r>
              <w:rPr>
                <w:rFonts w:eastAsia="Times New Roman"/>
              </w:rPr>
              <w:t>N</w:t>
            </w:r>
          </w:p>
        </w:tc>
        <w:tc>
          <w:tcPr>
            <w:tcW w:w="0" w:type="auto"/>
            <w:gridSpan w:val="4"/>
            <w:vAlign w:val="center"/>
            <w:hideMark/>
          </w:tcPr>
          <w:p w14:paraId="1467CAAA" w14:textId="77777777" w:rsidR="00720228" w:rsidRDefault="00720228" w:rsidP="00720228">
            <w:pPr>
              <w:jc w:val="center"/>
              <w:rPr>
                <w:rFonts w:eastAsia="Times New Roman"/>
              </w:rPr>
            </w:pPr>
            <w:r>
              <w:rPr>
                <w:rFonts w:eastAsia="Times New Roman"/>
              </w:rPr>
              <w:t>19.029</w:t>
            </w:r>
          </w:p>
        </w:tc>
        <w:tc>
          <w:tcPr>
            <w:tcW w:w="0" w:type="auto"/>
            <w:gridSpan w:val="3"/>
            <w:vAlign w:val="center"/>
            <w:hideMark/>
          </w:tcPr>
          <w:p w14:paraId="6CD695E6" w14:textId="77777777" w:rsidR="00720228" w:rsidRDefault="00720228" w:rsidP="00720228">
            <w:pPr>
              <w:jc w:val="center"/>
              <w:rPr>
                <w:rFonts w:eastAsia="Times New Roman"/>
              </w:rPr>
            </w:pPr>
            <w:r>
              <w:rPr>
                <w:rFonts w:eastAsia="Times New Roman"/>
              </w:rPr>
              <w:t>19.029</w:t>
            </w:r>
          </w:p>
        </w:tc>
        <w:tc>
          <w:tcPr>
            <w:tcW w:w="0" w:type="auto"/>
            <w:gridSpan w:val="3"/>
            <w:vAlign w:val="center"/>
            <w:hideMark/>
          </w:tcPr>
          <w:p w14:paraId="7F4196F5" w14:textId="77777777" w:rsidR="00720228" w:rsidRDefault="00720228" w:rsidP="00720228">
            <w:pPr>
              <w:jc w:val="center"/>
              <w:rPr>
                <w:rFonts w:eastAsia="Times New Roman"/>
              </w:rPr>
            </w:pPr>
            <w:r>
              <w:rPr>
                <w:rFonts w:eastAsia="Times New Roman"/>
              </w:rPr>
              <w:t>19.029</w:t>
            </w:r>
          </w:p>
        </w:tc>
        <w:tc>
          <w:tcPr>
            <w:tcW w:w="0" w:type="auto"/>
            <w:gridSpan w:val="3"/>
            <w:vAlign w:val="center"/>
            <w:hideMark/>
          </w:tcPr>
          <w:p w14:paraId="12491F55" w14:textId="77777777" w:rsidR="00720228" w:rsidRDefault="00720228" w:rsidP="00720228">
            <w:pPr>
              <w:jc w:val="center"/>
              <w:rPr>
                <w:rFonts w:eastAsia="Times New Roman"/>
              </w:rPr>
            </w:pPr>
            <w:r>
              <w:rPr>
                <w:rFonts w:eastAsia="Times New Roman"/>
              </w:rPr>
              <w:t>19.029</w:t>
            </w:r>
          </w:p>
        </w:tc>
        <w:tc>
          <w:tcPr>
            <w:tcW w:w="0" w:type="auto"/>
            <w:gridSpan w:val="4"/>
            <w:vAlign w:val="center"/>
            <w:hideMark/>
          </w:tcPr>
          <w:p w14:paraId="1A43A9C4" w14:textId="77777777" w:rsidR="00720228" w:rsidRDefault="00720228" w:rsidP="00720228">
            <w:pPr>
              <w:jc w:val="center"/>
              <w:rPr>
                <w:rFonts w:eastAsia="Times New Roman"/>
              </w:rPr>
            </w:pPr>
            <w:r>
              <w:rPr>
                <w:rFonts w:eastAsia="Times New Roman"/>
              </w:rPr>
              <w:t>19.029</w:t>
            </w:r>
          </w:p>
        </w:tc>
      </w:tr>
      <w:tr w:rsidR="003E67F2" w14:paraId="43237288" w14:textId="77777777" w:rsidTr="007317BC">
        <w:trPr>
          <w:gridAfter w:val="2"/>
          <w:tblCellSpacing w:w="15" w:type="dxa"/>
        </w:trPr>
        <w:tc>
          <w:tcPr>
            <w:tcW w:w="0" w:type="auto"/>
            <w:gridSpan w:val="2"/>
            <w:vAlign w:val="center"/>
            <w:hideMark/>
          </w:tcPr>
          <w:p w14:paraId="65169C51" w14:textId="77777777" w:rsidR="00720228" w:rsidRDefault="00720228" w:rsidP="00720228">
            <w:pPr>
              <w:rPr>
                <w:rFonts w:eastAsia="Times New Roman"/>
              </w:rPr>
            </w:pPr>
            <w:r>
              <w:rPr>
                <w:rFonts w:eastAsia="Times New Roman"/>
              </w:rPr>
              <w:t>R</w:t>
            </w:r>
            <w:r>
              <w:rPr>
                <w:rFonts w:eastAsia="Times New Roman"/>
                <w:vertAlign w:val="superscript"/>
              </w:rPr>
              <w:t>2</w:t>
            </w:r>
          </w:p>
        </w:tc>
        <w:tc>
          <w:tcPr>
            <w:tcW w:w="0" w:type="auto"/>
            <w:gridSpan w:val="4"/>
            <w:vAlign w:val="center"/>
            <w:hideMark/>
          </w:tcPr>
          <w:p w14:paraId="2F77BA6D" w14:textId="77777777" w:rsidR="00720228" w:rsidRDefault="00720228" w:rsidP="00720228">
            <w:pPr>
              <w:jc w:val="center"/>
              <w:rPr>
                <w:rFonts w:eastAsia="Times New Roman"/>
              </w:rPr>
            </w:pPr>
            <w:r>
              <w:rPr>
                <w:rFonts w:eastAsia="Times New Roman"/>
              </w:rPr>
              <w:t>0,141</w:t>
            </w:r>
          </w:p>
        </w:tc>
        <w:tc>
          <w:tcPr>
            <w:tcW w:w="0" w:type="auto"/>
            <w:gridSpan w:val="3"/>
            <w:vAlign w:val="center"/>
            <w:hideMark/>
          </w:tcPr>
          <w:p w14:paraId="1F37A9C3" w14:textId="77777777" w:rsidR="00720228" w:rsidRDefault="00720228" w:rsidP="00720228">
            <w:pPr>
              <w:jc w:val="center"/>
              <w:rPr>
                <w:rFonts w:eastAsia="Times New Roman"/>
              </w:rPr>
            </w:pPr>
            <w:r>
              <w:rPr>
                <w:rFonts w:eastAsia="Times New Roman"/>
              </w:rPr>
              <w:t>0,164</w:t>
            </w:r>
          </w:p>
        </w:tc>
        <w:tc>
          <w:tcPr>
            <w:tcW w:w="0" w:type="auto"/>
            <w:gridSpan w:val="3"/>
            <w:vAlign w:val="center"/>
            <w:hideMark/>
          </w:tcPr>
          <w:p w14:paraId="3578603A" w14:textId="77777777" w:rsidR="00720228" w:rsidRDefault="00720228" w:rsidP="00720228">
            <w:pPr>
              <w:jc w:val="center"/>
              <w:rPr>
                <w:rFonts w:eastAsia="Times New Roman"/>
              </w:rPr>
            </w:pPr>
            <w:r>
              <w:rPr>
                <w:rFonts w:eastAsia="Times New Roman"/>
              </w:rPr>
              <w:t>0,049</w:t>
            </w:r>
          </w:p>
        </w:tc>
        <w:tc>
          <w:tcPr>
            <w:tcW w:w="0" w:type="auto"/>
            <w:gridSpan w:val="3"/>
            <w:vAlign w:val="center"/>
            <w:hideMark/>
          </w:tcPr>
          <w:p w14:paraId="6610685C" w14:textId="77777777" w:rsidR="00720228" w:rsidRDefault="00720228" w:rsidP="00720228">
            <w:pPr>
              <w:jc w:val="center"/>
              <w:rPr>
                <w:rFonts w:eastAsia="Times New Roman"/>
              </w:rPr>
            </w:pPr>
            <w:r>
              <w:rPr>
                <w:rFonts w:eastAsia="Times New Roman"/>
              </w:rPr>
              <w:t>0,180</w:t>
            </w:r>
          </w:p>
        </w:tc>
        <w:tc>
          <w:tcPr>
            <w:tcW w:w="0" w:type="auto"/>
            <w:gridSpan w:val="4"/>
            <w:vAlign w:val="center"/>
            <w:hideMark/>
          </w:tcPr>
          <w:p w14:paraId="1E8082B7" w14:textId="77777777" w:rsidR="00720228" w:rsidRDefault="00720228" w:rsidP="00720228">
            <w:pPr>
              <w:jc w:val="center"/>
              <w:rPr>
                <w:rFonts w:eastAsia="Times New Roman"/>
              </w:rPr>
            </w:pPr>
            <w:r>
              <w:rPr>
                <w:rFonts w:eastAsia="Times New Roman"/>
              </w:rPr>
              <w:t>0,119</w:t>
            </w:r>
          </w:p>
        </w:tc>
      </w:tr>
      <w:tr w:rsidR="00720228" w14:paraId="5702BB60" w14:textId="77777777" w:rsidTr="007317BC">
        <w:trPr>
          <w:gridAfter w:val="2"/>
          <w:tblCellSpacing w:w="15" w:type="dxa"/>
        </w:trPr>
        <w:tc>
          <w:tcPr>
            <w:tcW w:w="0" w:type="auto"/>
            <w:gridSpan w:val="19"/>
            <w:tcBorders>
              <w:bottom w:val="single" w:sz="6" w:space="0" w:color="000000"/>
            </w:tcBorders>
            <w:vAlign w:val="center"/>
            <w:hideMark/>
          </w:tcPr>
          <w:p w14:paraId="41EDB342" w14:textId="77777777" w:rsidR="00720228" w:rsidRDefault="00720228" w:rsidP="00720228">
            <w:pPr>
              <w:jc w:val="center"/>
              <w:rPr>
                <w:rFonts w:eastAsia="Times New Roman"/>
              </w:rPr>
            </w:pPr>
          </w:p>
        </w:tc>
      </w:tr>
      <w:tr w:rsidR="00720228" w14:paraId="17B1E223" w14:textId="77777777" w:rsidTr="007317BC">
        <w:trPr>
          <w:gridAfter w:val="2"/>
          <w:tblCellSpacing w:w="15" w:type="dxa"/>
        </w:trPr>
        <w:tc>
          <w:tcPr>
            <w:tcW w:w="0" w:type="auto"/>
            <w:gridSpan w:val="2"/>
            <w:vAlign w:val="center"/>
            <w:hideMark/>
          </w:tcPr>
          <w:p w14:paraId="1EDB27E5" w14:textId="1AAF49AD" w:rsidR="00720228" w:rsidRDefault="00720228" w:rsidP="00720228">
            <w:pPr>
              <w:rPr>
                <w:rFonts w:eastAsia="Times New Roman"/>
                <w:sz w:val="24"/>
                <w:szCs w:val="24"/>
              </w:rPr>
            </w:pPr>
            <w:r>
              <w:rPr>
                <w:rFonts w:eastAsia="Times New Roman"/>
              </w:rPr>
              <w:t>Notes</w:t>
            </w:r>
          </w:p>
        </w:tc>
        <w:tc>
          <w:tcPr>
            <w:tcW w:w="0" w:type="auto"/>
            <w:gridSpan w:val="17"/>
            <w:vAlign w:val="center"/>
            <w:hideMark/>
          </w:tcPr>
          <w:p w14:paraId="589643BF" w14:textId="77777777" w:rsidR="00720228" w:rsidRDefault="00720228" w:rsidP="00720228">
            <w:pPr>
              <w:rPr>
                <w:rFonts w:eastAsia="Times New Roman"/>
              </w:rPr>
            </w:pPr>
            <w:r>
              <w:rPr>
                <w:rFonts w:eastAsia="Times New Roman"/>
                <w:vertAlign w:val="superscript"/>
              </w:rPr>
              <w:t>*</w:t>
            </w:r>
            <w:r>
              <w:rPr>
                <w:rFonts w:eastAsia="Times New Roman"/>
              </w:rPr>
              <w:t xml:space="preserve">p &lt; ,1; </w:t>
            </w:r>
            <w:r>
              <w:rPr>
                <w:rFonts w:eastAsia="Times New Roman"/>
                <w:vertAlign w:val="superscript"/>
              </w:rPr>
              <w:t>**</w:t>
            </w:r>
            <w:r>
              <w:rPr>
                <w:rFonts w:eastAsia="Times New Roman"/>
              </w:rPr>
              <w:t xml:space="preserve">p &lt; ,05; </w:t>
            </w:r>
            <w:r>
              <w:rPr>
                <w:rFonts w:eastAsia="Times New Roman"/>
                <w:vertAlign w:val="superscript"/>
              </w:rPr>
              <w:t>***</w:t>
            </w:r>
            <w:r>
              <w:rPr>
                <w:rFonts w:eastAsia="Times New Roman"/>
              </w:rPr>
              <w:t>p &lt; ,01</w:t>
            </w:r>
          </w:p>
        </w:tc>
      </w:tr>
      <w:tr w:rsidR="009628C7" w:rsidRPr="00E8576D" w14:paraId="7D87B802" w14:textId="77777777" w:rsidTr="007317BC">
        <w:trPr>
          <w:gridBefore w:val="1"/>
          <w:tblCellSpacing w:w="15" w:type="dxa"/>
        </w:trPr>
        <w:tc>
          <w:tcPr>
            <w:tcW w:w="0" w:type="auto"/>
            <w:gridSpan w:val="16"/>
            <w:tcBorders>
              <w:top w:val="nil"/>
              <w:left w:val="nil"/>
              <w:bottom w:val="nil"/>
              <w:right w:val="nil"/>
            </w:tcBorders>
            <w:vAlign w:val="center"/>
            <w:hideMark/>
          </w:tcPr>
          <w:p w14:paraId="04BD587B" w14:textId="405E8720" w:rsidR="009628C7" w:rsidRPr="00352D7D" w:rsidRDefault="009628C7" w:rsidP="009628C7">
            <w:pPr>
              <w:jc w:val="center"/>
              <w:rPr>
                <w:rFonts w:eastAsia="Times New Roman"/>
                <w:sz w:val="24"/>
                <w:szCs w:val="24"/>
                <w:lang w:val="en-US"/>
              </w:rPr>
            </w:pPr>
            <w:r w:rsidRPr="00352D7D">
              <w:rPr>
                <w:rStyle w:val="Forte"/>
                <w:rFonts w:eastAsia="Times New Roman"/>
                <w:lang w:val="en-US"/>
              </w:rPr>
              <w:lastRenderedPageBreak/>
              <w:t xml:space="preserve">Table 3b - </w:t>
            </w:r>
            <w:r w:rsidRPr="00352D7D">
              <w:rPr>
                <w:rFonts w:eastAsia="Times New Roman"/>
                <w:b/>
                <w:bCs/>
                <w:lang w:val="en-US"/>
              </w:rPr>
              <w:t>Observatories Impact on Percapita Expenses   (Exp/Inhab.)</w:t>
            </w:r>
          </w:p>
        </w:tc>
        <w:tc>
          <w:tcPr>
            <w:tcW w:w="0" w:type="auto"/>
            <w:gridSpan w:val="4"/>
          </w:tcPr>
          <w:p w14:paraId="6EF814C3" w14:textId="2A0A5233" w:rsidR="009628C7" w:rsidRPr="009628C7" w:rsidRDefault="009628C7">
            <w:pPr>
              <w:rPr>
                <w:lang w:val="en-US"/>
              </w:rPr>
            </w:pPr>
          </w:p>
        </w:tc>
      </w:tr>
      <w:tr w:rsidR="009628C7" w:rsidRPr="00E8576D" w14:paraId="6FBA9416" w14:textId="77777777" w:rsidTr="007317BC">
        <w:trPr>
          <w:gridBefore w:val="1"/>
          <w:gridAfter w:val="4"/>
          <w:tblCellSpacing w:w="15" w:type="dxa"/>
        </w:trPr>
        <w:tc>
          <w:tcPr>
            <w:tcW w:w="0" w:type="auto"/>
            <w:gridSpan w:val="16"/>
            <w:tcBorders>
              <w:bottom w:val="single" w:sz="6" w:space="0" w:color="000000"/>
            </w:tcBorders>
            <w:vAlign w:val="center"/>
            <w:hideMark/>
          </w:tcPr>
          <w:p w14:paraId="3E4171E1" w14:textId="77777777" w:rsidR="009628C7" w:rsidRPr="009628C7" w:rsidRDefault="009628C7" w:rsidP="00633129">
            <w:pPr>
              <w:jc w:val="center"/>
              <w:rPr>
                <w:rFonts w:eastAsia="Times New Roman"/>
                <w:lang w:val="en-US"/>
              </w:rPr>
            </w:pPr>
          </w:p>
        </w:tc>
      </w:tr>
      <w:tr w:rsidR="00677DD9" w14:paraId="1D68D021" w14:textId="77777777" w:rsidTr="007317BC">
        <w:trPr>
          <w:gridBefore w:val="1"/>
          <w:gridAfter w:val="4"/>
          <w:tblCellSpacing w:w="15" w:type="dxa"/>
        </w:trPr>
        <w:tc>
          <w:tcPr>
            <w:tcW w:w="0" w:type="auto"/>
            <w:gridSpan w:val="3"/>
            <w:vAlign w:val="center"/>
            <w:hideMark/>
          </w:tcPr>
          <w:p w14:paraId="63CFF78B" w14:textId="77777777" w:rsidR="009628C7" w:rsidRPr="009628C7" w:rsidRDefault="009628C7" w:rsidP="009628C7">
            <w:pPr>
              <w:jc w:val="center"/>
              <w:rPr>
                <w:rFonts w:eastAsia="Times New Roman"/>
                <w:sz w:val="20"/>
                <w:szCs w:val="20"/>
                <w:lang w:val="en-US"/>
              </w:rPr>
            </w:pPr>
          </w:p>
        </w:tc>
        <w:tc>
          <w:tcPr>
            <w:tcW w:w="0" w:type="auto"/>
            <w:gridSpan w:val="3"/>
            <w:vAlign w:val="center"/>
            <w:hideMark/>
          </w:tcPr>
          <w:p w14:paraId="3C586A89" w14:textId="77858E73" w:rsidR="009628C7" w:rsidRPr="009628C7" w:rsidRDefault="009628C7" w:rsidP="009628C7">
            <w:pPr>
              <w:jc w:val="center"/>
              <w:rPr>
                <w:rFonts w:eastAsia="Times New Roman"/>
                <w:sz w:val="24"/>
                <w:szCs w:val="24"/>
                <w:lang w:val="en-US"/>
              </w:rPr>
            </w:pPr>
            <w:r w:rsidRPr="002C0AD3">
              <w:rPr>
                <w:rFonts w:eastAsia="Times New Roman"/>
                <w:lang w:val="en-US"/>
              </w:rPr>
              <w:t>Consumption of Materials (Exp/Inhab.)</w:t>
            </w:r>
          </w:p>
        </w:tc>
        <w:tc>
          <w:tcPr>
            <w:tcW w:w="0" w:type="auto"/>
            <w:gridSpan w:val="3"/>
            <w:vAlign w:val="center"/>
            <w:hideMark/>
          </w:tcPr>
          <w:p w14:paraId="26FBD7D9" w14:textId="54AB3297" w:rsidR="009628C7" w:rsidRPr="009628C7" w:rsidRDefault="009628C7" w:rsidP="009628C7">
            <w:pPr>
              <w:jc w:val="center"/>
              <w:rPr>
                <w:rFonts w:eastAsia="Times New Roman"/>
                <w:lang w:val="en-US"/>
              </w:rPr>
            </w:pPr>
            <w:r w:rsidRPr="009A3CFD">
              <w:rPr>
                <w:rFonts w:eastAsia="Times New Roman"/>
                <w:lang w:val="en-US"/>
              </w:rPr>
              <w:t xml:space="preserve">Freely Distributed Materials </w:t>
            </w:r>
            <w:r w:rsidRPr="002C0AD3">
              <w:rPr>
                <w:rFonts w:eastAsia="Times New Roman"/>
                <w:lang w:val="en-US"/>
              </w:rPr>
              <w:t>(Exp/Inhab.)</w:t>
            </w:r>
          </w:p>
        </w:tc>
        <w:tc>
          <w:tcPr>
            <w:tcW w:w="0" w:type="auto"/>
            <w:gridSpan w:val="3"/>
            <w:vAlign w:val="center"/>
            <w:hideMark/>
          </w:tcPr>
          <w:p w14:paraId="26945DA6" w14:textId="69AB991D" w:rsidR="009628C7" w:rsidRPr="009628C7" w:rsidRDefault="009628C7" w:rsidP="009628C7">
            <w:pPr>
              <w:jc w:val="center"/>
              <w:rPr>
                <w:rFonts w:eastAsia="Times New Roman"/>
                <w:lang w:val="en-US"/>
              </w:rPr>
            </w:pPr>
            <w:r w:rsidRPr="009A3CFD">
              <w:rPr>
                <w:rFonts w:eastAsia="Times New Roman"/>
                <w:lang w:val="en-US"/>
              </w:rPr>
              <w:t xml:space="preserve">Outsorced Serv. Individuals </w:t>
            </w:r>
            <w:r w:rsidRPr="00C60C28">
              <w:rPr>
                <w:rFonts w:eastAsia="Times New Roman"/>
                <w:lang w:val="en-US"/>
              </w:rPr>
              <w:t>(Exp/Inhab.)</w:t>
            </w:r>
          </w:p>
        </w:tc>
        <w:tc>
          <w:tcPr>
            <w:tcW w:w="0" w:type="auto"/>
            <w:vAlign w:val="center"/>
            <w:hideMark/>
          </w:tcPr>
          <w:p w14:paraId="24D97D87" w14:textId="52729A9E" w:rsidR="009628C7" w:rsidRPr="009628C7" w:rsidRDefault="009628C7" w:rsidP="009628C7">
            <w:pPr>
              <w:jc w:val="center"/>
              <w:rPr>
                <w:rFonts w:eastAsia="Times New Roman"/>
                <w:lang w:val="en-US"/>
              </w:rPr>
            </w:pPr>
            <w:r w:rsidRPr="009A3CFD">
              <w:rPr>
                <w:rFonts w:eastAsia="Times New Roman"/>
                <w:lang w:val="en-US"/>
              </w:rPr>
              <w:t xml:space="preserve">Outsorced Serv. </w:t>
            </w:r>
            <w:r>
              <w:rPr>
                <w:rFonts w:eastAsia="Times New Roman"/>
                <w:lang w:val="en-US"/>
              </w:rPr>
              <w:t>Entities</w:t>
            </w:r>
            <w:r w:rsidRPr="009A3CFD">
              <w:rPr>
                <w:rFonts w:eastAsia="Times New Roman"/>
                <w:lang w:val="en-US"/>
              </w:rPr>
              <w:t xml:space="preserve"> </w:t>
            </w:r>
            <w:r w:rsidRPr="00C60C28">
              <w:rPr>
                <w:rFonts w:eastAsia="Times New Roman"/>
                <w:lang w:val="en-US"/>
              </w:rPr>
              <w:t>(Exp/Inhab.)</w:t>
            </w:r>
          </w:p>
        </w:tc>
        <w:tc>
          <w:tcPr>
            <w:tcW w:w="0" w:type="auto"/>
            <w:gridSpan w:val="3"/>
            <w:vAlign w:val="center"/>
            <w:hideMark/>
          </w:tcPr>
          <w:p w14:paraId="46B15DD0" w14:textId="1F8AFC6C" w:rsidR="009628C7" w:rsidRDefault="009628C7" w:rsidP="009628C7">
            <w:pPr>
              <w:jc w:val="center"/>
              <w:rPr>
                <w:rFonts w:eastAsia="Times New Roman"/>
              </w:rPr>
            </w:pPr>
            <w:r>
              <w:rPr>
                <w:rFonts w:eastAsia="Times New Roman"/>
              </w:rPr>
              <w:t xml:space="preserve">Per Diems </w:t>
            </w:r>
            <w:r w:rsidRPr="00DC663C">
              <w:rPr>
                <w:rFonts w:eastAsia="Times New Roman"/>
              </w:rPr>
              <w:t>(</w:t>
            </w:r>
            <w:r>
              <w:rPr>
                <w:rFonts w:eastAsia="Times New Roman"/>
              </w:rPr>
              <w:t>Exp</w:t>
            </w:r>
            <w:r w:rsidRPr="00DC663C">
              <w:rPr>
                <w:rFonts w:eastAsia="Times New Roman"/>
              </w:rPr>
              <w:t>/</w:t>
            </w:r>
            <w:r>
              <w:rPr>
                <w:rFonts w:eastAsia="Times New Roman"/>
              </w:rPr>
              <w:t>Inh</w:t>
            </w:r>
            <w:r w:rsidRPr="00DC663C">
              <w:rPr>
                <w:rFonts w:eastAsia="Times New Roman"/>
              </w:rPr>
              <w:t>ab.)</w:t>
            </w:r>
          </w:p>
        </w:tc>
      </w:tr>
      <w:tr w:rsidR="009628C7" w14:paraId="37AD2A3B" w14:textId="77777777" w:rsidTr="007317BC">
        <w:trPr>
          <w:gridBefore w:val="1"/>
          <w:gridAfter w:val="4"/>
          <w:tblCellSpacing w:w="15" w:type="dxa"/>
        </w:trPr>
        <w:tc>
          <w:tcPr>
            <w:tcW w:w="0" w:type="auto"/>
            <w:gridSpan w:val="16"/>
            <w:tcBorders>
              <w:bottom w:val="single" w:sz="6" w:space="0" w:color="000000"/>
            </w:tcBorders>
            <w:vAlign w:val="center"/>
            <w:hideMark/>
          </w:tcPr>
          <w:p w14:paraId="5905341D" w14:textId="77777777" w:rsidR="009628C7" w:rsidRDefault="009628C7" w:rsidP="00633129">
            <w:pPr>
              <w:jc w:val="center"/>
              <w:rPr>
                <w:rFonts w:eastAsia="Times New Roman"/>
              </w:rPr>
            </w:pPr>
          </w:p>
        </w:tc>
      </w:tr>
      <w:tr w:rsidR="00677DD9" w14:paraId="19FDE00E" w14:textId="77777777" w:rsidTr="007317BC">
        <w:trPr>
          <w:gridBefore w:val="1"/>
          <w:gridAfter w:val="4"/>
          <w:tblCellSpacing w:w="15" w:type="dxa"/>
        </w:trPr>
        <w:tc>
          <w:tcPr>
            <w:tcW w:w="0" w:type="auto"/>
            <w:gridSpan w:val="3"/>
            <w:vAlign w:val="center"/>
            <w:hideMark/>
          </w:tcPr>
          <w:p w14:paraId="0939F047" w14:textId="56B8B32D" w:rsidR="009628C7" w:rsidRDefault="009628C7" w:rsidP="00633129">
            <w:pPr>
              <w:rPr>
                <w:rFonts w:eastAsia="Times New Roman"/>
                <w:sz w:val="24"/>
                <w:szCs w:val="24"/>
              </w:rPr>
            </w:pPr>
            <w:r>
              <w:rPr>
                <w:rFonts w:eastAsia="Times New Roman"/>
              </w:rPr>
              <w:t>Observatory</w:t>
            </w:r>
          </w:p>
        </w:tc>
        <w:tc>
          <w:tcPr>
            <w:tcW w:w="0" w:type="auto"/>
            <w:gridSpan w:val="3"/>
            <w:vAlign w:val="center"/>
            <w:hideMark/>
          </w:tcPr>
          <w:p w14:paraId="0EC39B47" w14:textId="77777777" w:rsidR="009628C7" w:rsidRDefault="009628C7" w:rsidP="00633129">
            <w:pPr>
              <w:jc w:val="center"/>
              <w:rPr>
                <w:rFonts w:eastAsia="Times New Roman"/>
              </w:rPr>
            </w:pPr>
            <w:r>
              <w:rPr>
                <w:rFonts w:eastAsia="Times New Roman"/>
              </w:rPr>
              <w:t>-5,504</w:t>
            </w:r>
          </w:p>
        </w:tc>
        <w:tc>
          <w:tcPr>
            <w:tcW w:w="0" w:type="auto"/>
            <w:gridSpan w:val="3"/>
            <w:vAlign w:val="center"/>
            <w:hideMark/>
          </w:tcPr>
          <w:p w14:paraId="0128B136" w14:textId="77777777" w:rsidR="009628C7" w:rsidRDefault="009628C7" w:rsidP="00633129">
            <w:pPr>
              <w:jc w:val="center"/>
              <w:rPr>
                <w:rFonts w:eastAsia="Times New Roman"/>
              </w:rPr>
            </w:pPr>
            <w:r>
              <w:rPr>
                <w:rFonts w:eastAsia="Times New Roman"/>
              </w:rPr>
              <w:t>-3,011</w:t>
            </w:r>
          </w:p>
        </w:tc>
        <w:tc>
          <w:tcPr>
            <w:tcW w:w="0" w:type="auto"/>
            <w:gridSpan w:val="3"/>
            <w:vAlign w:val="center"/>
            <w:hideMark/>
          </w:tcPr>
          <w:p w14:paraId="112323DC" w14:textId="77777777" w:rsidR="009628C7" w:rsidRDefault="009628C7" w:rsidP="00633129">
            <w:pPr>
              <w:jc w:val="center"/>
              <w:rPr>
                <w:rFonts w:eastAsia="Times New Roman"/>
              </w:rPr>
            </w:pPr>
            <w:r>
              <w:rPr>
                <w:rFonts w:eastAsia="Times New Roman"/>
              </w:rPr>
              <w:t>18,127</w:t>
            </w:r>
            <w:r>
              <w:rPr>
                <w:rFonts w:eastAsia="Times New Roman"/>
                <w:vertAlign w:val="superscript"/>
              </w:rPr>
              <w:t>***</w:t>
            </w:r>
          </w:p>
        </w:tc>
        <w:tc>
          <w:tcPr>
            <w:tcW w:w="0" w:type="auto"/>
            <w:vAlign w:val="center"/>
            <w:hideMark/>
          </w:tcPr>
          <w:p w14:paraId="0C236E17" w14:textId="77777777" w:rsidR="009628C7" w:rsidRDefault="009628C7" w:rsidP="00633129">
            <w:pPr>
              <w:jc w:val="center"/>
              <w:rPr>
                <w:rFonts w:eastAsia="Times New Roman"/>
              </w:rPr>
            </w:pPr>
            <w:r>
              <w:rPr>
                <w:rFonts w:eastAsia="Times New Roman"/>
              </w:rPr>
              <w:t>-16,871</w:t>
            </w:r>
          </w:p>
        </w:tc>
        <w:tc>
          <w:tcPr>
            <w:tcW w:w="0" w:type="auto"/>
            <w:gridSpan w:val="3"/>
            <w:vAlign w:val="center"/>
            <w:hideMark/>
          </w:tcPr>
          <w:p w14:paraId="46432C0E" w14:textId="77777777" w:rsidR="009628C7" w:rsidRDefault="009628C7" w:rsidP="00633129">
            <w:pPr>
              <w:jc w:val="center"/>
              <w:rPr>
                <w:rFonts w:eastAsia="Times New Roman"/>
              </w:rPr>
            </w:pPr>
            <w:r>
              <w:rPr>
                <w:rFonts w:eastAsia="Times New Roman"/>
              </w:rPr>
              <w:t>0,651</w:t>
            </w:r>
          </w:p>
        </w:tc>
      </w:tr>
      <w:tr w:rsidR="00677DD9" w14:paraId="0DE2B4B1" w14:textId="77777777" w:rsidTr="007317BC">
        <w:trPr>
          <w:gridBefore w:val="1"/>
          <w:gridAfter w:val="4"/>
          <w:tblCellSpacing w:w="15" w:type="dxa"/>
        </w:trPr>
        <w:tc>
          <w:tcPr>
            <w:tcW w:w="0" w:type="auto"/>
            <w:gridSpan w:val="3"/>
            <w:vAlign w:val="center"/>
            <w:hideMark/>
          </w:tcPr>
          <w:p w14:paraId="3B89357B" w14:textId="77777777" w:rsidR="009628C7" w:rsidRDefault="009628C7" w:rsidP="00633129">
            <w:pPr>
              <w:jc w:val="center"/>
              <w:rPr>
                <w:rFonts w:eastAsia="Times New Roman"/>
              </w:rPr>
            </w:pPr>
          </w:p>
        </w:tc>
        <w:tc>
          <w:tcPr>
            <w:tcW w:w="0" w:type="auto"/>
            <w:gridSpan w:val="3"/>
            <w:vAlign w:val="center"/>
            <w:hideMark/>
          </w:tcPr>
          <w:p w14:paraId="19D57299" w14:textId="77777777" w:rsidR="009628C7" w:rsidRDefault="009628C7" w:rsidP="00633129">
            <w:pPr>
              <w:jc w:val="center"/>
              <w:rPr>
                <w:rFonts w:eastAsia="Times New Roman"/>
                <w:sz w:val="24"/>
                <w:szCs w:val="24"/>
              </w:rPr>
            </w:pPr>
            <w:r>
              <w:rPr>
                <w:rFonts w:eastAsia="Times New Roman"/>
              </w:rPr>
              <w:t>(14,329)</w:t>
            </w:r>
          </w:p>
        </w:tc>
        <w:tc>
          <w:tcPr>
            <w:tcW w:w="0" w:type="auto"/>
            <w:gridSpan w:val="3"/>
            <w:vAlign w:val="center"/>
            <w:hideMark/>
          </w:tcPr>
          <w:p w14:paraId="2C9A12ED" w14:textId="77777777" w:rsidR="009628C7" w:rsidRDefault="009628C7" w:rsidP="00633129">
            <w:pPr>
              <w:jc w:val="center"/>
              <w:rPr>
                <w:rFonts w:eastAsia="Times New Roman"/>
              </w:rPr>
            </w:pPr>
            <w:r>
              <w:rPr>
                <w:rFonts w:eastAsia="Times New Roman"/>
              </w:rPr>
              <w:t>(4,600)</w:t>
            </w:r>
          </w:p>
        </w:tc>
        <w:tc>
          <w:tcPr>
            <w:tcW w:w="0" w:type="auto"/>
            <w:gridSpan w:val="3"/>
            <w:vAlign w:val="center"/>
            <w:hideMark/>
          </w:tcPr>
          <w:p w14:paraId="2DD4E28B" w14:textId="77777777" w:rsidR="009628C7" w:rsidRDefault="009628C7" w:rsidP="00633129">
            <w:pPr>
              <w:jc w:val="center"/>
              <w:rPr>
                <w:rFonts w:eastAsia="Times New Roman"/>
              </w:rPr>
            </w:pPr>
            <w:r>
              <w:rPr>
                <w:rFonts w:eastAsia="Times New Roman"/>
              </w:rPr>
              <w:t>(6,392)</w:t>
            </w:r>
          </w:p>
        </w:tc>
        <w:tc>
          <w:tcPr>
            <w:tcW w:w="0" w:type="auto"/>
            <w:vAlign w:val="center"/>
            <w:hideMark/>
          </w:tcPr>
          <w:p w14:paraId="5B03BD2B" w14:textId="77777777" w:rsidR="009628C7" w:rsidRDefault="009628C7" w:rsidP="00633129">
            <w:pPr>
              <w:jc w:val="center"/>
              <w:rPr>
                <w:rFonts w:eastAsia="Times New Roman"/>
              </w:rPr>
            </w:pPr>
            <w:r>
              <w:rPr>
                <w:rFonts w:eastAsia="Times New Roman"/>
              </w:rPr>
              <w:t>(33,582)</w:t>
            </w:r>
          </w:p>
        </w:tc>
        <w:tc>
          <w:tcPr>
            <w:tcW w:w="0" w:type="auto"/>
            <w:gridSpan w:val="3"/>
            <w:vAlign w:val="center"/>
            <w:hideMark/>
          </w:tcPr>
          <w:p w14:paraId="397D102F" w14:textId="77777777" w:rsidR="009628C7" w:rsidRDefault="009628C7" w:rsidP="00633129">
            <w:pPr>
              <w:jc w:val="center"/>
              <w:rPr>
                <w:rFonts w:eastAsia="Times New Roman"/>
              </w:rPr>
            </w:pPr>
            <w:r>
              <w:rPr>
                <w:rFonts w:eastAsia="Times New Roman"/>
              </w:rPr>
              <w:t>(2,486)</w:t>
            </w:r>
          </w:p>
        </w:tc>
      </w:tr>
      <w:tr w:rsidR="00677DD9" w14:paraId="012E33D6" w14:textId="77777777" w:rsidTr="007317BC">
        <w:trPr>
          <w:gridBefore w:val="1"/>
          <w:gridAfter w:val="4"/>
          <w:tblCellSpacing w:w="15" w:type="dxa"/>
        </w:trPr>
        <w:tc>
          <w:tcPr>
            <w:tcW w:w="0" w:type="auto"/>
            <w:gridSpan w:val="3"/>
            <w:vAlign w:val="center"/>
            <w:hideMark/>
          </w:tcPr>
          <w:p w14:paraId="4D3AA711" w14:textId="77777777" w:rsidR="009628C7" w:rsidRDefault="009628C7" w:rsidP="00633129">
            <w:pPr>
              <w:rPr>
                <w:rFonts w:eastAsia="Times New Roman"/>
              </w:rPr>
            </w:pPr>
            <w:r>
              <w:rPr>
                <w:rFonts w:eastAsia="Times New Roman"/>
              </w:rPr>
              <w:t>N</w:t>
            </w:r>
          </w:p>
        </w:tc>
        <w:tc>
          <w:tcPr>
            <w:tcW w:w="0" w:type="auto"/>
            <w:gridSpan w:val="3"/>
            <w:vAlign w:val="center"/>
            <w:hideMark/>
          </w:tcPr>
          <w:p w14:paraId="5E281CED" w14:textId="77777777" w:rsidR="009628C7" w:rsidRDefault="009628C7" w:rsidP="00633129">
            <w:pPr>
              <w:jc w:val="center"/>
              <w:rPr>
                <w:rFonts w:eastAsia="Times New Roman"/>
              </w:rPr>
            </w:pPr>
            <w:r>
              <w:rPr>
                <w:rFonts w:eastAsia="Times New Roman"/>
              </w:rPr>
              <w:t>19.029</w:t>
            </w:r>
          </w:p>
        </w:tc>
        <w:tc>
          <w:tcPr>
            <w:tcW w:w="0" w:type="auto"/>
            <w:gridSpan w:val="3"/>
            <w:vAlign w:val="center"/>
            <w:hideMark/>
          </w:tcPr>
          <w:p w14:paraId="43EAA390" w14:textId="77777777" w:rsidR="009628C7" w:rsidRDefault="009628C7" w:rsidP="00633129">
            <w:pPr>
              <w:jc w:val="center"/>
              <w:rPr>
                <w:rFonts w:eastAsia="Times New Roman"/>
              </w:rPr>
            </w:pPr>
            <w:r>
              <w:rPr>
                <w:rFonts w:eastAsia="Times New Roman"/>
              </w:rPr>
              <w:t>19.029</w:t>
            </w:r>
          </w:p>
        </w:tc>
        <w:tc>
          <w:tcPr>
            <w:tcW w:w="0" w:type="auto"/>
            <w:gridSpan w:val="3"/>
            <w:vAlign w:val="center"/>
            <w:hideMark/>
          </w:tcPr>
          <w:p w14:paraId="1B91A1A2" w14:textId="77777777" w:rsidR="009628C7" w:rsidRDefault="009628C7" w:rsidP="00633129">
            <w:pPr>
              <w:jc w:val="center"/>
              <w:rPr>
                <w:rFonts w:eastAsia="Times New Roman"/>
              </w:rPr>
            </w:pPr>
            <w:r>
              <w:rPr>
                <w:rFonts w:eastAsia="Times New Roman"/>
              </w:rPr>
              <w:t>19.029</w:t>
            </w:r>
          </w:p>
        </w:tc>
        <w:tc>
          <w:tcPr>
            <w:tcW w:w="0" w:type="auto"/>
            <w:vAlign w:val="center"/>
            <w:hideMark/>
          </w:tcPr>
          <w:p w14:paraId="3CF280EB" w14:textId="77777777" w:rsidR="009628C7" w:rsidRDefault="009628C7" w:rsidP="00633129">
            <w:pPr>
              <w:jc w:val="center"/>
              <w:rPr>
                <w:rFonts w:eastAsia="Times New Roman"/>
              </w:rPr>
            </w:pPr>
            <w:r>
              <w:rPr>
                <w:rFonts w:eastAsia="Times New Roman"/>
              </w:rPr>
              <w:t>19.029</w:t>
            </w:r>
          </w:p>
        </w:tc>
        <w:tc>
          <w:tcPr>
            <w:tcW w:w="0" w:type="auto"/>
            <w:gridSpan w:val="3"/>
            <w:vAlign w:val="center"/>
            <w:hideMark/>
          </w:tcPr>
          <w:p w14:paraId="3E4892A2" w14:textId="77777777" w:rsidR="009628C7" w:rsidRDefault="009628C7" w:rsidP="00633129">
            <w:pPr>
              <w:jc w:val="center"/>
              <w:rPr>
                <w:rFonts w:eastAsia="Times New Roman"/>
              </w:rPr>
            </w:pPr>
            <w:r>
              <w:rPr>
                <w:rFonts w:eastAsia="Times New Roman"/>
              </w:rPr>
              <w:t>19.029</w:t>
            </w:r>
          </w:p>
        </w:tc>
      </w:tr>
      <w:tr w:rsidR="00677DD9" w14:paraId="7B8C40C7" w14:textId="77777777" w:rsidTr="003E67F2">
        <w:trPr>
          <w:gridBefore w:val="1"/>
          <w:gridAfter w:val="4"/>
          <w:trHeight w:val="229"/>
          <w:tblCellSpacing w:w="15" w:type="dxa"/>
        </w:trPr>
        <w:tc>
          <w:tcPr>
            <w:tcW w:w="0" w:type="auto"/>
            <w:gridSpan w:val="3"/>
            <w:vAlign w:val="center"/>
            <w:hideMark/>
          </w:tcPr>
          <w:p w14:paraId="64874A31" w14:textId="77777777" w:rsidR="009628C7" w:rsidRDefault="009628C7" w:rsidP="00633129">
            <w:pPr>
              <w:rPr>
                <w:rFonts w:eastAsia="Times New Roman"/>
              </w:rPr>
            </w:pPr>
            <w:r>
              <w:rPr>
                <w:rFonts w:eastAsia="Times New Roman"/>
              </w:rPr>
              <w:t>R</w:t>
            </w:r>
            <w:r>
              <w:rPr>
                <w:rFonts w:eastAsia="Times New Roman"/>
                <w:vertAlign w:val="superscript"/>
              </w:rPr>
              <w:t>2</w:t>
            </w:r>
          </w:p>
        </w:tc>
        <w:tc>
          <w:tcPr>
            <w:tcW w:w="0" w:type="auto"/>
            <w:gridSpan w:val="3"/>
            <w:vAlign w:val="center"/>
            <w:hideMark/>
          </w:tcPr>
          <w:p w14:paraId="35363582" w14:textId="77777777" w:rsidR="009628C7" w:rsidRDefault="009628C7" w:rsidP="00633129">
            <w:pPr>
              <w:jc w:val="center"/>
              <w:rPr>
                <w:rFonts w:eastAsia="Times New Roman"/>
              </w:rPr>
            </w:pPr>
            <w:r>
              <w:rPr>
                <w:rFonts w:eastAsia="Times New Roman"/>
              </w:rPr>
              <w:t>0,057</w:t>
            </w:r>
          </w:p>
        </w:tc>
        <w:tc>
          <w:tcPr>
            <w:tcW w:w="0" w:type="auto"/>
            <w:gridSpan w:val="3"/>
            <w:vAlign w:val="center"/>
            <w:hideMark/>
          </w:tcPr>
          <w:p w14:paraId="7BAF9D41" w14:textId="77777777" w:rsidR="009628C7" w:rsidRDefault="009628C7" w:rsidP="00633129">
            <w:pPr>
              <w:jc w:val="center"/>
              <w:rPr>
                <w:rFonts w:eastAsia="Times New Roman"/>
              </w:rPr>
            </w:pPr>
            <w:r>
              <w:rPr>
                <w:rFonts w:eastAsia="Times New Roman"/>
              </w:rPr>
              <w:t>0,126</w:t>
            </w:r>
          </w:p>
        </w:tc>
        <w:tc>
          <w:tcPr>
            <w:tcW w:w="0" w:type="auto"/>
            <w:gridSpan w:val="3"/>
            <w:vAlign w:val="center"/>
            <w:hideMark/>
          </w:tcPr>
          <w:p w14:paraId="1B30CF6F" w14:textId="77777777" w:rsidR="009628C7" w:rsidRDefault="009628C7" w:rsidP="00633129">
            <w:pPr>
              <w:jc w:val="center"/>
              <w:rPr>
                <w:rFonts w:eastAsia="Times New Roman"/>
              </w:rPr>
            </w:pPr>
            <w:r>
              <w:rPr>
                <w:rFonts w:eastAsia="Times New Roman"/>
              </w:rPr>
              <w:t>0,080</w:t>
            </w:r>
          </w:p>
        </w:tc>
        <w:tc>
          <w:tcPr>
            <w:tcW w:w="0" w:type="auto"/>
            <w:vAlign w:val="center"/>
            <w:hideMark/>
          </w:tcPr>
          <w:p w14:paraId="3A92A2E0" w14:textId="77777777" w:rsidR="009628C7" w:rsidRDefault="009628C7" w:rsidP="00633129">
            <w:pPr>
              <w:jc w:val="center"/>
              <w:rPr>
                <w:rFonts w:eastAsia="Times New Roman"/>
              </w:rPr>
            </w:pPr>
            <w:r>
              <w:rPr>
                <w:rFonts w:eastAsia="Times New Roman"/>
              </w:rPr>
              <w:t>0,091</w:t>
            </w:r>
          </w:p>
        </w:tc>
        <w:tc>
          <w:tcPr>
            <w:tcW w:w="0" w:type="auto"/>
            <w:gridSpan w:val="3"/>
            <w:vAlign w:val="center"/>
            <w:hideMark/>
          </w:tcPr>
          <w:p w14:paraId="267F4524" w14:textId="77777777" w:rsidR="009628C7" w:rsidRDefault="009628C7" w:rsidP="00633129">
            <w:pPr>
              <w:jc w:val="center"/>
              <w:rPr>
                <w:rFonts w:eastAsia="Times New Roman"/>
              </w:rPr>
            </w:pPr>
            <w:r>
              <w:rPr>
                <w:rFonts w:eastAsia="Times New Roman"/>
              </w:rPr>
              <w:t>0,066</w:t>
            </w:r>
          </w:p>
        </w:tc>
      </w:tr>
      <w:tr w:rsidR="009628C7" w14:paraId="21C53D79" w14:textId="77777777" w:rsidTr="007317BC">
        <w:trPr>
          <w:gridBefore w:val="1"/>
          <w:gridAfter w:val="4"/>
          <w:tblCellSpacing w:w="15" w:type="dxa"/>
        </w:trPr>
        <w:tc>
          <w:tcPr>
            <w:tcW w:w="0" w:type="auto"/>
            <w:gridSpan w:val="16"/>
            <w:tcBorders>
              <w:bottom w:val="single" w:sz="6" w:space="0" w:color="000000"/>
            </w:tcBorders>
            <w:vAlign w:val="center"/>
            <w:hideMark/>
          </w:tcPr>
          <w:p w14:paraId="4E9E162B" w14:textId="77777777" w:rsidR="009628C7" w:rsidRDefault="009628C7" w:rsidP="00633129">
            <w:pPr>
              <w:jc w:val="center"/>
              <w:rPr>
                <w:rFonts w:eastAsia="Times New Roman"/>
              </w:rPr>
            </w:pPr>
          </w:p>
        </w:tc>
      </w:tr>
      <w:tr w:rsidR="009628C7" w14:paraId="24FBBA77" w14:textId="77777777" w:rsidTr="007317BC">
        <w:trPr>
          <w:gridBefore w:val="1"/>
          <w:gridAfter w:val="4"/>
          <w:tblCellSpacing w:w="15" w:type="dxa"/>
        </w:trPr>
        <w:tc>
          <w:tcPr>
            <w:tcW w:w="0" w:type="auto"/>
            <w:gridSpan w:val="3"/>
            <w:vAlign w:val="center"/>
            <w:hideMark/>
          </w:tcPr>
          <w:p w14:paraId="26D41A3C" w14:textId="77777777" w:rsidR="009628C7" w:rsidRDefault="009628C7" w:rsidP="00633129">
            <w:pPr>
              <w:rPr>
                <w:rFonts w:eastAsia="Times New Roman"/>
                <w:sz w:val="24"/>
                <w:szCs w:val="24"/>
              </w:rPr>
            </w:pPr>
            <w:r>
              <w:rPr>
                <w:rFonts w:eastAsia="Times New Roman"/>
              </w:rPr>
              <w:t>Notas</w:t>
            </w:r>
          </w:p>
        </w:tc>
        <w:tc>
          <w:tcPr>
            <w:tcW w:w="0" w:type="auto"/>
            <w:gridSpan w:val="13"/>
            <w:vAlign w:val="center"/>
            <w:hideMark/>
          </w:tcPr>
          <w:p w14:paraId="31FF2A04" w14:textId="77777777" w:rsidR="009628C7" w:rsidRDefault="009628C7" w:rsidP="00633129">
            <w:pPr>
              <w:rPr>
                <w:rFonts w:eastAsia="Times New Roman"/>
              </w:rPr>
            </w:pPr>
            <w:r>
              <w:rPr>
                <w:rFonts w:eastAsia="Times New Roman"/>
                <w:vertAlign w:val="superscript"/>
              </w:rPr>
              <w:t>*</w:t>
            </w:r>
            <w:r>
              <w:rPr>
                <w:rFonts w:eastAsia="Times New Roman"/>
              </w:rPr>
              <w:t xml:space="preserve">p &lt; ,1; </w:t>
            </w:r>
            <w:r>
              <w:rPr>
                <w:rFonts w:eastAsia="Times New Roman"/>
                <w:vertAlign w:val="superscript"/>
              </w:rPr>
              <w:t>**</w:t>
            </w:r>
            <w:r>
              <w:rPr>
                <w:rFonts w:eastAsia="Times New Roman"/>
              </w:rPr>
              <w:t xml:space="preserve">p &lt; ,05; </w:t>
            </w:r>
            <w:r>
              <w:rPr>
                <w:rFonts w:eastAsia="Times New Roman"/>
                <w:vertAlign w:val="superscript"/>
              </w:rPr>
              <w:t>***</w:t>
            </w:r>
            <w:r>
              <w:rPr>
                <w:rFonts w:eastAsia="Times New Roman"/>
              </w:rPr>
              <w:t>p &lt; ,01</w:t>
            </w:r>
          </w:p>
        </w:tc>
      </w:tr>
      <w:tr w:rsidR="009628C7" w14:paraId="091CFC0F" w14:textId="77777777" w:rsidTr="007317BC">
        <w:trPr>
          <w:gridBefore w:val="1"/>
          <w:gridAfter w:val="4"/>
          <w:tblCellSpacing w:w="15" w:type="dxa"/>
        </w:trPr>
        <w:tc>
          <w:tcPr>
            <w:tcW w:w="0" w:type="auto"/>
            <w:gridSpan w:val="3"/>
            <w:vAlign w:val="center"/>
            <w:hideMark/>
          </w:tcPr>
          <w:p w14:paraId="682D26FE" w14:textId="77777777" w:rsidR="009628C7" w:rsidRDefault="009628C7" w:rsidP="00633129">
            <w:pPr>
              <w:rPr>
                <w:rFonts w:eastAsia="Times New Roman"/>
              </w:rPr>
            </w:pPr>
          </w:p>
        </w:tc>
        <w:tc>
          <w:tcPr>
            <w:tcW w:w="0" w:type="auto"/>
            <w:gridSpan w:val="13"/>
            <w:vAlign w:val="center"/>
            <w:hideMark/>
          </w:tcPr>
          <w:p w14:paraId="0837B86E" w14:textId="2B7D18E9" w:rsidR="00F9401D" w:rsidRPr="00352D7D" w:rsidRDefault="003E67F2" w:rsidP="003E67F2">
            <w:pPr>
              <w:spacing w:line="240" w:lineRule="auto"/>
              <w:jc w:val="both"/>
              <w:rPr>
                <w:rFonts w:eastAsia="Times New Roman"/>
                <w:sz w:val="20"/>
                <w:szCs w:val="20"/>
                <w:lang w:val="en-US"/>
              </w:rPr>
            </w:pPr>
            <w:r w:rsidRPr="00352D7D">
              <w:rPr>
                <w:rFonts w:eastAsia="Times New Roman"/>
                <w:sz w:val="20"/>
                <w:szCs w:val="20"/>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p w14:paraId="273DCE38" w14:textId="3E815A56" w:rsidR="009628C7" w:rsidRPr="003E67F2" w:rsidRDefault="009628C7" w:rsidP="003E67F2">
            <w:pPr>
              <w:spacing w:line="240" w:lineRule="auto"/>
              <w:rPr>
                <w:rFonts w:eastAsia="Times New Roman"/>
                <w:sz w:val="21"/>
                <w:szCs w:val="21"/>
              </w:rPr>
            </w:pPr>
          </w:p>
        </w:tc>
      </w:tr>
      <w:tr w:rsidR="009628C7" w:rsidRPr="00E8576D" w14:paraId="5AAB31BE" w14:textId="77777777" w:rsidTr="007317BC">
        <w:trPr>
          <w:gridAfter w:val="1"/>
          <w:tblCellSpacing w:w="15" w:type="dxa"/>
        </w:trPr>
        <w:tc>
          <w:tcPr>
            <w:tcW w:w="0" w:type="auto"/>
            <w:gridSpan w:val="18"/>
            <w:tcBorders>
              <w:top w:val="nil"/>
              <w:left w:val="nil"/>
              <w:bottom w:val="nil"/>
              <w:right w:val="nil"/>
            </w:tcBorders>
            <w:vAlign w:val="center"/>
            <w:hideMark/>
          </w:tcPr>
          <w:p w14:paraId="4BB77F5D" w14:textId="6CE61BEA" w:rsidR="009628C7" w:rsidRPr="00352D7D" w:rsidRDefault="00F17495" w:rsidP="00633129">
            <w:pPr>
              <w:jc w:val="center"/>
              <w:rPr>
                <w:rFonts w:eastAsia="Times New Roman"/>
                <w:sz w:val="24"/>
                <w:szCs w:val="24"/>
                <w:lang w:val="en-US"/>
              </w:rPr>
            </w:pPr>
            <w:r w:rsidRPr="00352D7D">
              <w:rPr>
                <w:rStyle w:val="Forte"/>
                <w:rFonts w:eastAsia="Times New Roman"/>
                <w:lang w:val="en-US"/>
              </w:rPr>
              <w:t>T</w:t>
            </w:r>
            <w:r w:rsidRPr="00352D7D">
              <w:rPr>
                <w:rStyle w:val="Forte"/>
                <w:lang w:val="en-US"/>
              </w:rPr>
              <w:t>able 3c</w:t>
            </w:r>
            <w:r w:rsidR="00352D7D">
              <w:rPr>
                <w:rStyle w:val="Forte"/>
                <w:lang w:val="en-US"/>
              </w:rPr>
              <w:t xml:space="preserve"> </w:t>
            </w:r>
            <w:r w:rsidRPr="00352D7D">
              <w:rPr>
                <w:rStyle w:val="Forte"/>
                <w:lang w:val="en-US"/>
              </w:rPr>
              <w:t xml:space="preserve">- </w:t>
            </w:r>
            <w:r w:rsidRPr="00352D7D">
              <w:rPr>
                <w:rFonts w:eastAsia="Times New Roman"/>
                <w:b/>
                <w:bCs/>
                <w:lang w:val="en-US"/>
              </w:rPr>
              <w:t>Observatories Impact on Percapita Expenses   (Exp/Inhab.)</w:t>
            </w:r>
          </w:p>
        </w:tc>
        <w:tc>
          <w:tcPr>
            <w:tcW w:w="0" w:type="auto"/>
            <w:gridSpan w:val="2"/>
          </w:tcPr>
          <w:p w14:paraId="599DF7CA" w14:textId="69003063" w:rsidR="009628C7" w:rsidRPr="00F17495" w:rsidRDefault="009628C7">
            <w:pPr>
              <w:rPr>
                <w:lang w:val="en-US"/>
              </w:rPr>
            </w:pPr>
          </w:p>
        </w:tc>
      </w:tr>
      <w:tr w:rsidR="009628C7" w:rsidRPr="00E8576D" w14:paraId="24E11836" w14:textId="77777777" w:rsidTr="007317BC">
        <w:trPr>
          <w:gridAfter w:val="3"/>
          <w:tblCellSpacing w:w="15" w:type="dxa"/>
        </w:trPr>
        <w:tc>
          <w:tcPr>
            <w:tcW w:w="0" w:type="auto"/>
            <w:gridSpan w:val="18"/>
            <w:tcBorders>
              <w:bottom w:val="single" w:sz="6" w:space="0" w:color="000000"/>
            </w:tcBorders>
            <w:vAlign w:val="center"/>
            <w:hideMark/>
          </w:tcPr>
          <w:p w14:paraId="1C37D488" w14:textId="77777777" w:rsidR="009628C7" w:rsidRPr="00F17495" w:rsidRDefault="009628C7" w:rsidP="00633129">
            <w:pPr>
              <w:jc w:val="center"/>
              <w:rPr>
                <w:rFonts w:eastAsia="Times New Roman"/>
                <w:lang w:val="en-US"/>
              </w:rPr>
            </w:pPr>
          </w:p>
        </w:tc>
      </w:tr>
      <w:tr w:rsidR="007317BC" w:rsidRPr="00E8576D" w14:paraId="5687E1A3" w14:textId="77777777" w:rsidTr="007317BC">
        <w:trPr>
          <w:gridAfter w:val="3"/>
          <w:tblCellSpacing w:w="15" w:type="dxa"/>
        </w:trPr>
        <w:tc>
          <w:tcPr>
            <w:tcW w:w="0" w:type="auto"/>
            <w:gridSpan w:val="3"/>
            <w:vAlign w:val="center"/>
            <w:hideMark/>
          </w:tcPr>
          <w:p w14:paraId="6A6A88EF" w14:textId="77777777" w:rsidR="00655534" w:rsidRPr="00F17495" w:rsidRDefault="00655534" w:rsidP="00655534">
            <w:pPr>
              <w:jc w:val="center"/>
              <w:rPr>
                <w:rFonts w:eastAsia="Times New Roman"/>
                <w:sz w:val="20"/>
                <w:szCs w:val="20"/>
                <w:lang w:val="en-US"/>
              </w:rPr>
            </w:pPr>
          </w:p>
        </w:tc>
        <w:tc>
          <w:tcPr>
            <w:tcW w:w="0" w:type="auto"/>
            <w:gridSpan w:val="2"/>
            <w:vAlign w:val="center"/>
            <w:hideMark/>
          </w:tcPr>
          <w:p w14:paraId="1414374E" w14:textId="1BAF2CA3" w:rsidR="00655534" w:rsidRDefault="00655534" w:rsidP="00655534">
            <w:pPr>
              <w:jc w:val="center"/>
              <w:rPr>
                <w:rFonts w:eastAsia="Times New Roman"/>
                <w:sz w:val="24"/>
                <w:szCs w:val="24"/>
              </w:rPr>
            </w:pPr>
            <w:r>
              <w:rPr>
                <w:rFonts w:eastAsia="Times New Roman"/>
              </w:rPr>
              <w:t xml:space="preserve">Capital Expenses </w:t>
            </w:r>
            <w:r w:rsidRPr="002C0AD3">
              <w:rPr>
                <w:rFonts w:eastAsia="Times New Roman"/>
                <w:lang w:val="en-US"/>
              </w:rPr>
              <w:t>(Exp/Inhab.)</w:t>
            </w:r>
          </w:p>
        </w:tc>
        <w:tc>
          <w:tcPr>
            <w:tcW w:w="0" w:type="auto"/>
            <w:gridSpan w:val="3"/>
            <w:vAlign w:val="center"/>
            <w:hideMark/>
          </w:tcPr>
          <w:p w14:paraId="669A7630" w14:textId="5EA02184" w:rsidR="00655534" w:rsidRDefault="00655534" w:rsidP="00655534">
            <w:pPr>
              <w:jc w:val="center"/>
              <w:rPr>
                <w:rFonts w:eastAsia="Times New Roman"/>
              </w:rPr>
            </w:pPr>
            <w:r>
              <w:rPr>
                <w:rFonts w:eastAsia="Times New Roman"/>
              </w:rPr>
              <w:t xml:space="preserve">Amortization </w:t>
            </w:r>
            <w:r w:rsidRPr="002C0AD3">
              <w:rPr>
                <w:rFonts w:eastAsia="Times New Roman"/>
                <w:lang w:val="en-US"/>
              </w:rPr>
              <w:t>(Exp/Inhab.)</w:t>
            </w:r>
          </w:p>
        </w:tc>
        <w:tc>
          <w:tcPr>
            <w:tcW w:w="0" w:type="auto"/>
            <w:gridSpan w:val="3"/>
            <w:vAlign w:val="center"/>
            <w:hideMark/>
          </w:tcPr>
          <w:p w14:paraId="4EB4FAE2" w14:textId="70B506E8" w:rsidR="00655534" w:rsidRDefault="00655534" w:rsidP="00655534">
            <w:pPr>
              <w:jc w:val="center"/>
              <w:rPr>
                <w:rFonts w:eastAsia="Times New Roman"/>
              </w:rPr>
            </w:pPr>
            <w:r>
              <w:rPr>
                <w:rFonts w:eastAsia="Times New Roman"/>
              </w:rPr>
              <w:t xml:space="preserve">Investiment </w:t>
            </w:r>
            <w:r w:rsidRPr="002C0AD3">
              <w:rPr>
                <w:rFonts w:eastAsia="Times New Roman"/>
                <w:lang w:val="en-US"/>
              </w:rPr>
              <w:t>(Exp/Inhab.)</w:t>
            </w:r>
          </w:p>
        </w:tc>
        <w:tc>
          <w:tcPr>
            <w:tcW w:w="0" w:type="auto"/>
            <w:gridSpan w:val="5"/>
            <w:vAlign w:val="center"/>
            <w:hideMark/>
          </w:tcPr>
          <w:p w14:paraId="10099C14" w14:textId="2F7D783E" w:rsidR="00655534" w:rsidRPr="00655534" w:rsidRDefault="00655534" w:rsidP="00655534">
            <w:pPr>
              <w:jc w:val="center"/>
              <w:rPr>
                <w:rFonts w:eastAsia="Times New Roman"/>
                <w:lang w:val="en-US"/>
              </w:rPr>
            </w:pPr>
            <w:r w:rsidRPr="0079514F">
              <w:rPr>
                <w:rFonts w:eastAsia="Times New Roman"/>
                <w:lang w:val="en-US"/>
              </w:rPr>
              <w:t xml:space="preserve">Equipament and Permanent Material </w:t>
            </w:r>
            <w:r w:rsidRPr="002C0AD3">
              <w:rPr>
                <w:rFonts w:eastAsia="Times New Roman"/>
                <w:lang w:val="en-US"/>
              </w:rPr>
              <w:t>(Exp/Inhab.)</w:t>
            </w:r>
          </w:p>
        </w:tc>
        <w:tc>
          <w:tcPr>
            <w:tcW w:w="0" w:type="auto"/>
            <w:gridSpan w:val="2"/>
            <w:vAlign w:val="center"/>
            <w:hideMark/>
          </w:tcPr>
          <w:p w14:paraId="5BB554ED" w14:textId="2B96B01E" w:rsidR="00655534" w:rsidRPr="00655534" w:rsidRDefault="00655534" w:rsidP="00655534">
            <w:pPr>
              <w:jc w:val="center"/>
              <w:rPr>
                <w:rFonts w:eastAsia="Times New Roman"/>
                <w:lang w:val="en-US"/>
              </w:rPr>
            </w:pPr>
            <w:r w:rsidRPr="0079514F">
              <w:rPr>
                <w:rFonts w:eastAsia="Times New Roman"/>
                <w:lang w:val="en-US"/>
              </w:rPr>
              <w:t xml:space="preserve">Construction and Instalations </w:t>
            </w:r>
            <w:r w:rsidRPr="002C0AD3">
              <w:rPr>
                <w:rFonts w:eastAsia="Times New Roman"/>
                <w:lang w:val="en-US"/>
              </w:rPr>
              <w:t>(Exp/Inhab.)</w:t>
            </w:r>
          </w:p>
        </w:tc>
      </w:tr>
      <w:tr w:rsidR="009628C7" w:rsidRPr="00E8576D" w14:paraId="21497AC0" w14:textId="77777777" w:rsidTr="007317BC">
        <w:trPr>
          <w:gridAfter w:val="3"/>
          <w:tblCellSpacing w:w="15" w:type="dxa"/>
        </w:trPr>
        <w:tc>
          <w:tcPr>
            <w:tcW w:w="0" w:type="auto"/>
            <w:gridSpan w:val="18"/>
            <w:tcBorders>
              <w:bottom w:val="single" w:sz="6" w:space="0" w:color="000000"/>
            </w:tcBorders>
            <w:vAlign w:val="center"/>
            <w:hideMark/>
          </w:tcPr>
          <w:p w14:paraId="35E80661" w14:textId="77777777" w:rsidR="009628C7" w:rsidRPr="00655534" w:rsidRDefault="009628C7" w:rsidP="00633129">
            <w:pPr>
              <w:jc w:val="center"/>
              <w:rPr>
                <w:rFonts w:eastAsia="Times New Roman"/>
                <w:lang w:val="en-US"/>
              </w:rPr>
            </w:pPr>
          </w:p>
        </w:tc>
      </w:tr>
      <w:tr w:rsidR="007317BC" w14:paraId="267EF4F7" w14:textId="77777777" w:rsidTr="007317BC">
        <w:trPr>
          <w:gridAfter w:val="3"/>
          <w:tblCellSpacing w:w="15" w:type="dxa"/>
        </w:trPr>
        <w:tc>
          <w:tcPr>
            <w:tcW w:w="0" w:type="auto"/>
            <w:gridSpan w:val="3"/>
            <w:vAlign w:val="center"/>
            <w:hideMark/>
          </w:tcPr>
          <w:p w14:paraId="1AF6E47B" w14:textId="77777777" w:rsidR="009628C7" w:rsidRDefault="009628C7" w:rsidP="00633129">
            <w:pPr>
              <w:rPr>
                <w:rFonts w:eastAsia="Times New Roman"/>
                <w:sz w:val="24"/>
                <w:szCs w:val="24"/>
              </w:rPr>
            </w:pPr>
            <w:r>
              <w:rPr>
                <w:rFonts w:eastAsia="Times New Roman"/>
              </w:rPr>
              <w:t>Observatório</w:t>
            </w:r>
          </w:p>
        </w:tc>
        <w:tc>
          <w:tcPr>
            <w:tcW w:w="0" w:type="auto"/>
            <w:gridSpan w:val="2"/>
            <w:vAlign w:val="center"/>
            <w:hideMark/>
          </w:tcPr>
          <w:p w14:paraId="0CA7F62A" w14:textId="77777777" w:rsidR="009628C7" w:rsidRDefault="009628C7" w:rsidP="00633129">
            <w:pPr>
              <w:jc w:val="center"/>
              <w:rPr>
                <w:rFonts w:eastAsia="Times New Roman"/>
              </w:rPr>
            </w:pPr>
            <w:r>
              <w:rPr>
                <w:rFonts w:eastAsia="Times New Roman"/>
              </w:rPr>
              <w:t>-8,837</w:t>
            </w:r>
          </w:p>
        </w:tc>
        <w:tc>
          <w:tcPr>
            <w:tcW w:w="0" w:type="auto"/>
            <w:gridSpan w:val="3"/>
            <w:vAlign w:val="center"/>
            <w:hideMark/>
          </w:tcPr>
          <w:p w14:paraId="229B5492" w14:textId="77777777" w:rsidR="009628C7" w:rsidRDefault="009628C7" w:rsidP="00633129">
            <w:pPr>
              <w:jc w:val="center"/>
              <w:rPr>
                <w:rFonts w:eastAsia="Times New Roman"/>
              </w:rPr>
            </w:pPr>
            <w:r>
              <w:rPr>
                <w:rFonts w:eastAsia="Times New Roman"/>
              </w:rPr>
              <w:t>-2,512</w:t>
            </w:r>
          </w:p>
        </w:tc>
        <w:tc>
          <w:tcPr>
            <w:tcW w:w="0" w:type="auto"/>
            <w:gridSpan w:val="3"/>
            <w:vAlign w:val="center"/>
            <w:hideMark/>
          </w:tcPr>
          <w:p w14:paraId="3C081811" w14:textId="77777777" w:rsidR="009628C7" w:rsidRDefault="009628C7" w:rsidP="00633129">
            <w:pPr>
              <w:jc w:val="center"/>
              <w:rPr>
                <w:rFonts w:eastAsia="Times New Roman"/>
              </w:rPr>
            </w:pPr>
            <w:r>
              <w:rPr>
                <w:rFonts w:eastAsia="Times New Roman"/>
              </w:rPr>
              <w:t>-10,396</w:t>
            </w:r>
          </w:p>
        </w:tc>
        <w:tc>
          <w:tcPr>
            <w:tcW w:w="0" w:type="auto"/>
            <w:gridSpan w:val="5"/>
            <w:vAlign w:val="center"/>
            <w:hideMark/>
          </w:tcPr>
          <w:p w14:paraId="1D901267" w14:textId="77777777" w:rsidR="009628C7" w:rsidRDefault="009628C7" w:rsidP="00633129">
            <w:pPr>
              <w:jc w:val="center"/>
              <w:rPr>
                <w:rFonts w:eastAsia="Times New Roman"/>
              </w:rPr>
            </w:pPr>
            <w:r>
              <w:rPr>
                <w:rFonts w:eastAsia="Times New Roman"/>
              </w:rPr>
              <w:t>-25,027</w:t>
            </w:r>
            <w:r>
              <w:rPr>
                <w:rFonts w:eastAsia="Times New Roman"/>
                <w:vertAlign w:val="superscript"/>
              </w:rPr>
              <w:t>***</w:t>
            </w:r>
          </w:p>
        </w:tc>
        <w:tc>
          <w:tcPr>
            <w:tcW w:w="0" w:type="auto"/>
            <w:gridSpan w:val="2"/>
            <w:vAlign w:val="center"/>
            <w:hideMark/>
          </w:tcPr>
          <w:p w14:paraId="3B1EC52C" w14:textId="77777777" w:rsidR="009628C7" w:rsidRDefault="009628C7" w:rsidP="00633129">
            <w:pPr>
              <w:jc w:val="center"/>
              <w:rPr>
                <w:rFonts w:eastAsia="Times New Roman"/>
              </w:rPr>
            </w:pPr>
            <w:r>
              <w:rPr>
                <w:rFonts w:eastAsia="Times New Roman"/>
              </w:rPr>
              <w:t>-17,954</w:t>
            </w:r>
          </w:p>
        </w:tc>
      </w:tr>
      <w:tr w:rsidR="007317BC" w14:paraId="2A668EF1" w14:textId="77777777" w:rsidTr="007317BC">
        <w:trPr>
          <w:gridAfter w:val="3"/>
          <w:tblCellSpacing w:w="15" w:type="dxa"/>
        </w:trPr>
        <w:tc>
          <w:tcPr>
            <w:tcW w:w="0" w:type="auto"/>
            <w:gridSpan w:val="3"/>
            <w:vAlign w:val="center"/>
            <w:hideMark/>
          </w:tcPr>
          <w:p w14:paraId="6F88623F" w14:textId="77777777" w:rsidR="009628C7" w:rsidRDefault="009628C7" w:rsidP="00633129">
            <w:pPr>
              <w:jc w:val="center"/>
              <w:rPr>
                <w:rFonts w:eastAsia="Times New Roman"/>
              </w:rPr>
            </w:pPr>
          </w:p>
        </w:tc>
        <w:tc>
          <w:tcPr>
            <w:tcW w:w="0" w:type="auto"/>
            <w:gridSpan w:val="2"/>
            <w:vAlign w:val="center"/>
            <w:hideMark/>
          </w:tcPr>
          <w:p w14:paraId="5E2E05C5" w14:textId="77777777" w:rsidR="009628C7" w:rsidRDefault="009628C7" w:rsidP="00633129">
            <w:pPr>
              <w:jc w:val="center"/>
              <w:rPr>
                <w:rFonts w:eastAsia="Times New Roman"/>
                <w:sz w:val="24"/>
                <w:szCs w:val="24"/>
              </w:rPr>
            </w:pPr>
            <w:r>
              <w:rPr>
                <w:rFonts w:eastAsia="Times New Roman"/>
              </w:rPr>
              <w:t>(39,946)</w:t>
            </w:r>
          </w:p>
        </w:tc>
        <w:tc>
          <w:tcPr>
            <w:tcW w:w="0" w:type="auto"/>
            <w:gridSpan w:val="3"/>
            <w:vAlign w:val="center"/>
            <w:hideMark/>
          </w:tcPr>
          <w:p w14:paraId="26A02C36" w14:textId="77777777" w:rsidR="009628C7" w:rsidRDefault="009628C7" w:rsidP="00633129">
            <w:pPr>
              <w:jc w:val="center"/>
              <w:rPr>
                <w:rFonts w:eastAsia="Times New Roman"/>
              </w:rPr>
            </w:pPr>
            <w:r>
              <w:rPr>
                <w:rFonts w:eastAsia="Times New Roman"/>
              </w:rPr>
              <w:t>(5,460)</w:t>
            </w:r>
          </w:p>
        </w:tc>
        <w:tc>
          <w:tcPr>
            <w:tcW w:w="0" w:type="auto"/>
            <w:gridSpan w:val="3"/>
            <w:vAlign w:val="center"/>
            <w:hideMark/>
          </w:tcPr>
          <w:p w14:paraId="69CCDEB1" w14:textId="77777777" w:rsidR="009628C7" w:rsidRDefault="009628C7" w:rsidP="00633129">
            <w:pPr>
              <w:jc w:val="center"/>
              <w:rPr>
                <w:rFonts w:eastAsia="Times New Roman"/>
              </w:rPr>
            </w:pPr>
            <w:r>
              <w:rPr>
                <w:rFonts w:eastAsia="Times New Roman"/>
              </w:rPr>
              <w:t>(32,707)</w:t>
            </w:r>
          </w:p>
        </w:tc>
        <w:tc>
          <w:tcPr>
            <w:tcW w:w="0" w:type="auto"/>
            <w:gridSpan w:val="5"/>
            <w:vAlign w:val="center"/>
            <w:hideMark/>
          </w:tcPr>
          <w:p w14:paraId="73882CA6" w14:textId="77777777" w:rsidR="009628C7" w:rsidRDefault="009628C7" w:rsidP="00633129">
            <w:pPr>
              <w:jc w:val="center"/>
              <w:rPr>
                <w:rFonts w:eastAsia="Times New Roman"/>
              </w:rPr>
            </w:pPr>
            <w:r>
              <w:rPr>
                <w:rFonts w:eastAsia="Times New Roman"/>
              </w:rPr>
              <w:t>(7,788)</w:t>
            </w:r>
          </w:p>
        </w:tc>
        <w:tc>
          <w:tcPr>
            <w:tcW w:w="0" w:type="auto"/>
            <w:gridSpan w:val="2"/>
            <w:vAlign w:val="center"/>
            <w:hideMark/>
          </w:tcPr>
          <w:p w14:paraId="4A25E247" w14:textId="77777777" w:rsidR="009628C7" w:rsidRDefault="009628C7" w:rsidP="00633129">
            <w:pPr>
              <w:jc w:val="center"/>
              <w:rPr>
                <w:rFonts w:eastAsia="Times New Roman"/>
              </w:rPr>
            </w:pPr>
            <w:r>
              <w:rPr>
                <w:rFonts w:eastAsia="Times New Roman"/>
              </w:rPr>
              <w:t>(15,324)</w:t>
            </w:r>
          </w:p>
        </w:tc>
      </w:tr>
      <w:tr w:rsidR="007317BC" w14:paraId="3D11005B" w14:textId="77777777" w:rsidTr="007317BC">
        <w:trPr>
          <w:gridAfter w:val="3"/>
          <w:tblCellSpacing w:w="15" w:type="dxa"/>
        </w:trPr>
        <w:tc>
          <w:tcPr>
            <w:tcW w:w="0" w:type="auto"/>
            <w:gridSpan w:val="3"/>
            <w:vAlign w:val="center"/>
            <w:hideMark/>
          </w:tcPr>
          <w:p w14:paraId="3B868287" w14:textId="77777777" w:rsidR="009628C7" w:rsidRDefault="009628C7" w:rsidP="00633129">
            <w:pPr>
              <w:rPr>
                <w:rFonts w:eastAsia="Times New Roman"/>
              </w:rPr>
            </w:pPr>
            <w:r>
              <w:rPr>
                <w:rFonts w:eastAsia="Times New Roman"/>
              </w:rPr>
              <w:t>N</w:t>
            </w:r>
          </w:p>
        </w:tc>
        <w:tc>
          <w:tcPr>
            <w:tcW w:w="0" w:type="auto"/>
            <w:gridSpan w:val="2"/>
            <w:vAlign w:val="center"/>
            <w:hideMark/>
          </w:tcPr>
          <w:p w14:paraId="324A39C1" w14:textId="77777777" w:rsidR="009628C7" w:rsidRDefault="009628C7" w:rsidP="00633129">
            <w:pPr>
              <w:jc w:val="center"/>
              <w:rPr>
                <w:rFonts w:eastAsia="Times New Roman"/>
              </w:rPr>
            </w:pPr>
            <w:r>
              <w:rPr>
                <w:rFonts w:eastAsia="Times New Roman"/>
              </w:rPr>
              <w:t>19.029</w:t>
            </w:r>
          </w:p>
        </w:tc>
        <w:tc>
          <w:tcPr>
            <w:tcW w:w="0" w:type="auto"/>
            <w:gridSpan w:val="3"/>
            <w:vAlign w:val="center"/>
            <w:hideMark/>
          </w:tcPr>
          <w:p w14:paraId="64966A3E" w14:textId="77777777" w:rsidR="009628C7" w:rsidRDefault="009628C7" w:rsidP="00633129">
            <w:pPr>
              <w:jc w:val="center"/>
              <w:rPr>
                <w:rFonts w:eastAsia="Times New Roman"/>
              </w:rPr>
            </w:pPr>
            <w:r>
              <w:rPr>
                <w:rFonts w:eastAsia="Times New Roman"/>
              </w:rPr>
              <w:t>19.029</w:t>
            </w:r>
          </w:p>
        </w:tc>
        <w:tc>
          <w:tcPr>
            <w:tcW w:w="0" w:type="auto"/>
            <w:gridSpan w:val="3"/>
            <w:vAlign w:val="center"/>
            <w:hideMark/>
          </w:tcPr>
          <w:p w14:paraId="7976B126" w14:textId="77777777" w:rsidR="009628C7" w:rsidRDefault="009628C7" w:rsidP="00633129">
            <w:pPr>
              <w:jc w:val="center"/>
              <w:rPr>
                <w:rFonts w:eastAsia="Times New Roman"/>
              </w:rPr>
            </w:pPr>
            <w:r>
              <w:rPr>
                <w:rFonts w:eastAsia="Times New Roman"/>
              </w:rPr>
              <w:t>19.029</w:t>
            </w:r>
          </w:p>
        </w:tc>
        <w:tc>
          <w:tcPr>
            <w:tcW w:w="0" w:type="auto"/>
            <w:gridSpan w:val="5"/>
            <w:vAlign w:val="center"/>
            <w:hideMark/>
          </w:tcPr>
          <w:p w14:paraId="5976FCD5" w14:textId="77777777" w:rsidR="009628C7" w:rsidRDefault="009628C7" w:rsidP="00633129">
            <w:pPr>
              <w:jc w:val="center"/>
              <w:rPr>
                <w:rFonts w:eastAsia="Times New Roman"/>
              </w:rPr>
            </w:pPr>
            <w:r>
              <w:rPr>
                <w:rFonts w:eastAsia="Times New Roman"/>
              </w:rPr>
              <w:t>19.029</w:t>
            </w:r>
          </w:p>
        </w:tc>
        <w:tc>
          <w:tcPr>
            <w:tcW w:w="0" w:type="auto"/>
            <w:gridSpan w:val="2"/>
            <w:vAlign w:val="center"/>
            <w:hideMark/>
          </w:tcPr>
          <w:p w14:paraId="44CE654C" w14:textId="77777777" w:rsidR="009628C7" w:rsidRDefault="009628C7" w:rsidP="00633129">
            <w:pPr>
              <w:jc w:val="center"/>
              <w:rPr>
                <w:rFonts w:eastAsia="Times New Roman"/>
              </w:rPr>
            </w:pPr>
            <w:r>
              <w:rPr>
                <w:rFonts w:eastAsia="Times New Roman"/>
              </w:rPr>
              <w:t>19.029</w:t>
            </w:r>
          </w:p>
        </w:tc>
      </w:tr>
      <w:tr w:rsidR="007317BC" w14:paraId="4E0BAA76" w14:textId="77777777" w:rsidTr="007317BC">
        <w:trPr>
          <w:gridAfter w:val="3"/>
          <w:tblCellSpacing w:w="15" w:type="dxa"/>
        </w:trPr>
        <w:tc>
          <w:tcPr>
            <w:tcW w:w="0" w:type="auto"/>
            <w:gridSpan w:val="3"/>
            <w:vAlign w:val="center"/>
            <w:hideMark/>
          </w:tcPr>
          <w:p w14:paraId="5047848A" w14:textId="77777777" w:rsidR="009628C7" w:rsidRDefault="009628C7" w:rsidP="00633129">
            <w:pPr>
              <w:rPr>
                <w:rFonts w:eastAsia="Times New Roman"/>
              </w:rPr>
            </w:pPr>
            <w:r>
              <w:rPr>
                <w:rFonts w:eastAsia="Times New Roman"/>
              </w:rPr>
              <w:t>R</w:t>
            </w:r>
            <w:r>
              <w:rPr>
                <w:rFonts w:eastAsia="Times New Roman"/>
                <w:vertAlign w:val="superscript"/>
              </w:rPr>
              <w:t>2</w:t>
            </w:r>
          </w:p>
        </w:tc>
        <w:tc>
          <w:tcPr>
            <w:tcW w:w="0" w:type="auto"/>
            <w:gridSpan w:val="2"/>
            <w:vAlign w:val="center"/>
            <w:hideMark/>
          </w:tcPr>
          <w:p w14:paraId="62B48809" w14:textId="77777777" w:rsidR="009628C7" w:rsidRDefault="009628C7" w:rsidP="00633129">
            <w:pPr>
              <w:jc w:val="center"/>
              <w:rPr>
                <w:rFonts w:eastAsia="Times New Roman"/>
              </w:rPr>
            </w:pPr>
            <w:r>
              <w:rPr>
                <w:rFonts w:eastAsia="Times New Roman"/>
              </w:rPr>
              <w:t>0,049</w:t>
            </w:r>
          </w:p>
        </w:tc>
        <w:tc>
          <w:tcPr>
            <w:tcW w:w="0" w:type="auto"/>
            <w:gridSpan w:val="3"/>
            <w:vAlign w:val="center"/>
            <w:hideMark/>
          </w:tcPr>
          <w:p w14:paraId="42D39C4F" w14:textId="77777777" w:rsidR="009628C7" w:rsidRDefault="009628C7" w:rsidP="00633129">
            <w:pPr>
              <w:jc w:val="center"/>
              <w:rPr>
                <w:rFonts w:eastAsia="Times New Roman"/>
              </w:rPr>
            </w:pPr>
            <w:r>
              <w:rPr>
                <w:rFonts w:eastAsia="Times New Roman"/>
              </w:rPr>
              <w:t>0,049</w:t>
            </w:r>
          </w:p>
        </w:tc>
        <w:tc>
          <w:tcPr>
            <w:tcW w:w="0" w:type="auto"/>
            <w:gridSpan w:val="3"/>
            <w:vAlign w:val="center"/>
            <w:hideMark/>
          </w:tcPr>
          <w:p w14:paraId="4B2050C6" w14:textId="77777777" w:rsidR="009628C7" w:rsidRDefault="009628C7" w:rsidP="00633129">
            <w:pPr>
              <w:jc w:val="center"/>
              <w:rPr>
                <w:rFonts w:eastAsia="Times New Roman"/>
              </w:rPr>
            </w:pPr>
            <w:r>
              <w:rPr>
                <w:rFonts w:eastAsia="Times New Roman"/>
              </w:rPr>
              <w:t>0,049</w:t>
            </w:r>
          </w:p>
        </w:tc>
        <w:tc>
          <w:tcPr>
            <w:tcW w:w="0" w:type="auto"/>
            <w:gridSpan w:val="5"/>
            <w:vAlign w:val="center"/>
            <w:hideMark/>
          </w:tcPr>
          <w:p w14:paraId="31C7A01C" w14:textId="77777777" w:rsidR="009628C7" w:rsidRDefault="009628C7" w:rsidP="00633129">
            <w:pPr>
              <w:jc w:val="center"/>
              <w:rPr>
                <w:rFonts w:eastAsia="Times New Roman"/>
              </w:rPr>
            </w:pPr>
            <w:r>
              <w:rPr>
                <w:rFonts w:eastAsia="Times New Roman"/>
              </w:rPr>
              <w:t>0,031</w:t>
            </w:r>
          </w:p>
        </w:tc>
        <w:tc>
          <w:tcPr>
            <w:tcW w:w="0" w:type="auto"/>
            <w:gridSpan w:val="2"/>
            <w:vAlign w:val="center"/>
            <w:hideMark/>
          </w:tcPr>
          <w:p w14:paraId="52562664" w14:textId="77777777" w:rsidR="009628C7" w:rsidRDefault="009628C7" w:rsidP="00633129">
            <w:pPr>
              <w:jc w:val="center"/>
              <w:rPr>
                <w:rFonts w:eastAsia="Times New Roman"/>
              </w:rPr>
            </w:pPr>
            <w:r>
              <w:rPr>
                <w:rFonts w:eastAsia="Times New Roman"/>
              </w:rPr>
              <w:t>0,035</w:t>
            </w:r>
          </w:p>
        </w:tc>
      </w:tr>
      <w:tr w:rsidR="009628C7" w14:paraId="375BF074" w14:textId="77777777" w:rsidTr="007317BC">
        <w:trPr>
          <w:gridAfter w:val="3"/>
          <w:tblCellSpacing w:w="15" w:type="dxa"/>
        </w:trPr>
        <w:tc>
          <w:tcPr>
            <w:tcW w:w="0" w:type="auto"/>
            <w:gridSpan w:val="18"/>
            <w:tcBorders>
              <w:bottom w:val="single" w:sz="6" w:space="0" w:color="000000"/>
            </w:tcBorders>
            <w:vAlign w:val="center"/>
            <w:hideMark/>
          </w:tcPr>
          <w:p w14:paraId="30974C6E" w14:textId="77777777" w:rsidR="009628C7" w:rsidRDefault="009628C7" w:rsidP="00633129">
            <w:pPr>
              <w:jc w:val="center"/>
              <w:rPr>
                <w:rFonts w:eastAsia="Times New Roman"/>
              </w:rPr>
            </w:pPr>
          </w:p>
        </w:tc>
      </w:tr>
      <w:tr w:rsidR="009628C7" w14:paraId="6C7A78F4" w14:textId="77777777" w:rsidTr="007317BC">
        <w:trPr>
          <w:gridAfter w:val="3"/>
          <w:tblCellSpacing w:w="15" w:type="dxa"/>
        </w:trPr>
        <w:tc>
          <w:tcPr>
            <w:tcW w:w="0" w:type="auto"/>
            <w:gridSpan w:val="3"/>
            <w:vAlign w:val="center"/>
            <w:hideMark/>
          </w:tcPr>
          <w:p w14:paraId="5D245979" w14:textId="4B845AD1" w:rsidR="009628C7" w:rsidRDefault="009628C7" w:rsidP="00633129">
            <w:pPr>
              <w:rPr>
                <w:rFonts w:eastAsia="Times New Roman"/>
                <w:sz w:val="24"/>
                <w:szCs w:val="24"/>
              </w:rPr>
            </w:pPr>
            <w:r>
              <w:rPr>
                <w:rFonts w:eastAsia="Times New Roman"/>
              </w:rPr>
              <w:t>Not</w:t>
            </w:r>
            <w:r w:rsidR="00655534">
              <w:rPr>
                <w:rFonts w:eastAsia="Times New Roman"/>
              </w:rPr>
              <w:t>e</w:t>
            </w:r>
            <w:r>
              <w:rPr>
                <w:rFonts w:eastAsia="Times New Roman"/>
              </w:rPr>
              <w:t>s</w:t>
            </w:r>
          </w:p>
        </w:tc>
        <w:tc>
          <w:tcPr>
            <w:tcW w:w="0" w:type="auto"/>
            <w:gridSpan w:val="15"/>
            <w:vAlign w:val="center"/>
            <w:hideMark/>
          </w:tcPr>
          <w:p w14:paraId="56894DCC" w14:textId="77777777" w:rsidR="009628C7" w:rsidRDefault="009628C7" w:rsidP="00633129">
            <w:pPr>
              <w:rPr>
                <w:rFonts w:eastAsia="Times New Roman"/>
              </w:rPr>
            </w:pPr>
            <w:r>
              <w:rPr>
                <w:rFonts w:eastAsia="Times New Roman"/>
                <w:vertAlign w:val="superscript"/>
              </w:rPr>
              <w:t>*</w:t>
            </w:r>
            <w:r>
              <w:rPr>
                <w:rFonts w:eastAsia="Times New Roman"/>
              </w:rPr>
              <w:t xml:space="preserve">p &lt; ,1; </w:t>
            </w:r>
            <w:r>
              <w:rPr>
                <w:rFonts w:eastAsia="Times New Roman"/>
                <w:vertAlign w:val="superscript"/>
              </w:rPr>
              <w:t>**</w:t>
            </w:r>
            <w:r>
              <w:rPr>
                <w:rFonts w:eastAsia="Times New Roman"/>
              </w:rPr>
              <w:t xml:space="preserve">p &lt; ,05; </w:t>
            </w:r>
            <w:r>
              <w:rPr>
                <w:rFonts w:eastAsia="Times New Roman"/>
                <w:vertAlign w:val="superscript"/>
              </w:rPr>
              <w:t>***</w:t>
            </w:r>
            <w:r>
              <w:rPr>
                <w:rFonts w:eastAsia="Times New Roman"/>
              </w:rPr>
              <w:t>p &lt; ,01</w:t>
            </w:r>
          </w:p>
        </w:tc>
      </w:tr>
      <w:tr w:rsidR="009628C7" w:rsidRPr="00677DD9" w14:paraId="02EBF632" w14:textId="77777777" w:rsidTr="007317BC">
        <w:trPr>
          <w:gridAfter w:val="3"/>
          <w:tblCellSpacing w:w="15" w:type="dxa"/>
        </w:trPr>
        <w:tc>
          <w:tcPr>
            <w:tcW w:w="0" w:type="auto"/>
            <w:gridSpan w:val="3"/>
            <w:vAlign w:val="center"/>
            <w:hideMark/>
          </w:tcPr>
          <w:p w14:paraId="317F0D6C" w14:textId="77777777" w:rsidR="009628C7" w:rsidRDefault="009628C7" w:rsidP="00633129">
            <w:pPr>
              <w:rPr>
                <w:rFonts w:eastAsia="Times New Roman"/>
              </w:rPr>
            </w:pPr>
          </w:p>
        </w:tc>
        <w:tc>
          <w:tcPr>
            <w:tcW w:w="0" w:type="auto"/>
            <w:gridSpan w:val="15"/>
            <w:vAlign w:val="center"/>
            <w:hideMark/>
          </w:tcPr>
          <w:p w14:paraId="26C58780" w14:textId="0244C0FF" w:rsidR="009628C7" w:rsidRPr="00352D7D" w:rsidRDefault="003E67F2" w:rsidP="0047335C">
            <w:pPr>
              <w:spacing w:line="240" w:lineRule="auto"/>
              <w:jc w:val="both"/>
              <w:rPr>
                <w:rFonts w:eastAsia="Times New Roman"/>
                <w:sz w:val="20"/>
                <w:szCs w:val="20"/>
              </w:rPr>
            </w:pPr>
            <w:r w:rsidRPr="00352D7D">
              <w:rPr>
                <w:rFonts w:eastAsia="Times New Roman"/>
                <w:sz w:val="20"/>
                <w:szCs w:val="20"/>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tc>
      </w:tr>
    </w:tbl>
    <w:p w14:paraId="7D3602F0" w14:textId="6F2BE8D1" w:rsidR="00785121" w:rsidRDefault="00785121" w:rsidP="003E67F2">
      <w:pPr>
        <w:spacing w:after="0" w:line="360" w:lineRule="auto"/>
        <w:jc w:val="both"/>
        <w:rPr>
          <w:rFonts w:ascii="Times New Roman" w:hAnsi="Times New Roman" w:cs="Times New Roman"/>
          <w:b/>
          <w:bCs/>
          <w:sz w:val="24"/>
          <w:szCs w:val="24"/>
          <w:lang w:val="en-US"/>
        </w:rPr>
      </w:pPr>
    </w:p>
    <w:p w14:paraId="12F72E3A" w14:textId="79317DD4" w:rsidR="0047335C" w:rsidRPr="0047335C" w:rsidRDefault="00677DD9" w:rsidP="00526111">
      <w:pPr>
        <w:spacing w:after="0" w:line="360" w:lineRule="auto"/>
        <w:ind w:left="624"/>
        <w:jc w:val="both"/>
        <w:rPr>
          <w:rFonts w:ascii="Times New Roman" w:hAnsi="Times New Roman" w:cs="Times New Roman"/>
          <w:b/>
          <w:bCs/>
          <w:sz w:val="24"/>
          <w:szCs w:val="24"/>
          <w:lang w:val="en-US"/>
        </w:rPr>
      </w:pPr>
      <w:r w:rsidRPr="003E67F2">
        <w:rPr>
          <w:rFonts w:ascii="Times New Roman" w:hAnsi="Times New Roman" w:cs="Times New Roman"/>
          <w:b/>
          <w:bCs/>
          <w:sz w:val="24"/>
          <w:szCs w:val="24"/>
          <w:lang w:val="en-US"/>
        </w:rPr>
        <w:t>5.3 Hypothesis of the greater effectiveness of OSB network observatories</w:t>
      </w:r>
    </w:p>
    <w:p w14:paraId="6A426D78" w14:textId="6FF8EEDD" w:rsidR="00910AEB" w:rsidRDefault="00381805" w:rsidP="00910AEB">
      <w:pPr>
        <w:pStyle w:val="PargrafodaLista"/>
        <w:spacing w:after="0" w:line="360" w:lineRule="auto"/>
        <w:ind w:left="0" w:firstLine="624"/>
        <w:jc w:val="both"/>
        <w:rPr>
          <w:rFonts w:ascii="Times New Roman" w:hAnsi="Times New Roman" w:cs="Times New Roman"/>
          <w:sz w:val="24"/>
          <w:szCs w:val="24"/>
          <w:lang w:val="en-US"/>
        </w:rPr>
      </w:pPr>
      <w:r w:rsidRPr="00381805">
        <w:rPr>
          <w:rFonts w:ascii="Times New Roman" w:hAnsi="Times New Roman" w:cs="Times New Roman"/>
          <w:sz w:val="24"/>
          <w:szCs w:val="24"/>
          <w:lang w:val="en-US"/>
        </w:rPr>
        <w:t xml:space="preserve">The third study checks if there is an effectiveness differential between the Observatories of the OSB network and the Brazilian Observatories in general, to evaluate whether the OSB Observatories can be seen as the “golden standard” for Social Observatories. As discussed, there are some differences between the standardized method followed by the OSB network units and the methodologies of the “Observatório de Maringá” and other independent Observatories. Besides the </w:t>
      </w:r>
      <w:r w:rsidRPr="00381805">
        <w:rPr>
          <w:rFonts w:ascii="Times New Roman" w:hAnsi="Times New Roman" w:cs="Times New Roman"/>
          <w:sz w:val="24"/>
          <w:szCs w:val="24"/>
          <w:lang w:val="en-US"/>
        </w:rPr>
        <w:lastRenderedPageBreak/>
        <w:t xml:space="preserve">potential outcomes difference resulting from methodological heterogeneity, the fact that OSB Observatories work in a network, sharing knowledge, could also </w:t>
      </w:r>
      <w:r w:rsidR="00F931A6">
        <w:rPr>
          <w:rFonts w:ascii="Times New Roman" w:hAnsi="Times New Roman" w:cs="Times New Roman"/>
          <w:sz w:val="24"/>
          <w:szCs w:val="24"/>
          <w:lang w:val="en-US"/>
        </w:rPr>
        <w:t>grant</w:t>
      </w:r>
      <w:r w:rsidRPr="00381805">
        <w:rPr>
          <w:rFonts w:ascii="Times New Roman" w:hAnsi="Times New Roman" w:cs="Times New Roman"/>
          <w:sz w:val="24"/>
          <w:szCs w:val="24"/>
          <w:lang w:val="en-US"/>
        </w:rPr>
        <w:t xml:space="preserve"> them competitive advantages</w:t>
      </w:r>
      <w:r>
        <w:rPr>
          <w:rFonts w:ascii="Times New Roman" w:hAnsi="Times New Roman" w:cs="Times New Roman"/>
          <w:sz w:val="24"/>
          <w:szCs w:val="24"/>
          <w:lang w:val="en-US"/>
        </w:rPr>
        <w:t>,</w:t>
      </w:r>
      <w:r w:rsidRPr="00381805">
        <w:rPr>
          <w:rFonts w:ascii="Times New Roman" w:hAnsi="Times New Roman" w:cs="Times New Roman"/>
          <w:sz w:val="24"/>
          <w:szCs w:val="24"/>
          <w:lang w:val="en-US"/>
        </w:rPr>
        <w:t xml:space="preserve"> inducing better results in terms of reduction of municipal expenses </w:t>
      </w:r>
      <w:r w:rsidR="00F931A6">
        <w:rPr>
          <w:rFonts w:ascii="Times New Roman" w:hAnsi="Times New Roman" w:cs="Times New Roman"/>
          <w:sz w:val="24"/>
          <w:szCs w:val="24"/>
          <w:lang w:val="en-US"/>
        </w:rPr>
        <w:fldChar w:fldCharType="begin" w:fldLock="1"/>
      </w:r>
      <w:r w:rsidR="00185DED">
        <w:rPr>
          <w:rFonts w:ascii="Times New Roman" w:hAnsi="Times New Roman" w:cs="Times New Roman"/>
          <w:sz w:val="24"/>
          <w:szCs w:val="24"/>
          <w:lang w:val="en-US"/>
        </w:rPr>
        <w:instrText>ADDIN CSL_CITATION {"citationItems":[{"id":"ITEM-1","itemData":{"DOI":"10.1108/13665620310488548","ISSN":"13665626","abstract":"Globalisation is transforming the competitive environment of small and medium-sized firms. Because these firms are competing with their larger counterparts in an economy where collaboration is increasingly central to organisational effectiveness, one must pay more attention to the social networks that organisations rely on. This article focuses on the relational perspective and describes the characteristics of embedded relationships that firms have to pay attention to in order to survive. © 2003, MCB UP Limited","author":[{"dropping-particle":"","family":"Laere","given":"Kristien","non-dropping-particle":"Van","parse-names":false,"suffix":""},{"dropping-particle":"","family":"Heene","given":"Aimé","non-dropping-particle":"","parse-names":false,"suffix":""}],"container-title":"Journal of Workplace Learning","id":"ITEM-1","issue":"6","issued":{"date-parts":[["2003"]]},"page":"248-258","title":"Social networks as a source of competitive advantage for the firm","type":"article-journal","volume":"15"},"uris":["http://www.mendeley.com/documents/?uuid=516a3924-751a-4ce3-b2d6-cefb4fc6220b"]}],"mendeley":{"formattedCitation":"(Van Laere &amp; Heene, 2003)","plainTextFormattedCitation":"(Van Laere &amp; Heene, 2003)","previouslyFormattedCitation":"(Van Laere &amp; Heene, 2003)"},"properties":{"noteIndex":0},"schema":"https://github.com/citation-style-language/schema/raw/master/csl-citation.json"}</w:instrText>
      </w:r>
      <w:r w:rsidR="00F931A6">
        <w:rPr>
          <w:rFonts w:ascii="Times New Roman" w:hAnsi="Times New Roman" w:cs="Times New Roman"/>
          <w:sz w:val="24"/>
          <w:szCs w:val="24"/>
          <w:lang w:val="en-US"/>
        </w:rPr>
        <w:fldChar w:fldCharType="separate"/>
      </w:r>
      <w:r w:rsidR="00F931A6" w:rsidRPr="00F931A6">
        <w:rPr>
          <w:rFonts w:ascii="Times New Roman" w:hAnsi="Times New Roman" w:cs="Times New Roman"/>
          <w:noProof/>
          <w:sz w:val="24"/>
          <w:szCs w:val="24"/>
          <w:lang w:val="en-US"/>
        </w:rPr>
        <w:t>(Van Laere &amp; Heene, 2003)</w:t>
      </w:r>
      <w:r w:rsidR="00F931A6">
        <w:rPr>
          <w:rFonts w:ascii="Times New Roman" w:hAnsi="Times New Roman" w:cs="Times New Roman"/>
          <w:sz w:val="24"/>
          <w:szCs w:val="24"/>
          <w:lang w:val="en-US"/>
        </w:rPr>
        <w:fldChar w:fldCharType="end"/>
      </w:r>
      <w:r w:rsidRPr="00381805">
        <w:rPr>
          <w:rFonts w:ascii="Times New Roman" w:hAnsi="Times New Roman" w:cs="Times New Roman"/>
          <w:sz w:val="24"/>
          <w:szCs w:val="24"/>
          <w:lang w:val="en-US"/>
        </w:rPr>
        <w:t>. </w:t>
      </w:r>
    </w:p>
    <w:p w14:paraId="4BDA2410" w14:textId="68962C93" w:rsidR="00526111" w:rsidRPr="00793B03" w:rsidRDefault="00933354" w:rsidP="00793B03">
      <w:pPr>
        <w:pStyle w:val="PargrafodaLista"/>
        <w:spacing w:after="0" w:line="360" w:lineRule="auto"/>
        <w:ind w:left="0" w:firstLine="624"/>
        <w:jc w:val="both"/>
        <w:rPr>
          <w:rFonts w:ascii="Times New Roman" w:hAnsi="Times New Roman" w:cs="Times New Roman"/>
          <w:sz w:val="24"/>
          <w:szCs w:val="24"/>
          <w:lang w:val="en-US"/>
        </w:rPr>
      </w:pPr>
      <w:r w:rsidRPr="00933354">
        <w:rPr>
          <w:rFonts w:ascii="Times New Roman" w:hAnsi="Times New Roman" w:cs="Times New Roman"/>
          <w:sz w:val="24"/>
          <w:szCs w:val="24"/>
          <w:lang w:val="en-US"/>
        </w:rPr>
        <w:t xml:space="preserve">Thus, from the model of equation 5, where we interact the dummy </w:t>
      </w:r>
      <w:bookmarkStart w:id="6" w:name="_Hlk93320748"/>
      <m:oMath>
        <m:sSub>
          <m:sSubPr>
            <m:ctrlPr>
              <w:rPr>
                <w:rFonts w:ascii="Cambria Math" w:eastAsia="Cambria Math" w:hAnsi="Cambria Math" w:cs="Cambria Math"/>
                <w:bCs/>
                <w:sz w:val="24"/>
                <w:szCs w:val="24"/>
              </w:rPr>
            </m:ctrlPr>
          </m:sSubPr>
          <m:e>
            <m:r>
              <w:rPr>
                <w:rFonts w:ascii="Cambria Math" w:eastAsia="Cambria Math" w:hAnsi="Cambria Math" w:cs="Cambria Math"/>
                <w:sz w:val="24"/>
                <w:szCs w:val="24"/>
              </w:rPr>
              <m:t>OS</m:t>
            </m:r>
          </m:e>
          <m:sub>
            <m:r>
              <w:rPr>
                <w:rFonts w:ascii="Cambria Math" w:eastAsia="Cambria Math" w:hAnsi="Cambria Math" w:cs="Cambria Math"/>
                <w:sz w:val="24"/>
                <w:szCs w:val="24"/>
              </w:rPr>
              <m:t>it</m:t>
            </m:r>
          </m:sub>
        </m:sSub>
        <w:bookmarkEnd w:id="6"/>
        <m:r>
          <w:rPr>
            <w:rFonts w:ascii="Cambria Math" w:eastAsia="Cambria Math" w:hAnsi="Cambria Math" w:cs="Cambria Math"/>
            <w:sz w:val="24"/>
            <w:szCs w:val="24"/>
            <w:lang w:val="en-US"/>
          </w:rPr>
          <m:t xml:space="preserve"> </m:t>
        </m:r>
      </m:oMath>
      <w:r w:rsidRPr="00933354">
        <w:rPr>
          <w:rFonts w:ascii="Times New Roman" w:hAnsi="Times New Roman" w:cs="Times New Roman"/>
          <w:sz w:val="24"/>
          <w:szCs w:val="24"/>
          <w:lang w:val="en-US"/>
        </w:rPr>
        <w:t xml:space="preserve">with the dummy </w:t>
      </w:r>
      <m:oMath>
        <m:sSub>
          <m:sSubPr>
            <m:ctrlPr>
              <w:rPr>
                <w:rFonts w:ascii="Cambria Math" w:hAnsi="Cambria Math" w:cs="Times New Roman"/>
                <w:bCs/>
                <w:sz w:val="24"/>
                <w:szCs w:val="24"/>
              </w:rPr>
            </m:ctrlPr>
          </m:sSubPr>
          <m:e>
            <m:r>
              <m:rPr>
                <m:sty m:val="p"/>
              </m:rPr>
              <w:rPr>
                <w:rFonts w:ascii="Cambria Math" w:hAnsi="Cambria Math" w:cs="Times New Roman"/>
                <w:sz w:val="24"/>
                <w:szCs w:val="24"/>
                <w:lang w:val="en-US"/>
              </w:rPr>
              <m:t>OSB</m:t>
            </m:r>
          </m:e>
          <m:sub>
            <m:r>
              <w:rPr>
                <w:rFonts w:ascii="Cambria Math" w:hAnsi="Cambria Math" w:cs="Times New Roman"/>
                <w:sz w:val="24"/>
                <w:szCs w:val="24"/>
              </w:rPr>
              <m:t>it</m:t>
            </m:r>
          </m:sub>
        </m:sSub>
      </m:oMath>
      <w:r w:rsidRPr="00933354">
        <w:rPr>
          <w:rFonts w:ascii="Times New Roman" w:hAnsi="Times New Roman" w:cs="Times New Roman"/>
          <w:sz w:val="24"/>
          <w:szCs w:val="24"/>
          <w:lang w:val="en-US"/>
        </w:rPr>
        <w:t xml:space="preserve">, we test the hypothesis that, on average, the social control of public expenditures carried out by OSB Observatories is more effective than that practiced by Brazilian Observatories in general. Tables 4a, 4b, and 4c present the results, leading to a counterintuitive conclusion. The standardized methodology and the network organization do not seem to guarantee superiority to the OSB Observatories. In fact, among the fifteen expenditure items analyzed, in thirteen (86% of cases) the coefficient of interaction between the </w:t>
      </w:r>
      <m:oMath>
        <m:sSub>
          <m:sSubPr>
            <m:ctrlPr>
              <w:rPr>
                <w:rFonts w:ascii="Cambria Math" w:eastAsia="Cambria Math" w:hAnsi="Cambria Math" w:cs="Cambria Math"/>
                <w:bCs/>
                <w:sz w:val="24"/>
                <w:szCs w:val="24"/>
              </w:rPr>
            </m:ctrlPr>
          </m:sSubPr>
          <m:e>
            <m:r>
              <w:rPr>
                <w:rFonts w:ascii="Cambria Math" w:eastAsia="Cambria Math" w:hAnsi="Cambria Math" w:cs="Cambria Math"/>
                <w:sz w:val="24"/>
                <w:szCs w:val="24"/>
              </w:rPr>
              <m:t>OS</m:t>
            </m:r>
          </m:e>
          <m:sub>
            <m:r>
              <w:rPr>
                <w:rFonts w:ascii="Cambria Math" w:eastAsia="Cambria Math" w:hAnsi="Cambria Math" w:cs="Cambria Math"/>
                <w:sz w:val="24"/>
                <w:szCs w:val="24"/>
              </w:rPr>
              <m:t>it</m:t>
            </m:r>
          </m:sub>
        </m:sSub>
        <m:r>
          <w:rPr>
            <w:rFonts w:ascii="Cambria Math" w:eastAsia="Cambria Math" w:hAnsi="Cambria Math" w:cs="Cambria Math"/>
            <w:sz w:val="24"/>
            <w:szCs w:val="24"/>
            <w:lang w:val="en-US"/>
          </w:rPr>
          <m:t xml:space="preserve"> </m:t>
        </m:r>
      </m:oMath>
      <w:r w:rsidRPr="00933354">
        <w:rPr>
          <w:rFonts w:ascii="Times New Roman" w:hAnsi="Times New Roman" w:cs="Times New Roman"/>
          <w:sz w:val="24"/>
          <w:szCs w:val="24"/>
          <w:lang w:val="en-US"/>
        </w:rPr>
        <w:t xml:space="preserve">and </w:t>
      </w:r>
      <m:oMath>
        <m:sSub>
          <m:sSubPr>
            <m:ctrlPr>
              <w:rPr>
                <w:rFonts w:ascii="Cambria Math" w:hAnsi="Cambria Math" w:cs="Times New Roman"/>
                <w:bCs/>
                <w:sz w:val="24"/>
                <w:szCs w:val="24"/>
              </w:rPr>
            </m:ctrlPr>
          </m:sSubPr>
          <m:e>
            <m:r>
              <m:rPr>
                <m:sty m:val="p"/>
              </m:rPr>
              <w:rPr>
                <w:rFonts w:ascii="Cambria Math" w:hAnsi="Cambria Math" w:cs="Times New Roman"/>
                <w:sz w:val="24"/>
                <w:szCs w:val="24"/>
                <w:lang w:val="en-US"/>
              </w:rPr>
              <m:t>OSB</m:t>
            </m:r>
          </m:e>
          <m:sub>
            <m:r>
              <w:rPr>
                <w:rFonts w:ascii="Cambria Math" w:hAnsi="Cambria Math" w:cs="Times New Roman"/>
                <w:sz w:val="24"/>
                <w:szCs w:val="24"/>
              </w:rPr>
              <m:t>it</m:t>
            </m:r>
          </m:sub>
        </m:sSub>
      </m:oMath>
      <w:r w:rsidRPr="00933354">
        <w:rPr>
          <w:rFonts w:ascii="Times New Roman" w:hAnsi="Times New Roman" w:cs="Times New Roman"/>
          <w:sz w:val="24"/>
          <w:szCs w:val="24"/>
          <w:lang w:val="en-US"/>
        </w:rPr>
        <w:t xml:space="preserve"> dummies proved to be statistically insignificant, failing to show significant differences between the OSB Observatories’ effects and that of the complete set of Brazilian Observatories. At a significance level of 5%, only the coefficients associated </w:t>
      </w:r>
      <w:r>
        <w:rPr>
          <w:rFonts w:ascii="Times New Roman" w:hAnsi="Times New Roman" w:cs="Times New Roman"/>
          <w:sz w:val="24"/>
          <w:szCs w:val="24"/>
          <w:lang w:val="en-US"/>
        </w:rPr>
        <w:t>to</w:t>
      </w:r>
      <w:r w:rsidRPr="00933354">
        <w:rPr>
          <w:rFonts w:ascii="Times New Roman" w:hAnsi="Times New Roman" w:cs="Times New Roman"/>
          <w:sz w:val="24"/>
          <w:szCs w:val="24"/>
          <w:lang w:val="en-US"/>
        </w:rPr>
        <w:t xml:space="preserve"> expenses with “Services Outsourced for Legal Entities” and investments in “Construction and Installations” proved to be significant.</w:t>
      </w:r>
      <w:r w:rsidR="00793B03" w:rsidRPr="00793B03">
        <w:rPr>
          <w:rFonts w:ascii="Times New Roman" w:hAnsi="Times New Roman" w:cs="Times New Roman"/>
          <w:sz w:val="24"/>
          <w:szCs w:val="24"/>
          <w:lang w:val="en-US"/>
        </w:rPr>
        <w:t xml:space="preserve"> </w:t>
      </w:r>
      <w:r w:rsidR="00793B03" w:rsidRPr="004B6B3D">
        <w:rPr>
          <w:rFonts w:ascii="Times New Roman" w:hAnsi="Times New Roman" w:cs="Times New Roman"/>
          <w:sz w:val="24"/>
          <w:szCs w:val="24"/>
          <w:lang w:val="en-US"/>
        </w:rPr>
        <w:t>The analysis of these two expenses, however, presents ambiguous evidence.</w:t>
      </w:r>
    </w:p>
    <w:tbl>
      <w:tblPr>
        <w:tblpPr w:leftFromText="180" w:rightFromText="180" w:vertAnchor="text" w:horzAnchor="margin" w:tblpY="67"/>
        <w:tblW w:w="0" w:type="auto"/>
        <w:tblCellSpacing w:w="15" w:type="dxa"/>
        <w:tblCellMar>
          <w:top w:w="15" w:type="dxa"/>
          <w:left w:w="15" w:type="dxa"/>
          <w:bottom w:w="15" w:type="dxa"/>
          <w:right w:w="15" w:type="dxa"/>
        </w:tblCellMar>
        <w:tblLook w:val="04A0" w:firstRow="1" w:lastRow="0" w:firstColumn="1" w:lastColumn="0" w:noHBand="0" w:noVBand="1"/>
      </w:tblPr>
      <w:tblGrid>
        <w:gridCol w:w="1180"/>
        <w:gridCol w:w="1716"/>
        <w:gridCol w:w="1784"/>
        <w:gridCol w:w="1560"/>
        <w:gridCol w:w="1630"/>
        <w:gridCol w:w="1858"/>
      </w:tblGrid>
      <w:tr w:rsidR="00CB734F" w:rsidRPr="00E8576D" w14:paraId="6E3E49D4" w14:textId="77777777" w:rsidTr="00633129">
        <w:trPr>
          <w:tblCellSpacing w:w="15" w:type="dxa"/>
        </w:trPr>
        <w:tc>
          <w:tcPr>
            <w:tcW w:w="0" w:type="auto"/>
            <w:gridSpan w:val="6"/>
            <w:tcBorders>
              <w:top w:val="nil"/>
              <w:left w:val="nil"/>
              <w:bottom w:val="nil"/>
              <w:right w:val="nil"/>
            </w:tcBorders>
            <w:vAlign w:val="center"/>
            <w:hideMark/>
          </w:tcPr>
          <w:p w14:paraId="1A1D39C7" w14:textId="63C5708A" w:rsidR="00FA16DD" w:rsidRPr="002A7AFF" w:rsidRDefault="00CB734F" w:rsidP="00FA16DD">
            <w:pPr>
              <w:jc w:val="center"/>
              <w:rPr>
                <w:rFonts w:eastAsia="Times New Roman"/>
                <w:lang w:val="en-US"/>
              </w:rPr>
            </w:pPr>
            <w:r w:rsidRPr="002A7AFF">
              <w:rPr>
                <w:rStyle w:val="Forte"/>
                <w:rFonts w:eastAsia="Times New Roman"/>
                <w:lang w:val="en-US"/>
              </w:rPr>
              <w:t>T</w:t>
            </w:r>
            <w:r w:rsidRPr="002A7AFF">
              <w:rPr>
                <w:rStyle w:val="Forte"/>
                <w:lang w:val="en-US"/>
              </w:rPr>
              <w:t xml:space="preserve">able 4a- </w:t>
            </w:r>
            <w:r w:rsidRPr="002A7AFF">
              <w:rPr>
                <w:rFonts w:eastAsia="Times New Roman"/>
                <w:b/>
                <w:bCs/>
                <w:lang w:val="en-US"/>
              </w:rPr>
              <w:t>Observatories Impact on Percapita Expenses   (Exp/Inhab.)</w:t>
            </w:r>
          </w:p>
        </w:tc>
      </w:tr>
      <w:tr w:rsidR="00CB734F" w:rsidRPr="00E8576D" w14:paraId="1D5846A6" w14:textId="77777777" w:rsidTr="00633129">
        <w:trPr>
          <w:tblCellSpacing w:w="15" w:type="dxa"/>
        </w:trPr>
        <w:tc>
          <w:tcPr>
            <w:tcW w:w="0" w:type="auto"/>
            <w:gridSpan w:val="6"/>
            <w:tcBorders>
              <w:bottom w:val="single" w:sz="6" w:space="0" w:color="000000"/>
            </w:tcBorders>
            <w:vAlign w:val="center"/>
            <w:hideMark/>
          </w:tcPr>
          <w:p w14:paraId="66A32F3E" w14:textId="77777777" w:rsidR="00CB734F" w:rsidRPr="00CB734F" w:rsidRDefault="00CB734F" w:rsidP="00633129">
            <w:pPr>
              <w:jc w:val="center"/>
              <w:rPr>
                <w:rFonts w:eastAsia="Times New Roman"/>
                <w:lang w:val="en-US"/>
              </w:rPr>
            </w:pPr>
          </w:p>
        </w:tc>
      </w:tr>
      <w:tr w:rsidR="00CB734F" w:rsidRPr="00E8576D" w14:paraId="23E25467" w14:textId="77777777" w:rsidTr="00633129">
        <w:trPr>
          <w:tblCellSpacing w:w="15" w:type="dxa"/>
        </w:trPr>
        <w:tc>
          <w:tcPr>
            <w:tcW w:w="0" w:type="auto"/>
            <w:vAlign w:val="center"/>
            <w:hideMark/>
          </w:tcPr>
          <w:p w14:paraId="5E9B2213" w14:textId="77777777" w:rsidR="00CB734F" w:rsidRPr="00CB734F" w:rsidRDefault="00CB734F" w:rsidP="00CB734F">
            <w:pPr>
              <w:jc w:val="center"/>
              <w:rPr>
                <w:rFonts w:eastAsia="Times New Roman"/>
                <w:sz w:val="20"/>
                <w:szCs w:val="20"/>
                <w:lang w:val="en-US"/>
              </w:rPr>
            </w:pPr>
          </w:p>
        </w:tc>
        <w:tc>
          <w:tcPr>
            <w:tcW w:w="0" w:type="auto"/>
            <w:vAlign w:val="center"/>
            <w:hideMark/>
          </w:tcPr>
          <w:p w14:paraId="00770F98" w14:textId="1EA7F4B1" w:rsidR="00CB734F" w:rsidRDefault="00CB734F" w:rsidP="00CB734F">
            <w:pPr>
              <w:jc w:val="center"/>
              <w:rPr>
                <w:rFonts w:eastAsia="Times New Roman"/>
                <w:sz w:val="24"/>
                <w:szCs w:val="24"/>
              </w:rPr>
            </w:pPr>
            <w:r>
              <w:rPr>
                <w:rFonts w:eastAsia="Times New Roman"/>
              </w:rPr>
              <w:t>T</w:t>
            </w:r>
            <w:r>
              <w:t>otal Expense</w:t>
            </w:r>
            <w:r>
              <w:rPr>
                <w:rFonts w:eastAsia="Times New Roman"/>
              </w:rPr>
              <w:t xml:space="preserve"> </w:t>
            </w:r>
            <w:r w:rsidRPr="00934F5C">
              <w:rPr>
                <w:rFonts w:eastAsia="Times New Roman"/>
                <w:lang w:val="en-US"/>
              </w:rPr>
              <w:t>(Exp/Inhab.)</w:t>
            </w:r>
          </w:p>
        </w:tc>
        <w:tc>
          <w:tcPr>
            <w:tcW w:w="0" w:type="auto"/>
            <w:vAlign w:val="center"/>
            <w:hideMark/>
          </w:tcPr>
          <w:p w14:paraId="729DE1C7" w14:textId="6966FB81" w:rsidR="00CB734F" w:rsidRDefault="00CB734F" w:rsidP="00CB734F">
            <w:pPr>
              <w:jc w:val="center"/>
              <w:rPr>
                <w:rFonts w:eastAsia="Times New Roman"/>
              </w:rPr>
            </w:pPr>
            <w:r>
              <w:rPr>
                <w:rFonts w:eastAsia="Times New Roman"/>
              </w:rPr>
              <w:t xml:space="preserve">Current Expense </w:t>
            </w:r>
            <w:r w:rsidRPr="00934F5C">
              <w:rPr>
                <w:rFonts w:eastAsia="Times New Roman"/>
                <w:lang w:val="en-US"/>
              </w:rPr>
              <w:t>(Exp/Inhab.)</w:t>
            </w:r>
          </w:p>
        </w:tc>
        <w:tc>
          <w:tcPr>
            <w:tcW w:w="0" w:type="auto"/>
            <w:vAlign w:val="center"/>
            <w:hideMark/>
          </w:tcPr>
          <w:p w14:paraId="2DEB8BE7" w14:textId="4DA253DC" w:rsidR="00CB734F" w:rsidRDefault="00CB734F" w:rsidP="00CB734F">
            <w:pPr>
              <w:jc w:val="center"/>
              <w:rPr>
                <w:rFonts w:eastAsia="Times New Roman"/>
              </w:rPr>
            </w:pPr>
            <w:r>
              <w:rPr>
                <w:rFonts w:eastAsia="Times New Roman"/>
              </w:rPr>
              <w:t xml:space="preserve">Interest </w:t>
            </w:r>
            <w:r w:rsidRPr="00934F5C">
              <w:rPr>
                <w:rFonts w:eastAsia="Times New Roman"/>
                <w:lang w:val="en-US"/>
              </w:rPr>
              <w:t>(Exp/Inhab.)</w:t>
            </w:r>
          </w:p>
        </w:tc>
        <w:tc>
          <w:tcPr>
            <w:tcW w:w="0" w:type="auto"/>
            <w:vAlign w:val="center"/>
            <w:hideMark/>
          </w:tcPr>
          <w:p w14:paraId="4062DEA1" w14:textId="01F0B29C" w:rsidR="00CB734F" w:rsidRDefault="00CB734F" w:rsidP="00CB734F">
            <w:pPr>
              <w:jc w:val="center"/>
              <w:rPr>
                <w:rFonts w:eastAsia="Times New Roman"/>
              </w:rPr>
            </w:pPr>
            <w:r>
              <w:rPr>
                <w:rFonts w:eastAsia="Times New Roman"/>
              </w:rPr>
              <w:t xml:space="preserve">Personnell </w:t>
            </w:r>
            <w:r w:rsidRPr="00934F5C">
              <w:rPr>
                <w:rFonts w:eastAsia="Times New Roman"/>
                <w:lang w:val="en-US"/>
              </w:rPr>
              <w:t>(Exp/Inhab.)</w:t>
            </w:r>
          </w:p>
        </w:tc>
        <w:tc>
          <w:tcPr>
            <w:tcW w:w="0" w:type="auto"/>
            <w:vAlign w:val="center"/>
            <w:hideMark/>
          </w:tcPr>
          <w:p w14:paraId="2C03ABCB" w14:textId="5840F85A" w:rsidR="00CB734F" w:rsidRPr="00CB734F" w:rsidRDefault="00CB734F" w:rsidP="00CB734F">
            <w:pPr>
              <w:jc w:val="center"/>
              <w:rPr>
                <w:rFonts w:eastAsia="Times New Roman"/>
                <w:lang w:val="en-US"/>
              </w:rPr>
            </w:pPr>
            <w:r w:rsidRPr="00934F5C">
              <w:rPr>
                <w:rFonts w:eastAsia="Times New Roman"/>
                <w:lang w:val="en-US"/>
              </w:rPr>
              <w:t xml:space="preserve">Other </w:t>
            </w:r>
            <w:r>
              <w:rPr>
                <w:rFonts w:eastAsia="Times New Roman"/>
                <w:lang w:val="en-US"/>
              </w:rPr>
              <w:t>Current E</w:t>
            </w:r>
            <w:r w:rsidRPr="00934F5C">
              <w:rPr>
                <w:rFonts w:eastAsia="Times New Roman"/>
                <w:lang w:val="en-US"/>
              </w:rPr>
              <w:t>xp</w:t>
            </w:r>
            <w:r>
              <w:rPr>
                <w:rFonts w:eastAsia="Times New Roman"/>
                <w:lang w:val="en-US"/>
              </w:rPr>
              <w:t xml:space="preserve">. </w:t>
            </w:r>
            <w:r w:rsidRPr="00934F5C">
              <w:rPr>
                <w:rFonts w:eastAsia="Times New Roman"/>
                <w:lang w:val="en-US"/>
              </w:rPr>
              <w:t>(Exp/Inhab.)</w:t>
            </w:r>
          </w:p>
        </w:tc>
      </w:tr>
      <w:tr w:rsidR="00CB734F" w:rsidRPr="00E8576D" w14:paraId="1558EC44" w14:textId="77777777" w:rsidTr="00633129">
        <w:trPr>
          <w:tblCellSpacing w:w="15" w:type="dxa"/>
        </w:trPr>
        <w:tc>
          <w:tcPr>
            <w:tcW w:w="0" w:type="auto"/>
            <w:gridSpan w:val="6"/>
            <w:tcBorders>
              <w:bottom w:val="single" w:sz="6" w:space="0" w:color="000000"/>
            </w:tcBorders>
            <w:vAlign w:val="center"/>
            <w:hideMark/>
          </w:tcPr>
          <w:p w14:paraId="3CCCBC19" w14:textId="77777777" w:rsidR="00CB734F" w:rsidRPr="00CB734F" w:rsidRDefault="00CB734F" w:rsidP="00633129">
            <w:pPr>
              <w:jc w:val="center"/>
              <w:rPr>
                <w:rFonts w:eastAsia="Times New Roman"/>
                <w:lang w:val="en-US"/>
              </w:rPr>
            </w:pPr>
          </w:p>
        </w:tc>
      </w:tr>
      <w:tr w:rsidR="00CB734F" w14:paraId="06DFFB3C" w14:textId="77777777" w:rsidTr="00633129">
        <w:trPr>
          <w:tblCellSpacing w:w="15" w:type="dxa"/>
        </w:trPr>
        <w:tc>
          <w:tcPr>
            <w:tcW w:w="0" w:type="auto"/>
            <w:vAlign w:val="center"/>
            <w:hideMark/>
          </w:tcPr>
          <w:p w14:paraId="0F6CB6BC" w14:textId="6246707C" w:rsidR="00CB734F" w:rsidRDefault="00CB734F" w:rsidP="00633129">
            <w:pPr>
              <w:rPr>
                <w:rFonts w:eastAsia="Times New Roman"/>
                <w:sz w:val="24"/>
                <w:szCs w:val="24"/>
              </w:rPr>
            </w:pPr>
            <w:r>
              <w:rPr>
                <w:rFonts w:eastAsia="Times New Roman"/>
              </w:rPr>
              <w:t>Observatory</w:t>
            </w:r>
          </w:p>
        </w:tc>
        <w:tc>
          <w:tcPr>
            <w:tcW w:w="0" w:type="auto"/>
            <w:vAlign w:val="center"/>
            <w:hideMark/>
          </w:tcPr>
          <w:p w14:paraId="58AB0F74" w14:textId="77777777" w:rsidR="00CB734F" w:rsidRDefault="00CB734F" w:rsidP="00633129">
            <w:pPr>
              <w:jc w:val="center"/>
              <w:rPr>
                <w:rFonts w:eastAsia="Times New Roman"/>
              </w:rPr>
            </w:pPr>
            <w:r>
              <w:rPr>
                <w:rFonts w:eastAsia="Times New Roman"/>
              </w:rPr>
              <w:t>-202,351</w:t>
            </w:r>
            <w:r>
              <w:rPr>
                <w:rFonts w:eastAsia="Times New Roman"/>
                <w:vertAlign w:val="superscript"/>
              </w:rPr>
              <w:t>**</w:t>
            </w:r>
          </w:p>
        </w:tc>
        <w:tc>
          <w:tcPr>
            <w:tcW w:w="0" w:type="auto"/>
            <w:vAlign w:val="center"/>
            <w:hideMark/>
          </w:tcPr>
          <w:p w14:paraId="357CC815" w14:textId="77777777" w:rsidR="00CB734F" w:rsidRDefault="00CB734F" w:rsidP="00633129">
            <w:pPr>
              <w:jc w:val="center"/>
              <w:rPr>
                <w:rFonts w:eastAsia="Times New Roman"/>
              </w:rPr>
            </w:pPr>
            <w:r>
              <w:rPr>
                <w:rFonts w:eastAsia="Times New Roman"/>
              </w:rPr>
              <w:t>-174,711</w:t>
            </w:r>
            <w:r>
              <w:rPr>
                <w:rFonts w:eastAsia="Times New Roman"/>
                <w:vertAlign w:val="superscript"/>
              </w:rPr>
              <w:t>***</w:t>
            </w:r>
          </w:p>
        </w:tc>
        <w:tc>
          <w:tcPr>
            <w:tcW w:w="0" w:type="auto"/>
            <w:vAlign w:val="center"/>
            <w:hideMark/>
          </w:tcPr>
          <w:p w14:paraId="0F149989" w14:textId="77777777" w:rsidR="00CB734F" w:rsidRDefault="00CB734F" w:rsidP="00633129">
            <w:pPr>
              <w:jc w:val="center"/>
              <w:rPr>
                <w:rFonts w:eastAsia="Times New Roman"/>
              </w:rPr>
            </w:pPr>
            <w:r>
              <w:rPr>
                <w:rFonts w:eastAsia="Times New Roman"/>
              </w:rPr>
              <w:t>-2,389</w:t>
            </w:r>
          </w:p>
        </w:tc>
        <w:tc>
          <w:tcPr>
            <w:tcW w:w="0" w:type="auto"/>
            <w:vAlign w:val="center"/>
            <w:hideMark/>
          </w:tcPr>
          <w:p w14:paraId="2452D052" w14:textId="77777777" w:rsidR="00CB734F" w:rsidRDefault="00CB734F" w:rsidP="00633129">
            <w:pPr>
              <w:jc w:val="center"/>
              <w:rPr>
                <w:rFonts w:eastAsia="Times New Roman"/>
              </w:rPr>
            </w:pPr>
            <w:r>
              <w:rPr>
                <w:rFonts w:eastAsia="Times New Roman"/>
              </w:rPr>
              <w:t>-142,649</w:t>
            </w:r>
            <w:r>
              <w:rPr>
                <w:rFonts w:eastAsia="Times New Roman"/>
                <w:vertAlign w:val="superscript"/>
              </w:rPr>
              <w:t>***</w:t>
            </w:r>
          </w:p>
        </w:tc>
        <w:tc>
          <w:tcPr>
            <w:tcW w:w="0" w:type="auto"/>
            <w:vAlign w:val="center"/>
            <w:hideMark/>
          </w:tcPr>
          <w:p w14:paraId="180EB26F" w14:textId="77777777" w:rsidR="00CB734F" w:rsidRDefault="00CB734F" w:rsidP="00633129">
            <w:pPr>
              <w:jc w:val="center"/>
              <w:rPr>
                <w:rFonts w:eastAsia="Times New Roman"/>
              </w:rPr>
            </w:pPr>
            <w:r>
              <w:rPr>
                <w:rFonts w:eastAsia="Times New Roman"/>
              </w:rPr>
              <w:t>-29,673</w:t>
            </w:r>
          </w:p>
        </w:tc>
      </w:tr>
      <w:tr w:rsidR="00CB734F" w14:paraId="630437E9" w14:textId="77777777" w:rsidTr="00633129">
        <w:trPr>
          <w:tblCellSpacing w:w="15" w:type="dxa"/>
        </w:trPr>
        <w:tc>
          <w:tcPr>
            <w:tcW w:w="0" w:type="auto"/>
            <w:vAlign w:val="center"/>
            <w:hideMark/>
          </w:tcPr>
          <w:p w14:paraId="59B5D508" w14:textId="77777777" w:rsidR="00CB734F" w:rsidRDefault="00CB734F" w:rsidP="00633129">
            <w:pPr>
              <w:jc w:val="center"/>
              <w:rPr>
                <w:rFonts w:eastAsia="Times New Roman"/>
              </w:rPr>
            </w:pPr>
          </w:p>
        </w:tc>
        <w:tc>
          <w:tcPr>
            <w:tcW w:w="0" w:type="auto"/>
            <w:vAlign w:val="center"/>
            <w:hideMark/>
          </w:tcPr>
          <w:p w14:paraId="2FBA8280" w14:textId="77777777" w:rsidR="00CB734F" w:rsidRDefault="00CB734F" w:rsidP="00633129">
            <w:pPr>
              <w:jc w:val="center"/>
              <w:rPr>
                <w:rFonts w:eastAsia="Times New Roman"/>
                <w:sz w:val="24"/>
                <w:szCs w:val="24"/>
              </w:rPr>
            </w:pPr>
            <w:r>
              <w:rPr>
                <w:rFonts w:eastAsia="Times New Roman"/>
              </w:rPr>
              <w:t>(80,026)</w:t>
            </w:r>
          </w:p>
        </w:tc>
        <w:tc>
          <w:tcPr>
            <w:tcW w:w="0" w:type="auto"/>
            <w:vAlign w:val="center"/>
            <w:hideMark/>
          </w:tcPr>
          <w:p w14:paraId="212D463D" w14:textId="77777777" w:rsidR="00CB734F" w:rsidRDefault="00CB734F" w:rsidP="00633129">
            <w:pPr>
              <w:jc w:val="center"/>
              <w:rPr>
                <w:rFonts w:eastAsia="Times New Roman"/>
              </w:rPr>
            </w:pPr>
            <w:r>
              <w:rPr>
                <w:rFonts w:eastAsia="Times New Roman"/>
              </w:rPr>
              <w:t>(67,306)</w:t>
            </w:r>
          </w:p>
        </w:tc>
        <w:tc>
          <w:tcPr>
            <w:tcW w:w="0" w:type="auto"/>
            <w:vAlign w:val="center"/>
            <w:hideMark/>
          </w:tcPr>
          <w:p w14:paraId="60EC4E8D" w14:textId="77777777" w:rsidR="00CB734F" w:rsidRDefault="00CB734F" w:rsidP="00633129">
            <w:pPr>
              <w:jc w:val="center"/>
              <w:rPr>
                <w:rFonts w:eastAsia="Times New Roman"/>
              </w:rPr>
            </w:pPr>
            <w:r>
              <w:rPr>
                <w:rFonts w:eastAsia="Times New Roman"/>
              </w:rPr>
              <w:t>(1,945)</w:t>
            </w:r>
          </w:p>
        </w:tc>
        <w:tc>
          <w:tcPr>
            <w:tcW w:w="0" w:type="auto"/>
            <w:vAlign w:val="center"/>
            <w:hideMark/>
          </w:tcPr>
          <w:p w14:paraId="648E607F" w14:textId="77777777" w:rsidR="00CB734F" w:rsidRDefault="00CB734F" w:rsidP="00633129">
            <w:pPr>
              <w:jc w:val="center"/>
              <w:rPr>
                <w:rFonts w:eastAsia="Times New Roman"/>
              </w:rPr>
            </w:pPr>
            <w:r>
              <w:rPr>
                <w:rFonts w:eastAsia="Times New Roman"/>
              </w:rPr>
              <w:t>(45,926)</w:t>
            </w:r>
          </w:p>
        </w:tc>
        <w:tc>
          <w:tcPr>
            <w:tcW w:w="0" w:type="auto"/>
            <w:vAlign w:val="center"/>
            <w:hideMark/>
          </w:tcPr>
          <w:p w14:paraId="4518C9D8" w14:textId="77777777" w:rsidR="00CB734F" w:rsidRDefault="00CB734F" w:rsidP="00633129">
            <w:pPr>
              <w:jc w:val="center"/>
              <w:rPr>
                <w:rFonts w:eastAsia="Times New Roman"/>
              </w:rPr>
            </w:pPr>
            <w:r>
              <w:rPr>
                <w:rFonts w:eastAsia="Times New Roman"/>
              </w:rPr>
              <w:t>(37,501)</w:t>
            </w:r>
          </w:p>
        </w:tc>
      </w:tr>
      <w:tr w:rsidR="00CB734F" w14:paraId="7A4BF36C" w14:textId="77777777" w:rsidTr="00633129">
        <w:trPr>
          <w:tblCellSpacing w:w="15" w:type="dxa"/>
        </w:trPr>
        <w:tc>
          <w:tcPr>
            <w:tcW w:w="0" w:type="auto"/>
            <w:vAlign w:val="center"/>
            <w:hideMark/>
          </w:tcPr>
          <w:p w14:paraId="33E1DAAF" w14:textId="77777777" w:rsidR="00CB734F" w:rsidRDefault="00CB734F" w:rsidP="00633129">
            <w:pPr>
              <w:rPr>
                <w:rFonts w:eastAsia="Times New Roman"/>
              </w:rPr>
            </w:pPr>
            <w:r>
              <w:rPr>
                <w:rFonts w:eastAsia="Times New Roman"/>
              </w:rPr>
              <w:t>Obs x OSB</w:t>
            </w:r>
          </w:p>
        </w:tc>
        <w:tc>
          <w:tcPr>
            <w:tcW w:w="0" w:type="auto"/>
            <w:vAlign w:val="center"/>
            <w:hideMark/>
          </w:tcPr>
          <w:p w14:paraId="7A8F3AC5" w14:textId="77777777" w:rsidR="00CB734F" w:rsidRDefault="00CB734F" w:rsidP="00633129">
            <w:pPr>
              <w:jc w:val="center"/>
              <w:rPr>
                <w:rFonts w:eastAsia="Times New Roman"/>
              </w:rPr>
            </w:pPr>
            <w:r>
              <w:rPr>
                <w:rFonts w:eastAsia="Times New Roman"/>
              </w:rPr>
              <w:t>126,773</w:t>
            </w:r>
          </w:p>
        </w:tc>
        <w:tc>
          <w:tcPr>
            <w:tcW w:w="0" w:type="auto"/>
            <w:vAlign w:val="center"/>
            <w:hideMark/>
          </w:tcPr>
          <w:p w14:paraId="63CE978B" w14:textId="77777777" w:rsidR="00CB734F" w:rsidRDefault="00CB734F" w:rsidP="00633129">
            <w:pPr>
              <w:jc w:val="center"/>
              <w:rPr>
                <w:rFonts w:eastAsia="Times New Roman"/>
              </w:rPr>
            </w:pPr>
            <w:r>
              <w:rPr>
                <w:rFonts w:eastAsia="Times New Roman"/>
              </w:rPr>
              <w:t>137,454</w:t>
            </w:r>
            <w:r>
              <w:rPr>
                <w:rFonts w:eastAsia="Times New Roman"/>
                <w:vertAlign w:val="superscript"/>
              </w:rPr>
              <w:t>*</w:t>
            </w:r>
          </w:p>
        </w:tc>
        <w:tc>
          <w:tcPr>
            <w:tcW w:w="0" w:type="auto"/>
            <w:vAlign w:val="center"/>
            <w:hideMark/>
          </w:tcPr>
          <w:p w14:paraId="079892A1" w14:textId="77777777" w:rsidR="00CB734F" w:rsidRDefault="00CB734F" w:rsidP="00633129">
            <w:pPr>
              <w:jc w:val="center"/>
              <w:rPr>
                <w:rFonts w:eastAsia="Times New Roman"/>
              </w:rPr>
            </w:pPr>
            <w:r>
              <w:rPr>
                <w:rFonts w:eastAsia="Times New Roman"/>
              </w:rPr>
              <w:t>1,732</w:t>
            </w:r>
          </w:p>
        </w:tc>
        <w:tc>
          <w:tcPr>
            <w:tcW w:w="0" w:type="auto"/>
            <w:vAlign w:val="center"/>
            <w:hideMark/>
          </w:tcPr>
          <w:p w14:paraId="033DE9E2" w14:textId="77777777" w:rsidR="00CB734F" w:rsidRDefault="00CB734F" w:rsidP="00633129">
            <w:pPr>
              <w:jc w:val="center"/>
              <w:rPr>
                <w:rFonts w:eastAsia="Times New Roman"/>
              </w:rPr>
            </w:pPr>
            <w:r>
              <w:rPr>
                <w:rFonts w:eastAsia="Times New Roman"/>
              </w:rPr>
              <w:t>76,161</w:t>
            </w:r>
          </w:p>
        </w:tc>
        <w:tc>
          <w:tcPr>
            <w:tcW w:w="0" w:type="auto"/>
            <w:vAlign w:val="center"/>
            <w:hideMark/>
          </w:tcPr>
          <w:p w14:paraId="794229D6" w14:textId="77777777" w:rsidR="00CB734F" w:rsidRDefault="00CB734F" w:rsidP="00633129">
            <w:pPr>
              <w:jc w:val="center"/>
              <w:rPr>
                <w:rFonts w:eastAsia="Times New Roman"/>
              </w:rPr>
            </w:pPr>
            <w:r>
              <w:rPr>
                <w:rFonts w:eastAsia="Times New Roman"/>
              </w:rPr>
              <w:t>59,561</w:t>
            </w:r>
          </w:p>
        </w:tc>
      </w:tr>
      <w:tr w:rsidR="00CB734F" w14:paraId="23DCD05A" w14:textId="77777777" w:rsidTr="00633129">
        <w:trPr>
          <w:tblCellSpacing w:w="15" w:type="dxa"/>
        </w:trPr>
        <w:tc>
          <w:tcPr>
            <w:tcW w:w="0" w:type="auto"/>
            <w:vAlign w:val="center"/>
            <w:hideMark/>
          </w:tcPr>
          <w:p w14:paraId="4EC670BE" w14:textId="77777777" w:rsidR="00CB734F" w:rsidRDefault="00CB734F" w:rsidP="00633129">
            <w:pPr>
              <w:jc w:val="center"/>
              <w:rPr>
                <w:rFonts w:eastAsia="Times New Roman"/>
              </w:rPr>
            </w:pPr>
          </w:p>
        </w:tc>
        <w:tc>
          <w:tcPr>
            <w:tcW w:w="0" w:type="auto"/>
            <w:vAlign w:val="center"/>
            <w:hideMark/>
          </w:tcPr>
          <w:p w14:paraId="2DE00244" w14:textId="77777777" w:rsidR="00CB734F" w:rsidRDefault="00CB734F" w:rsidP="00633129">
            <w:pPr>
              <w:jc w:val="center"/>
              <w:rPr>
                <w:rFonts w:eastAsia="Times New Roman"/>
                <w:sz w:val="24"/>
                <w:szCs w:val="24"/>
              </w:rPr>
            </w:pPr>
            <w:r>
              <w:rPr>
                <w:rFonts w:eastAsia="Times New Roman"/>
              </w:rPr>
              <w:t>(89,784)</w:t>
            </w:r>
          </w:p>
        </w:tc>
        <w:tc>
          <w:tcPr>
            <w:tcW w:w="0" w:type="auto"/>
            <w:vAlign w:val="center"/>
            <w:hideMark/>
          </w:tcPr>
          <w:p w14:paraId="05C3AAFF" w14:textId="77777777" w:rsidR="00CB734F" w:rsidRDefault="00CB734F" w:rsidP="00633129">
            <w:pPr>
              <w:jc w:val="center"/>
              <w:rPr>
                <w:rFonts w:eastAsia="Times New Roman"/>
              </w:rPr>
            </w:pPr>
            <w:r>
              <w:rPr>
                <w:rFonts w:eastAsia="Times New Roman"/>
              </w:rPr>
              <w:t>(75,497)</w:t>
            </w:r>
          </w:p>
        </w:tc>
        <w:tc>
          <w:tcPr>
            <w:tcW w:w="0" w:type="auto"/>
            <w:vAlign w:val="center"/>
            <w:hideMark/>
          </w:tcPr>
          <w:p w14:paraId="3E83A645" w14:textId="77777777" w:rsidR="00CB734F" w:rsidRDefault="00CB734F" w:rsidP="00633129">
            <w:pPr>
              <w:jc w:val="center"/>
              <w:rPr>
                <w:rFonts w:eastAsia="Times New Roman"/>
              </w:rPr>
            </w:pPr>
            <w:r>
              <w:rPr>
                <w:rFonts w:eastAsia="Times New Roman"/>
              </w:rPr>
              <w:t>(2,294)</w:t>
            </w:r>
          </w:p>
        </w:tc>
        <w:tc>
          <w:tcPr>
            <w:tcW w:w="0" w:type="auto"/>
            <w:vAlign w:val="center"/>
            <w:hideMark/>
          </w:tcPr>
          <w:p w14:paraId="5B8E704B" w14:textId="77777777" w:rsidR="00CB734F" w:rsidRDefault="00CB734F" w:rsidP="00633129">
            <w:pPr>
              <w:jc w:val="center"/>
              <w:rPr>
                <w:rFonts w:eastAsia="Times New Roman"/>
              </w:rPr>
            </w:pPr>
            <w:r>
              <w:rPr>
                <w:rFonts w:eastAsia="Times New Roman"/>
              </w:rPr>
              <w:t>(50,436)</w:t>
            </w:r>
          </w:p>
        </w:tc>
        <w:tc>
          <w:tcPr>
            <w:tcW w:w="0" w:type="auto"/>
            <w:vAlign w:val="center"/>
            <w:hideMark/>
          </w:tcPr>
          <w:p w14:paraId="0276D52D" w14:textId="77777777" w:rsidR="00CB734F" w:rsidRDefault="00CB734F" w:rsidP="00633129">
            <w:pPr>
              <w:jc w:val="center"/>
              <w:rPr>
                <w:rFonts w:eastAsia="Times New Roman"/>
              </w:rPr>
            </w:pPr>
            <w:r>
              <w:rPr>
                <w:rFonts w:eastAsia="Times New Roman"/>
              </w:rPr>
              <w:t>(43,918)</w:t>
            </w:r>
          </w:p>
        </w:tc>
      </w:tr>
      <w:tr w:rsidR="00CB734F" w14:paraId="4A398787" w14:textId="77777777" w:rsidTr="00633129">
        <w:trPr>
          <w:tblCellSpacing w:w="15" w:type="dxa"/>
        </w:trPr>
        <w:tc>
          <w:tcPr>
            <w:tcW w:w="0" w:type="auto"/>
            <w:vAlign w:val="center"/>
            <w:hideMark/>
          </w:tcPr>
          <w:p w14:paraId="6931DE98" w14:textId="77777777" w:rsidR="00CB734F" w:rsidRDefault="00CB734F" w:rsidP="00633129">
            <w:pPr>
              <w:rPr>
                <w:rFonts w:eastAsia="Times New Roman"/>
              </w:rPr>
            </w:pPr>
            <w:r>
              <w:rPr>
                <w:rFonts w:eastAsia="Times New Roman"/>
              </w:rPr>
              <w:t>N</w:t>
            </w:r>
          </w:p>
        </w:tc>
        <w:tc>
          <w:tcPr>
            <w:tcW w:w="0" w:type="auto"/>
            <w:vAlign w:val="center"/>
            <w:hideMark/>
          </w:tcPr>
          <w:p w14:paraId="39354C27" w14:textId="77777777" w:rsidR="00CB734F" w:rsidRDefault="00CB734F" w:rsidP="00633129">
            <w:pPr>
              <w:jc w:val="center"/>
              <w:rPr>
                <w:rFonts w:eastAsia="Times New Roman"/>
              </w:rPr>
            </w:pPr>
            <w:r>
              <w:rPr>
                <w:rFonts w:eastAsia="Times New Roman"/>
              </w:rPr>
              <w:t>23.011</w:t>
            </w:r>
          </w:p>
        </w:tc>
        <w:tc>
          <w:tcPr>
            <w:tcW w:w="0" w:type="auto"/>
            <w:vAlign w:val="center"/>
            <w:hideMark/>
          </w:tcPr>
          <w:p w14:paraId="4CB75354" w14:textId="77777777" w:rsidR="00CB734F" w:rsidRDefault="00CB734F" w:rsidP="00633129">
            <w:pPr>
              <w:jc w:val="center"/>
              <w:rPr>
                <w:rFonts w:eastAsia="Times New Roman"/>
              </w:rPr>
            </w:pPr>
            <w:r>
              <w:rPr>
                <w:rFonts w:eastAsia="Times New Roman"/>
              </w:rPr>
              <w:t>23.011</w:t>
            </w:r>
          </w:p>
        </w:tc>
        <w:tc>
          <w:tcPr>
            <w:tcW w:w="0" w:type="auto"/>
            <w:vAlign w:val="center"/>
            <w:hideMark/>
          </w:tcPr>
          <w:p w14:paraId="30048B38" w14:textId="77777777" w:rsidR="00CB734F" w:rsidRDefault="00CB734F" w:rsidP="00633129">
            <w:pPr>
              <w:jc w:val="center"/>
              <w:rPr>
                <w:rFonts w:eastAsia="Times New Roman"/>
              </w:rPr>
            </w:pPr>
            <w:r>
              <w:rPr>
                <w:rFonts w:eastAsia="Times New Roman"/>
              </w:rPr>
              <w:t>23.011</w:t>
            </w:r>
          </w:p>
        </w:tc>
        <w:tc>
          <w:tcPr>
            <w:tcW w:w="0" w:type="auto"/>
            <w:vAlign w:val="center"/>
            <w:hideMark/>
          </w:tcPr>
          <w:p w14:paraId="395DA4AF" w14:textId="77777777" w:rsidR="00CB734F" w:rsidRDefault="00CB734F" w:rsidP="00633129">
            <w:pPr>
              <w:jc w:val="center"/>
              <w:rPr>
                <w:rFonts w:eastAsia="Times New Roman"/>
              </w:rPr>
            </w:pPr>
            <w:r>
              <w:rPr>
                <w:rFonts w:eastAsia="Times New Roman"/>
              </w:rPr>
              <w:t>23.011</w:t>
            </w:r>
          </w:p>
        </w:tc>
        <w:tc>
          <w:tcPr>
            <w:tcW w:w="0" w:type="auto"/>
            <w:vAlign w:val="center"/>
            <w:hideMark/>
          </w:tcPr>
          <w:p w14:paraId="58839009" w14:textId="77777777" w:rsidR="00CB734F" w:rsidRDefault="00CB734F" w:rsidP="00633129">
            <w:pPr>
              <w:jc w:val="center"/>
              <w:rPr>
                <w:rFonts w:eastAsia="Times New Roman"/>
              </w:rPr>
            </w:pPr>
            <w:r>
              <w:rPr>
                <w:rFonts w:eastAsia="Times New Roman"/>
              </w:rPr>
              <w:t>23.011</w:t>
            </w:r>
          </w:p>
        </w:tc>
      </w:tr>
      <w:tr w:rsidR="00CB734F" w14:paraId="06BD4D0A" w14:textId="77777777" w:rsidTr="00633129">
        <w:trPr>
          <w:tblCellSpacing w:w="15" w:type="dxa"/>
        </w:trPr>
        <w:tc>
          <w:tcPr>
            <w:tcW w:w="0" w:type="auto"/>
            <w:vAlign w:val="center"/>
            <w:hideMark/>
          </w:tcPr>
          <w:p w14:paraId="1C113337" w14:textId="77777777" w:rsidR="00CB734F" w:rsidRDefault="00CB734F" w:rsidP="00633129">
            <w:pPr>
              <w:rPr>
                <w:rFonts w:eastAsia="Times New Roman"/>
              </w:rPr>
            </w:pPr>
            <w:r>
              <w:rPr>
                <w:rFonts w:eastAsia="Times New Roman"/>
              </w:rPr>
              <w:t>R</w:t>
            </w:r>
            <w:r>
              <w:rPr>
                <w:rFonts w:eastAsia="Times New Roman"/>
                <w:vertAlign w:val="superscript"/>
              </w:rPr>
              <w:t>2</w:t>
            </w:r>
          </w:p>
        </w:tc>
        <w:tc>
          <w:tcPr>
            <w:tcW w:w="0" w:type="auto"/>
            <w:vAlign w:val="center"/>
            <w:hideMark/>
          </w:tcPr>
          <w:p w14:paraId="5AE69168" w14:textId="77777777" w:rsidR="00CB734F" w:rsidRDefault="00CB734F" w:rsidP="00633129">
            <w:pPr>
              <w:jc w:val="center"/>
              <w:rPr>
                <w:rFonts w:eastAsia="Times New Roman"/>
              </w:rPr>
            </w:pPr>
            <w:r>
              <w:rPr>
                <w:rFonts w:eastAsia="Times New Roman"/>
              </w:rPr>
              <w:t>0,137</w:t>
            </w:r>
          </w:p>
        </w:tc>
        <w:tc>
          <w:tcPr>
            <w:tcW w:w="0" w:type="auto"/>
            <w:vAlign w:val="center"/>
            <w:hideMark/>
          </w:tcPr>
          <w:p w14:paraId="5A65271C" w14:textId="77777777" w:rsidR="00CB734F" w:rsidRDefault="00CB734F" w:rsidP="00633129">
            <w:pPr>
              <w:jc w:val="center"/>
              <w:rPr>
                <w:rFonts w:eastAsia="Times New Roman"/>
              </w:rPr>
            </w:pPr>
            <w:r>
              <w:rPr>
                <w:rFonts w:eastAsia="Times New Roman"/>
              </w:rPr>
              <w:t>0,152</w:t>
            </w:r>
          </w:p>
        </w:tc>
        <w:tc>
          <w:tcPr>
            <w:tcW w:w="0" w:type="auto"/>
            <w:vAlign w:val="center"/>
            <w:hideMark/>
          </w:tcPr>
          <w:p w14:paraId="759A3F53" w14:textId="77777777" w:rsidR="00CB734F" w:rsidRDefault="00CB734F" w:rsidP="00633129">
            <w:pPr>
              <w:jc w:val="center"/>
              <w:rPr>
                <w:rFonts w:eastAsia="Times New Roman"/>
              </w:rPr>
            </w:pPr>
            <w:r>
              <w:rPr>
                <w:rFonts w:eastAsia="Times New Roman"/>
              </w:rPr>
              <w:t>0,053</w:t>
            </w:r>
          </w:p>
        </w:tc>
        <w:tc>
          <w:tcPr>
            <w:tcW w:w="0" w:type="auto"/>
            <w:vAlign w:val="center"/>
            <w:hideMark/>
          </w:tcPr>
          <w:p w14:paraId="397C5168" w14:textId="77777777" w:rsidR="00CB734F" w:rsidRDefault="00CB734F" w:rsidP="00633129">
            <w:pPr>
              <w:jc w:val="center"/>
              <w:rPr>
                <w:rFonts w:eastAsia="Times New Roman"/>
              </w:rPr>
            </w:pPr>
            <w:r>
              <w:rPr>
                <w:rFonts w:eastAsia="Times New Roman"/>
              </w:rPr>
              <w:t>0,176</w:t>
            </w:r>
          </w:p>
        </w:tc>
        <w:tc>
          <w:tcPr>
            <w:tcW w:w="0" w:type="auto"/>
            <w:vAlign w:val="center"/>
            <w:hideMark/>
          </w:tcPr>
          <w:p w14:paraId="714BDF2A" w14:textId="77777777" w:rsidR="00CB734F" w:rsidRDefault="00CB734F" w:rsidP="00633129">
            <w:pPr>
              <w:jc w:val="center"/>
              <w:rPr>
                <w:rFonts w:eastAsia="Times New Roman"/>
              </w:rPr>
            </w:pPr>
            <w:r>
              <w:rPr>
                <w:rFonts w:eastAsia="Times New Roman"/>
              </w:rPr>
              <w:t>0,111</w:t>
            </w:r>
          </w:p>
        </w:tc>
      </w:tr>
      <w:tr w:rsidR="00CB734F" w14:paraId="0C34699A" w14:textId="77777777" w:rsidTr="00633129">
        <w:trPr>
          <w:tblCellSpacing w:w="15" w:type="dxa"/>
        </w:trPr>
        <w:tc>
          <w:tcPr>
            <w:tcW w:w="0" w:type="auto"/>
            <w:gridSpan w:val="6"/>
            <w:tcBorders>
              <w:bottom w:val="single" w:sz="6" w:space="0" w:color="000000"/>
            </w:tcBorders>
            <w:vAlign w:val="center"/>
            <w:hideMark/>
          </w:tcPr>
          <w:p w14:paraId="27413900" w14:textId="77777777" w:rsidR="00CB734F" w:rsidRDefault="00CB734F" w:rsidP="00633129">
            <w:pPr>
              <w:jc w:val="center"/>
              <w:rPr>
                <w:rFonts w:eastAsia="Times New Roman"/>
              </w:rPr>
            </w:pPr>
          </w:p>
        </w:tc>
      </w:tr>
      <w:tr w:rsidR="00CB734F" w14:paraId="0AD94907" w14:textId="77777777" w:rsidTr="00633129">
        <w:trPr>
          <w:tblCellSpacing w:w="15" w:type="dxa"/>
        </w:trPr>
        <w:tc>
          <w:tcPr>
            <w:tcW w:w="0" w:type="auto"/>
            <w:vAlign w:val="center"/>
            <w:hideMark/>
          </w:tcPr>
          <w:p w14:paraId="51C4000D" w14:textId="5D781345" w:rsidR="00CB734F" w:rsidRDefault="00CB734F" w:rsidP="00633129">
            <w:pPr>
              <w:rPr>
                <w:rFonts w:eastAsia="Times New Roman"/>
                <w:sz w:val="24"/>
                <w:szCs w:val="24"/>
              </w:rPr>
            </w:pPr>
            <w:r>
              <w:rPr>
                <w:rFonts w:eastAsia="Times New Roman"/>
              </w:rPr>
              <w:t>Notes</w:t>
            </w:r>
          </w:p>
        </w:tc>
        <w:tc>
          <w:tcPr>
            <w:tcW w:w="0" w:type="auto"/>
            <w:gridSpan w:val="5"/>
            <w:vAlign w:val="center"/>
            <w:hideMark/>
          </w:tcPr>
          <w:p w14:paraId="6742DB05" w14:textId="77777777" w:rsidR="00CB734F" w:rsidRDefault="00CB734F" w:rsidP="00633129">
            <w:pPr>
              <w:rPr>
                <w:rFonts w:eastAsia="Times New Roman"/>
              </w:rPr>
            </w:pPr>
            <w:r>
              <w:rPr>
                <w:rFonts w:eastAsia="Times New Roman"/>
                <w:vertAlign w:val="superscript"/>
              </w:rPr>
              <w:t>*</w:t>
            </w:r>
            <w:r>
              <w:rPr>
                <w:rFonts w:eastAsia="Times New Roman"/>
              </w:rPr>
              <w:t xml:space="preserve">p &lt; ,1; </w:t>
            </w:r>
            <w:r>
              <w:rPr>
                <w:rFonts w:eastAsia="Times New Roman"/>
                <w:vertAlign w:val="superscript"/>
              </w:rPr>
              <w:t>**</w:t>
            </w:r>
            <w:r>
              <w:rPr>
                <w:rFonts w:eastAsia="Times New Roman"/>
              </w:rPr>
              <w:t xml:space="preserve">p &lt; ,05; </w:t>
            </w:r>
            <w:r>
              <w:rPr>
                <w:rFonts w:eastAsia="Times New Roman"/>
                <w:vertAlign w:val="superscript"/>
              </w:rPr>
              <w:t>***</w:t>
            </w:r>
            <w:r>
              <w:rPr>
                <w:rFonts w:eastAsia="Times New Roman"/>
              </w:rPr>
              <w:t>p &lt; ,01</w:t>
            </w:r>
          </w:p>
        </w:tc>
      </w:tr>
      <w:tr w:rsidR="00CB734F" w14:paraId="276D9E7A" w14:textId="77777777" w:rsidTr="00633129">
        <w:trPr>
          <w:tblCellSpacing w:w="15" w:type="dxa"/>
        </w:trPr>
        <w:tc>
          <w:tcPr>
            <w:tcW w:w="0" w:type="auto"/>
            <w:vAlign w:val="center"/>
            <w:hideMark/>
          </w:tcPr>
          <w:p w14:paraId="4CD34ED5" w14:textId="77777777" w:rsidR="00CB734F" w:rsidRDefault="00CB734F" w:rsidP="00633129">
            <w:pPr>
              <w:rPr>
                <w:rFonts w:eastAsia="Times New Roman"/>
              </w:rPr>
            </w:pPr>
          </w:p>
        </w:tc>
        <w:tc>
          <w:tcPr>
            <w:tcW w:w="0" w:type="auto"/>
            <w:gridSpan w:val="5"/>
            <w:vAlign w:val="center"/>
            <w:hideMark/>
          </w:tcPr>
          <w:p w14:paraId="3ED527A0" w14:textId="7A56C9DD" w:rsidR="00793B03" w:rsidRDefault="00FA16DD" w:rsidP="00CB734F">
            <w:pPr>
              <w:rPr>
                <w:rFonts w:eastAsia="Times New Roman"/>
                <w:lang w:val="en-US"/>
              </w:rPr>
            </w:pPr>
            <w:r w:rsidRPr="003E67F2">
              <w:rPr>
                <w:rFonts w:eastAsia="Times New Roman"/>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r w:rsidR="00CB734F" w:rsidRPr="00677DD9">
              <w:rPr>
                <w:rFonts w:eastAsia="Times New Roman"/>
                <w:lang w:val="en-US"/>
              </w:rPr>
              <w:t>.</w:t>
            </w:r>
          </w:p>
          <w:p w14:paraId="6E8B279B" w14:textId="5B4B102B" w:rsidR="00BE3117" w:rsidRDefault="00BE3117" w:rsidP="00CB734F">
            <w:pPr>
              <w:rPr>
                <w:rFonts w:eastAsia="Times New Roman"/>
                <w:lang w:val="en-US"/>
              </w:rPr>
            </w:pPr>
          </w:p>
          <w:p w14:paraId="69B81610" w14:textId="77777777" w:rsidR="002A7AFF" w:rsidRDefault="002A7AFF" w:rsidP="00CB734F">
            <w:pPr>
              <w:rPr>
                <w:rFonts w:eastAsia="Times New Roman"/>
                <w:lang w:val="en-US"/>
              </w:rPr>
            </w:pPr>
          </w:p>
          <w:p w14:paraId="6184318B" w14:textId="7249D797" w:rsidR="00CB734F" w:rsidRDefault="00CB734F" w:rsidP="00633129">
            <w:pPr>
              <w:rPr>
                <w:rFonts w:eastAsia="Times New Roman"/>
                <w:sz w:val="24"/>
                <w:szCs w:val="24"/>
              </w:rPr>
            </w:pPr>
          </w:p>
        </w:tc>
      </w:tr>
    </w:tbl>
    <w:tbl>
      <w:tblPr>
        <w:tblW w:w="10466" w:type="dxa"/>
        <w:tblCellSpacing w:w="15" w:type="dxa"/>
        <w:tblCellMar>
          <w:top w:w="15" w:type="dxa"/>
          <w:left w:w="15" w:type="dxa"/>
          <w:bottom w:w="15" w:type="dxa"/>
          <w:right w:w="15" w:type="dxa"/>
        </w:tblCellMar>
        <w:tblLook w:val="04A0" w:firstRow="1" w:lastRow="0" w:firstColumn="1" w:lastColumn="0" w:noHBand="0" w:noVBand="1"/>
      </w:tblPr>
      <w:tblGrid>
        <w:gridCol w:w="1180"/>
        <w:gridCol w:w="1991"/>
        <w:gridCol w:w="1956"/>
        <w:gridCol w:w="1940"/>
        <w:gridCol w:w="1860"/>
        <w:gridCol w:w="1539"/>
      </w:tblGrid>
      <w:tr w:rsidR="007317BC" w:rsidRPr="00E8576D" w14:paraId="5B89889E" w14:textId="77777777" w:rsidTr="00FA16DD">
        <w:trPr>
          <w:tblCellSpacing w:w="15" w:type="dxa"/>
        </w:trPr>
        <w:tc>
          <w:tcPr>
            <w:tcW w:w="0" w:type="auto"/>
            <w:gridSpan w:val="6"/>
            <w:tcBorders>
              <w:top w:val="nil"/>
              <w:left w:val="nil"/>
              <w:bottom w:val="nil"/>
              <w:right w:val="nil"/>
            </w:tcBorders>
            <w:vAlign w:val="center"/>
            <w:hideMark/>
          </w:tcPr>
          <w:p w14:paraId="1D5EDE79" w14:textId="024EFC6E" w:rsidR="007317BC" w:rsidRPr="00054A9C" w:rsidRDefault="007317BC" w:rsidP="00633129">
            <w:pPr>
              <w:jc w:val="center"/>
              <w:rPr>
                <w:rFonts w:eastAsia="Times New Roman"/>
                <w:b/>
                <w:bCs/>
                <w:sz w:val="24"/>
                <w:szCs w:val="24"/>
                <w:lang w:val="en-US"/>
              </w:rPr>
            </w:pPr>
            <w:r w:rsidRPr="002A7AFF">
              <w:rPr>
                <w:rStyle w:val="Forte"/>
                <w:rFonts w:eastAsia="Times New Roman"/>
                <w:lang w:val="en-US"/>
              </w:rPr>
              <w:lastRenderedPageBreak/>
              <w:t>T</w:t>
            </w:r>
            <w:r w:rsidRPr="002A7AFF">
              <w:rPr>
                <w:rStyle w:val="Forte"/>
                <w:lang w:val="en-US"/>
              </w:rPr>
              <w:t>able 4</w:t>
            </w:r>
            <w:r w:rsidR="006311DE" w:rsidRPr="002A7AFF">
              <w:rPr>
                <w:rStyle w:val="Forte"/>
                <w:lang w:val="en-US"/>
              </w:rPr>
              <w:t>b</w:t>
            </w:r>
            <w:r w:rsidRPr="00054A9C">
              <w:rPr>
                <w:rStyle w:val="Forte"/>
                <w:b w:val="0"/>
                <w:bCs w:val="0"/>
                <w:lang w:val="en-US"/>
              </w:rPr>
              <w:t xml:space="preserve">- </w:t>
            </w:r>
            <w:r w:rsidRPr="002A7AFF">
              <w:rPr>
                <w:rFonts w:eastAsia="Times New Roman"/>
                <w:b/>
                <w:bCs/>
                <w:lang w:val="en-US"/>
              </w:rPr>
              <w:t>Observatories Impact on Percapita Expenses   (Exp/Inhab.)</w:t>
            </w:r>
          </w:p>
        </w:tc>
      </w:tr>
      <w:tr w:rsidR="007317BC" w:rsidRPr="00E8576D" w14:paraId="482136C8" w14:textId="77777777" w:rsidTr="00FA16DD">
        <w:trPr>
          <w:tblCellSpacing w:w="15" w:type="dxa"/>
        </w:trPr>
        <w:tc>
          <w:tcPr>
            <w:tcW w:w="0" w:type="auto"/>
            <w:gridSpan w:val="6"/>
            <w:tcBorders>
              <w:bottom w:val="single" w:sz="6" w:space="0" w:color="000000"/>
            </w:tcBorders>
            <w:vAlign w:val="center"/>
            <w:hideMark/>
          </w:tcPr>
          <w:p w14:paraId="464B0C3C" w14:textId="77777777" w:rsidR="007317BC" w:rsidRPr="007317BC" w:rsidRDefault="007317BC" w:rsidP="00633129">
            <w:pPr>
              <w:jc w:val="center"/>
              <w:rPr>
                <w:rFonts w:eastAsia="Times New Roman"/>
                <w:lang w:val="en-US"/>
              </w:rPr>
            </w:pPr>
          </w:p>
        </w:tc>
      </w:tr>
      <w:tr w:rsidR="007317BC" w14:paraId="2EF17F70" w14:textId="77777777" w:rsidTr="00FA16DD">
        <w:trPr>
          <w:tblCellSpacing w:w="15" w:type="dxa"/>
        </w:trPr>
        <w:tc>
          <w:tcPr>
            <w:tcW w:w="0" w:type="auto"/>
            <w:vAlign w:val="center"/>
            <w:hideMark/>
          </w:tcPr>
          <w:p w14:paraId="3D3F8075" w14:textId="77777777" w:rsidR="007317BC" w:rsidRPr="007317BC" w:rsidRDefault="007317BC" w:rsidP="007317BC">
            <w:pPr>
              <w:jc w:val="center"/>
              <w:rPr>
                <w:rFonts w:eastAsia="Times New Roman"/>
                <w:sz w:val="20"/>
                <w:szCs w:val="20"/>
                <w:lang w:val="en-US"/>
              </w:rPr>
            </w:pPr>
          </w:p>
        </w:tc>
        <w:tc>
          <w:tcPr>
            <w:tcW w:w="0" w:type="auto"/>
            <w:vAlign w:val="center"/>
            <w:hideMark/>
          </w:tcPr>
          <w:p w14:paraId="482FCE43" w14:textId="19FEA9A8" w:rsidR="007317BC" w:rsidRPr="007317BC" w:rsidRDefault="007317BC" w:rsidP="007317BC">
            <w:pPr>
              <w:jc w:val="center"/>
              <w:rPr>
                <w:rFonts w:eastAsia="Times New Roman"/>
                <w:sz w:val="24"/>
                <w:szCs w:val="24"/>
                <w:lang w:val="en-US"/>
              </w:rPr>
            </w:pPr>
            <w:r w:rsidRPr="002C0AD3">
              <w:rPr>
                <w:rFonts w:eastAsia="Times New Roman"/>
                <w:lang w:val="en-US"/>
              </w:rPr>
              <w:t>Consumption of Materials (Exp/Inhab.)</w:t>
            </w:r>
          </w:p>
        </w:tc>
        <w:tc>
          <w:tcPr>
            <w:tcW w:w="0" w:type="auto"/>
            <w:vAlign w:val="center"/>
            <w:hideMark/>
          </w:tcPr>
          <w:p w14:paraId="6D08BE4C" w14:textId="19C63ECE" w:rsidR="007317BC" w:rsidRPr="007317BC" w:rsidRDefault="007317BC" w:rsidP="007317BC">
            <w:pPr>
              <w:jc w:val="center"/>
              <w:rPr>
                <w:rFonts w:eastAsia="Times New Roman"/>
                <w:lang w:val="en-US"/>
              </w:rPr>
            </w:pPr>
            <w:r w:rsidRPr="009A3CFD">
              <w:rPr>
                <w:rFonts w:eastAsia="Times New Roman"/>
                <w:lang w:val="en-US"/>
              </w:rPr>
              <w:t xml:space="preserve">Freely Distributed Materials </w:t>
            </w:r>
            <w:r w:rsidRPr="002C0AD3">
              <w:rPr>
                <w:rFonts w:eastAsia="Times New Roman"/>
                <w:lang w:val="en-US"/>
              </w:rPr>
              <w:t>(Exp/Inhab.)</w:t>
            </w:r>
          </w:p>
        </w:tc>
        <w:tc>
          <w:tcPr>
            <w:tcW w:w="0" w:type="auto"/>
            <w:vAlign w:val="center"/>
            <w:hideMark/>
          </w:tcPr>
          <w:p w14:paraId="03796146" w14:textId="5046F5B8" w:rsidR="007317BC" w:rsidRPr="007317BC" w:rsidRDefault="007317BC" w:rsidP="007317BC">
            <w:pPr>
              <w:jc w:val="center"/>
              <w:rPr>
                <w:rFonts w:eastAsia="Times New Roman"/>
                <w:lang w:val="en-US"/>
              </w:rPr>
            </w:pPr>
            <w:r w:rsidRPr="009A3CFD">
              <w:rPr>
                <w:rFonts w:eastAsia="Times New Roman"/>
                <w:lang w:val="en-US"/>
              </w:rPr>
              <w:t xml:space="preserve">Outsorced Serv. Individuals </w:t>
            </w:r>
            <w:r w:rsidRPr="00C60C28">
              <w:rPr>
                <w:rFonts w:eastAsia="Times New Roman"/>
                <w:lang w:val="en-US"/>
              </w:rPr>
              <w:t>(Exp/Inhab.)</w:t>
            </w:r>
          </w:p>
        </w:tc>
        <w:tc>
          <w:tcPr>
            <w:tcW w:w="0" w:type="auto"/>
            <w:vAlign w:val="center"/>
            <w:hideMark/>
          </w:tcPr>
          <w:p w14:paraId="6295710D" w14:textId="300AF203" w:rsidR="007317BC" w:rsidRPr="007317BC" w:rsidRDefault="007317BC" w:rsidP="007317BC">
            <w:pPr>
              <w:jc w:val="center"/>
              <w:rPr>
                <w:rFonts w:eastAsia="Times New Roman"/>
                <w:lang w:val="en-US"/>
              </w:rPr>
            </w:pPr>
            <w:r w:rsidRPr="009A3CFD">
              <w:rPr>
                <w:rFonts w:eastAsia="Times New Roman"/>
                <w:lang w:val="en-US"/>
              </w:rPr>
              <w:t xml:space="preserve">Outsorced Serv. </w:t>
            </w:r>
            <w:r>
              <w:rPr>
                <w:rFonts w:eastAsia="Times New Roman"/>
                <w:lang w:val="en-US"/>
              </w:rPr>
              <w:t>Entities</w:t>
            </w:r>
            <w:r w:rsidRPr="009A3CFD">
              <w:rPr>
                <w:rFonts w:eastAsia="Times New Roman"/>
                <w:lang w:val="en-US"/>
              </w:rPr>
              <w:t xml:space="preserve"> </w:t>
            </w:r>
            <w:r w:rsidRPr="00C60C28">
              <w:rPr>
                <w:rFonts w:eastAsia="Times New Roman"/>
                <w:lang w:val="en-US"/>
              </w:rPr>
              <w:t>(Exp/Inhab.)</w:t>
            </w:r>
          </w:p>
        </w:tc>
        <w:tc>
          <w:tcPr>
            <w:tcW w:w="0" w:type="auto"/>
            <w:vAlign w:val="center"/>
            <w:hideMark/>
          </w:tcPr>
          <w:p w14:paraId="1A1EE986" w14:textId="42A6449C" w:rsidR="007317BC" w:rsidRDefault="007317BC" w:rsidP="007317BC">
            <w:pPr>
              <w:jc w:val="center"/>
              <w:rPr>
                <w:rFonts w:eastAsia="Times New Roman"/>
              </w:rPr>
            </w:pPr>
            <w:r>
              <w:rPr>
                <w:rFonts w:eastAsia="Times New Roman"/>
              </w:rPr>
              <w:t xml:space="preserve">Per Diems </w:t>
            </w:r>
            <w:r w:rsidRPr="00DC663C">
              <w:rPr>
                <w:rFonts w:eastAsia="Times New Roman"/>
              </w:rPr>
              <w:t>(</w:t>
            </w:r>
            <w:r>
              <w:rPr>
                <w:rFonts w:eastAsia="Times New Roman"/>
              </w:rPr>
              <w:t>Exp</w:t>
            </w:r>
            <w:r w:rsidRPr="00DC663C">
              <w:rPr>
                <w:rFonts w:eastAsia="Times New Roman"/>
              </w:rPr>
              <w:t>/</w:t>
            </w:r>
            <w:r>
              <w:rPr>
                <w:rFonts w:eastAsia="Times New Roman"/>
              </w:rPr>
              <w:t>Inh</w:t>
            </w:r>
            <w:r w:rsidRPr="00DC663C">
              <w:rPr>
                <w:rFonts w:eastAsia="Times New Roman"/>
              </w:rPr>
              <w:t>ab.)</w:t>
            </w:r>
          </w:p>
        </w:tc>
      </w:tr>
      <w:tr w:rsidR="007317BC" w14:paraId="42EEB69A" w14:textId="77777777" w:rsidTr="00FA16DD">
        <w:trPr>
          <w:tblCellSpacing w:w="15" w:type="dxa"/>
        </w:trPr>
        <w:tc>
          <w:tcPr>
            <w:tcW w:w="0" w:type="auto"/>
            <w:gridSpan w:val="6"/>
            <w:tcBorders>
              <w:bottom w:val="single" w:sz="6" w:space="0" w:color="000000"/>
            </w:tcBorders>
            <w:vAlign w:val="center"/>
            <w:hideMark/>
          </w:tcPr>
          <w:p w14:paraId="01B2C9A7" w14:textId="77777777" w:rsidR="007317BC" w:rsidRDefault="007317BC" w:rsidP="00633129">
            <w:pPr>
              <w:jc w:val="center"/>
              <w:rPr>
                <w:rFonts w:eastAsia="Times New Roman"/>
              </w:rPr>
            </w:pPr>
          </w:p>
        </w:tc>
      </w:tr>
      <w:tr w:rsidR="007317BC" w14:paraId="69A9817B" w14:textId="77777777" w:rsidTr="00FA16DD">
        <w:trPr>
          <w:tblCellSpacing w:w="15" w:type="dxa"/>
        </w:trPr>
        <w:tc>
          <w:tcPr>
            <w:tcW w:w="0" w:type="auto"/>
            <w:vAlign w:val="center"/>
            <w:hideMark/>
          </w:tcPr>
          <w:p w14:paraId="5AE00EDB" w14:textId="46366C11" w:rsidR="007317BC" w:rsidRDefault="007317BC" w:rsidP="00633129">
            <w:pPr>
              <w:rPr>
                <w:rFonts w:eastAsia="Times New Roman"/>
                <w:sz w:val="24"/>
                <w:szCs w:val="24"/>
              </w:rPr>
            </w:pPr>
            <w:r>
              <w:rPr>
                <w:rFonts w:eastAsia="Times New Roman"/>
              </w:rPr>
              <w:t>Observat</w:t>
            </w:r>
            <w:r w:rsidR="006311DE">
              <w:rPr>
                <w:rFonts w:eastAsia="Times New Roman"/>
              </w:rPr>
              <w:t>ory</w:t>
            </w:r>
          </w:p>
        </w:tc>
        <w:tc>
          <w:tcPr>
            <w:tcW w:w="0" w:type="auto"/>
            <w:vAlign w:val="center"/>
            <w:hideMark/>
          </w:tcPr>
          <w:p w14:paraId="60A6E164" w14:textId="77777777" w:rsidR="007317BC" w:rsidRDefault="007317BC" w:rsidP="00633129">
            <w:pPr>
              <w:jc w:val="center"/>
              <w:rPr>
                <w:rFonts w:eastAsia="Times New Roman"/>
              </w:rPr>
            </w:pPr>
            <w:r>
              <w:rPr>
                <w:rFonts w:eastAsia="Times New Roman"/>
              </w:rPr>
              <w:t>1,842</w:t>
            </w:r>
          </w:p>
        </w:tc>
        <w:tc>
          <w:tcPr>
            <w:tcW w:w="0" w:type="auto"/>
            <w:vAlign w:val="center"/>
            <w:hideMark/>
          </w:tcPr>
          <w:p w14:paraId="7D21A080" w14:textId="77777777" w:rsidR="007317BC" w:rsidRDefault="007317BC" w:rsidP="00633129">
            <w:pPr>
              <w:jc w:val="center"/>
              <w:rPr>
                <w:rFonts w:eastAsia="Times New Roman"/>
              </w:rPr>
            </w:pPr>
            <w:r>
              <w:rPr>
                <w:rFonts w:eastAsia="Times New Roman"/>
              </w:rPr>
              <w:t>-4,863</w:t>
            </w:r>
          </w:p>
        </w:tc>
        <w:tc>
          <w:tcPr>
            <w:tcW w:w="0" w:type="auto"/>
            <w:vAlign w:val="center"/>
            <w:hideMark/>
          </w:tcPr>
          <w:p w14:paraId="0E175347" w14:textId="77777777" w:rsidR="007317BC" w:rsidRDefault="007317BC" w:rsidP="00633129">
            <w:pPr>
              <w:jc w:val="center"/>
              <w:rPr>
                <w:rFonts w:eastAsia="Times New Roman"/>
              </w:rPr>
            </w:pPr>
            <w:r>
              <w:rPr>
                <w:rFonts w:eastAsia="Times New Roman"/>
              </w:rPr>
              <w:t>18,454</w:t>
            </w:r>
            <w:r>
              <w:rPr>
                <w:rFonts w:eastAsia="Times New Roman"/>
                <w:vertAlign w:val="superscript"/>
              </w:rPr>
              <w:t>**</w:t>
            </w:r>
          </w:p>
        </w:tc>
        <w:tc>
          <w:tcPr>
            <w:tcW w:w="0" w:type="auto"/>
            <w:vAlign w:val="center"/>
            <w:hideMark/>
          </w:tcPr>
          <w:p w14:paraId="2FE2792D" w14:textId="77777777" w:rsidR="007317BC" w:rsidRDefault="007317BC" w:rsidP="00633129">
            <w:pPr>
              <w:jc w:val="center"/>
              <w:rPr>
                <w:rFonts w:eastAsia="Times New Roman"/>
              </w:rPr>
            </w:pPr>
            <w:r>
              <w:rPr>
                <w:rFonts w:eastAsia="Times New Roman"/>
              </w:rPr>
              <w:t>-49,492</w:t>
            </w:r>
            <w:r>
              <w:rPr>
                <w:rFonts w:eastAsia="Times New Roman"/>
                <w:vertAlign w:val="superscript"/>
              </w:rPr>
              <w:t>**</w:t>
            </w:r>
          </w:p>
        </w:tc>
        <w:tc>
          <w:tcPr>
            <w:tcW w:w="0" w:type="auto"/>
            <w:vAlign w:val="center"/>
            <w:hideMark/>
          </w:tcPr>
          <w:p w14:paraId="1E4F7789" w14:textId="77777777" w:rsidR="007317BC" w:rsidRDefault="007317BC" w:rsidP="00633129">
            <w:pPr>
              <w:jc w:val="center"/>
              <w:rPr>
                <w:rFonts w:eastAsia="Times New Roman"/>
              </w:rPr>
            </w:pPr>
            <w:r>
              <w:rPr>
                <w:rFonts w:eastAsia="Times New Roman"/>
              </w:rPr>
              <w:t>-1,957</w:t>
            </w:r>
          </w:p>
        </w:tc>
      </w:tr>
      <w:tr w:rsidR="007317BC" w14:paraId="089C4486" w14:textId="77777777" w:rsidTr="00FA16DD">
        <w:trPr>
          <w:tblCellSpacing w:w="15" w:type="dxa"/>
        </w:trPr>
        <w:tc>
          <w:tcPr>
            <w:tcW w:w="0" w:type="auto"/>
            <w:vAlign w:val="center"/>
            <w:hideMark/>
          </w:tcPr>
          <w:p w14:paraId="26D94D29" w14:textId="77777777" w:rsidR="007317BC" w:rsidRDefault="007317BC" w:rsidP="00633129">
            <w:pPr>
              <w:jc w:val="center"/>
              <w:rPr>
                <w:rFonts w:eastAsia="Times New Roman"/>
              </w:rPr>
            </w:pPr>
          </w:p>
        </w:tc>
        <w:tc>
          <w:tcPr>
            <w:tcW w:w="0" w:type="auto"/>
            <w:vAlign w:val="center"/>
            <w:hideMark/>
          </w:tcPr>
          <w:p w14:paraId="7971F2EF" w14:textId="77777777" w:rsidR="007317BC" w:rsidRDefault="007317BC" w:rsidP="00633129">
            <w:pPr>
              <w:jc w:val="center"/>
              <w:rPr>
                <w:rFonts w:eastAsia="Times New Roman"/>
                <w:sz w:val="24"/>
                <w:szCs w:val="24"/>
              </w:rPr>
            </w:pPr>
            <w:r>
              <w:rPr>
                <w:rFonts w:eastAsia="Times New Roman"/>
              </w:rPr>
              <w:t>(16,168)</w:t>
            </w:r>
          </w:p>
        </w:tc>
        <w:tc>
          <w:tcPr>
            <w:tcW w:w="0" w:type="auto"/>
            <w:vAlign w:val="center"/>
            <w:hideMark/>
          </w:tcPr>
          <w:p w14:paraId="2381C13F" w14:textId="77777777" w:rsidR="007317BC" w:rsidRDefault="007317BC" w:rsidP="00633129">
            <w:pPr>
              <w:jc w:val="center"/>
              <w:rPr>
                <w:rFonts w:eastAsia="Times New Roman"/>
              </w:rPr>
            </w:pPr>
            <w:r>
              <w:rPr>
                <w:rFonts w:eastAsia="Times New Roman"/>
              </w:rPr>
              <w:t>(4,094)</w:t>
            </w:r>
          </w:p>
        </w:tc>
        <w:tc>
          <w:tcPr>
            <w:tcW w:w="0" w:type="auto"/>
            <w:vAlign w:val="center"/>
            <w:hideMark/>
          </w:tcPr>
          <w:p w14:paraId="43DF62A1" w14:textId="77777777" w:rsidR="007317BC" w:rsidRDefault="007317BC" w:rsidP="00633129">
            <w:pPr>
              <w:jc w:val="center"/>
              <w:rPr>
                <w:rFonts w:eastAsia="Times New Roman"/>
              </w:rPr>
            </w:pPr>
            <w:r>
              <w:rPr>
                <w:rFonts w:eastAsia="Times New Roman"/>
              </w:rPr>
              <w:t>(8,216)</w:t>
            </w:r>
          </w:p>
        </w:tc>
        <w:tc>
          <w:tcPr>
            <w:tcW w:w="0" w:type="auto"/>
            <w:vAlign w:val="center"/>
            <w:hideMark/>
          </w:tcPr>
          <w:p w14:paraId="6BD7A509" w14:textId="77777777" w:rsidR="007317BC" w:rsidRDefault="007317BC" w:rsidP="00633129">
            <w:pPr>
              <w:jc w:val="center"/>
              <w:rPr>
                <w:rFonts w:eastAsia="Times New Roman"/>
              </w:rPr>
            </w:pPr>
            <w:r>
              <w:rPr>
                <w:rFonts w:eastAsia="Times New Roman"/>
              </w:rPr>
              <w:t>(24,670)</w:t>
            </w:r>
          </w:p>
        </w:tc>
        <w:tc>
          <w:tcPr>
            <w:tcW w:w="0" w:type="auto"/>
            <w:vAlign w:val="center"/>
            <w:hideMark/>
          </w:tcPr>
          <w:p w14:paraId="4AE32F59" w14:textId="77777777" w:rsidR="007317BC" w:rsidRDefault="007317BC" w:rsidP="00633129">
            <w:pPr>
              <w:jc w:val="center"/>
              <w:rPr>
                <w:rFonts w:eastAsia="Times New Roman"/>
              </w:rPr>
            </w:pPr>
            <w:r>
              <w:rPr>
                <w:rFonts w:eastAsia="Times New Roman"/>
              </w:rPr>
              <w:t>(1,623)</w:t>
            </w:r>
          </w:p>
        </w:tc>
      </w:tr>
      <w:tr w:rsidR="007317BC" w14:paraId="37374400" w14:textId="77777777" w:rsidTr="00FA16DD">
        <w:trPr>
          <w:tblCellSpacing w:w="15" w:type="dxa"/>
        </w:trPr>
        <w:tc>
          <w:tcPr>
            <w:tcW w:w="0" w:type="auto"/>
            <w:vAlign w:val="center"/>
            <w:hideMark/>
          </w:tcPr>
          <w:p w14:paraId="6DFD7E53" w14:textId="77777777" w:rsidR="007317BC" w:rsidRDefault="007317BC" w:rsidP="00633129">
            <w:pPr>
              <w:rPr>
                <w:rFonts w:eastAsia="Times New Roman"/>
              </w:rPr>
            </w:pPr>
            <w:r>
              <w:rPr>
                <w:rFonts w:eastAsia="Times New Roman"/>
              </w:rPr>
              <w:t>Obs x OSB</w:t>
            </w:r>
          </w:p>
        </w:tc>
        <w:tc>
          <w:tcPr>
            <w:tcW w:w="0" w:type="auto"/>
            <w:vAlign w:val="center"/>
            <w:hideMark/>
          </w:tcPr>
          <w:p w14:paraId="30E43874" w14:textId="77777777" w:rsidR="007317BC" w:rsidRDefault="007317BC" w:rsidP="00633129">
            <w:pPr>
              <w:jc w:val="center"/>
              <w:rPr>
                <w:rFonts w:eastAsia="Times New Roman"/>
              </w:rPr>
            </w:pPr>
            <w:r>
              <w:rPr>
                <w:rFonts w:eastAsia="Times New Roman"/>
              </w:rPr>
              <w:t>-17,842</w:t>
            </w:r>
          </w:p>
        </w:tc>
        <w:tc>
          <w:tcPr>
            <w:tcW w:w="0" w:type="auto"/>
            <w:vAlign w:val="center"/>
            <w:hideMark/>
          </w:tcPr>
          <w:p w14:paraId="3E568F2F" w14:textId="77777777" w:rsidR="007317BC" w:rsidRDefault="007317BC" w:rsidP="00633129">
            <w:pPr>
              <w:jc w:val="center"/>
              <w:rPr>
                <w:rFonts w:eastAsia="Times New Roman"/>
              </w:rPr>
            </w:pPr>
            <w:r>
              <w:rPr>
                <w:rFonts w:eastAsia="Times New Roman"/>
              </w:rPr>
              <w:t>0,208</w:t>
            </w:r>
          </w:p>
        </w:tc>
        <w:tc>
          <w:tcPr>
            <w:tcW w:w="0" w:type="auto"/>
            <w:vAlign w:val="center"/>
            <w:hideMark/>
          </w:tcPr>
          <w:p w14:paraId="19BFDE23" w14:textId="77777777" w:rsidR="007317BC" w:rsidRDefault="007317BC" w:rsidP="00633129">
            <w:pPr>
              <w:jc w:val="center"/>
              <w:rPr>
                <w:rFonts w:eastAsia="Times New Roman"/>
              </w:rPr>
            </w:pPr>
            <w:r>
              <w:rPr>
                <w:rFonts w:eastAsia="Times New Roman"/>
              </w:rPr>
              <w:t>-4,024</w:t>
            </w:r>
          </w:p>
        </w:tc>
        <w:tc>
          <w:tcPr>
            <w:tcW w:w="0" w:type="auto"/>
            <w:vAlign w:val="center"/>
            <w:hideMark/>
          </w:tcPr>
          <w:p w14:paraId="70B992F1" w14:textId="77777777" w:rsidR="007317BC" w:rsidRDefault="007317BC" w:rsidP="00633129">
            <w:pPr>
              <w:jc w:val="center"/>
              <w:rPr>
                <w:rFonts w:eastAsia="Times New Roman"/>
              </w:rPr>
            </w:pPr>
            <w:r>
              <w:rPr>
                <w:rFonts w:eastAsia="Times New Roman"/>
              </w:rPr>
              <w:t>69,995</w:t>
            </w:r>
            <w:r>
              <w:rPr>
                <w:rFonts w:eastAsia="Times New Roman"/>
                <w:vertAlign w:val="superscript"/>
              </w:rPr>
              <w:t>**</w:t>
            </w:r>
          </w:p>
        </w:tc>
        <w:tc>
          <w:tcPr>
            <w:tcW w:w="0" w:type="auto"/>
            <w:vAlign w:val="center"/>
            <w:hideMark/>
          </w:tcPr>
          <w:p w14:paraId="1A472A87" w14:textId="77777777" w:rsidR="007317BC" w:rsidRDefault="007317BC" w:rsidP="00633129">
            <w:pPr>
              <w:jc w:val="center"/>
              <w:rPr>
                <w:rFonts w:eastAsia="Times New Roman"/>
              </w:rPr>
            </w:pPr>
            <w:r>
              <w:rPr>
                <w:rFonts w:eastAsia="Times New Roman"/>
              </w:rPr>
              <w:t>-0,096</w:t>
            </w:r>
          </w:p>
        </w:tc>
      </w:tr>
      <w:tr w:rsidR="007317BC" w14:paraId="34E19311" w14:textId="77777777" w:rsidTr="00FA16DD">
        <w:trPr>
          <w:tblCellSpacing w:w="15" w:type="dxa"/>
        </w:trPr>
        <w:tc>
          <w:tcPr>
            <w:tcW w:w="0" w:type="auto"/>
            <w:vAlign w:val="center"/>
            <w:hideMark/>
          </w:tcPr>
          <w:p w14:paraId="5E388E5D" w14:textId="77777777" w:rsidR="007317BC" w:rsidRDefault="007317BC" w:rsidP="00633129">
            <w:pPr>
              <w:jc w:val="center"/>
              <w:rPr>
                <w:rFonts w:eastAsia="Times New Roman"/>
              </w:rPr>
            </w:pPr>
          </w:p>
        </w:tc>
        <w:tc>
          <w:tcPr>
            <w:tcW w:w="0" w:type="auto"/>
            <w:vAlign w:val="center"/>
            <w:hideMark/>
          </w:tcPr>
          <w:p w14:paraId="3ABA61DF" w14:textId="77777777" w:rsidR="007317BC" w:rsidRDefault="007317BC" w:rsidP="00633129">
            <w:pPr>
              <w:jc w:val="center"/>
              <w:rPr>
                <w:rFonts w:eastAsia="Times New Roman"/>
                <w:sz w:val="24"/>
                <w:szCs w:val="24"/>
              </w:rPr>
            </w:pPr>
            <w:r>
              <w:rPr>
                <w:rFonts w:eastAsia="Times New Roman"/>
              </w:rPr>
              <w:t>(17,421)</w:t>
            </w:r>
          </w:p>
        </w:tc>
        <w:tc>
          <w:tcPr>
            <w:tcW w:w="0" w:type="auto"/>
            <w:vAlign w:val="center"/>
            <w:hideMark/>
          </w:tcPr>
          <w:p w14:paraId="1B498AEB" w14:textId="77777777" w:rsidR="007317BC" w:rsidRDefault="007317BC" w:rsidP="00633129">
            <w:pPr>
              <w:jc w:val="center"/>
              <w:rPr>
                <w:rFonts w:eastAsia="Times New Roman"/>
              </w:rPr>
            </w:pPr>
            <w:r>
              <w:rPr>
                <w:rFonts w:eastAsia="Times New Roman"/>
              </w:rPr>
              <w:t>(4,579)</w:t>
            </w:r>
          </w:p>
        </w:tc>
        <w:tc>
          <w:tcPr>
            <w:tcW w:w="0" w:type="auto"/>
            <w:vAlign w:val="center"/>
            <w:hideMark/>
          </w:tcPr>
          <w:p w14:paraId="6F632A37" w14:textId="77777777" w:rsidR="007317BC" w:rsidRDefault="007317BC" w:rsidP="00633129">
            <w:pPr>
              <w:jc w:val="center"/>
              <w:rPr>
                <w:rFonts w:eastAsia="Times New Roman"/>
              </w:rPr>
            </w:pPr>
            <w:r>
              <w:rPr>
                <w:rFonts w:eastAsia="Times New Roman"/>
              </w:rPr>
              <w:t>(8,586)</w:t>
            </w:r>
          </w:p>
        </w:tc>
        <w:tc>
          <w:tcPr>
            <w:tcW w:w="0" w:type="auto"/>
            <w:vAlign w:val="center"/>
            <w:hideMark/>
          </w:tcPr>
          <w:p w14:paraId="4A577FCF" w14:textId="77777777" w:rsidR="007317BC" w:rsidRDefault="007317BC" w:rsidP="00633129">
            <w:pPr>
              <w:jc w:val="center"/>
              <w:rPr>
                <w:rFonts w:eastAsia="Times New Roman"/>
              </w:rPr>
            </w:pPr>
            <w:r>
              <w:rPr>
                <w:rFonts w:eastAsia="Times New Roman"/>
              </w:rPr>
              <w:t>(31,143)</w:t>
            </w:r>
          </w:p>
        </w:tc>
        <w:tc>
          <w:tcPr>
            <w:tcW w:w="0" w:type="auto"/>
            <w:vAlign w:val="center"/>
            <w:hideMark/>
          </w:tcPr>
          <w:p w14:paraId="19CEFD8C" w14:textId="77777777" w:rsidR="007317BC" w:rsidRDefault="007317BC" w:rsidP="00633129">
            <w:pPr>
              <w:jc w:val="center"/>
              <w:rPr>
                <w:rFonts w:eastAsia="Times New Roman"/>
              </w:rPr>
            </w:pPr>
            <w:r>
              <w:rPr>
                <w:rFonts w:eastAsia="Times New Roman"/>
              </w:rPr>
              <w:t>(1,751)</w:t>
            </w:r>
          </w:p>
        </w:tc>
      </w:tr>
      <w:tr w:rsidR="007317BC" w14:paraId="0BF3F10D" w14:textId="77777777" w:rsidTr="00FA16DD">
        <w:trPr>
          <w:tblCellSpacing w:w="15" w:type="dxa"/>
        </w:trPr>
        <w:tc>
          <w:tcPr>
            <w:tcW w:w="0" w:type="auto"/>
            <w:vAlign w:val="center"/>
            <w:hideMark/>
          </w:tcPr>
          <w:p w14:paraId="4CD3B749" w14:textId="77777777" w:rsidR="007317BC" w:rsidRDefault="007317BC" w:rsidP="00633129">
            <w:pPr>
              <w:rPr>
                <w:rFonts w:eastAsia="Times New Roman"/>
              </w:rPr>
            </w:pPr>
            <w:r>
              <w:rPr>
                <w:rFonts w:eastAsia="Times New Roman"/>
              </w:rPr>
              <w:t>N</w:t>
            </w:r>
          </w:p>
        </w:tc>
        <w:tc>
          <w:tcPr>
            <w:tcW w:w="0" w:type="auto"/>
            <w:vAlign w:val="center"/>
            <w:hideMark/>
          </w:tcPr>
          <w:p w14:paraId="712B49A0" w14:textId="77777777" w:rsidR="007317BC" w:rsidRDefault="007317BC" w:rsidP="00633129">
            <w:pPr>
              <w:jc w:val="center"/>
              <w:rPr>
                <w:rFonts w:eastAsia="Times New Roman"/>
              </w:rPr>
            </w:pPr>
            <w:r>
              <w:rPr>
                <w:rFonts w:eastAsia="Times New Roman"/>
              </w:rPr>
              <w:t>23.011</w:t>
            </w:r>
          </w:p>
        </w:tc>
        <w:tc>
          <w:tcPr>
            <w:tcW w:w="0" w:type="auto"/>
            <w:vAlign w:val="center"/>
            <w:hideMark/>
          </w:tcPr>
          <w:p w14:paraId="24B484B9" w14:textId="77777777" w:rsidR="007317BC" w:rsidRDefault="007317BC" w:rsidP="00633129">
            <w:pPr>
              <w:jc w:val="center"/>
              <w:rPr>
                <w:rFonts w:eastAsia="Times New Roman"/>
              </w:rPr>
            </w:pPr>
            <w:r>
              <w:rPr>
                <w:rFonts w:eastAsia="Times New Roman"/>
              </w:rPr>
              <w:t>23.011</w:t>
            </w:r>
          </w:p>
        </w:tc>
        <w:tc>
          <w:tcPr>
            <w:tcW w:w="0" w:type="auto"/>
            <w:vAlign w:val="center"/>
            <w:hideMark/>
          </w:tcPr>
          <w:p w14:paraId="3C5481F4" w14:textId="77777777" w:rsidR="007317BC" w:rsidRDefault="007317BC" w:rsidP="00633129">
            <w:pPr>
              <w:jc w:val="center"/>
              <w:rPr>
                <w:rFonts w:eastAsia="Times New Roman"/>
              </w:rPr>
            </w:pPr>
            <w:r>
              <w:rPr>
                <w:rFonts w:eastAsia="Times New Roman"/>
              </w:rPr>
              <w:t>23.011</w:t>
            </w:r>
          </w:p>
        </w:tc>
        <w:tc>
          <w:tcPr>
            <w:tcW w:w="0" w:type="auto"/>
            <w:vAlign w:val="center"/>
            <w:hideMark/>
          </w:tcPr>
          <w:p w14:paraId="110A31D4" w14:textId="77777777" w:rsidR="007317BC" w:rsidRDefault="007317BC" w:rsidP="00633129">
            <w:pPr>
              <w:jc w:val="center"/>
              <w:rPr>
                <w:rFonts w:eastAsia="Times New Roman"/>
              </w:rPr>
            </w:pPr>
            <w:r>
              <w:rPr>
                <w:rFonts w:eastAsia="Times New Roman"/>
              </w:rPr>
              <w:t>23.011</w:t>
            </w:r>
          </w:p>
        </w:tc>
        <w:tc>
          <w:tcPr>
            <w:tcW w:w="0" w:type="auto"/>
            <w:vAlign w:val="center"/>
            <w:hideMark/>
          </w:tcPr>
          <w:p w14:paraId="4F2650BB" w14:textId="77777777" w:rsidR="007317BC" w:rsidRDefault="007317BC" w:rsidP="00633129">
            <w:pPr>
              <w:jc w:val="center"/>
              <w:rPr>
                <w:rFonts w:eastAsia="Times New Roman"/>
              </w:rPr>
            </w:pPr>
            <w:r>
              <w:rPr>
                <w:rFonts w:eastAsia="Times New Roman"/>
              </w:rPr>
              <w:t>23.011</w:t>
            </w:r>
          </w:p>
        </w:tc>
      </w:tr>
      <w:tr w:rsidR="007317BC" w14:paraId="30FB6E58" w14:textId="77777777" w:rsidTr="00FA16DD">
        <w:trPr>
          <w:tblCellSpacing w:w="15" w:type="dxa"/>
        </w:trPr>
        <w:tc>
          <w:tcPr>
            <w:tcW w:w="0" w:type="auto"/>
            <w:vAlign w:val="center"/>
            <w:hideMark/>
          </w:tcPr>
          <w:p w14:paraId="28732E68" w14:textId="77777777" w:rsidR="007317BC" w:rsidRDefault="007317BC" w:rsidP="00633129">
            <w:pPr>
              <w:rPr>
                <w:rFonts w:eastAsia="Times New Roman"/>
              </w:rPr>
            </w:pPr>
            <w:r>
              <w:rPr>
                <w:rFonts w:eastAsia="Times New Roman"/>
              </w:rPr>
              <w:t>R</w:t>
            </w:r>
            <w:r>
              <w:rPr>
                <w:rFonts w:eastAsia="Times New Roman"/>
                <w:vertAlign w:val="superscript"/>
              </w:rPr>
              <w:t>2</w:t>
            </w:r>
          </w:p>
        </w:tc>
        <w:tc>
          <w:tcPr>
            <w:tcW w:w="0" w:type="auto"/>
            <w:vAlign w:val="center"/>
            <w:hideMark/>
          </w:tcPr>
          <w:p w14:paraId="65C80579" w14:textId="77777777" w:rsidR="007317BC" w:rsidRDefault="007317BC" w:rsidP="00633129">
            <w:pPr>
              <w:jc w:val="center"/>
              <w:rPr>
                <w:rFonts w:eastAsia="Times New Roman"/>
              </w:rPr>
            </w:pPr>
            <w:r>
              <w:rPr>
                <w:rFonts w:eastAsia="Times New Roman"/>
              </w:rPr>
              <w:t>0,052</w:t>
            </w:r>
          </w:p>
        </w:tc>
        <w:tc>
          <w:tcPr>
            <w:tcW w:w="0" w:type="auto"/>
            <w:vAlign w:val="center"/>
            <w:hideMark/>
          </w:tcPr>
          <w:p w14:paraId="4586EDEA" w14:textId="77777777" w:rsidR="007317BC" w:rsidRDefault="007317BC" w:rsidP="00633129">
            <w:pPr>
              <w:jc w:val="center"/>
              <w:rPr>
                <w:rFonts w:eastAsia="Times New Roman"/>
              </w:rPr>
            </w:pPr>
            <w:r>
              <w:rPr>
                <w:rFonts w:eastAsia="Times New Roman"/>
              </w:rPr>
              <w:t>0,114</w:t>
            </w:r>
          </w:p>
        </w:tc>
        <w:tc>
          <w:tcPr>
            <w:tcW w:w="0" w:type="auto"/>
            <w:vAlign w:val="center"/>
            <w:hideMark/>
          </w:tcPr>
          <w:p w14:paraId="6462069E" w14:textId="77777777" w:rsidR="007317BC" w:rsidRDefault="007317BC" w:rsidP="00633129">
            <w:pPr>
              <w:jc w:val="center"/>
              <w:rPr>
                <w:rFonts w:eastAsia="Times New Roman"/>
              </w:rPr>
            </w:pPr>
            <w:r>
              <w:rPr>
                <w:rFonts w:eastAsia="Times New Roman"/>
              </w:rPr>
              <w:t>0,074</w:t>
            </w:r>
          </w:p>
        </w:tc>
        <w:tc>
          <w:tcPr>
            <w:tcW w:w="0" w:type="auto"/>
            <w:vAlign w:val="center"/>
            <w:hideMark/>
          </w:tcPr>
          <w:p w14:paraId="1FA4C8B9" w14:textId="77777777" w:rsidR="007317BC" w:rsidRDefault="007317BC" w:rsidP="00633129">
            <w:pPr>
              <w:jc w:val="center"/>
              <w:rPr>
                <w:rFonts w:eastAsia="Times New Roman"/>
              </w:rPr>
            </w:pPr>
            <w:r>
              <w:rPr>
                <w:rFonts w:eastAsia="Times New Roman"/>
              </w:rPr>
              <w:t>0,084</w:t>
            </w:r>
          </w:p>
        </w:tc>
        <w:tc>
          <w:tcPr>
            <w:tcW w:w="0" w:type="auto"/>
            <w:vAlign w:val="center"/>
            <w:hideMark/>
          </w:tcPr>
          <w:p w14:paraId="0FB51536" w14:textId="77777777" w:rsidR="007317BC" w:rsidRDefault="007317BC" w:rsidP="00633129">
            <w:pPr>
              <w:jc w:val="center"/>
              <w:rPr>
                <w:rFonts w:eastAsia="Times New Roman"/>
              </w:rPr>
            </w:pPr>
            <w:r>
              <w:rPr>
                <w:rFonts w:eastAsia="Times New Roman"/>
              </w:rPr>
              <w:t>0,050</w:t>
            </w:r>
          </w:p>
        </w:tc>
      </w:tr>
      <w:tr w:rsidR="007317BC" w14:paraId="74328C6F" w14:textId="77777777" w:rsidTr="00FA16DD">
        <w:trPr>
          <w:tblCellSpacing w:w="15" w:type="dxa"/>
        </w:trPr>
        <w:tc>
          <w:tcPr>
            <w:tcW w:w="0" w:type="auto"/>
            <w:gridSpan w:val="6"/>
            <w:tcBorders>
              <w:bottom w:val="single" w:sz="6" w:space="0" w:color="000000"/>
            </w:tcBorders>
            <w:vAlign w:val="center"/>
            <w:hideMark/>
          </w:tcPr>
          <w:p w14:paraId="38C4E283" w14:textId="77777777" w:rsidR="007317BC" w:rsidRDefault="007317BC" w:rsidP="00633129">
            <w:pPr>
              <w:jc w:val="center"/>
              <w:rPr>
                <w:rFonts w:eastAsia="Times New Roman"/>
              </w:rPr>
            </w:pPr>
          </w:p>
        </w:tc>
      </w:tr>
      <w:tr w:rsidR="007317BC" w14:paraId="65D23E28" w14:textId="77777777" w:rsidTr="00FA16DD">
        <w:trPr>
          <w:tblCellSpacing w:w="15" w:type="dxa"/>
        </w:trPr>
        <w:tc>
          <w:tcPr>
            <w:tcW w:w="0" w:type="auto"/>
            <w:vAlign w:val="center"/>
            <w:hideMark/>
          </w:tcPr>
          <w:p w14:paraId="52427E27" w14:textId="77777777" w:rsidR="007317BC" w:rsidRDefault="007317BC" w:rsidP="00633129">
            <w:pPr>
              <w:rPr>
                <w:rFonts w:eastAsia="Times New Roman"/>
                <w:sz w:val="24"/>
                <w:szCs w:val="24"/>
              </w:rPr>
            </w:pPr>
            <w:r>
              <w:rPr>
                <w:rFonts w:eastAsia="Times New Roman"/>
              </w:rPr>
              <w:t>Notas</w:t>
            </w:r>
          </w:p>
        </w:tc>
        <w:tc>
          <w:tcPr>
            <w:tcW w:w="0" w:type="auto"/>
            <w:gridSpan w:val="5"/>
            <w:vAlign w:val="center"/>
            <w:hideMark/>
          </w:tcPr>
          <w:p w14:paraId="5BEE7383" w14:textId="77777777" w:rsidR="007317BC" w:rsidRDefault="007317BC" w:rsidP="00633129">
            <w:pPr>
              <w:rPr>
                <w:rFonts w:eastAsia="Times New Roman"/>
              </w:rPr>
            </w:pPr>
            <w:r>
              <w:rPr>
                <w:rFonts w:eastAsia="Times New Roman"/>
                <w:vertAlign w:val="superscript"/>
              </w:rPr>
              <w:t>*</w:t>
            </w:r>
            <w:r>
              <w:rPr>
                <w:rFonts w:eastAsia="Times New Roman"/>
              </w:rPr>
              <w:t xml:space="preserve">p &lt; ,1; </w:t>
            </w:r>
            <w:r>
              <w:rPr>
                <w:rFonts w:eastAsia="Times New Roman"/>
                <w:vertAlign w:val="superscript"/>
              </w:rPr>
              <w:t>**</w:t>
            </w:r>
            <w:r>
              <w:rPr>
                <w:rFonts w:eastAsia="Times New Roman"/>
              </w:rPr>
              <w:t xml:space="preserve">p &lt; ,05; </w:t>
            </w:r>
            <w:r>
              <w:rPr>
                <w:rFonts w:eastAsia="Times New Roman"/>
                <w:vertAlign w:val="superscript"/>
              </w:rPr>
              <w:t>***</w:t>
            </w:r>
            <w:r>
              <w:rPr>
                <w:rFonts w:eastAsia="Times New Roman"/>
              </w:rPr>
              <w:t>p &lt; ,01</w:t>
            </w:r>
          </w:p>
        </w:tc>
      </w:tr>
      <w:tr w:rsidR="007317BC" w:rsidRPr="002A7AFF" w14:paraId="7FCB572B" w14:textId="77777777" w:rsidTr="00FA16DD">
        <w:trPr>
          <w:tblCellSpacing w:w="15" w:type="dxa"/>
        </w:trPr>
        <w:tc>
          <w:tcPr>
            <w:tcW w:w="0" w:type="auto"/>
            <w:vAlign w:val="center"/>
            <w:hideMark/>
          </w:tcPr>
          <w:p w14:paraId="4DA76F01" w14:textId="77777777" w:rsidR="007317BC" w:rsidRDefault="007317BC" w:rsidP="00633129">
            <w:pPr>
              <w:rPr>
                <w:rFonts w:eastAsia="Times New Roman"/>
              </w:rPr>
            </w:pPr>
          </w:p>
        </w:tc>
        <w:tc>
          <w:tcPr>
            <w:tcW w:w="0" w:type="auto"/>
            <w:gridSpan w:val="5"/>
            <w:vAlign w:val="center"/>
            <w:hideMark/>
          </w:tcPr>
          <w:p w14:paraId="7F63FDD4" w14:textId="4F3431C2" w:rsidR="00526111" w:rsidRPr="002A7AFF" w:rsidRDefault="00FA16DD" w:rsidP="00633129">
            <w:pPr>
              <w:rPr>
                <w:rFonts w:eastAsia="Times New Roman"/>
                <w:sz w:val="20"/>
                <w:szCs w:val="20"/>
                <w:lang w:val="en-US"/>
              </w:rPr>
            </w:pPr>
            <w:r w:rsidRPr="002A7AFF">
              <w:rPr>
                <w:rFonts w:eastAsia="Times New Roman"/>
                <w:sz w:val="20"/>
                <w:szCs w:val="20"/>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p w14:paraId="34A6D879" w14:textId="2A790A6A" w:rsidR="00054A9C" w:rsidRPr="002A7AFF" w:rsidRDefault="00054A9C" w:rsidP="00633129">
            <w:pPr>
              <w:rPr>
                <w:rFonts w:eastAsia="Times New Roman"/>
                <w:sz w:val="20"/>
                <w:szCs w:val="20"/>
                <w:lang w:val="en-US"/>
              </w:rPr>
            </w:pPr>
          </w:p>
        </w:tc>
      </w:tr>
    </w:tbl>
    <w:tbl>
      <w:tblPr>
        <w:tblpPr w:leftFromText="180" w:rightFromText="180" w:vertAnchor="text" w:horzAnchor="margin" w:tblpY="133"/>
        <w:tblW w:w="10466" w:type="dxa"/>
        <w:tblCellSpacing w:w="15" w:type="dxa"/>
        <w:tblCellMar>
          <w:top w:w="15" w:type="dxa"/>
          <w:left w:w="15" w:type="dxa"/>
          <w:bottom w:w="15" w:type="dxa"/>
          <w:right w:w="15" w:type="dxa"/>
        </w:tblCellMar>
        <w:tblLook w:val="04A0" w:firstRow="1" w:lastRow="0" w:firstColumn="1" w:lastColumn="0" w:noHBand="0" w:noVBand="1"/>
      </w:tblPr>
      <w:tblGrid>
        <w:gridCol w:w="1180"/>
        <w:gridCol w:w="1710"/>
        <w:gridCol w:w="1675"/>
        <w:gridCol w:w="1590"/>
        <w:gridCol w:w="2227"/>
        <w:gridCol w:w="2084"/>
      </w:tblGrid>
      <w:tr w:rsidR="006311DE" w:rsidRPr="00E8576D" w14:paraId="3DD88024" w14:textId="77777777" w:rsidTr="00FA16DD">
        <w:trPr>
          <w:tblCellSpacing w:w="15" w:type="dxa"/>
        </w:trPr>
        <w:tc>
          <w:tcPr>
            <w:tcW w:w="0" w:type="auto"/>
            <w:gridSpan w:val="6"/>
            <w:tcBorders>
              <w:top w:val="nil"/>
              <w:left w:val="nil"/>
              <w:bottom w:val="nil"/>
              <w:right w:val="nil"/>
            </w:tcBorders>
            <w:vAlign w:val="center"/>
            <w:hideMark/>
          </w:tcPr>
          <w:p w14:paraId="48CB646D" w14:textId="6F4231AA" w:rsidR="006311DE" w:rsidRPr="006311DE" w:rsidRDefault="006311DE" w:rsidP="00633129">
            <w:pPr>
              <w:jc w:val="center"/>
              <w:rPr>
                <w:rFonts w:eastAsia="Times New Roman"/>
                <w:sz w:val="24"/>
                <w:szCs w:val="24"/>
                <w:lang w:val="en-US"/>
              </w:rPr>
            </w:pPr>
            <w:r w:rsidRPr="002A7AFF">
              <w:rPr>
                <w:rStyle w:val="Forte"/>
                <w:rFonts w:eastAsia="Times New Roman"/>
                <w:lang w:val="en-US"/>
              </w:rPr>
              <w:t>T</w:t>
            </w:r>
            <w:r w:rsidRPr="002A7AFF">
              <w:rPr>
                <w:rStyle w:val="Forte"/>
                <w:lang w:val="en-US"/>
              </w:rPr>
              <w:t>able 4c-</w:t>
            </w:r>
            <w:r w:rsidRPr="00F17495">
              <w:rPr>
                <w:rStyle w:val="Forte"/>
                <w:lang w:val="en-US"/>
              </w:rPr>
              <w:t xml:space="preserve"> </w:t>
            </w:r>
            <w:r w:rsidRPr="002A7AFF">
              <w:rPr>
                <w:rFonts w:eastAsia="Times New Roman"/>
                <w:b/>
                <w:bCs/>
                <w:lang w:val="en-US"/>
              </w:rPr>
              <w:t>Observatories Impact on Percapita Expenses   (Exp</w:t>
            </w:r>
            <w:r w:rsidR="00E27665" w:rsidRPr="002A7AFF">
              <w:rPr>
                <w:rFonts w:eastAsia="Times New Roman"/>
                <w:b/>
                <w:bCs/>
                <w:lang w:val="en-US"/>
              </w:rPr>
              <w:t>enditure</w:t>
            </w:r>
            <w:r w:rsidRPr="002A7AFF">
              <w:rPr>
                <w:rFonts w:eastAsia="Times New Roman"/>
                <w:b/>
                <w:bCs/>
                <w:lang w:val="en-US"/>
              </w:rPr>
              <w:t>/Inhab</w:t>
            </w:r>
            <w:r w:rsidR="00E27665" w:rsidRPr="002A7AFF">
              <w:rPr>
                <w:rFonts w:eastAsia="Times New Roman"/>
                <w:b/>
                <w:bCs/>
                <w:lang w:val="en-US"/>
              </w:rPr>
              <w:t>itants</w:t>
            </w:r>
            <w:r w:rsidRPr="002A7AFF">
              <w:rPr>
                <w:rFonts w:eastAsia="Times New Roman"/>
                <w:b/>
                <w:bCs/>
                <w:lang w:val="en-US"/>
              </w:rPr>
              <w:t>)</w:t>
            </w:r>
          </w:p>
        </w:tc>
      </w:tr>
      <w:tr w:rsidR="006311DE" w:rsidRPr="00E8576D" w14:paraId="0A533CA0" w14:textId="77777777" w:rsidTr="00FA16DD">
        <w:trPr>
          <w:tblCellSpacing w:w="15" w:type="dxa"/>
        </w:trPr>
        <w:tc>
          <w:tcPr>
            <w:tcW w:w="0" w:type="auto"/>
            <w:gridSpan w:val="6"/>
            <w:tcBorders>
              <w:bottom w:val="single" w:sz="6" w:space="0" w:color="000000"/>
            </w:tcBorders>
            <w:vAlign w:val="center"/>
            <w:hideMark/>
          </w:tcPr>
          <w:p w14:paraId="35B8B70D" w14:textId="77777777" w:rsidR="006311DE" w:rsidRPr="006311DE" w:rsidRDefault="006311DE" w:rsidP="00633129">
            <w:pPr>
              <w:jc w:val="center"/>
              <w:rPr>
                <w:rFonts w:eastAsia="Times New Roman"/>
                <w:lang w:val="en-US"/>
              </w:rPr>
            </w:pPr>
          </w:p>
        </w:tc>
      </w:tr>
      <w:tr w:rsidR="00FA16DD" w:rsidRPr="00E8576D" w14:paraId="5D305E6A" w14:textId="77777777" w:rsidTr="00FA16DD">
        <w:trPr>
          <w:tblCellSpacing w:w="15" w:type="dxa"/>
        </w:trPr>
        <w:tc>
          <w:tcPr>
            <w:tcW w:w="0" w:type="auto"/>
            <w:vAlign w:val="center"/>
            <w:hideMark/>
          </w:tcPr>
          <w:p w14:paraId="364983DE" w14:textId="77777777" w:rsidR="00FA16DD" w:rsidRPr="006311DE" w:rsidRDefault="00FA16DD" w:rsidP="00FA16DD">
            <w:pPr>
              <w:jc w:val="center"/>
              <w:rPr>
                <w:rFonts w:eastAsia="Times New Roman"/>
                <w:sz w:val="20"/>
                <w:szCs w:val="20"/>
                <w:lang w:val="en-US"/>
              </w:rPr>
            </w:pPr>
          </w:p>
        </w:tc>
        <w:tc>
          <w:tcPr>
            <w:tcW w:w="0" w:type="auto"/>
            <w:vAlign w:val="center"/>
            <w:hideMark/>
          </w:tcPr>
          <w:p w14:paraId="3D54A8E6" w14:textId="7E8EC472" w:rsidR="00FA16DD" w:rsidRDefault="00FA16DD" w:rsidP="00FA16DD">
            <w:pPr>
              <w:jc w:val="center"/>
              <w:rPr>
                <w:rFonts w:eastAsia="Times New Roman"/>
                <w:sz w:val="24"/>
                <w:szCs w:val="24"/>
              </w:rPr>
            </w:pPr>
            <w:r>
              <w:rPr>
                <w:rFonts w:eastAsia="Times New Roman"/>
              </w:rPr>
              <w:t xml:space="preserve">Capital Expenses </w:t>
            </w:r>
            <w:r w:rsidRPr="002C0AD3">
              <w:rPr>
                <w:rFonts w:eastAsia="Times New Roman"/>
                <w:lang w:val="en-US"/>
              </w:rPr>
              <w:t>(Exp/Inhab.)</w:t>
            </w:r>
          </w:p>
        </w:tc>
        <w:tc>
          <w:tcPr>
            <w:tcW w:w="0" w:type="auto"/>
            <w:vAlign w:val="center"/>
            <w:hideMark/>
          </w:tcPr>
          <w:p w14:paraId="73E063CE" w14:textId="6B97942E" w:rsidR="00FA16DD" w:rsidRDefault="00FA16DD" w:rsidP="00FA16DD">
            <w:pPr>
              <w:jc w:val="center"/>
              <w:rPr>
                <w:rFonts w:eastAsia="Times New Roman"/>
              </w:rPr>
            </w:pPr>
            <w:r>
              <w:rPr>
                <w:rFonts w:eastAsia="Times New Roman"/>
              </w:rPr>
              <w:t xml:space="preserve">Amortization </w:t>
            </w:r>
            <w:r w:rsidRPr="002C0AD3">
              <w:rPr>
                <w:rFonts w:eastAsia="Times New Roman"/>
                <w:lang w:val="en-US"/>
              </w:rPr>
              <w:t>(Exp/Inhab.)</w:t>
            </w:r>
          </w:p>
        </w:tc>
        <w:tc>
          <w:tcPr>
            <w:tcW w:w="0" w:type="auto"/>
            <w:vAlign w:val="center"/>
            <w:hideMark/>
          </w:tcPr>
          <w:p w14:paraId="0261D764" w14:textId="309AAC96" w:rsidR="00FA16DD" w:rsidRDefault="00FA16DD" w:rsidP="00FA16DD">
            <w:pPr>
              <w:jc w:val="center"/>
              <w:rPr>
                <w:rFonts w:eastAsia="Times New Roman"/>
              </w:rPr>
            </w:pPr>
            <w:r>
              <w:rPr>
                <w:rFonts w:eastAsia="Times New Roman"/>
              </w:rPr>
              <w:t xml:space="preserve">Investiment </w:t>
            </w:r>
            <w:r w:rsidRPr="002C0AD3">
              <w:rPr>
                <w:rFonts w:eastAsia="Times New Roman"/>
                <w:lang w:val="en-US"/>
              </w:rPr>
              <w:t>(Exp/Inhab.)</w:t>
            </w:r>
          </w:p>
        </w:tc>
        <w:tc>
          <w:tcPr>
            <w:tcW w:w="0" w:type="auto"/>
            <w:vAlign w:val="center"/>
            <w:hideMark/>
          </w:tcPr>
          <w:p w14:paraId="7E90CD0C" w14:textId="60506707" w:rsidR="00FA16DD" w:rsidRPr="00FA16DD" w:rsidRDefault="00FA16DD" w:rsidP="00FA16DD">
            <w:pPr>
              <w:jc w:val="center"/>
              <w:rPr>
                <w:rFonts w:eastAsia="Times New Roman"/>
                <w:lang w:val="en-US"/>
              </w:rPr>
            </w:pPr>
            <w:r w:rsidRPr="0079514F">
              <w:rPr>
                <w:rFonts w:eastAsia="Times New Roman"/>
                <w:lang w:val="en-US"/>
              </w:rPr>
              <w:t xml:space="preserve">Equipament and Permanent Material </w:t>
            </w:r>
            <w:r w:rsidRPr="002C0AD3">
              <w:rPr>
                <w:rFonts w:eastAsia="Times New Roman"/>
                <w:lang w:val="en-US"/>
              </w:rPr>
              <w:t>(Exp/Inhab.)</w:t>
            </w:r>
          </w:p>
        </w:tc>
        <w:tc>
          <w:tcPr>
            <w:tcW w:w="0" w:type="auto"/>
            <w:vAlign w:val="center"/>
            <w:hideMark/>
          </w:tcPr>
          <w:p w14:paraId="14174EA2" w14:textId="56FBA5CB" w:rsidR="00FA16DD" w:rsidRPr="00FA16DD" w:rsidRDefault="00FA16DD" w:rsidP="00FA16DD">
            <w:pPr>
              <w:jc w:val="center"/>
              <w:rPr>
                <w:rFonts w:eastAsia="Times New Roman"/>
                <w:lang w:val="en-US"/>
              </w:rPr>
            </w:pPr>
            <w:r w:rsidRPr="0079514F">
              <w:rPr>
                <w:rFonts w:eastAsia="Times New Roman"/>
                <w:lang w:val="en-US"/>
              </w:rPr>
              <w:t xml:space="preserve">Construction and Instalations </w:t>
            </w:r>
            <w:r w:rsidRPr="002C0AD3">
              <w:rPr>
                <w:rFonts w:eastAsia="Times New Roman"/>
                <w:lang w:val="en-US"/>
              </w:rPr>
              <w:t>(Exp/Inhab.)</w:t>
            </w:r>
          </w:p>
        </w:tc>
      </w:tr>
      <w:tr w:rsidR="006311DE" w:rsidRPr="00E8576D" w14:paraId="3A736646" w14:textId="77777777" w:rsidTr="00FA16DD">
        <w:trPr>
          <w:tblCellSpacing w:w="15" w:type="dxa"/>
        </w:trPr>
        <w:tc>
          <w:tcPr>
            <w:tcW w:w="0" w:type="auto"/>
            <w:gridSpan w:val="6"/>
            <w:tcBorders>
              <w:bottom w:val="single" w:sz="6" w:space="0" w:color="000000"/>
            </w:tcBorders>
            <w:vAlign w:val="center"/>
            <w:hideMark/>
          </w:tcPr>
          <w:p w14:paraId="23A2DFE0" w14:textId="77777777" w:rsidR="006311DE" w:rsidRPr="00FA16DD" w:rsidRDefault="006311DE" w:rsidP="00633129">
            <w:pPr>
              <w:jc w:val="center"/>
              <w:rPr>
                <w:rFonts w:eastAsia="Times New Roman"/>
                <w:lang w:val="en-US"/>
              </w:rPr>
            </w:pPr>
          </w:p>
        </w:tc>
      </w:tr>
      <w:tr w:rsidR="00FA16DD" w14:paraId="210E6E71" w14:textId="77777777" w:rsidTr="00FA16DD">
        <w:trPr>
          <w:tblCellSpacing w:w="15" w:type="dxa"/>
        </w:trPr>
        <w:tc>
          <w:tcPr>
            <w:tcW w:w="0" w:type="auto"/>
            <w:vAlign w:val="center"/>
            <w:hideMark/>
          </w:tcPr>
          <w:p w14:paraId="7827535C" w14:textId="5D3C99C7" w:rsidR="006311DE" w:rsidRDefault="006311DE" w:rsidP="00633129">
            <w:pPr>
              <w:rPr>
                <w:rFonts w:eastAsia="Times New Roman"/>
                <w:sz w:val="24"/>
                <w:szCs w:val="24"/>
              </w:rPr>
            </w:pPr>
            <w:r>
              <w:rPr>
                <w:rFonts w:eastAsia="Times New Roman"/>
              </w:rPr>
              <w:t>Observat</w:t>
            </w:r>
            <w:r w:rsidR="00FA16DD">
              <w:rPr>
                <w:rFonts w:eastAsia="Times New Roman"/>
              </w:rPr>
              <w:t>ory</w:t>
            </w:r>
          </w:p>
        </w:tc>
        <w:tc>
          <w:tcPr>
            <w:tcW w:w="0" w:type="auto"/>
            <w:vAlign w:val="center"/>
            <w:hideMark/>
          </w:tcPr>
          <w:p w14:paraId="17B5D8A6" w14:textId="77777777" w:rsidR="006311DE" w:rsidRDefault="006311DE" w:rsidP="00633129">
            <w:pPr>
              <w:jc w:val="center"/>
              <w:rPr>
                <w:rFonts w:eastAsia="Times New Roman"/>
              </w:rPr>
            </w:pPr>
            <w:r>
              <w:rPr>
                <w:rFonts w:eastAsia="Times New Roman"/>
              </w:rPr>
              <w:t>-28,482</w:t>
            </w:r>
          </w:p>
        </w:tc>
        <w:tc>
          <w:tcPr>
            <w:tcW w:w="0" w:type="auto"/>
            <w:vAlign w:val="center"/>
            <w:hideMark/>
          </w:tcPr>
          <w:p w14:paraId="36452542" w14:textId="77777777" w:rsidR="006311DE" w:rsidRDefault="006311DE" w:rsidP="00633129">
            <w:pPr>
              <w:jc w:val="center"/>
              <w:rPr>
                <w:rFonts w:eastAsia="Times New Roman"/>
              </w:rPr>
            </w:pPr>
            <w:r>
              <w:rPr>
                <w:rFonts w:eastAsia="Times New Roman"/>
              </w:rPr>
              <w:t>-1,668</w:t>
            </w:r>
          </w:p>
        </w:tc>
        <w:tc>
          <w:tcPr>
            <w:tcW w:w="0" w:type="auto"/>
            <w:vAlign w:val="center"/>
            <w:hideMark/>
          </w:tcPr>
          <w:p w14:paraId="15B31D5C" w14:textId="77777777" w:rsidR="006311DE" w:rsidRDefault="006311DE" w:rsidP="00633129">
            <w:pPr>
              <w:jc w:val="center"/>
              <w:rPr>
                <w:rFonts w:eastAsia="Times New Roman"/>
              </w:rPr>
            </w:pPr>
            <w:r>
              <w:rPr>
                <w:rFonts w:eastAsia="Times New Roman"/>
              </w:rPr>
              <w:t>-24,552</w:t>
            </w:r>
          </w:p>
        </w:tc>
        <w:tc>
          <w:tcPr>
            <w:tcW w:w="0" w:type="auto"/>
            <w:vAlign w:val="center"/>
            <w:hideMark/>
          </w:tcPr>
          <w:p w14:paraId="137A17BC" w14:textId="77777777" w:rsidR="006311DE" w:rsidRDefault="006311DE" w:rsidP="00633129">
            <w:pPr>
              <w:jc w:val="center"/>
              <w:rPr>
                <w:rFonts w:eastAsia="Times New Roman"/>
              </w:rPr>
            </w:pPr>
            <w:r>
              <w:rPr>
                <w:rFonts w:eastAsia="Times New Roman"/>
              </w:rPr>
              <w:t>-27,989</w:t>
            </w:r>
            <w:r>
              <w:rPr>
                <w:rFonts w:eastAsia="Times New Roman"/>
                <w:vertAlign w:val="superscript"/>
              </w:rPr>
              <w:t>***</w:t>
            </w:r>
          </w:p>
        </w:tc>
        <w:tc>
          <w:tcPr>
            <w:tcW w:w="0" w:type="auto"/>
            <w:vAlign w:val="center"/>
            <w:hideMark/>
          </w:tcPr>
          <w:p w14:paraId="4DED3B72" w14:textId="77777777" w:rsidR="006311DE" w:rsidRDefault="006311DE" w:rsidP="00633129">
            <w:pPr>
              <w:jc w:val="center"/>
              <w:rPr>
                <w:rFonts w:eastAsia="Times New Roman"/>
              </w:rPr>
            </w:pPr>
            <w:r>
              <w:rPr>
                <w:rFonts w:eastAsia="Times New Roman"/>
              </w:rPr>
              <w:t>-8,982</w:t>
            </w:r>
          </w:p>
        </w:tc>
      </w:tr>
      <w:tr w:rsidR="00FA16DD" w14:paraId="5DF39EDE" w14:textId="77777777" w:rsidTr="00FA16DD">
        <w:trPr>
          <w:tblCellSpacing w:w="15" w:type="dxa"/>
        </w:trPr>
        <w:tc>
          <w:tcPr>
            <w:tcW w:w="0" w:type="auto"/>
            <w:vAlign w:val="center"/>
            <w:hideMark/>
          </w:tcPr>
          <w:p w14:paraId="41AF995A" w14:textId="77777777" w:rsidR="006311DE" w:rsidRDefault="006311DE" w:rsidP="00633129">
            <w:pPr>
              <w:jc w:val="center"/>
              <w:rPr>
                <w:rFonts w:eastAsia="Times New Roman"/>
              </w:rPr>
            </w:pPr>
          </w:p>
        </w:tc>
        <w:tc>
          <w:tcPr>
            <w:tcW w:w="0" w:type="auto"/>
            <w:vAlign w:val="center"/>
            <w:hideMark/>
          </w:tcPr>
          <w:p w14:paraId="089AE34C" w14:textId="77777777" w:rsidR="006311DE" w:rsidRDefault="006311DE" w:rsidP="00633129">
            <w:pPr>
              <w:jc w:val="center"/>
              <w:rPr>
                <w:rFonts w:eastAsia="Times New Roman"/>
                <w:sz w:val="24"/>
                <w:szCs w:val="24"/>
              </w:rPr>
            </w:pPr>
            <w:r>
              <w:rPr>
                <w:rFonts w:eastAsia="Times New Roman"/>
              </w:rPr>
              <w:t>(25,300)</w:t>
            </w:r>
          </w:p>
        </w:tc>
        <w:tc>
          <w:tcPr>
            <w:tcW w:w="0" w:type="auto"/>
            <w:vAlign w:val="center"/>
            <w:hideMark/>
          </w:tcPr>
          <w:p w14:paraId="390E86AB" w14:textId="77777777" w:rsidR="006311DE" w:rsidRDefault="006311DE" w:rsidP="00633129">
            <w:pPr>
              <w:jc w:val="center"/>
              <w:rPr>
                <w:rFonts w:eastAsia="Times New Roman"/>
              </w:rPr>
            </w:pPr>
            <w:r>
              <w:rPr>
                <w:rFonts w:eastAsia="Times New Roman"/>
              </w:rPr>
              <w:t>(6,113)</w:t>
            </w:r>
          </w:p>
        </w:tc>
        <w:tc>
          <w:tcPr>
            <w:tcW w:w="0" w:type="auto"/>
            <w:vAlign w:val="center"/>
            <w:hideMark/>
          </w:tcPr>
          <w:p w14:paraId="7D512077" w14:textId="77777777" w:rsidR="006311DE" w:rsidRDefault="006311DE" w:rsidP="00633129">
            <w:pPr>
              <w:jc w:val="center"/>
              <w:rPr>
                <w:rFonts w:eastAsia="Times New Roman"/>
              </w:rPr>
            </w:pPr>
            <w:r>
              <w:rPr>
                <w:rFonts w:eastAsia="Times New Roman"/>
              </w:rPr>
              <w:t>(21,850)</w:t>
            </w:r>
          </w:p>
        </w:tc>
        <w:tc>
          <w:tcPr>
            <w:tcW w:w="0" w:type="auto"/>
            <w:vAlign w:val="center"/>
            <w:hideMark/>
          </w:tcPr>
          <w:p w14:paraId="2C5766F9" w14:textId="77777777" w:rsidR="006311DE" w:rsidRDefault="006311DE" w:rsidP="00633129">
            <w:pPr>
              <w:jc w:val="center"/>
              <w:rPr>
                <w:rFonts w:eastAsia="Times New Roman"/>
              </w:rPr>
            </w:pPr>
            <w:r>
              <w:rPr>
                <w:rFonts w:eastAsia="Times New Roman"/>
              </w:rPr>
              <w:t>(6,462)</w:t>
            </w:r>
          </w:p>
        </w:tc>
        <w:tc>
          <w:tcPr>
            <w:tcW w:w="0" w:type="auto"/>
            <w:vAlign w:val="center"/>
            <w:hideMark/>
          </w:tcPr>
          <w:p w14:paraId="30162E1B" w14:textId="77777777" w:rsidR="006311DE" w:rsidRDefault="006311DE" w:rsidP="00633129">
            <w:pPr>
              <w:jc w:val="center"/>
              <w:rPr>
                <w:rFonts w:eastAsia="Times New Roman"/>
              </w:rPr>
            </w:pPr>
            <w:r>
              <w:rPr>
                <w:rFonts w:eastAsia="Times New Roman"/>
              </w:rPr>
              <w:t>(17,321)</w:t>
            </w:r>
          </w:p>
        </w:tc>
      </w:tr>
      <w:tr w:rsidR="00FA16DD" w14:paraId="409637B7" w14:textId="77777777" w:rsidTr="00FA16DD">
        <w:trPr>
          <w:tblCellSpacing w:w="15" w:type="dxa"/>
        </w:trPr>
        <w:tc>
          <w:tcPr>
            <w:tcW w:w="0" w:type="auto"/>
            <w:vAlign w:val="center"/>
            <w:hideMark/>
          </w:tcPr>
          <w:p w14:paraId="66229B6A" w14:textId="77777777" w:rsidR="006311DE" w:rsidRDefault="006311DE" w:rsidP="00633129">
            <w:pPr>
              <w:rPr>
                <w:rFonts w:eastAsia="Times New Roman"/>
              </w:rPr>
            </w:pPr>
            <w:r>
              <w:rPr>
                <w:rFonts w:eastAsia="Times New Roman"/>
              </w:rPr>
              <w:t>Obs x OSB</w:t>
            </w:r>
          </w:p>
        </w:tc>
        <w:tc>
          <w:tcPr>
            <w:tcW w:w="0" w:type="auto"/>
            <w:vAlign w:val="center"/>
            <w:hideMark/>
          </w:tcPr>
          <w:p w14:paraId="58B11982" w14:textId="77777777" w:rsidR="006311DE" w:rsidRDefault="006311DE" w:rsidP="00633129">
            <w:pPr>
              <w:jc w:val="center"/>
              <w:rPr>
                <w:rFonts w:eastAsia="Times New Roman"/>
              </w:rPr>
            </w:pPr>
            <w:r>
              <w:rPr>
                <w:rFonts w:eastAsia="Times New Roman"/>
              </w:rPr>
              <w:t>-9,840</w:t>
            </w:r>
          </w:p>
        </w:tc>
        <w:tc>
          <w:tcPr>
            <w:tcW w:w="0" w:type="auto"/>
            <w:vAlign w:val="center"/>
            <w:hideMark/>
          </w:tcPr>
          <w:p w14:paraId="1D2C6E90" w14:textId="77777777" w:rsidR="006311DE" w:rsidRDefault="006311DE" w:rsidP="00633129">
            <w:pPr>
              <w:jc w:val="center"/>
              <w:rPr>
                <w:rFonts w:eastAsia="Times New Roman"/>
              </w:rPr>
            </w:pPr>
            <w:r>
              <w:rPr>
                <w:rFonts w:eastAsia="Times New Roman"/>
              </w:rPr>
              <w:t>5,104</w:t>
            </w:r>
          </w:p>
        </w:tc>
        <w:tc>
          <w:tcPr>
            <w:tcW w:w="0" w:type="auto"/>
            <w:vAlign w:val="center"/>
            <w:hideMark/>
          </w:tcPr>
          <w:p w14:paraId="4C9A5816" w14:textId="77777777" w:rsidR="006311DE" w:rsidRDefault="006311DE" w:rsidP="00633129">
            <w:pPr>
              <w:jc w:val="center"/>
              <w:rPr>
                <w:rFonts w:eastAsia="Times New Roman"/>
              </w:rPr>
            </w:pPr>
            <w:r>
              <w:rPr>
                <w:rFonts w:eastAsia="Times New Roman"/>
              </w:rPr>
              <w:t>-18,508</w:t>
            </w:r>
          </w:p>
        </w:tc>
        <w:tc>
          <w:tcPr>
            <w:tcW w:w="0" w:type="auto"/>
            <w:vAlign w:val="center"/>
            <w:hideMark/>
          </w:tcPr>
          <w:p w14:paraId="583232A9" w14:textId="77777777" w:rsidR="006311DE" w:rsidRDefault="006311DE" w:rsidP="00633129">
            <w:pPr>
              <w:jc w:val="center"/>
              <w:rPr>
                <w:rFonts w:eastAsia="Times New Roman"/>
              </w:rPr>
            </w:pPr>
            <w:r>
              <w:rPr>
                <w:rFonts w:eastAsia="Times New Roman"/>
              </w:rPr>
              <w:t>6,700</w:t>
            </w:r>
          </w:p>
        </w:tc>
        <w:tc>
          <w:tcPr>
            <w:tcW w:w="0" w:type="auto"/>
            <w:vAlign w:val="center"/>
            <w:hideMark/>
          </w:tcPr>
          <w:p w14:paraId="18CE621A" w14:textId="77777777" w:rsidR="006311DE" w:rsidRDefault="006311DE" w:rsidP="00633129">
            <w:pPr>
              <w:jc w:val="center"/>
              <w:rPr>
                <w:rFonts w:eastAsia="Times New Roman"/>
              </w:rPr>
            </w:pPr>
            <w:r>
              <w:rPr>
                <w:rFonts w:eastAsia="Times New Roman"/>
              </w:rPr>
              <w:t>-44,168</w:t>
            </w:r>
            <w:r>
              <w:rPr>
                <w:rFonts w:eastAsia="Times New Roman"/>
                <w:vertAlign w:val="superscript"/>
              </w:rPr>
              <w:t>**</w:t>
            </w:r>
          </w:p>
        </w:tc>
      </w:tr>
      <w:tr w:rsidR="00FA16DD" w14:paraId="05E469D9" w14:textId="77777777" w:rsidTr="00FA16DD">
        <w:trPr>
          <w:tblCellSpacing w:w="15" w:type="dxa"/>
        </w:trPr>
        <w:tc>
          <w:tcPr>
            <w:tcW w:w="0" w:type="auto"/>
            <w:vAlign w:val="center"/>
            <w:hideMark/>
          </w:tcPr>
          <w:p w14:paraId="5DE45121" w14:textId="77777777" w:rsidR="006311DE" w:rsidRDefault="006311DE" w:rsidP="00633129">
            <w:pPr>
              <w:jc w:val="center"/>
              <w:rPr>
                <w:rFonts w:eastAsia="Times New Roman"/>
              </w:rPr>
            </w:pPr>
          </w:p>
        </w:tc>
        <w:tc>
          <w:tcPr>
            <w:tcW w:w="0" w:type="auto"/>
            <w:vAlign w:val="center"/>
            <w:hideMark/>
          </w:tcPr>
          <w:p w14:paraId="1B093D2D" w14:textId="77777777" w:rsidR="006311DE" w:rsidRDefault="006311DE" w:rsidP="00633129">
            <w:pPr>
              <w:jc w:val="center"/>
              <w:rPr>
                <w:rFonts w:eastAsia="Times New Roman"/>
                <w:sz w:val="24"/>
                <w:szCs w:val="24"/>
              </w:rPr>
            </w:pPr>
            <w:r>
              <w:rPr>
                <w:rFonts w:eastAsia="Times New Roman"/>
              </w:rPr>
              <w:t>(31,121)</w:t>
            </w:r>
          </w:p>
        </w:tc>
        <w:tc>
          <w:tcPr>
            <w:tcW w:w="0" w:type="auto"/>
            <w:vAlign w:val="center"/>
            <w:hideMark/>
          </w:tcPr>
          <w:p w14:paraId="4C7CA730" w14:textId="77777777" w:rsidR="006311DE" w:rsidRDefault="006311DE" w:rsidP="00633129">
            <w:pPr>
              <w:jc w:val="center"/>
              <w:rPr>
                <w:rFonts w:eastAsia="Times New Roman"/>
              </w:rPr>
            </w:pPr>
            <w:r>
              <w:rPr>
                <w:rFonts w:eastAsia="Times New Roman"/>
              </w:rPr>
              <w:t>(6,804)</w:t>
            </w:r>
          </w:p>
        </w:tc>
        <w:tc>
          <w:tcPr>
            <w:tcW w:w="0" w:type="auto"/>
            <w:vAlign w:val="center"/>
            <w:hideMark/>
          </w:tcPr>
          <w:p w14:paraId="6526ACFC" w14:textId="77777777" w:rsidR="006311DE" w:rsidRDefault="006311DE" w:rsidP="00633129">
            <w:pPr>
              <w:jc w:val="center"/>
              <w:rPr>
                <w:rFonts w:eastAsia="Times New Roman"/>
              </w:rPr>
            </w:pPr>
            <w:r>
              <w:rPr>
                <w:rFonts w:eastAsia="Times New Roman"/>
              </w:rPr>
              <w:t>(27,182)</w:t>
            </w:r>
          </w:p>
        </w:tc>
        <w:tc>
          <w:tcPr>
            <w:tcW w:w="0" w:type="auto"/>
            <w:vAlign w:val="center"/>
            <w:hideMark/>
          </w:tcPr>
          <w:p w14:paraId="17C72381" w14:textId="77777777" w:rsidR="006311DE" w:rsidRDefault="006311DE" w:rsidP="00633129">
            <w:pPr>
              <w:jc w:val="center"/>
              <w:rPr>
                <w:rFonts w:eastAsia="Times New Roman"/>
              </w:rPr>
            </w:pPr>
            <w:r>
              <w:rPr>
                <w:rFonts w:eastAsia="Times New Roman"/>
              </w:rPr>
              <w:t>(7,354)</w:t>
            </w:r>
          </w:p>
        </w:tc>
        <w:tc>
          <w:tcPr>
            <w:tcW w:w="0" w:type="auto"/>
            <w:vAlign w:val="center"/>
            <w:hideMark/>
          </w:tcPr>
          <w:p w14:paraId="4DA9CB2D" w14:textId="77777777" w:rsidR="006311DE" w:rsidRDefault="006311DE" w:rsidP="00633129">
            <w:pPr>
              <w:jc w:val="center"/>
              <w:rPr>
                <w:rFonts w:eastAsia="Times New Roman"/>
              </w:rPr>
            </w:pPr>
            <w:r>
              <w:rPr>
                <w:rFonts w:eastAsia="Times New Roman"/>
              </w:rPr>
              <w:t>(20,157)</w:t>
            </w:r>
          </w:p>
        </w:tc>
      </w:tr>
      <w:tr w:rsidR="00FA16DD" w14:paraId="16D25633" w14:textId="77777777" w:rsidTr="00FA16DD">
        <w:trPr>
          <w:tblCellSpacing w:w="15" w:type="dxa"/>
        </w:trPr>
        <w:tc>
          <w:tcPr>
            <w:tcW w:w="0" w:type="auto"/>
            <w:vAlign w:val="center"/>
            <w:hideMark/>
          </w:tcPr>
          <w:p w14:paraId="26BD5DE9" w14:textId="77777777" w:rsidR="006311DE" w:rsidRDefault="006311DE" w:rsidP="00633129">
            <w:pPr>
              <w:rPr>
                <w:rFonts w:eastAsia="Times New Roman"/>
              </w:rPr>
            </w:pPr>
            <w:r>
              <w:rPr>
                <w:rFonts w:eastAsia="Times New Roman"/>
              </w:rPr>
              <w:t>N</w:t>
            </w:r>
          </w:p>
        </w:tc>
        <w:tc>
          <w:tcPr>
            <w:tcW w:w="0" w:type="auto"/>
            <w:vAlign w:val="center"/>
            <w:hideMark/>
          </w:tcPr>
          <w:p w14:paraId="49C87056" w14:textId="77777777" w:rsidR="006311DE" w:rsidRDefault="006311DE" w:rsidP="00633129">
            <w:pPr>
              <w:jc w:val="center"/>
              <w:rPr>
                <w:rFonts w:eastAsia="Times New Roman"/>
              </w:rPr>
            </w:pPr>
            <w:r>
              <w:rPr>
                <w:rFonts w:eastAsia="Times New Roman"/>
              </w:rPr>
              <w:t>23.011</w:t>
            </w:r>
          </w:p>
        </w:tc>
        <w:tc>
          <w:tcPr>
            <w:tcW w:w="0" w:type="auto"/>
            <w:vAlign w:val="center"/>
            <w:hideMark/>
          </w:tcPr>
          <w:p w14:paraId="298A7207" w14:textId="77777777" w:rsidR="006311DE" w:rsidRDefault="006311DE" w:rsidP="00633129">
            <w:pPr>
              <w:jc w:val="center"/>
              <w:rPr>
                <w:rFonts w:eastAsia="Times New Roman"/>
              </w:rPr>
            </w:pPr>
            <w:r>
              <w:rPr>
                <w:rFonts w:eastAsia="Times New Roman"/>
              </w:rPr>
              <w:t>23.011</w:t>
            </w:r>
          </w:p>
        </w:tc>
        <w:tc>
          <w:tcPr>
            <w:tcW w:w="0" w:type="auto"/>
            <w:vAlign w:val="center"/>
            <w:hideMark/>
          </w:tcPr>
          <w:p w14:paraId="3F4547C4" w14:textId="77777777" w:rsidR="006311DE" w:rsidRDefault="006311DE" w:rsidP="00633129">
            <w:pPr>
              <w:jc w:val="center"/>
              <w:rPr>
                <w:rFonts w:eastAsia="Times New Roman"/>
              </w:rPr>
            </w:pPr>
            <w:r>
              <w:rPr>
                <w:rFonts w:eastAsia="Times New Roman"/>
              </w:rPr>
              <w:t>23.011</w:t>
            </w:r>
          </w:p>
        </w:tc>
        <w:tc>
          <w:tcPr>
            <w:tcW w:w="0" w:type="auto"/>
            <w:vAlign w:val="center"/>
            <w:hideMark/>
          </w:tcPr>
          <w:p w14:paraId="5FDF0025" w14:textId="77777777" w:rsidR="006311DE" w:rsidRDefault="006311DE" w:rsidP="00633129">
            <w:pPr>
              <w:jc w:val="center"/>
              <w:rPr>
                <w:rFonts w:eastAsia="Times New Roman"/>
              </w:rPr>
            </w:pPr>
            <w:r>
              <w:rPr>
                <w:rFonts w:eastAsia="Times New Roman"/>
              </w:rPr>
              <w:t>23.011</w:t>
            </w:r>
          </w:p>
        </w:tc>
        <w:tc>
          <w:tcPr>
            <w:tcW w:w="0" w:type="auto"/>
            <w:vAlign w:val="center"/>
            <w:hideMark/>
          </w:tcPr>
          <w:p w14:paraId="09157266" w14:textId="77777777" w:rsidR="006311DE" w:rsidRDefault="006311DE" w:rsidP="00633129">
            <w:pPr>
              <w:jc w:val="center"/>
              <w:rPr>
                <w:rFonts w:eastAsia="Times New Roman"/>
              </w:rPr>
            </w:pPr>
            <w:r>
              <w:rPr>
                <w:rFonts w:eastAsia="Times New Roman"/>
              </w:rPr>
              <w:t>23.011</w:t>
            </w:r>
          </w:p>
        </w:tc>
      </w:tr>
      <w:tr w:rsidR="00FA16DD" w14:paraId="477D4D53" w14:textId="77777777" w:rsidTr="00FA16DD">
        <w:trPr>
          <w:tblCellSpacing w:w="15" w:type="dxa"/>
        </w:trPr>
        <w:tc>
          <w:tcPr>
            <w:tcW w:w="0" w:type="auto"/>
            <w:vAlign w:val="center"/>
            <w:hideMark/>
          </w:tcPr>
          <w:p w14:paraId="1E419D46" w14:textId="77777777" w:rsidR="006311DE" w:rsidRDefault="006311DE" w:rsidP="00633129">
            <w:pPr>
              <w:rPr>
                <w:rFonts w:eastAsia="Times New Roman"/>
              </w:rPr>
            </w:pPr>
            <w:r>
              <w:rPr>
                <w:rFonts w:eastAsia="Times New Roman"/>
              </w:rPr>
              <w:t>R</w:t>
            </w:r>
            <w:r>
              <w:rPr>
                <w:rFonts w:eastAsia="Times New Roman"/>
                <w:vertAlign w:val="superscript"/>
              </w:rPr>
              <w:t>2</w:t>
            </w:r>
          </w:p>
        </w:tc>
        <w:tc>
          <w:tcPr>
            <w:tcW w:w="0" w:type="auto"/>
            <w:vAlign w:val="center"/>
            <w:hideMark/>
          </w:tcPr>
          <w:p w14:paraId="563B497D" w14:textId="77777777" w:rsidR="006311DE" w:rsidRDefault="006311DE" w:rsidP="00633129">
            <w:pPr>
              <w:jc w:val="center"/>
              <w:rPr>
                <w:rFonts w:eastAsia="Times New Roman"/>
              </w:rPr>
            </w:pPr>
            <w:r>
              <w:rPr>
                <w:rFonts w:eastAsia="Times New Roman"/>
              </w:rPr>
              <w:t>0,049</w:t>
            </w:r>
          </w:p>
        </w:tc>
        <w:tc>
          <w:tcPr>
            <w:tcW w:w="0" w:type="auto"/>
            <w:vAlign w:val="center"/>
            <w:hideMark/>
          </w:tcPr>
          <w:p w14:paraId="3B7F300E" w14:textId="77777777" w:rsidR="006311DE" w:rsidRDefault="006311DE" w:rsidP="00633129">
            <w:pPr>
              <w:jc w:val="center"/>
              <w:rPr>
                <w:rFonts w:eastAsia="Times New Roman"/>
              </w:rPr>
            </w:pPr>
            <w:r>
              <w:rPr>
                <w:rFonts w:eastAsia="Times New Roman"/>
              </w:rPr>
              <w:t>0,037</w:t>
            </w:r>
          </w:p>
        </w:tc>
        <w:tc>
          <w:tcPr>
            <w:tcW w:w="0" w:type="auto"/>
            <w:vAlign w:val="center"/>
            <w:hideMark/>
          </w:tcPr>
          <w:p w14:paraId="1963554A" w14:textId="77777777" w:rsidR="006311DE" w:rsidRDefault="006311DE" w:rsidP="00633129">
            <w:pPr>
              <w:jc w:val="center"/>
              <w:rPr>
                <w:rFonts w:eastAsia="Times New Roman"/>
              </w:rPr>
            </w:pPr>
            <w:r>
              <w:rPr>
                <w:rFonts w:eastAsia="Times New Roman"/>
              </w:rPr>
              <w:t>0,050</w:t>
            </w:r>
          </w:p>
        </w:tc>
        <w:tc>
          <w:tcPr>
            <w:tcW w:w="0" w:type="auto"/>
            <w:vAlign w:val="center"/>
            <w:hideMark/>
          </w:tcPr>
          <w:p w14:paraId="12CBC74F" w14:textId="77777777" w:rsidR="006311DE" w:rsidRDefault="006311DE" w:rsidP="00633129">
            <w:pPr>
              <w:jc w:val="center"/>
              <w:rPr>
                <w:rFonts w:eastAsia="Times New Roman"/>
              </w:rPr>
            </w:pPr>
            <w:r>
              <w:rPr>
                <w:rFonts w:eastAsia="Times New Roman"/>
              </w:rPr>
              <w:t>0,037</w:t>
            </w:r>
          </w:p>
        </w:tc>
        <w:tc>
          <w:tcPr>
            <w:tcW w:w="0" w:type="auto"/>
            <w:vAlign w:val="center"/>
            <w:hideMark/>
          </w:tcPr>
          <w:p w14:paraId="2EA9E9DB" w14:textId="77777777" w:rsidR="006311DE" w:rsidRDefault="006311DE" w:rsidP="00633129">
            <w:pPr>
              <w:jc w:val="center"/>
              <w:rPr>
                <w:rFonts w:eastAsia="Times New Roman"/>
              </w:rPr>
            </w:pPr>
            <w:r>
              <w:rPr>
                <w:rFonts w:eastAsia="Times New Roman"/>
              </w:rPr>
              <w:t>0,033</w:t>
            </w:r>
          </w:p>
        </w:tc>
      </w:tr>
      <w:tr w:rsidR="006311DE" w14:paraId="4C670571" w14:textId="77777777" w:rsidTr="00FA16DD">
        <w:trPr>
          <w:tblCellSpacing w:w="15" w:type="dxa"/>
        </w:trPr>
        <w:tc>
          <w:tcPr>
            <w:tcW w:w="0" w:type="auto"/>
            <w:gridSpan w:val="6"/>
            <w:tcBorders>
              <w:bottom w:val="single" w:sz="6" w:space="0" w:color="000000"/>
            </w:tcBorders>
            <w:vAlign w:val="center"/>
            <w:hideMark/>
          </w:tcPr>
          <w:p w14:paraId="2D0C5008" w14:textId="77777777" w:rsidR="006311DE" w:rsidRDefault="006311DE" w:rsidP="00633129">
            <w:pPr>
              <w:jc w:val="center"/>
              <w:rPr>
                <w:rFonts w:eastAsia="Times New Roman"/>
              </w:rPr>
            </w:pPr>
          </w:p>
        </w:tc>
      </w:tr>
      <w:tr w:rsidR="006311DE" w14:paraId="065D9446" w14:textId="77777777" w:rsidTr="00FA16DD">
        <w:trPr>
          <w:tblCellSpacing w:w="15" w:type="dxa"/>
        </w:trPr>
        <w:tc>
          <w:tcPr>
            <w:tcW w:w="0" w:type="auto"/>
            <w:vAlign w:val="center"/>
            <w:hideMark/>
          </w:tcPr>
          <w:p w14:paraId="2748A548" w14:textId="77777777" w:rsidR="006311DE" w:rsidRDefault="006311DE" w:rsidP="00633129">
            <w:pPr>
              <w:rPr>
                <w:rFonts w:eastAsia="Times New Roman"/>
                <w:sz w:val="24"/>
                <w:szCs w:val="24"/>
              </w:rPr>
            </w:pPr>
            <w:r>
              <w:rPr>
                <w:rFonts w:eastAsia="Times New Roman"/>
              </w:rPr>
              <w:t>Notas</w:t>
            </w:r>
          </w:p>
        </w:tc>
        <w:tc>
          <w:tcPr>
            <w:tcW w:w="0" w:type="auto"/>
            <w:gridSpan w:val="5"/>
            <w:vAlign w:val="center"/>
            <w:hideMark/>
          </w:tcPr>
          <w:p w14:paraId="28F97DD8" w14:textId="77777777" w:rsidR="006311DE" w:rsidRDefault="006311DE" w:rsidP="00633129">
            <w:pPr>
              <w:rPr>
                <w:rFonts w:eastAsia="Times New Roman"/>
              </w:rPr>
            </w:pPr>
            <w:r>
              <w:rPr>
                <w:rFonts w:eastAsia="Times New Roman"/>
                <w:vertAlign w:val="superscript"/>
              </w:rPr>
              <w:t>*</w:t>
            </w:r>
            <w:r>
              <w:rPr>
                <w:rFonts w:eastAsia="Times New Roman"/>
              </w:rPr>
              <w:t xml:space="preserve">p &lt; ,1; </w:t>
            </w:r>
            <w:r>
              <w:rPr>
                <w:rFonts w:eastAsia="Times New Roman"/>
                <w:vertAlign w:val="superscript"/>
              </w:rPr>
              <w:t>**</w:t>
            </w:r>
            <w:r>
              <w:rPr>
                <w:rFonts w:eastAsia="Times New Roman"/>
              </w:rPr>
              <w:t xml:space="preserve">p &lt; ,05; </w:t>
            </w:r>
            <w:r>
              <w:rPr>
                <w:rFonts w:eastAsia="Times New Roman"/>
                <w:vertAlign w:val="superscript"/>
              </w:rPr>
              <w:t>***</w:t>
            </w:r>
            <w:r>
              <w:rPr>
                <w:rFonts w:eastAsia="Times New Roman"/>
              </w:rPr>
              <w:t>p &lt; ,01</w:t>
            </w:r>
          </w:p>
        </w:tc>
      </w:tr>
      <w:tr w:rsidR="006311DE" w:rsidRPr="00B731CB" w14:paraId="36B966FD" w14:textId="77777777" w:rsidTr="00FA16DD">
        <w:trPr>
          <w:tblCellSpacing w:w="15" w:type="dxa"/>
        </w:trPr>
        <w:tc>
          <w:tcPr>
            <w:tcW w:w="0" w:type="auto"/>
            <w:vAlign w:val="center"/>
            <w:hideMark/>
          </w:tcPr>
          <w:p w14:paraId="4F0DFBE0" w14:textId="77777777" w:rsidR="006311DE" w:rsidRPr="00B731CB" w:rsidRDefault="006311DE" w:rsidP="00633129">
            <w:pPr>
              <w:rPr>
                <w:rFonts w:eastAsia="Times New Roman"/>
                <w:sz w:val="20"/>
                <w:szCs w:val="20"/>
              </w:rPr>
            </w:pPr>
          </w:p>
        </w:tc>
        <w:tc>
          <w:tcPr>
            <w:tcW w:w="0" w:type="auto"/>
            <w:gridSpan w:val="5"/>
            <w:vAlign w:val="center"/>
            <w:hideMark/>
          </w:tcPr>
          <w:p w14:paraId="66848DEC" w14:textId="12917822" w:rsidR="006311DE" w:rsidRPr="002A7AFF" w:rsidRDefault="00FA16DD" w:rsidP="007C616A">
            <w:pPr>
              <w:rPr>
                <w:rFonts w:eastAsia="Times New Roman"/>
                <w:sz w:val="20"/>
                <w:szCs w:val="20"/>
                <w:lang w:val="en-US"/>
              </w:rPr>
            </w:pPr>
            <w:r w:rsidRPr="002A7AFF">
              <w:rPr>
                <w:rFonts w:eastAsia="Times New Roman"/>
                <w:sz w:val="20"/>
                <w:szCs w:val="20"/>
                <w:lang w:val="en-US"/>
              </w:rPr>
              <w:t>Sample: municipalities in immediately treated regions. Controls: fixed effects for municipalities, years, GDP per capita, percentage of value-added in agriculture, industry, and services, the political party of the mayor, and linear trends by intermediate region. Standard errors grouped by the municipality</w:t>
            </w:r>
          </w:p>
          <w:p w14:paraId="064596DE" w14:textId="77777777" w:rsidR="006311DE" w:rsidRPr="00B731CB" w:rsidRDefault="006311DE" w:rsidP="00633129">
            <w:pPr>
              <w:rPr>
                <w:rFonts w:eastAsia="Times New Roman"/>
                <w:sz w:val="20"/>
                <w:szCs w:val="20"/>
              </w:rPr>
            </w:pPr>
          </w:p>
        </w:tc>
      </w:tr>
    </w:tbl>
    <w:p w14:paraId="57CEB435" w14:textId="005C0149" w:rsidR="00AC3885" w:rsidRPr="00526111" w:rsidRDefault="00793B03" w:rsidP="00793B03">
      <w:pPr>
        <w:spacing w:after="0" w:line="360" w:lineRule="auto"/>
        <w:ind w:firstLine="567"/>
        <w:jc w:val="both"/>
        <w:rPr>
          <w:rFonts w:ascii="Times New Roman" w:hAnsi="Times New Roman" w:cs="Times New Roman"/>
          <w:sz w:val="24"/>
          <w:szCs w:val="24"/>
          <w:lang w:val="en-US"/>
        </w:rPr>
      </w:pPr>
      <w:r w:rsidRPr="004B6B3D">
        <w:rPr>
          <w:rFonts w:ascii="Times New Roman" w:hAnsi="Times New Roman" w:cs="Times New Roman"/>
          <w:sz w:val="24"/>
          <w:szCs w:val="24"/>
          <w:lang w:val="en-US"/>
        </w:rPr>
        <w:t xml:space="preserve">On the “Services outsourced to legal entities”, table 4b shows that the monitoring of the “Brazilian set of Observatories” reduces this expense (on average) by R$-49.50 relative to the control group, while the “OSB network” increase them in R$70.00 relative to the set of Brazilian </w:t>
      </w:r>
      <w:r w:rsidRPr="004B6B3D">
        <w:rPr>
          <w:rFonts w:ascii="Times New Roman" w:hAnsi="Times New Roman" w:cs="Times New Roman"/>
          <w:sz w:val="24"/>
          <w:szCs w:val="24"/>
          <w:lang w:val="en-US"/>
        </w:rPr>
        <w:lastRenderedPageBreak/>
        <w:t>Observatories, increasing them by R$20.50 relative to the control group. On the other hand, about the per capita expenses in “Construction and Installations”, table 4c shows that the “Brazilian set of Observatories” manages, on average, to decrease them by around R$9.00, relative to the control group, while  OSB’s observatories deepen this reduction by R$44.20, reaching a significant reduction of R$53.20, relative to the control group.</w:t>
      </w:r>
      <w:r w:rsidRPr="00526111">
        <w:rPr>
          <w:rFonts w:ascii="Times New Roman" w:hAnsi="Times New Roman" w:cs="Times New Roman"/>
          <w:sz w:val="24"/>
          <w:szCs w:val="24"/>
          <w:lang w:val="en-US"/>
        </w:rPr>
        <w:t xml:space="preserve"> </w:t>
      </w:r>
      <w:r w:rsidRPr="004B6B3D">
        <w:rPr>
          <w:rFonts w:ascii="Times New Roman" w:hAnsi="Times New Roman" w:cs="Times New Roman"/>
          <w:sz w:val="24"/>
          <w:szCs w:val="24"/>
          <w:lang w:val="en-US"/>
        </w:rPr>
        <w:t>The results show, therefore, that the effects of the OSB Observatories on municipal expenses are like those promoted by the set of Brazilian Observatories, rejecting the hypothesis of the greater effectiveness of the OSB network.</w:t>
      </w:r>
    </w:p>
    <w:p w14:paraId="562A1541" w14:textId="77777777" w:rsidR="00F9401D" w:rsidRPr="00526111" w:rsidRDefault="00F9401D" w:rsidP="00526111">
      <w:pPr>
        <w:spacing w:after="0" w:line="360" w:lineRule="auto"/>
        <w:jc w:val="both"/>
        <w:rPr>
          <w:rFonts w:ascii="Times New Roman" w:hAnsi="Times New Roman" w:cs="Times New Roman"/>
          <w:sz w:val="24"/>
          <w:szCs w:val="24"/>
          <w:lang w:val="en-US"/>
        </w:rPr>
      </w:pPr>
    </w:p>
    <w:p w14:paraId="05B27D03" w14:textId="4859DD00" w:rsidR="00AC3885" w:rsidRDefault="00AC3885" w:rsidP="0028586D">
      <w:pPr>
        <w:pStyle w:val="PargrafodaLista"/>
        <w:spacing w:after="0" w:line="240" w:lineRule="auto"/>
        <w:ind w:left="0" w:firstLine="624"/>
        <w:jc w:val="both"/>
        <w:rPr>
          <w:rFonts w:ascii="Times New Roman" w:eastAsia="Times New Roman" w:hAnsi="Times New Roman" w:cs="Times New Roman"/>
          <w:b/>
          <w:color w:val="000000" w:themeColor="text1"/>
          <w:sz w:val="24"/>
          <w:szCs w:val="24"/>
          <w:lang w:val="en-US" w:eastAsia="pt-BR"/>
        </w:rPr>
      </w:pPr>
      <w:r w:rsidRPr="00AC3885">
        <w:rPr>
          <w:rFonts w:ascii="Times New Roman" w:eastAsia="Times New Roman" w:hAnsi="Times New Roman" w:cs="Times New Roman"/>
          <w:b/>
          <w:color w:val="000000" w:themeColor="text1"/>
          <w:sz w:val="24"/>
          <w:szCs w:val="24"/>
          <w:lang w:val="en-US" w:eastAsia="pt-BR"/>
        </w:rPr>
        <w:t>5.4 The hypothesis of interstate heterogeneity of the Observatories’ effectiveness.</w:t>
      </w:r>
    </w:p>
    <w:p w14:paraId="3A802D1B" w14:textId="77777777" w:rsidR="0028586D" w:rsidRPr="0028586D" w:rsidRDefault="0028586D" w:rsidP="0028586D">
      <w:pPr>
        <w:pStyle w:val="PargrafodaLista"/>
        <w:spacing w:after="0" w:line="240" w:lineRule="auto"/>
        <w:ind w:left="0" w:firstLine="624"/>
        <w:jc w:val="both"/>
        <w:rPr>
          <w:rFonts w:ascii="Times New Roman" w:eastAsia="Times New Roman" w:hAnsi="Times New Roman" w:cs="Times New Roman"/>
          <w:b/>
          <w:color w:val="000000" w:themeColor="text1"/>
          <w:sz w:val="24"/>
          <w:szCs w:val="24"/>
          <w:lang w:val="en-US" w:eastAsia="pt-BR"/>
        </w:rPr>
      </w:pPr>
    </w:p>
    <w:p w14:paraId="19288F14" w14:textId="06E1380C" w:rsidR="005A1480" w:rsidRDefault="005A1480" w:rsidP="00AC3885">
      <w:pPr>
        <w:pStyle w:val="PargrafodaLista"/>
        <w:spacing w:after="0" w:line="360" w:lineRule="auto"/>
        <w:ind w:left="0" w:firstLine="624"/>
        <w:jc w:val="both"/>
        <w:rPr>
          <w:rFonts w:ascii="Times New Roman" w:hAnsi="Times New Roman" w:cs="Times New Roman"/>
          <w:sz w:val="24"/>
          <w:szCs w:val="24"/>
          <w:lang w:val="en-US"/>
        </w:rPr>
      </w:pPr>
      <w:r w:rsidRPr="005A1480">
        <w:rPr>
          <w:rFonts w:ascii="Times New Roman" w:hAnsi="Times New Roman" w:cs="Times New Roman"/>
          <w:sz w:val="24"/>
          <w:szCs w:val="24"/>
          <w:lang w:val="en-US"/>
        </w:rPr>
        <w:t>From the model of equation 6, where we interacted the dummy “OS” (representative of the effect of the Observatories) with the variable “State”, we tested the hypothesis of the interstate heterogeneity of the effectiveness of the Observatories (i.e. effectiveness’ differential between the Social Observatories of different states). The results attained displayed evidence that upholds the hypothesis. Table 5 and Figure 1 show a  continuum of possibilities between States, ranging from practically complete observatory ineffectiveness to levels of great effectiveness. Figure 1 shows the distribution by state of positive and significant coefficients at the level of 5% (red bars) and negative and significant coefficients (green bars). States that systematically present positive and significant coefficients (suggesting that the action of their Observatories provokes an increase in municipal per capita expenses) may be indicating the effect of pockets of severe local corruption and co-optation of the Observatories team members.</w:t>
      </w:r>
    </w:p>
    <w:p w14:paraId="67C52B75" w14:textId="77777777" w:rsidR="00F9401D" w:rsidRDefault="00AF02A9" w:rsidP="00F9401D">
      <w:pPr>
        <w:pStyle w:val="PargrafodaLista"/>
        <w:spacing w:line="360" w:lineRule="auto"/>
        <w:ind w:left="0" w:firstLine="624"/>
        <w:jc w:val="both"/>
        <w:rPr>
          <w:rFonts w:ascii="Times New Roman" w:hAnsi="Times New Roman" w:cs="Times New Roman"/>
          <w:sz w:val="24"/>
          <w:szCs w:val="24"/>
          <w:lang w:val="en-US"/>
        </w:rPr>
      </w:pPr>
      <w:r w:rsidRPr="00AF02A9">
        <w:rPr>
          <w:rFonts w:ascii="Times New Roman" w:hAnsi="Times New Roman" w:cs="Times New Roman"/>
          <w:sz w:val="24"/>
          <w:szCs w:val="24"/>
          <w:lang w:val="en-US"/>
        </w:rPr>
        <w:t xml:space="preserve">The most ineffective cases are located in the Northeast region of Brazil. The first is the State of Piauí (PI), which since 2014 has had a unit of the OSB network in the small and poor municipality of Picos. There, 60% of expenditures (nine among the fifteen analyzed) present positive and significant coefficients of difference-in-differences. Piauí stands out for being the sole state in the Federation to present a positive and significant coefficient (at the level of 5%) for the item “Total Expenditure”, showing that the average of total expenses, net of the average of the control group, increases after the implantation of the Observatory. It also stands out (as table 5 shows) for presenting positive and significant coefficients for the items: (i) “Investment”, (ii) investments in “Equipment and Permanent Material” and (iii) investments in “Construction and Installations” (which are preferential targets for inspection by the Observatories). Aside from capital expenditures, Piauí also presents positive and significant coefficients for current expenses such as: “Interest”, “Freely Distributed Materials” and “Personnel”. In this State, only three municipal expenditure items present negative and significant coefficients: “Other current expenses”, </w:t>
      </w:r>
      <w:r w:rsidRPr="00AF02A9">
        <w:rPr>
          <w:rFonts w:ascii="Times New Roman" w:hAnsi="Times New Roman" w:cs="Times New Roman"/>
          <w:sz w:val="24"/>
          <w:szCs w:val="24"/>
          <w:lang w:val="en-US"/>
        </w:rPr>
        <w:lastRenderedPageBreak/>
        <w:t>“Consumption of Materials” and “Per diem”. Thus, in the State of Piauí, the vices outweigh the virtues and the Social Observatory seems to harm the local society</w:t>
      </w:r>
      <w:r w:rsidR="00054A9C">
        <w:rPr>
          <w:rFonts w:ascii="Times New Roman" w:hAnsi="Times New Roman" w:cs="Times New Roman"/>
          <w:sz w:val="24"/>
          <w:szCs w:val="24"/>
          <w:lang w:val="en-US"/>
        </w:rPr>
        <w:t>.</w:t>
      </w:r>
    </w:p>
    <w:p w14:paraId="07D80C71" w14:textId="77777777" w:rsidR="00567270" w:rsidRDefault="00054A9C" w:rsidP="00567270">
      <w:pPr>
        <w:pStyle w:val="PargrafodaLista"/>
        <w:spacing w:line="360" w:lineRule="auto"/>
        <w:ind w:left="0" w:firstLine="624"/>
        <w:jc w:val="both"/>
        <w:rPr>
          <w:rFonts w:ascii="Times New Roman" w:hAnsi="Times New Roman" w:cs="Times New Roman"/>
          <w:sz w:val="24"/>
          <w:szCs w:val="24"/>
          <w:lang w:val="en-US"/>
        </w:rPr>
      </w:pPr>
      <w:r w:rsidRPr="00F9401D">
        <w:rPr>
          <w:rFonts w:ascii="Times New Roman" w:hAnsi="Times New Roman" w:cs="Times New Roman"/>
          <w:sz w:val="24"/>
          <w:szCs w:val="24"/>
          <w:lang w:val="en-US"/>
        </w:rPr>
        <w:t>The State of Bahia (BA) follows a similar pattern, although more discreet, presenting positive and significant coefficients at the level of 5%, for the items: “Equipment and Permanent Material” and “Interest”. The State also registers positive coefficients (significant at the level of 10%) for investments in “Construction and Installations” and “Freely Distributed Materials”. Bahia has the coverage of six municipal observatories, all belonging to the OSB network. However, negative and significant coefficients (associated with the reduction of expenses) were identified for only two headings: “Other Current Expenses” and “Outsorced Services for Legal Entities”.</w:t>
      </w:r>
    </w:p>
    <w:p w14:paraId="00DB0DB3" w14:textId="77777777" w:rsidR="00567270" w:rsidRDefault="00054A9C" w:rsidP="00567270">
      <w:pPr>
        <w:pStyle w:val="PargrafodaLista"/>
        <w:spacing w:line="360" w:lineRule="auto"/>
        <w:ind w:left="0" w:firstLine="624"/>
        <w:jc w:val="both"/>
        <w:rPr>
          <w:rFonts w:ascii="Times New Roman" w:hAnsi="Times New Roman" w:cs="Times New Roman"/>
          <w:sz w:val="24"/>
          <w:szCs w:val="24"/>
          <w:lang w:val="en-US"/>
        </w:rPr>
      </w:pPr>
      <w:r w:rsidRPr="00567270">
        <w:rPr>
          <w:rFonts w:ascii="Times New Roman" w:hAnsi="Times New Roman" w:cs="Times New Roman"/>
          <w:sz w:val="24"/>
          <w:szCs w:val="24"/>
          <w:lang w:val="en-US"/>
        </w:rPr>
        <w:t>In turn, the State of Rondônia (RO), the only North region State in the sample, shows a more encouraging picture. Rondônia has one single observatory, which is part of the OSB network. Despite displaying positive and significant coefficients for the headings: “Interest”, “Outsourced Services for Individuals”, and “Amortization”, the last two are suspects of bias of non-parallelism of trends, being disregarded. The State presents negative and significant coefficients, as expected, for six expenditure items (e.g. “Consumption of Materials”, “Freely Distributed Materials”, “Outsourced Services for Legal Entities”, “Per diem”, “Equipment and Permanent Material” and “Construction and Installations”). Besides, the expenditure headings whose coefficients proved to be statistically insignificant are, generally, negative, supporting the evidence on the Observatory’s effectiveness.</w:t>
      </w:r>
    </w:p>
    <w:p w14:paraId="2CCE2FE0" w14:textId="77777777" w:rsidR="00567270" w:rsidRDefault="00054A9C" w:rsidP="00567270">
      <w:pPr>
        <w:pStyle w:val="PargrafodaLista"/>
        <w:spacing w:line="360" w:lineRule="auto"/>
        <w:ind w:left="0" w:firstLine="624"/>
        <w:jc w:val="both"/>
        <w:rPr>
          <w:rFonts w:ascii="Times New Roman" w:hAnsi="Times New Roman" w:cs="Times New Roman"/>
          <w:sz w:val="24"/>
          <w:szCs w:val="24"/>
          <w:lang w:val="en-US"/>
        </w:rPr>
      </w:pPr>
      <w:r w:rsidRPr="00567270">
        <w:rPr>
          <w:rFonts w:ascii="Times New Roman" w:hAnsi="Times New Roman" w:cs="Times New Roman"/>
          <w:sz w:val="24"/>
          <w:szCs w:val="24"/>
          <w:lang w:val="en-US"/>
        </w:rPr>
        <w:t>The states of Mato Grosso and Mato Grosso do Sul are the representatives of the Midwest region in the sample. In Mato Grosso (MT) the estimated coefficients are not significant, except for two cases: i) the positive and significant coefficient of “Amortization” (which is suspect of “non-parallelism bias") and, ii) the negative and significant coefficient of investments in “Equipment and Permanent Material”. The latter guaranteeing some support for the hypothesis of the effectiveness of the Observatories of Cacéres and Sorriso (OSB network) and Rondonópolis (independent), which operate there.</w:t>
      </w:r>
    </w:p>
    <w:p w14:paraId="6DEC347A" w14:textId="5A0A89F8" w:rsidR="00F9401D" w:rsidRPr="00054A9C" w:rsidRDefault="00F9401D" w:rsidP="00567270">
      <w:pPr>
        <w:pStyle w:val="PargrafodaLista"/>
        <w:spacing w:line="360" w:lineRule="auto"/>
        <w:ind w:left="0" w:firstLine="624"/>
        <w:jc w:val="both"/>
        <w:rPr>
          <w:rFonts w:ascii="Times New Roman" w:hAnsi="Times New Roman" w:cs="Times New Roman"/>
          <w:sz w:val="24"/>
          <w:szCs w:val="24"/>
          <w:lang w:val="en-US"/>
        </w:rPr>
      </w:pPr>
      <w:r w:rsidRPr="00567270">
        <w:rPr>
          <w:rFonts w:ascii="Times New Roman" w:hAnsi="Times New Roman" w:cs="Times New Roman"/>
          <w:sz w:val="24"/>
          <w:szCs w:val="24"/>
          <w:lang w:val="en-US"/>
        </w:rPr>
        <w:t>In the State of Mato Grosso do Sul (MS), the coefficients of the aggregate heading “Investments” as well as those of investments in “Equipment and Permanent Material” and “Construction and Installations” are negative and significant, suggesting the effectiveness in the monitoring of the capital outlays of the independent observatory of Dourados, the only one in the state. Regarding current expenses, however, the evidence is vague, since there are both positive and significant coefficients (e.g. “Other Current Expenses” and “Outsourced Services to Legal Entities”), as well as negative and significant coefficients (e.g. “Per diem” and “Interest”). Table 5 seems to show the effectiveness of the Observatories of these two states in the Midwest, at the same time as it points out necessary improvements in their monitoring practices and strategies.</w:t>
      </w:r>
      <w:r w:rsidRPr="00D12ED1">
        <w:rPr>
          <w:lang w:val="en-US"/>
        </w:rPr>
        <w:t xml:space="preserve"> </w:t>
      </w:r>
    </w:p>
    <w:tbl>
      <w:tblPr>
        <w:tblW w:w="10466" w:type="dxa"/>
        <w:tblLayout w:type="fixed"/>
        <w:tblLook w:val="04A0" w:firstRow="1" w:lastRow="0" w:firstColumn="1" w:lastColumn="0" w:noHBand="0" w:noVBand="1"/>
      </w:tblPr>
      <w:tblGrid>
        <w:gridCol w:w="566"/>
        <w:gridCol w:w="1009"/>
        <w:gridCol w:w="1122"/>
        <w:gridCol w:w="1523"/>
        <w:gridCol w:w="1636"/>
        <w:gridCol w:w="1167"/>
        <w:gridCol w:w="1281"/>
        <w:gridCol w:w="1024"/>
        <w:gridCol w:w="1138"/>
      </w:tblGrid>
      <w:tr w:rsidR="0099770F" w:rsidRPr="00E8576D" w14:paraId="37B204C2" w14:textId="77777777" w:rsidTr="00633129">
        <w:trPr>
          <w:trHeight w:val="195"/>
        </w:trPr>
        <w:tc>
          <w:tcPr>
            <w:tcW w:w="10466" w:type="dxa"/>
            <w:gridSpan w:val="9"/>
            <w:tcBorders>
              <w:top w:val="nil"/>
              <w:left w:val="nil"/>
              <w:bottom w:val="single" w:sz="8" w:space="0" w:color="auto"/>
              <w:right w:val="nil"/>
            </w:tcBorders>
            <w:shd w:val="clear" w:color="auto" w:fill="auto"/>
            <w:noWrap/>
            <w:vAlign w:val="center"/>
            <w:hideMark/>
          </w:tcPr>
          <w:p w14:paraId="6D846D0F" w14:textId="455A28FD" w:rsidR="0099770F" w:rsidRPr="002A7AFF" w:rsidRDefault="0099770F" w:rsidP="00633129">
            <w:pPr>
              <w:spacing w:after="0" w:line="240" w:lineRule="auto"/>
              <w:jc w:val="center"/>
              <w:rPr>
                <w:rFonts w:eastAsia="Times New Roman"/>
                <w:b/>
                <w:bCs/>
                <w:lang w:val="en-US"/>
              </w:rPr>
            </w:pPr>
            <w:r w:rsidRPr="002A7AFF">
              <w:rPr>
                <w:rFonts w:eastAsia="Times New Roman"/>
                <w:b/>
                <w:bCs/>
                <w:lang w:val="en-US"/>
              </w:rPr>
              <w:lastRenderedPageBreak/>
              <w:t xml:space="preserve">Table 5 </w:t>
            </w:r>
            <w:r w:rsidR="00054A9C" w:rsidRPr="002A7AFF">
              <w:rPr>
                <w:rFonts w:eastAsia="Times New Roman"/>
                <w:b/>
                <w:bCs/>
                <w:lang w:val="en-US"/>
              </w:rPr>
              <w:t>–</w:t>
            </w:r>
            <w:r w:rsidRPr="002A7AFF">
              <w:rPr>
                <w:rFonts w:ascii="Calibri" w:eastAsia="Times New Roman" w:hAnsi="Calibri" w:cs="Calibri"/>
                <w:b/>
                <w:bCs/>
                <w:color w:val="000000"/>
                <w:sz w:val="20"/>
                <w:szCs w:val="20"/>
                <w:lang w:val="en-US"/>
              </w:rPr>
              <w:t xml:space="preserve"> </w:t>
            </w:r>
            <w:r w:rsidR="00E27665" w:rsidRPr="002A7AFF">
              <w:rPr>
                <w:rFonts w:eastAsia="Times New Roman"/>
                <w:b/>
                <w:bCs/>
                <w:lang w:val="en-US"/>
              </w:rPr>
              <w:t>Observatories Impact on Percapita Expenses   (Expenditure/Inhabitants)</w:t>
            </w:r>
          </w:p>
          <w:p w14:paraId="70884AFF" w14:textId="624AE01C" w:rsidR="00054A9C" w:rsidRPr="00054A9C" w:rsidRDefault="00054A9C" w:rsidP="00633129">
            <w:pPr>
              <w:spacing w:after="0" w:line="240" w:lineRule="auto"/>
              <w:jc w:val="center"/>
              <w:rPr>
                <w:rFonts w:ascii="Calibri" w:eastAsia="Times New Roman" w:hAnsi="Calibri" w:cs="Calibri"/>
                <w:color w:val="000000"/>
                <w:sz w:val="20"/>
                <w:szCs w:val="20"/>
                <w:lang w:val="en-US"/>
              </w:rPr>
            </w:pPr>
          </w:p>
        </w:tc>
      </w:tr>
      <w:tr w:rsidR="0099770F" w:rsidRPr="003B5783" w14:paraId="331D1732" w14:textId="77777777" w:rsidTr="00633129">
        <w:trPr>
          <w:trHeight w:val="195"/>
        </w:trPr>
        <w:tc>
          <w:tcPr>
            <w:tcW w:w="566" w:type="dxa"/>
            <w:tcBorders>
              <w:top w:val="nil"/>
              <w:left w:val="nil"/>
              <w:bottom w:val="double" w:sz="6" w:space="0" w:color="auto"/>
              <w:right w:val="nil"/>
            </w:tcBorders>
            <w:shd w:val="clear" w:color="auto" w:fill="auto"/>
            <w:noWrap/>
            <w:vAlign w:val="center"/>
            <w:hideMark/>
          </w:tcPr>
          <w:p w14:paraId="436D6483" w14:textId="02598076" w:rsidR="0099770F" w:rsidRPr="003B5783" w:rsidRDefault="00E27665" w:rsidP="00633129">
            <w:pPr>
              <w:spacing w:after="0" w:line="240" w:lineRule="auto"/>
              <w:jc w:val="center"/>
              <w:rPr>
                <w:rFonts w:ascii="Calibri" w:eastAsia="Times New Roman" w:hAnsi="Calibri" w:cs="Calibri"/>
                <w:color w:val="000000"/>
                <w:sz w:val="18"/>
                <w:szCs w:val="18"/>
                <w:lang w:val="en-US"/>
              </w:rPr>
            </w:pPr>
            <w:r w:rsidRPr="00E27665">
              <w:rPr>
                <w:rFonts w:ascii="Calibri" w:eastAsia="Times New Roman" w:hAnsi="Calibri" w:cs="Calibri"/>
                <w:color w:val="000000"/>
                <w:sz w:val="16"/>
                <w:szCs w:val="16"/>
                <w:lang w:val="en-US"/>
              </w:rPr>
              <w:t>State</w:t>
            </w:r>
          </w:p>
        </w:tc>
        <w:tc>
          <w:tcPr>
            <w:tcW w:w="1009" w:type="dxa"/>
            <w:tcBorders>
              <w:top w:val="nil"/>
              <w:left w:val="nil"/>
              <w:bottom w:val="double" w:sz="6" w:space="0" w:color="auto"/>
              <w:right w:val="nil"/>
            </w:tcBorders>
            <w:shd w:val="clear" w:color="auto" w:fill="auto"/>
            <w:noWrap/>
            <w:vAlign w:val="center"/>
            <w:hideMark/>
          </w:tcPr>
          <w:p w14:paraId="56B5CDD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Total</w:t>
            </w:r>
          </w:p>
        </w:tc>
        <w:tc>
          <w:tcPr>
            <w:tcW w:w="1122" w:type="dxa"/>
            <w:tcBorders>
              <w:top w:val="nil"/>
              <w:left w:val="nil"/>
              <w:bottom w:val="double" w:sz="6" w:space="0" w:color="auto"/>
              <w:right w:val="nil"/>
            </w:tcBorders>
            <w:shd w:val="clear" w:color="auto" w:fill="auto"/>
            <w:noWrap/>
            <w:vAlign w:val="center"/>
            <w:hideMark/>
          </w:tcPr>
          <w:p w14:paraId="17A7235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523" w:type="dxa"/>
            <w:tcBorders>
              <w:top w:val="nil"/>
              <w:left w:val="nil"/>
              <w:bottom w:val="double" w:sz="6" w:space="0" w:color="auto"/>
              <w:right w:val="nil"/>
            </w:tcBorders>
            <w:shd w:val="clear" w:color="auto" w:fill="auto"/>
            <w:noWrap/>
            <w:vAlign w:val="center"/>
            <w:hideMark/>
          </w:tcPr>
          <w:p w14:paraId="0203F08B" w14:textId="49CA3945"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Current</w:t>
            </w:r>
          </w:p>
        </w:tc>
        <w:tc>
          <w:tcPr>
            <w:tcW w:w="1636" w:type="dxa"/>
            <w:tcBorders>
              <w:top w:val="nil"/>
              <w:left w:val="nil"/>
              <w:bottom w:val="double" w:sz="6" w:space="0" w:color="auto"/>
              <w:right w:val="nil"/>
            </w:tcBorders>
            <w:shd w:val="clear" w:color="auto" w:fill="auto"/>
            <w:noWrap/>
            <w:vAlign w:val="center"/>
            <w:hideMark/>
          </w:tcPr>
          <w:p w14:paraId="6C2FA47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167" w:type="dxa"/>
            <w:tcBorders>
              <w:top w:val="nil"/>
              <w:left w:val="nil"/>
              <w:bottom w:val="double" w:sz="6" w:space="0" w:color="auto"/>
              <w:right w:val="nil"/>
            </w:tcBorders>
            <w:shd w:val="clear" w:color="auto" w:fill="auto"/>
            <w:noWrap/>
            <w:vAlign w:val="center"/>
            <w:hideMark/>
          </w:tcPr>
          <w:p w14:paraId="7AC63EC1" w14:textId="350CF317"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Interest</w:t>
            </w:r>
          </w:p>
        </w:tc>
        <w:tc>
          <w:tcPr>
            <w:tcW w:w="1281" w:type="dxa"/>
            <w:tcBorders>
              <w:top w:val="nil"/>
              <w:left w:val="nil"/>
              <w:bottom w:val="double" w:sz="6" w:space="0" w:color="auto"/>
              <w:right w:val="nil"/>
            </w:tcBorders>
            <w:shd w:val="clear" w:color="auto" w:fill="auto"/>
            <w:noWrap/>
            <w:vAlign w:val="center"/>
            <w:hideMark/>
          </w:tcPr>
          <w:p w14:paraId="22625FE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024" w:type="dxa"/>
            <w:tcBorders>
              <w:top w:val="nil"/>
              <w:left w:val="nil"/>
              <w:bottom w:val="double" w:sz="6" w:space="0" w:color="auto"/>
              <w:right w:val="nil"/>
            </w:tcBorders>
            <w:shd w:val="clear" w:color="auto" w:fill="auto"/>
            <w:noWrap/>
            <w:vAlign w:val="center"/>
            <w:hideMark/>
          </w:tcPr>
          <w:p w14:paraId="33053EFD" w14:textId="1E01AFD1"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Pe</w:t>
            </w:r>
            <w:r w:rsidR="00E27665">
              <w:rPr>
                <w:rFonts w:ascii="Calibri" w:eastAsia="Times New Roman" w:hAnsi="Calibri" w:cs="Calibri"/>
                <w:color w:val="000000"/>
                <w:sz w:val="18"/>
                <w:szCs w:val="18"/>
                <w:lang w:val="en-US"/>
              </w:rPr>
              <w:t>rsonnel</w:t>
            </w:r>
          </w:p>
        </w:tc>
        <w:tc>
          <w:tcPr>
            <w:tcW w:w="1138" w:type="dxa"/>
            <w:tcBorders>
              <w:top w:val="nil"/>
              <w:left w:val="nil"/>
              <w:bottom w:val="double" w:sz="6" w:space="0" w:color="auto"/>
              <w:right w:val="nil"/>
            </w:tcBorders>
            <w:shd w:val="clear" w:color="auto" w:fill="auto"/>
            <w:noWrap/>
            <w:vAlign w:val="center"/>
            <w:hideMark/>
          </w:tcPr>
          <w:p w14:paraId="6B4E3A3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r>
      <w:tr w:rsidR="0099770F" w:rsidRPr="003B5783" w14:paraId="56FB61BF" w14:textId="77777777" w:rsidTr="00633129">
        <w:trPr>
          <w:trHeight w:val="195"/>
        </w:trPr>
        <w:tc>
          <w:tcPr>
            <w:tcW w:w="566" w:type="dxa"/>
            <w:tcBorders>
              <w:top w:val="nil"/>
              <w:left w:val="nil"/>
              <w:bottom w:val="nil"/>
              <w:right w:val="nil"/>
            </w:tcBorders>
            <w:shd w:val="clear" w:color="auto" w:fill="auto"/>
            <w:noWrap/>
            <w:vAlign w:val="center"/>
            <w:hideMark/>
          </w:tcPr>
          <w:p w14:paraId="7E0F955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BA</w:t>
            </w:r>
          </w:p>
        </w:tc>
        <w:tc>
          <w:tcPr>
            <w:tcW w:w="1009" w:type="dxa"/>
            <w:tcBorders>
              <w:top w:val="nil"/>
              <w:left w:val="nil"/>
              <w:bottom w:val="nil"/>
              <w:right w:val="nil"/>
            </w:tcBorders>
            <w:shd w:val="clear" w:color="auto" w:fill="auto"/>
            <w:noWrap/>
            <w:vAlign w:val="center"/>
            <w:hideMark/>
          </w:tcPr>
          <w:p w14:paraId="36E0B24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21,181</w:t>
            </w:r>
          </w:p>
        </w:tc>
        <w:tc>
          <w:tcPr>
            <w:tcW w:w="1122" w:type="dxa"/>
            <w:tcBorders>
              <w:top w:val="nil"/>
              <w:left w:val="nil"/>
              <w:bottom w:val="nil"/>
              <w:right w:val="nil"/>
            </w:tcBorders>
            <w:shd w:val="clear" w:color="auto" w:fill="auto"/>
            <w:noWrap/>
            <w:vAlign w:val="center"/>
            <w:hideMark/>
          </w:tcPr>
          <w:p w14:paraId="6523091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0,762</w:t>
            </w:r>
          </w:p>
        </w:tc>
        <w:tc>
          <w:tcPr>
            <w:tcW w:w="1523" w:type="dxa"/>
            <w:tcBorders>
              <w:top w:val="nil"/>
              <w:left w:val="nil"/>
              <w:bottom w:val="nil"/>
              <w:right w:val="nil"/>
            </w:tcBorders>
            <w:shd w:val="clear" w:color="auto" w:fill="auto"/>
            <w:noWrap/>
            <w:vAlign w:val="center"/>
            <w:hideMark/>
          </w:tcPr>
          <w:p w14:paraId="0C21321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-46,655</w:t>
            </w:r>
          </w:p>
        </w:tc>
        <w:tc>
          <w:tcPr>
            <w:tcW w:w="1636" w:type="dxa"/>
            <w:tcBorders>
              <w:top w:val="nil"/>
              <w:left w:val="nil"/>
              <w:bottom w:val="nil"/>
              <w:right w:val="nil"/>
            </w:tcBorders>
            <w:shd w:val="clear" w:color="auto" w:fill="auto"/>
            <w:noWrap/>
            <w:vAlign w:val="center"/>
            <w:hideMark/>
          </w:tcPr>
          <w:p w14:paraId="708A872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0,179</w:t>
            </w:r>
          </w:p>
        </w:tc>
        <w:tc>
          <w:tcPr>
            <w:tcW w:w="1167" w:type="dxa"/>
            <w:tcBorders>
              <w:top w:val="nil"/>
              <w:left w:val="nil"/>
              <w:bottom w:val="nil"/>
              <w:right w:val="nil"/>
            </w:tcBorders>
            <w:shd w:val="clear" w:color="auto" w:fill="auto"/>
            <w:noWrap/>
            <w:vAlign w:val="center"/>
            <w:hideMark/>
          </w:tcPr>
          <w:p w14:paraId="0D708A64"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1,451</w:t>
            </w:r>
          </w:p>
        </w:tc>
        <w:tc>
          <w:tcPr>
            <w:tcW w:w="1281" w:type="dxa"/>
            <w:tcBorders>
              <w:top w:val="nil"/>
              <w:left w:val="nil"/>
              <w:bottom w:val="nil"/>
              <w:right w:val="nil"/>
            </w:tcBorders>
            <w:shd w:val="clear" w:color="auto" w:fill="auto"/>
            <w:noWrap/>
            <w:vAlign w:val="center"/>
            <w:hideMark/>
          </w:tcPr>
          <w:p w14:paraId="3179C4EB"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0,033</w:t>
            </w:r>
          </w:p>
        </w:tc>
        <w:tc>
          <w:tcPr>
            <w:tcW w:w="1024" w:type="dxa"/>
            <w:tcBorders>
              <w:top w:val="nil"/>
              <w:left w:val="nil"/>
              <w:bottom w:val="nil"/>
              <w:right w:val="nil"/>
            </w:tcBorders>
            <w:shd w:val="clear" w:color="auto" w:fill="auto"/>
            <w:noWrap/>
            <w:vAlign w:val="center"/>
            <w:hideMark/>
          </w:tcPr>
          <w:p w14:paraId="278433C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2,506</w:t>
            </w:r>
          </w:p>
        </w:tc>
        <w:tc>
          <w:tcPr>
            <w:tcW w:w="1138" w:type="dxa"/>
            <w:tcBorders>
              <w:top w:val="nil"/>
              <w:left w:val="nil"/>
              <w:bottom w:val="nil"/>
              <w:right w:val="nil"/>
            </w:tcBorders>
            <w:shd w:val="clear" w:color="auto" w:fill="auto"/>
            <w:noWrap/>
            <w:vAlign w:val="center"/>
            <w:hideMark/>
          </w:tcPr>
          <w:p w14:paraId="15C2386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0,906</w:t>
            </w:r>
          </w:p>
        </w:tc>
      </w:tr>
      <w:tr w:rsidR="0099770F" w:rsidRPr="003B5783" w14:paraId="469A1D0E" w14:textId="77777777" w:rsidTr="00633129">
        <w:trPr>
          <w:trHeight w:val="180"/>
        </w:trPr>
        <w:tc>
          <w:tcPr>
            <w:tcW w:w="566" w:type="dxa"/>
            <w:tcBorders>
              <w:top w:val="nil"/>
              <w:left w:val="nil"/>
              <w:bottom w:val="nil"/>
              <w:right w:val="nil"/>
            </w:tcBorders>
            <w:shd w:val="clear" w:color="auto" w:fill="auto"/>
            <w:noWrap/>
            <w:vAlign w:val="center"/>
            <w:hideMark/>
          </w:tcPr>
          <w:p w14:paraId="04E1C66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MG</w:t>
            </w:r>
          </w:p>
        </w:tc>
        <w:tc>
          <w:tcPr>
            <w:tcW w:w="1009" w:type="dxa"/>
            <w:tcBorders>
              <w:top w:val="nil"/>
              <w:left w:val="nil"/>
              <w:bottom w:val="nil"/>
              <w:right w:val="nil"/>
            </w:tcBorders>
            <w:shd w:val="clear" w:color="auto" w:fill="auto"/>
            <w:noWrap/>
            <w:vAlign w:val="center"/>
            <w:hideMark/>
          </w:tcPr>
          <w:p w14:paraId="648584C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-110,372</w:t>
            </w:r>
          </w:p>
        </w:tc>
        <w:tc>
          <w:tcPr>
            <w:tcW w:w="1122" w:type="dxa"/>
            <w:tcBorders>
              <w:top w:val="nil"/>
              <w:left w:val="nil"/>
              <w:bottom w:val="nil"/>
              <w:right w:val="nil"/>
            </w:tcBorders>
            <w:shd w:val="clear" w:color="auto" w:fill="auto"/>
            <w:noWrap/>
            <w:vAlign w:val="center"/>
            <w:hideMark/>
          </w:tcPr>
          <w:p w14:paraId="7144CAC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0,334</w:t>
            </w:r>
          </w:p>
        </w:tc>
        <w:tc>
          <w:tcPr>
            <w:tcW w:w="1523" w:type="dxa"/>
            <w:tcBorders>
              <w:top w:val="nil"/>
              <w:left w:val="nil"/>
              <w:bottom w:val="nil"/>
              <w:right w:val="nil"/>
            </w:tcBorders>
            <w:shd w:val="clear" w:color="auto" w:fill="auto"/>
            <w:noWrap/>
            <w:vAlign w:val="center"/>
            <w:hideMark/>
          </w:tcPr>
          <w:p w14:paraId="7724C68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-73,541</w:t>
            </w:r>
          </w:p>
        </w:tc>
        <w:tc>
          <w:tcPr>
            <w:tcW w:w="1636" w:type="dxa"/>
            <w:tcBorders>
              <w:top w:val="nil"/>
              <w:left w:val="nil"/>
              <w:bottom w:val="nil"/>
              <w:right w:val="nil"/>
            </w:tcBorders>
            <w:shd w:val="clear" w:color="auto" w:fill="auto"/>
            <w:noWrap/>
            <w:vAlign w:val="center"/>
            <w:hideMark/>
          </w:tcPr>
          <w:p w14:paraId="58E121C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0,428</w:t>
            </w:r>
          </w:p>
        </w:tc>
        <w:tc>
          <w:tcPr>
            <w:tcW w:w="1167" w:type="dxa"/>
            <w:tcBorders>
              <w:top w:val="nil"/>
              <w:left w:val="nil"/>
              <w:bottom w:val="nil"/>
              <w:right w:val="nil"/>
            </w:tcBorders>
            <w:shd w:val="clear" w:color="auto" w:fill="auto"/>
            <w:noWrap/>
            <w:vAlign w:val="center"/>
            <w:hideMark/>
          </w:tcPr>
          <w:p w14:paraId="4FD8B49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-5,627</w:t>
            </w:r>
          </w:p>
        </w:tc>
        <w:tc>
          <w:tcPr>
            <w:tcW w:w="1281" w:type="dxa"/>
            <w:tcBorders>
              <w:top w:val="nil"/>
              <w:left w:val="nil"/>
              <w:bottom w:val="nil"/>
              <w:right w:val="nil"/>
            </w:tcBorders>
            <w:shd w:val="clear" w:color="auto" w:fill="auto"/>
            <w:noWrap/>
            <w:vAlign w:val="center"/>
            <w:hideMark/>
          </w:tcPr>
          <w:p w14:paraId="4793F52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0,377</w:t>
            </w:r>
          </w:p>
        </w:tc>
        <w:tc>
          <w:tcPr>
            <w:tcW w:w="1024" w:type="dxa"/>
            <w:tcBorders>
              <w:top w:val="nil"/>
              <w:left w:val="nil"/>
              <w:bottom w:val="nil"/>
              <w:right w:val="nil"/>
            </w:tcBorders>
            <w:shd w:val="clear" w:color="auto" w:fill="auto"/>
            <w:noWrap/>
            <w:vAlign w:val="center"/>
            <w:hideMark/>
          </w:tcPr>
          <w:p w14:paraId="12305773" w14:textId="77777777" w:rsidR="0099770F" w:rsidRPr="00981E17" w:rsidRDefault="0099770F" w:rsidP="00633129">
            <w:pPr>
              <w:spacing w:after="0" w:line="240" w:lineRule="auto"/>
              <w:jc w:val="center"/>
              <w:rPr>
                <w:rFonts w:ascii="Calibri" w:eastAsia="Times New Roman" w:hAnsi="Calibri" w:cs="Calibri"/>
                <w:color w:val="00B050"/>
                <w:sz w:val="18"/>
                <w:szCs w:val="18"/>
                <w:lang w:val="en-US"/>
              </w:rPr>
            </w:pPr>
            <w:r w:rsidRPr="00981E17">
              <w:rPr>
                <w:rFonts w:ascii="Calibri" w:eastAsia="Times New Roman" w:hAnsi="Calibri" w:cs="Calibri"/>
                <w:color w:val="00B050"/>
                <w:sz w:val="18"/>
                <w:szCs w:val="18"/>
                <w:lang w:val="en-US"/>
              </w:rPr>
              <w:t>-138,655</w:t>
            </w:r>
          </w:p>
        </w:tc>
        <w:tc>
          <w:tcPr>
            <w:tcW w:w="1138" w:type="dxa"/>
            <w:tcBorders>
              <w:top w:val="nil"/>
              <w:left w:val="nil"/>
              <w:bottom w:val="nil"/>
              <w:right w:val="nil"/>
            </w:tcBorders>
            <w:shd w:val="clear" w:color="auto" w:fill="auto"/>
            <w:noWrap/>
            <w:vAlign w:val="center"/>
            <w:hideMark/>
          </w:tcPr>
          <w:p w14:paraId="6397836F" w14:textId="77777777" w:rsidR="0099770F" w:rsidRPr="00981E17" w:rsidRDefault="0099770F" w:rsidP="00633129">
            <w:pPr>
              <w:spacing w:after="0" w:line="240" w:lineRule="auto"/>
              <w:jc w:val="center"/>
              <w:rPr>
                <w:rFonts w:ascii="Calibri" w:eastAsia="Times New Roman" w:hAnsi="Calibri" w:cs="Calibri"/>
                <w:color w:val="00B050"/>
                <w:sz w:val="18"/>
                <w:szCs w:val="18"/>
                <w:lang w:val="en-US"/>
              </w:rPr>
            </w:pPr>
            <w:r w:rsidRPr="00981E17">
              <w:rPr>
                <w:rFonts w:ascii="Calibri" w:eastAsia="Times New Roman" w:hAnsi="Calibri" w:cs="Calibri"/>
                <w:color w:val="00B050"/>
                <w:sz w:val="18"/>
                <w:szCs w:val="18"/>
                <w:lang w:val="en-US"/>
              </w:rPr>
              <w:t>0,028</w:t>
            </w:r>
          </w:p>
        </w:tc>
      </w:tr>
      <w:tr w:rsidR="0099770F" w:rsidRPr="003B5783" w14:paraId="2F6FE9E0" w14:textId="77777777" w:rsidTr="00633129">
        <w:trPr>
          <w:trHeight w:val="180"/>
        </w:trPr>
        <w:tc>
          <w:tcPr>
            <w:tcW w:w="566" w:type="dxa"/>
            <w:tcBorders>
              <w:top w:val="nil"/>
              <w:left w:val="nil"/>
              <w:bottom w:val="nil"/>
              <w:right w:val="nil"/>
            </w:tcBorders>
            <w:shd w:val="clear" w:color="auto" w:fill="auto"/>
            <w:noWrap/>
            <w:vAlign w:val="center"/>
            <w:hideMark/>
          </w:tcPr>
          <w:p w14:paraId="215972D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MS</w:t>
            </w:r>
          </w:p>
        </w:tc>
        <w:tc>
          <w:tcPr>
            <w:tcW w:w="1009" w:type="dxa"/>
            <w:tcBorders>
              <w:top w:val="nil"/>
              <w:left w:val="nil"/>
              <w:bottom w:val="nil"/>
              <w:right w:val="nil"/>
            </w:tcBorders>
            <w:shd w:val="clear" w:color="auto" w:fill="auto"/>
            <w:noWrap/>
            <w:vAlign w:val="center"/>
            <w:hideMark/>
          </w:tcPr>
          <w:p w14:paraId="7F98346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88,714</w:t>
            </w:r>
          </w:p>
        </w:tc>
        <w:tc>
          <w:tcPr>
            <w:tcW w:w="1122" w:type="dxa"/>
            <w:tcBorders>
              <w:top w:val="nil"/>
              <w:left w:val="nil"/>
              <w:bottom w:val="nil"/>
              <w:right w:val="nil"/>
            </w:tcBorders>
            <w:shd w:val="clear" w:color="auto" w:fill="auto"/>
            <w:noWrap/>
            <w:vAlign w:val="center"/>
            <w:hideMark/>
          </w:tcPr>
          <w:p w14:paraId="0D1FC63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0,366</w:t>
            </w:r>
          </w:p>
        </w:tc>
        <w:tc>
          <w:tcPr>
            <w:tcW w:w="1523" w:type="dxa"/>
            <w:tcBorders>
              <w:top w:val="nil"/>
              <w:left w:val="nil"/>
              <w:bottom w:val="nil"/>
              <w:right w:val="nil"/>
            </w:tcBorders>
            <w:shd w:val="clear" w:color="auto" w:fill="auto"/>
            <w:noWrap/>
            <w:vAlign w:val="center"/>
            <w:hideMark/>
          </w:tcPr>
          <w:p w14:paraId="1702E6B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119,225</w:t>
            </w:r>
          </w:p>
        </w:tc>
        <w:tc>
          <w:tcPr>
            <w:tcW w:w="1636" w:type="dxa"/>
            <w:tcBorders>
              <w:top w:val="nil"/>
              <w:left w:val="nil"/>
              <w:bottom w:val="nil"/>
              <w:right w:val="nil"/>
            </w:tcBorders>
            <w:shd w:val="clear" w:color="auto" w:fill="auto"/>
            <w:noWrap/>
            <w:vAlign w:val="center"/>
            <w:hideMark/>
          </w:tcPr>
          <w:p w14:paraId="65590A8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0,203</w:t>
            </w:r>
          </w:p>
        </w:tc>
        <w:tc>
          <w:tcPr>
            <w:tcW w:w="1167" w:type="dxa"/>
            <w:tcBorders>
              <w:top w:val="nil"/>
              <w:left w:val="nil"/>
              <w:bottom w:val="nil"/>
              <w:right w:val="nil"/>
            </w:tcBorders>
            <w:shd w:val="clear" w:color="auto" w:fill="auto"/>
            <w:noWrap/>
            <w:vAlign w:val="center"/>
            <w:hideMark/>
          </w:tcPr>
          <w:p w14:paraId="23F61BB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-7,903</w:t>
            </w:r>
          </w:p>
        </w:tc>
        <w:tc>
          <w:tcPr>
            <w:tcW w:w="1281" w:type="dxa"/>
            <w:tcBorders>
              <w:top w:val="nil"/>
              <w:left w:val="nil"/>
              <w:bottom w:val="nil"/>
              <w:right w:val="nil"/>
            </w:tcBorders>
            <w:shd w:val="clear" w:color="auto" w:fill="auto"/>
            <w:noWrap/>
            <w:vAlign w:val="center"/>
            <w:hideMark/>
          </w:tcPr>
          <w:p w14:paraId="3392DFB4"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0,003</w:t>
            </w:r>
          </w:p>
        </w:tc>
        <w:tc>
          <w:tcPr>
            <w:tcW w:w="1024" w:type="dxa"/>
            <w:tcBorders>
              <w:top w:val="nil"/>
              <w:left w:val="nil"/>
              <w:bottom w:val="nil"/>
              <w:right w:val="nil"/>
            </w:tcBorders>
            <w:shd w:val="clear" w:color="auto" w:fill="auto"/>
            <w:noWrap/>
            <w:vAlign w:val="center"/>
            <w:hideMark/>
          </w:tcPr>
          <w:p w14:paraId="249CBF2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4,66</w:t>
            </w:r>
          </w:p>
        </w:tc>
        <w:tc>
          <w:tcPr>
            <w:tcW w:w="1138" w:type="dxa"/>
            <w:tcBorders>
              <w:top w:val="nil"/>
              <w:left w:val="nil"/>
              <w:bottom w:val="nil"/>
              <w:right w:val="nil"/>
            </w:tcBorders>
            <w:shd w:val="clear" w:color="auto" w:fill="auto"/>
            <w:noWrap/>
            <w:vAlign w:val="center"/>
            <w:hideMark/>
          </w:tcPr>
          <w:p w14:paraId="2C5E0EF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0,948</w:t>
            </w:r>
          </w:p>
        </w:tc>
      </w:tr>
      <w:tr w:rsidR="0099770F" w:rsidRPr="003B5783" w14:paraId="6B167AD2" w14:textId="77777777" w:rsidTr="00633129">
        <w:trPr>
          <w:trHeight w:val="180"/>
        </w:trPr>
        <w:tc>
          <w:tcPr>
            <w:tcW w:w="566" w:type="dxa"/>
            <w:tcBorders>
              <w:top w:val="nil"/>
              <w:left w:val="nil"/>
              <w:bottom w:val="nil"/>
              <w:right w:val="nil"/>
            </w:tcBorders>
            <w:shd w:val="clear" w:color="auto" w:fill="auto"/>
            <w:noWrap/>
            <w:vAlign w:val="center"/>
            <w:hideMark/>
          </w:tcPr>
          <w:p w14:paraId="736C044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MT</w:t>
            </w:r>
          </w:p>
        </w:tc>
        <w:tc>
          <w:tcPr>
            <w:tcW w:w="1009" w:type="dxa"/>
            <w:tcBorders>
              <w:top w:val="nil"/>
              <w:left w:val="nil"/>
              <w:bottom w:val="nil"/>
              <w:right w:val="nil"/>
            </w:tcBorders>
            <w:shd w:val="clear" w:color="auto" w:fill="auto"/>
            <w:noWrap/>
            <w:vAlign w:val="center"/>
            <w:hideMark/>
          </w:tcPr>
          <w:p w14:paraId="11EDD43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14,38</w:t>
            </w:r>
          </w:p>
        </w:tc>
        <w:tc>
          <w:tcPr>
            <w:tcW w:w="1122" w:type="dxa"/>
            <w:tcBorders>
              <w:top w:val="nil"/>
              <w:left w:val="nil"/>
              <w:bottom w:val="nil"/>
              <w:right w:val="nil"/>
            </w:tcBorders>
            <w:shd w:val="clear" w:color="auto" w:fill="auto"/>
            <w:noWrap/>
            <w:vAlign w:val="center"/>
            <w:hideMark/>
          </w:tcPr>
          <w:p w14:paraId="6BF31E8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0,921</w:t>
            </w:r>
          </w:p>
        </w:tc>
        <w:tc>
          <w:tcPr>
            <w:tcW w:w="1523" w:type="dxa"/>
            <w:tcBorders>
              <w:top w:val="nil"/>
              <w:left w:val="nil"/>
              <w:bottom w:val="nil"/>
              <w:right w:val="nil"/>
            </w:tcBorders>
            <w:shd w:val="clear" w:color="auto" w:fill="auto"/>
            <w:noWrap/>
            <w:vAlign w:val="center"/>
            <w:hideMark/>
          </w:tcPr>
          <w:p w14:paraId="68E6944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-34,561</w:t>
            </w:r>
          </w:p>
        </w:tc>
        <w:tc>
          <w:tcPr>
            <w:tcW w:w="1636" w:type="dxa"/>
            <w:tcBorders>
              <w:top w:val="nil"/>
              <w:left w:val="nil"/>
              <w:bottom w:val="nil"/>
              <w:right w:val="nil"/>
            </w:tcBorders>
            <w:shd w:val="clear" w:color="auto" w:fill="auto"/>
            <w:noWrap/>
            <w:vAlign w:val="center"/>
            <w:hideMark/>
          </w:tcPr>
          <w:p w14:paraId="70D452F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0,786</w:t>
            </w:r>
          </w:p>
        </w:tc>
        <w:tc>
          <w:tcPr>
            <w:tcW w:w="1167" w:type="dxa"/>
            <w:tcBorders>
              <w:top w:val="nil"/>
              <w:left w:val="nil"/>
              <w:bottom w:val="nil"/>
              <w:right w:val="nil"/>
            </w:tcBorders>
            <w:shd w:val="clear" w:color="auto" w:fill="auto"/>
            <w:noWrap/>
            <w:vAlign w:val="center"/>
            <w:hideMark/>
          </w:tcPr>
          <w:p w14:paraId="1C7FDDB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2,371</w:t>
            </w:r>
          </w:p>
        </w:tc>
        <w:tc>
          <w:tcPr>
            <w:tcW w:w="1281" w:type="dxa"/>
            <w:tcBorders>
              <w:top w:val="nil"/>
              <w:left w:val="nil"/>
              <w:bottom w:val="nil"/>
              <w:right w:val="nil"/>
            </w:tcBorders>
            <w:shd w:val="clear" w:color="auto" w:fill="auto"/>
            <w:noWrap/>
            <w:vAlign w:val="center"/>
            <w:hideMark/>
          </w:tcPr>
          <w:p w14:paraId="706AA05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0,65</w:t>
            </w:r>
          </w:p>
        </w:tc>
        <w:tc>
          <w:tcPr>
            <w:tcW w:w="1024" w:type="dxa"/>
            <w:tcBorders>
              <w:top w:val="nil"/>
              <w:left w:val="nil"/>
              <w:bottom w:val="nil"/>
              <w:right w:val="nil"/>
            </w:tcBorders>
            <w:shd w:val="clear" w:color="auto" w:fill="auto"/>
            <w:noWrap/>
            <w:vAlign w:val="center"/>
            <w:hideMark/>
          </w:tcPr>
          <w:p w14:paraId="4596B73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-141,937</w:t>
            </w:r>
          </w:p>
        </w:tc>
        <w:tc>
          <w:tcPr>
            <w:tcW w:w="1138" w:type="dxa"/>
            <w:tcBorders>
              <w:top w:val="nil"/>
              <w:left w:val="nil"/>
              <w:bottom w:val="nil"/>
              <w:right w:val="nil"/>
            </w:tcBorders>
            <w:shd w:val="clear" w:color="auto" w:fill="auto"/>
            <w:noWrap/>
            <w:vAlign w:val="center"/>
            <w:hideMark/>
          </w:tcPr>
          <w:p w14:paraId="41FEE7F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0,081</w:t>
            </w:r>
          </w:p>
        </w:tc>
      </w:tr>
      <w:tr w:rsidR="0099770F" w:rsidRPr="003B5783" w14:paraId="4D2E2C47" w14:textId="77777777" w:rsidTr="00633129">
        <w:trPr>
          <w:trHeight w:val="180"/>
        </w:trPr>
        <w:tc>
          <w:tcPr>
            <w:tcW w:w="566" w:type="dxa"/>
            <w:tcBorders>
              <w:top w:val="nil"/>
              <w:left w:val="nil"/>
              <w:bottom w:val="nil"/>
              <w:right w:val="nil"/>
            </w:tcBorders>
            <w:shd w:val="clear" w:color="auto" w:fill="auto"/>
            <w:noWrap/>
            <w:vAlign w:val="center"/>
            <w:hideMark/>
          </w:tcPr>
          <w:p w14:paraId="5872C70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PI</w:t>
            </w:r>
          </w:p>
        </w:tc>
        <w:tc>
          <w:tcPr>
            <w:tcW w:w="1009" w:type="dxa"/>
            <w:tcBorders>
              <w:top w:val="nil"/>
              <w:left w:val="nil"/>
              <w:bottom w:val="nil"/>
              <w:right w:val="nil"/>
            </w:tcBorders>
            <w:shd w:val="clear" w:color="auto" w:fill="auto"/>
            <w:noWrap/>
            <w:vAlign w:val="center"/>
            <w:hideMark/>
          </w:tcPr>
          <w:p w14:paraId="464ADB78"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144,551</w:t>
            </w:r>
          </w:p>
        </w:tc>
        <w:tc>
          <w:tcPr>
            <w:tcW w:w="1122" w:type="dxa"/>
            <w:tcBorders>
              <w:top w:val="nil"/>
              <w:left w:val="nil"/>
              <w:bottom w:val="nil"/>
              <w:right w:val="nil"/>
            </w:tcBorders>
            <w:shd w:val="clear" w:color="auto" w:fill="auto"/>
            <w:noWrap/>
            <w:vAlign w:val="center"/>
            <w:hideMark/>
          </w:tcPr>
          <w:p w14:paraId="40D268B4"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523" w:type="dxa"/>
            <w:tcBorders>
              <w:top w:val="nil"/>
              <w:left w:val="nil"/>
              <w:bottom w:val="nil"/>
              <w:right w:val="nil"/>
            </w:tcBorders>
            <w:shd w:val="clear" w:color="auto" w:fill="auto"/>
            <w:noWrap/>
            <w:vAlign w:val="center"/>
            <w:hideMark/>
          </w:tcPr>
          <w:p w14:paraId="6307A09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18,862</w:t>
            </w:r>
          </w:p>
        </w:tc>
        <w:tc>
          <w:tcPr>
            <w:tcW w:w="1636" w:type="dxa"/>
            <w:tcBorders>
              <w:top w:val="nil"/>
              <w:left w:val="nil"/>
              <w:bottom w:val="nil"/>
              <w:right w:val="nil"/>
            </w:tcBorders>
            <w:shd w:val="clear" w:color="auto" w:fill="auto"/>
            <w:noWrap/>
            <w:vAlign w:val="center"/>
            <w:hideMark/>
          </w:tcPr>
          <w:p w14:paraId="36A9EEC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0,622</w:t>
            </w:r>
          </w:p>
        </w:tc>
        <w:tc>
          <w:tcPr>
            <w:tcW w:w="1167" w:type="dxa"/>
            <w:tcBorders>
              <w:top w:val="nil"/>
              <w:left w:val="nil"/>
              <w:bottom w:val="nil"/>
              <w:right w:val="nil"/>
            </w:tcBorders>
            <w:shd w:val="clear" w:color="auto" w:fill="auto"/>
            <w:noWrap/>
            <w:vAlign w:val="center"/>
            <w:hideMark/>
          </w:tcPr>
          <w:p w14:paraId="303AC554"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8,19</w:t>
            </w:r>
            <w:r>
              <w:rPr>
                <w:rFonts w:ascii="Calibri" w:eastAsia="Times New Roman" w:hAnsi="Calibri" w:cs="Calibri"/>
                <w:color w:val="FF0000"/>
                <w:sz w:val="18"/>
                <w:szCs w:val="18"/>
                <w:lang w:val="en-US"/>
              </w:rPr>
              <w:t>0</w:t>
            </w:r>
          </w:p>
        </w:tc>
        <w:tc>
          <w:tcPr>
            <w:tcW w:w="1281" w:type="dxa"/>
            <w:tcBorders>
              <w:top w:val="nil"/>
              <w:left w:val="nil"/>
              <w:bottom w:val="nil"/>
              <w:right w:val="nil"/>
            </w:tcBorders>
            <w:shd w:val="clear" w:color="auto" w:fill="auto"/>
            <w:noWrap/>
            <w:vAlign w:val="center"/>
            <w:hideMark/>
          </w:tcPr>
          <w:p w14:paraId="59B0EA5A"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024" w:type="dxa"/>
            <w:tcBorders>
              <w:top w:val="nil"/>
              <w:left w:val="nil"/>
              <w:bottom w:val="nil"/>
              <w:right w:val="nil"/>
            </w:tcBorders>
            <w:shd w:val="clear" w:color="auto" w:fill="auto"/>
            <w:noWrap/>
            <w:vAlign w:val="center"/>
            <w:hideMark/>
          </w:tcPr>
          <w:p w14:paraId="731B596E"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88,741</w:t>
            </w:r>
          </w:p>
        </w:tc>
        <w:tc>
          <w:tcPr>
            <w:tcW w:w="1138" w:type="dxa"/>
            <w:tcBorders>
              <w:top w:val="nil"/>
              <w:left w:val="nil"/>
              <w:bottom w:val="nil"/>
              <w:right w:val="nil"/>
            </w:tcBorders>
            <w:shd w:val="clear" w:color="auto" w:fill="auto"/>
            <w:noWrap/>
            <w:vAlign w:val="center"/>
            <w:hideMark/>
          </w:tcPr>
          <w:p w14:paraId="7B42CFE3"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r>
      <w:tr w:rsidR="0099770F" w:rsidRPr="003B5783" w14:paraId="1C8A7EAB" w14:textId="77777777" w:rsidTr="00633129">
        <w:trPr>
          <w:trHeight w:val="180"/>
        </w:trPr>
        <w:tc>
          <w:tcPr>
            <w:tcW w:w="566" w:type="dxa"/>
            <w:tcBorders>
              <w:top w:val="nil"/>
              <w:left w:val="nil"/>
              <w:bottom w:val="nil"/>
              <w:right w:val="nil"/>
            </w:tcBorders>
            <w:shd w:val="clear" w:color="auto" w:fill="auto"/>
            <w:noWrap/>
            <w:vAlign w:val="center"/>
            <w:hideMark/>
          </w:tcPr>
          <w:p w14:paraId="7F65808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PR</w:t>
            </w:r>
          </w:p>
        </w:tc>
        <w:tc>
          <w:tcPr>
            <w:tcW w:w="1009" w:type="dxa"/>
            <w:tcBorders>
              <w:top w:val="nil"/>
              <w:left w:val="nil"/>
              <w:bottom w:val="nil"/>
              <w:right w:val="nil"/>
            </w:tcBorders>
            <w:shd w:val="clear" w:color="auto" w:fill="auto"/>
            <w:noWrap/>
            <w:vAlign w:val="center"/>
            <w:hideMark/>
          </w:tcPr>
          <w:p w14:paraId="7400819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-84,338</w:t>
            </w:r>
          </w:p>
        </w:tc>
        <w:tc>
          <w:tcPr>
            <w:tcW w:w="1122" w:type="dxa"/>
            <w:tcBorders>
              <w:top w:val="nil"/>
              <w:left w:val="nil"/>
              <w:bottom w:val="nil"/>
              <w:right w:val="nil"/>
            </w:tcBorders>
            <w:shd w:val="clear" w:color="auto" w:fill="auto"/>
            <w:noWrap/>
            <w:vAlign w:val="center"/>
            <w:hideMark/>
          </w:tcPr>
          <w:p w14:paraId="5279B52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0,27</w:t>
            </w:r>
          </w:p>
        </w:tc>
        <w:tc>
          <w:tcPr>
            <w:tcW w:w="1523" w:type="dxa"/>
            <w:tcBorders>
              <w:top w:val="nil"/>
              <w:left w:val="nil"/>
              <w:bottom w:val="nil"/>
              <w:right w:val="nil"/>
            </w:tcBorders>
            <w:shd w:val="clear" w:color="auto" w:fill="auto"/>
            <w:noWrap/>
            <w:vAlign w:val="center"/>
            <w:hideMark/>
          </w:tcPr>
          <w:p w14:paraId="2227BE3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-63,586</w:t>
            </w:r>
          </w:p>
        </w:tc>
        <w:tc>
          <w:tcPr>
            <w:tcW w:w="1636" w:type="dxa"/>
            <w:tcBorders>
              <w:top w:val="nil"/>
              <w:left w:val="nil"/>
              <w:bottom w:val="nil"/>
              <w:right w:val="nil"/>
            </w:tcBorders>
            <w:shd w:val="clear" w:color="auto" w:fill="auto"/>
            <w:noWrap/>
            <w:vAlign w:val="center"/>
            <w:hideMark/>
          </w:tcPr>
          <w:p w14:paraId="69B9E38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0,205</w:t>
            </w:r>
          </w:p>
        </w:tc>
        <w:tc>
          <w:tcPr>
            <w:tcW w:w="1167" w:type="dxa"/>
            <w:tcBorders>
              <w:top w:val="nil"/>
              <w:left w:val="nil"/>
              <w:bottom w:val="nil"/>
              <w:right w:val="nil"/>
            </w:tcBorders>
            <w:shd w:val="clear" w:color="auto" w:fill="auto"/>
            <w:noWrap/>
            <w:vAlign w:val="center"/>
            <w:hideMark/>
          </w:tcPr>
          <w:p w14:paraId="1B5B9DA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-2,076</w:t>
            </w:r>
          </w:p>
        </w:tc>
        <w:tc>
          <w:tcPr>
            <w:tcW w:w="1281" w:type="dxa"/>
            <w:tcBorders>
              <w:top w:val="nil"/>
              <w:left w:val="nil"/>
              <w:bottom w:val="nil"/>
              <w:right w:val="nil"/>
            </w:tcBorders>
            <w:shd w:val="clear" w:color="auto" w:fill="auto"/>
            <w:noWrap/>
            <w:vAlign w:val="center"/>
            <w:hideMark/>
          </w:tcPr>
          <w:p w14:paraId="24BC963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0,293</w:t>
            </w:r>
          </w:p>
        </w:tc>
        <w:tc>
          <w:tcPr>
            <w:tcW w:w="1024" w:type="dxa"/>
            <w:tcBorders>
              <w:top w:val="nil"/>
              <w:left w:val="nil"/>
              <w:bottom w:val="nil"/>
              <w:right w:val="nil"/>
            </w:tcBorders>
            <w:shd w:val="clear" w:color="auto" w:fill="auto"/>
            <w:noWrap/>
            <w:vAlign w:val="center"/>
            <w:hideMark/>
          </w:tcPr>
          <w:p w14:paraId="71DBA7C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-85,239</w:t>
            </w:r>
          </w:p>
        </w:tc>
        <w:tc>
          <w:tcPr>
            <w:tcW w:w="1138" w:type="dxa"/>
            <w:tcBorders>
              <w:top w:val="nil"/>
              <w:left w:val="nil"/>
              <w:bottom w:val="nil"/>
              <w:right w:val="nil"/>
            </w:tcBorders>
            <w:shd w:val="clear" w:color="auto" w:fill="auto"/>
            <w:noWrap/>
            <w:vAlign w:val="center"/>
            <w:hideMark/>
          </w:tcPr>
          <w:p w14:paraId="12C14BE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0,001</w:t>
            </w:r>
          </w:p>
        </w:tc>
      </w:tr>
      <w:tr w:rsidR="0099770F" w:rsidRPr="003B5783" w14:paraId="09395300" w14:textId="77777777" w:rsidTr="00633129">
        <w:trPr>
          <w:trHeight w:val="180"/>
        </w:trPr>
        <w:tc>
          <w:tcPr>
            <w:tcW w:w="566" w:type="dxa"/>
            <w:tcBorders>
              <w:top w:val="nil"/>
              <w:left w:val="nil"/>
              <w:bottom w:val="nil"/>
              <w:right w:val="nil"/>
            </w:tcBorders>
            <w:shd w:val="clear" w:color="auto" w:fill="auto"/>
            <w:noWrap/>
            <w:vAlign w:val="center"/>
            <w:hideMark/>
          </w:tcPr>
          <w:p w14:paraId="082A291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RJ</w:t>
            </w:r>
          </w:p>
        </w:tc>
        <w:tc>
          <w:tcPr>
            <w:tcW w:w="1009" w:type="dxa"/>
            <w:tcBorders>
              <w:top w:val="nil"/>
              <w:left w:val="nil"/>
              <w:bottom w:val="nil"/>
              <w:right w:val="nil"/>
            </w:tcBorders>
            <w:shd w:val="clear" w:color="auto" w:fill="auto"/>
            <w:noWrap/>
            <w:vAlign w:val="center"/>
            <w:hideMark/>
          </w:tcPr>
          <w:p w14:paraId="5477D97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-64,476</w:t>
            </w:r>
          </w:p>
        </w:tc>
        <w:tc>
          <w:tcPr>
            <w:tcW w:w="1122" w:type="dxa"/>
            <w:tcBorders>
              <w:top w:val="nil"/>
              <w:left w:val="nil"/>
              <w:bottom w:val="nil"/>
              <w:right w:val="nil"/>
            </w:tcBorders>
            <w:shd w:val="clear" w:color="auto" w:fill="auto"/>
            <w:noWrap/>
            <w:vAlign w:val="center"/>
            <w:hideMark/>
          </w:tcPr>
          <w:p w14:paraId="14DF3A5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0,738</w:t>
            </w:r>
          </w:p>
        </w:tc>
        <w:tc>
          <w:tcPr>
            <w:tcW w:w="1523" w:type="dxa"/>
            <w:tcBorders>
              <w:top w:val="nil"/>
              <w:left w:val="nil"/>
              <w:bottom w:val="nil"/>
              <w:right w:val="nil"/>
            </w:tcBorders>
            <w:shd w:val="clear" w:color="auto" w:fill="auto"/>
            <w:noWrap/>
            <w:vAlign w:val="center"/>
            <w:hideMark/>
          </w:tcPr>
          <w:p w14:paraId="52CF1D8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-147,728</w:t>
            </w:r>
          </w:p>
        </w:tc>
        <w:tc>
          <w:tcPr>
            <w:tcW w:w="1636" w:type="dxa"/>
            <w:tcBorders>
              <w:top w:val="nil"/>
              <w:left w:val="nil"/>
              <w:bottom w:val="nil"/>
              <w:right w:val="nil"/>
            </w:tcBorders>
            <w:shd w:val="clear" w:color="auto" w:fill="auto"/>
            <w:noWrap/>
            <w:vAlign w:val="center"/>
            <w:hideMark/>
          </w:tcPr>
          <w:p w14:paraId="6EADE8F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0,321</w:t>
            </w:r>
          </w:p>
        </w:tc>
        <w:tc>
          <w:tcPr>
            <w:tcW w:w="1167" w:type="dxa"/>
            <w:tcBorders>
              <w:top w:val="nil"/>
              <w:left w:val="nil"/>
              <w:bottom w:val="nil"/>
              <w:right w:val="nil"/>
            </w:tcBorders>
            <w:shd w:val="clear" w:color="auto" w:fill="auto"/>
            <w:noWrap/>
            <w:vAlign w:val="center"/>
            <w:hideMark/>
          </w:tcPr>
          <w:p w14:paraId="20D01D4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3,066</w:t>
            </w:r>
          </w:p>
        </w:tc>
        <w:tc>
          <w:tcPr>
            <w:tcW w:w="1281" w:type="dxa"/>
            <w:tcBorders>
              <w:top w:val="nil"/>
              <w:left w:val="nil"/>
              <w:bottom w:val="nil"/>
              <w:right w:val="nil"/>
            </w:tcBorders>
            <w:shd w:val="clear" w:color="auto" w:fill="auto"/>
            <w:noWrap/>
            <w:vAlign w:val="center"/>
            <w:hideMark/>
          </w:tcPr>
          <w:p w14:paraId="6B00383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0,501</w:t>
            </w:r>
          </w:p>
        </w:tc>
        <w:tc>
          <w:tcPr>
            <w:tcW w:w="1024" w:type="dxa"/>
            <w:tcBorders>
              <w:top w:val="nil"/>
              <w:left w:val="nil"/>
              <w:bottom w:val="nil"/>
              <w:right w:val="nil"/>
            </w:tcBorders>
            <w:shd w:val="clear" w:color="auto" w:fill="auto"/>
            <w:noWrap/>
            <w:vAlign w:val="center"/>
            <w:hideMark/>
          </w:tcPr>
          <w:p w14:paraId="027A30E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-109,418</w:t>
            </w:r>
          </w:p>
        </w:tc>
        <w:tc>
          <w:tcPr>
            <w:tcW w:w="1138" w:type="dxa"/>
            <w:tcBorders>
              <w:top w:val="nil"/>
              <w:left w:val="nil"/>
              <w:bottom w:val="nil"/>
              <w:right w:val="nil"/>
            </w:tcBorders>
            <w:shd w:val="clear" w:color="auto" w:fill="auto"/>
            <w:noWrap/>
            <w:vAlign w:val="center"/>
            <w:hideMark/>
          </w:tcPr>
          <w:p w14:paraId="24B32FB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0,235</w:t>
            </w:r>
          </w:p>
        </w:tc>
      </w:tr>
      <w:tr w:rsidR="0099770F" w:rsidRPr="003B5783" w14:paraId="6819435C" w14:textId="77777777" w:rsidTr="00633129">
        <w:trPr>
          <w:trHeight w:val="180"/>
        </w:trPr>
        <w:tc>
          <w:tcPr>
            <w:tcW w:w="566" w:type="dxa"/>
            <w:tcBorders>
              <w:top w:val="nil"/>
              <w:left w:val="nil"/>
              <w:bottom w:val="nil"/>
              <w:right w:val="nil"/>
            </w:tcBorders>
            <w:shd w:val="clear" w:color="auto" w:fill="auto"/>
            <w:noWrap/>
            <w:vAlign w:val="center"/>
            <w:hideMark/>
          </w:tcPr>
          <w:p w14:paraId="7731EC3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RO</w:t>
            </w:r>
          </w:p>
        </w:tc>
        <w:tc>
          <w:tcPr>
            <w:tcW w:w="1009" w:type="dxa"/>
            <w:tcBorders>
              <w:top w:val="nil"/>
              <w:left w:val="nil"/>
              <w:bottom w:val="nil"/>
              <w:right w:val="nil"/>
            </w:tcBorders>
            <w:shd w:val="clear" w:color="auto" w:fill="auto"/>
            <w:noWrap/>
            <w:vAlign w:val="center"/>
            <w:hideMark/>
          </w:tcPr>
          <w:p w14:paraId="51408D5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-121,998</w:t>
            </w:r>
          </w:p>
        </w:tc>
        <w:tc>
          <w:tcPr>
            <w:tcW w:w="1122" w:type="dxa"/>
            <w:tcBorders>
              <w:top w:val="nil"/>
              <w:left w:val="nil"/>
              <w:bottom w:val="nil"/>
              <w:right w:val="nil"/>
            </w:tcBorders>
            <w:shd w:val="clear" w:color="auto" w:fill="auto"/>
            <w:noWrap/>
            <w:vAlign w:val="center"/>
            <w:hideMark/>
          </w:tcPr>
          <w:p w14:paraId="347B30D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0,275</w:t>
            </w:r>
          </w:p>
        </w:tc>
        <w:tc>
          <w:tcPr>
            <w:tcW w:w="1523" w:type="dxa"/>
            <w:tcBorders>
              <w:top w:val="nil"/>
              <w:left w:val="nil"/>
              <w:bottom w:val="nil"/>
              <w:right w:val="nil"/>
            </w:tcBorders>
            <w:shd w:val="clear" w:color="auto" w:fill="auto"/>
            <w:noWrap/>
            <w:vAlign w:val="center"/>
            <w:hideMark/>
          </w:tcPr>
          <w:p w14:paraId="750CEFE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-129,776</w:t>
            </w:r>
          </w:p>
        </w:tc>
        <w:tc>
          <w:tcPr>
            <w:tcW w:w="1636" w:type="dxa"/>
            <w:tcBorders>
              <w:top w:val="nil"/>
              <w:left w:val="nil"/>
              <w:bottom w:val="nil"/>
              <w:right w:val="nil"/>
            </w:tcBorders>
            <w:shd w:val="clear" w:color="auto" w:fill="auto"/>
            <w:noWrap/>
            <w:vAlign w:val="center"/>
            <w:hideMark/>
          </w:tcPr>
          <w:p w14:paraId="0C5C8EA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0,195</w:t>
            </w:r>
          </w:p>
        </w:tc>
        <w:tc>
          <w:tcPr>
            <w:tcW w:w="1167" w:type="dxa"/>
            <w:tcBorders>
              <w:top w:val="nil"/>
              <w:left w:val="nil"/>
              <w:bottom w:val="nil"/>
              <w:right w:val="nil"/>
            </w:tcBorders>
            <w:shd w:val="clear" w:color="auto" w:fill="auto"/>
            <w:noWrap/>
            <w:vAlign w:val="center"/>
            <w:hideMark/>
          </w:tcPr>
          <w:p w14:paraId="55D9110E" w14:textId="77777777" w:rsidR="0099770F" w:rsidRPr="00CB67A1" w:rsidRDefault="0099770F" w:rsidP="00633129">
            <w:pPr>
              <w:spacing w:after="0" w:line="240" w:lineRule="auto"/>
              <w:jc w:val="center"/>
              <w:rPr>
                <w:rFonts w:ascii="Calibri" w:eastAsia="Times New Roman" w:hAnsi="Calibri" w:cs="Calibri"/>
                <w:color w:val="FF0000"/>
                <w:sz w:val="18"/>
                <w:szCs w:val="18"/>
                <w:lang w:val="en-US"/>
              </w:rPr>
            </w:pPr>
            <w:r w:rsidRPr="00CB67A1">
              <w:rPr>
                <w:rFonts w:ascii="Calibri" w:eastAsia="Times New Roman" w:hAnsi="Calibri" w:cs="Calibri"/>
                <w:color w:val="FF0000"/>
                <w:sz w:val="18"/>
                <w:szCs w:val="18"/>
                <w:lang w:val="en-US"/>
              </w:rPr>
              <w:t>4,360</w:t>
            </w:r>
          </w:p>
        </w:tc>
        <w:tc>
          <w:tcPr>
            <w:tcW w:w="1281" w:type="dxa"/>
            <w:tcBorders>
              <w:top w:val="nil"/>
              <w:left w:val="nil"/>
              <w:bottom w:val="nil"/>
              <w:right w:val="nil"/>
            </w:tcBorders>
            <w:shd w:val="clear" w:color="auto" w:fill="auto"/>
            <w:noWrap/>
            <w:vAlign w:val="center"/>
            <w:hideMark/>
          </w:tcPr>
          <w:p w14:paraId="03701A02" w14:textId="77777777" w:rsidR="0099770F" w:rsidRPr="00CB67A1" w:rsidRDefault="0099770F" w:rsidP="00633129">
            <w:pPr>
              <w:spacing w:after="0" w:line="240" w:lineRule="auto"/>
              <w:jc w:val="center"/>
              <w:rPr>
                <w:rFonts w:ascii="Calibri" w:eastAsia="Times New Roman" w:hAnsi="Calibri" w:cs="Calibri"/>
                <w:color w:val="FF0000"/>
                <w:sz w:val="18"/>
                <w:szCs w:val="18"/>
                <w:lang w:val="en-US"/>
              </w:rPr>
            </w:pPr>
            <w:r w:rsidRPr="00CB67A1">
              <w:rPr>
                <w:rFonts w:ascii="Calibri" w:eastAsia="Times New Roman" w:hAnsi="Calibri" w:cs="Calibri"/>
                <w:color w:val="FF0000"/>
                <w:sz w:val="18"/>
                <w:szCs w:val="18"/>
                <w:lang w:val="en-US"/>
              </w:rPr>
              <w:t>0</w:t>
            </w:r>
          </w:p>
        </w:tc>
        <w:tc>
          <w:tcPr>
            <w:tcW w:w="1024" w:type="dxa"/>
            <w:tcBorders>
              <w:top w:val="nil"/>
              <w:left w:val="nil"/>
              <w:bottom w:val="nil"/>
              <w:right w:val="nil"/>
            </w:tcBorders>
            <w:shd w:val="clear" w:color="auto" w:fill="auto"/>
            <w:noWrap/>
            <w:vAlign w:val="center"/>
            <w:hideMark/>
          </w:tcPr>
          <w:p w14:paraId="7EA282F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-117,317</w:t>
            </w:r>
          </w:p>
        </w:tc>
        <w:tc>
          <w:tcPr>
            <w:tcW w:w="1138" w:type="dxa"/>
            <w:tcBorders>
              <w:top w:val="nil"/>
              <w:left w:val="nil"/>
              <w:bottom w:val="nil"/>
              <w:right w:val="nil"/>
            </w:tcBorders>
            <w:shd w:val="clear" w:color="auto" w:fill="auto"/>
            <w:noWrap/>
            <w:vAlign w:val="center"/>
            <w:hideMark/>
          </w:tcPr>
          <w:p w14:paraId="3B87E99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0,085</w:t>
            </w:r>
          </w:p>
        </w:tc>
      </w:tr>
      <w:tr w:rsidR="0099770F" w:rsidRPr="003B5783" w14:paraId="5B30BFEB" w14:textId="77777777" w:rsidTr="00633129">
        <w:trPr>
          <w:trHeight w:val="180"/>
        </w:trPr>
        <w:tc>
          <w:tcPr>
            <w:tcW w:w="566" w:type="dxa"/>
            <w:tcBorders>
              <w:top w:val="nil"/>
              <w:left w:val="nil"/>
              <w:bottom w:val="nil"/>
              <w:right w:val="nil"/>
            </w:tcBorders>
            <w:shd w:val="clear" w:color="auto" w:fill="auto"/>
            <w:noWrap/>
            <w:vAlign w:val="center"/>
            <w:hideMark/>
          </w:tcPr>
          <w:p w14:paraId="2C3A03C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RS</w:t>
            </w:r>
          </w:p>
        </w:tc>
        <w:tc>
          <w:tcPr>
            <w:tcW w:w="1009" w:type="dxa"/>
            <w:tcBorders>
              <w:top w:val="nil"/>
              <w:left w:val="nil"/>
              <w:bottom w:val="nil"/>
              <w:right w:val="nil"/>
            </w:tcBorders>
            <w:shd w:val="clear" w:color="auto" w:fill="auto"/>
            <w:noWrap/>
            <w:vAlign w:val="center"/>
            <w:hideMark/>
          </w:tcPr>
          <w:p w14:paraId="48AFBD9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-142,971</w:t>
            </w:r>
          </w:p>
        </w:tc>
        <w:tc>
          <w:tcPr>
            <w:tcW w:w="1122" w:type="dxa"/>
            <w:tcBorders>
              <w:top w:val="nil"/>
              <w:left w:val="nil"/>
              <w:bottom w:val="nil"/>
              <w:right w:val="nil"/>
            </w:tcBorders>
            <w:shd w:val="clear" w:color="auto" w:fill="auto"/>
            <w:noWrap/>
            <w:vAlign w:val="center"/>
            <w:hideMark/>
          </w:tcPr>
          <w:p w14:paraId="19090A9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0,167</w:t>
            </w:r>
          </w:p>
        </w:tc>
        <w:tc>
          <w:tcPr>
            <w:tcW w:w="1523" w:type="dxa"/>
            <w:tcBorders>
              <w:top w:val="nil"/>
              <w:left w:val="nil"/>
              <w:bottom w:val="nil"/>
              <w:right w:val="nil"/>
            </w:tcBorders>
            <w:shd w:val="clear" w:color="auto" w:fill="auto"/>
            <w:noWrap/>
            <w:vAlign w:val="center"/>
            <w:hideMark/>
          </w:tcPr>
          <w:p w14:paraId="0AE840A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-122,863</w:t>
            </w:r>
          </w:p>
        </w:tc>
        <w:tc>
          <w:tcPr>
            <w:tcW w:w="1636" w:type="dxa"/>
            <w:tcBorders>
              <w:top w:val="nil"/>
              <w:left w:val="nil"/>
              <w:bottom w:val="nil"/>
              <w:right w:val="nil"/>
            </w:tcBorders>
            <w:shd w:val="clear" w:color="auto" w:fill="auto"/>
            <w:noWrap/>
            <w:vAlign w:val="center"/>
            <w:hideMark/>
          </w:tcPr>
          <w:p w14:paraId="0B056C4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0,196</w:t>
            </w:r>
          </w:p>
        </w:tc>
        <w:tc>
          <w:tcPr>
            <w:tcW w:w="1167" w:type="dxa"/>
            <w:tcBorders>
              <w:top w:val="nil"/>
              <w:left w:val="nil"/>
              <w:bottom w:val="nil"/>
              <w:right w:val="nil"/>
            </w:tcBorders>
            <w:shd w:val="clear" w:color="auto" w:fill="auto"/>
            <w:noWrap/>
            <w:vAlign w:val="center"/>
            <w:hideMark/>
          </w:tcPr>
          <w:p w14:paraId="6A170A2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2,298</w:t>
            </w:r>
          </w:p>
        </w:tc>
        <w:tc>
          <w:tcPr>
            <w:tcW w:w="1281" w:type="dxa"/>
            <w:tcBorders>
              <w:top w:val="nil"/>
              <w:left w:val="nil"/>
              <w:bottom w:val="nil"/>
              <w:right w:val="nil"/>
            </w:tcBorders>
            <w:shd w:val="clear" w:color="auto" w:fill="auto"/>
            <w:noWrap/>
            <w:vAlign w:val="center"/>
            <w:hideMark/>
          </w:tcPr>
          <w:p w14:paraId="10ED3C6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0,504</w:t>
            </w:r>
          </w:p>
        </w:tc>
        <w:tc>
          <w:tcPr>
            <w:tcW w:w="1024" w:type="dxa"/>
            <w:tcBorders>
              <w:top w:val="nil"/>
              <w:left w:val="nil"/>
              <w:bottom w:val="nil"/>
              <w:right w:val="nil"/>
            </w:tcBorders>
            <w:shd w:val="clear" w:color="auto" w:fill="auto"/>
            <w:noWrap/>
            <w:vAlign w:val="center"/>
            <w:hideMark/>
          </w:tcPr>
          <w:p w14:paraId="78332B22"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-141,401</w:t>
            </w:r>
          </w:p>
        </w:tc>
        <w:tc>
          <w:tcPr>
            <w:tcW w:w="1138" w:type="dxa"/>
            <w:tcBorders>
              <w:top w:val="nil"/>
              <w:left w:val="nil"/>
              <w:bottom w:val="nil"/>
              <w:right w:val="nil"/>
            </w:tcBorders>
            <w:shd w:val="clear" w:color="auto" w:fill="auto"/>
            <w:noWrap/>
            <w:vAlign w:val="center"/>
            <w:hideMark/>
          </w:tcPr>
          <w:p w14:paraId="5E0AB0E2"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0,024</w:t>
            </w:r>
          </w:p>
        </w:tc>
      </w:tr>
      <w:tr w:rsidR="0099770F" w:rsidRPr="003B5783" w14:paraId="42F9B5F1" w14:textId="77777777" w:rsidTr="00633129">
        <w:trPr>
          <w:trHeight w:val="180"/>
        </w:trPr>
        <w:tc>
          <w:tcPr>
            <w:tcW w:w="566" w:type="dxa"/>
            <w:tcBorders>
              <w:top w:val="nil"/>
              <w:left w:val="nil"/>
              <w:bottom w:val="nil"/>
              <w:right w:val="nil"/>
            </w:tcBorders>
            <w:shd w:val="clear" w:color="auto" w:fill="auto"/>
            <w:noWrap/>
            <w:vAlign w:val="center"/>
            <w:hideMark/>
          </w:tcPr>
          <w:p w14:paraId="783F70D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SC</w:t>
            </w:r>
          </w:p>
        </w:tc>
        <w:tc>
          <w:tcPr>
            <w:tcW w:w="1009" w:type="dxa"/>
            <w:tcBorders>
              <w:top w:val="nil"/>
              <w:left w:val="nil"/>
              <w:bottom w:val="nil"/>
              <w:right w:val="nil"/>
            </w:tcBorders>
            <w:shd w:val="clear" w:color="auto" w:fill="auto"/>
            <w:noWrap/>
            <w:vAlign w:val="center"/>
            <w:hideMark/>
          </w:tcPr>
          <w:p w14:paraId="34D8B31C"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-265,896</w:t>
            </w:r>
          </w:p>
        </w:tc>
        <w:tc>
          <w:tcPr>
            <w:tcW w:w="1122" w:type="dxa"/>
            <w:tcBorders>
              <w:top w:val="nil"/>
              <w:left w:val="nil"/>
              <w:bottom w:val="nil"/>
              <w:right w:val="nil"/>
            </w:tcBorders>
            <w:shd w:val="clear" w:color="auto" w:fill="auto"/>
            <w:noWrap/>
            <w:vAlign w:val="center"/>
            <w:hideMark/>
          </w:tcPr>
          <w:p w14:paraId="785C0C44"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0,001</w:t>
            </w:r>
          </w:p>
        </w:tc>
        <w:tc>
          <w:tcPr>
            <w:tcW w:w="1523" w:type="dxa"/>
            <w:tcBorders>
              <w:top w:val="nil"/>
              <w:left w:val="nil"/>
              <w:bottom w:val="nil"/>
              <w:right w:val="nil"/>
            </w:tcBorders>
            <w:shd w:val="clear" w:color="auto" w:fill="auto"/>
            <w:noWrap/>
            <w:vAlign w:val="center"/>
            <w:hideMark/>
          </w:tcPr>
          <w:p w14:paraId="7E4F776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-140,662</w:t>
            </w:r>
          </w:p>
        </w:tc>
        <w:tc>
          <w:tcPr>
            <w:tcW w:w="1636" w:type="dxa"/>
            <w:tcBorders>
              <w:top w:val="nil"/>
              <w:left w:val="nil"/>
              <w:bottom w:val="nil"/>
              <w:right w:val="nil"/>
            </w:tcBorders>
            <w:shd w:val="clear" w:color="auto" w:fill="auto"/>
            <w:noWrap/>
            <w:vAlign w:val="center"/>
            <w:hideMark/>
          </w:tcPr>
          <w:p w14:paraId="49A4771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0,067</w:t>
            </w:r>
          </w:p>
        </w:tc>
        <w:tc>
          <w:tcPr>
            <w:tcW w:w="1167" w:type="dxa"/>
            <w:tcBorders>
              <w:top w:val="nil"/>
              <w:left w:val="nil"/>
              <w:bottom w:val="nil"/>
              <w:right w:val="nil"/>
            </w:tcBorders>
            <w:shd w:val="clear" w:color="auto" w:fill="auto"/>
            <w:noWrap/>
            <w:vAlign w:val="center"/>
            <w:hideMark/>
          </w:tcPr>
          <w:p w14:paraId="4578C07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-1,034</w:t>
            </w:r>
          </w:p>
        </w:tc>
        <w:tc>
          <w:tcPr>
            <w:tcW w:w="1281" w:type="dxa"/>
            <w:tcBorders>
              <w:top w:val="nil"/>
              <w:left w:val="nil"/>
              <w:bottom w:val="nil"/>
              <w:right w:val="nil"/>
            </w:tcBorders>
            <w:shd w:val="clear" w:color="auto" w:fill="auto"/>
            <w:noWrap/>
            <w:vAlign w:val="center"/>
            <w:hideMark/>
          </w:tcPr>
          <w:p w14:paraId="447D31C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0,534</w:t>
            </w:r>
          </w:p>
        </w:tc>
        <w:tc>
          <w:tcPr>
            <w:tcW w:w="1024" w:type="dxa"/>
            <w:tcBorders>
              <w:top w:val="nil"/>
              <w:left w:val="nil"/>
              <w:bottom w:val="nil"/>
              <w:right w:val="nil"/>
            </w:tcBorders>
            <w:shd w:val="clear" w:color="auto" w:fill="auto"/>
            <w:noWrap/>
            <w:vAlign w:val="center"/>
            <w:hideMark/>
          </w:tcPr>
          <w:p w14:paraId="11ECA719"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-102,042</w:t>
            </w:r>
          </w:p>
        </w:tc>
        <w:tc>
          <w:tcPr>
            <w:tcW w:w="1138" w:type="dxa"/>
            <w:tcBorders>
              <w:top w:val="nil"/>
              <w:left w:val="nil"/>
              <w:bottom w:val="nil"/>
              <w:right w:val="nil"/>
            </w:tcBorders>
            <w:shd w:val="clear" w:color="auto" w:fill="auto"/>
            <w:noWrap/>
            <w:vAlign w:val="center"/>
            <w:hideMark/>
          </w:tcPr>
          <w:p w14:paraId="3ED315D7"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0,039</w:t>
            </w:r>
          </w:p>
        </w:tc>
      </w:tr>
      <w:tr w:rsidR="0099770F" w:rsidRPr="003B5783" w14:paraId="470625F9" w14:textId="77777777" w:rsidTr="00633129">
        <w:trPr>
          <w:trHeight w:val="180"/>
        </w:trPr>
        <w:tc>
          <w:tcPr>
            <w:tcW w:w="566" w:type="dxa"/>
            <w:tcBorders>
              <w:top w:val="nil"/>
              <w:left w:val="nil"/>
              <w:bottom w:val="nil"/>
              <w:right w:val="nil"/>
            </w:tcBorders>
            <w:shd w:val="clear" w:color="auto" w:fill="auto"/>
            <w:noWrap/>
            <w:vAlign w:val="center"/>
            <w:hideMark/>
          </w:tcPr>
          <w:p w14:paraId="00C5BA6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SP</w:t>
            </w:r>
          </w:p>
        </w:tc>
        <w:tc>
          <w:tcPr>
            <w:tcW w:w="1009" w:type="dxa"/>
            <w:tcBorders>
              <w:top w:val="nil"/>
              <w:left w:val="nil"/>
              <w:bottom w:val="nil"/>
              <w:right w:val="nil"/>
            </w:tcBorders>
            <w:shd w:val="clear" w:color="auto" w:fill="auto"/>
            <w:noWrap/>
            <w:vAlign w:val="center"/>
            <w:hideMark/>
          </w:tcPr>
          <w:p w14:paraId="3C8D428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74,557</w:t>
            </w:r>
          </w:p>
        </w:tc>
        <w:tc>
          <w:tcPr>
            <w:tcW w:w="1122" w:type="dxa"/>
            <w:tcBorders>
              <w:top w:val="nil"/>
              <w:left w:val="nil"/>
              <w:bottom w:val="nil"/>
              <w:right w:val="nil"/>
            </w:tcBorders>
            <w:shd w:val="clear" w:color="auto" w:fill="auto"/>
            <w:noWrap/>
            <w:vAlign w:val="center"/>
            <w:hideMark/>
          </w:tcPr>
          <w:p w14:paraId="123D527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0,402</w:t>
            </w:r>
          </w:p>
        </w:tc>
        <w:tc>
          <w:tcPr>
            <w:tcW w:w="1523" w:type="dxa"/>
            <w:tcBorders>
              <w:top w:val="nil"/>
              <w:left w:val="nil"/>
              <w:bottom w:val="nil"/>
              <w:right w:val="nil"/>
            </w:tcBorders>
            <w:shd w:val="clear" w:color="auto" w:fill="auto"/>
            <w:noWrap/>
            <w:vAlign w:val="center"/>
            <w:hideMark/>
          </w:tcPr>
          <w:p w14:paraId="5590767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140,325</w:t>
            </w:r>
          </w:p>
        </w:tc>
        <w:tc>
          <w:tcPr>
            <w:tcW w:w="1636" w:type="dxa"/>
            <w:tcBorders>
              <w:top w:val="nil"/>
              <w:left w:val="nil"/>
              <w:bottom w:val="nil"/>
              <w:right w:val="nil"/>
            </w:tcBorders>
            <w:shd w:val="clear" w:color="auto" w:fill="auto"/>
            <w:noWrap/>
            <w:vAlign w:val="center"/>
            <w:hideMark/>
          </w:tcPr>
          <w:p w14:paraId="221E978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0,196</w:t>
            </w:r>
          </w:p>
        </w:tc>
        <w:tc>
          <w:tcPr>
            <w:tcW w:w="1167" w:type="dxa"/>
            <w:tcBorders>
              <w:top w:val="nil"/>
              <w:left w:val="nil"/>
              <w:bottom w:val="nil"/>
              <w:right w:val="nil"/>
            </w:tcBorders>
            <w:shd w:val="clear" w:color="auto" w:fill="auto"/>
            <w:noWrap/>
            <w:vAlign w:val="center"/>
            <w:hideMark/>
          </w:tcPr>
          <w:p w14:paraId="0AA7715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-1,809</w:t>
            </w:r>
          </w:p>
        </w:tc>
        <w:tc>
          <w:tcPr>
            <w:tcW w:w="1281" w:type="dxa"/>
            <w:tcBorders>
              <w:top w:val="nil"/>
              <w:left w:val="nil"/>
              <w:bottom w:val="nil"/>
              <w:right w:val="nil"/>
            </w:tcBorders>
            <w:shd w:val="clear" w:color="auto" w:fill="auto"/>
            <w:noWrap/>
            <w:vAlign w:val="center"/>
            <w:hideMark/>
          </w:tcPr>
          <w:p w14:paraId="54B37D3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0,674</w:t>
            </w:r>
          </w:p>
        </w:tc>
        <w:tc>
          <w:tcPr>
            <w:tcW w:w="1024" w:type="dxa"/>
            <w:tcBorders>
              <w:top w:val="nil"/>
              <w:left w:val="nil"/>
              <w:bottom w:val="nil"/>
              <w:right w:val="nil"/>
            </w:tcBorders>
            <w:shd w:val="clear" w:color="auto" w:fill="auto"/>
            <w:noWrap/>
            <w:vAlign w:val="center"/>
            <w:hideMark/>
          </w:tcPr>
          <w:p w14:paraId="04D71DF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37,49</w:t>
            </w:r>
          </w:p>
        </w:tc>
        <w:tc>
          <w:tcPr>
            <w:tcW w:w="1138" w:type="dxa"/>
            <w:tcBorders>
              <w:top w:val="nil"/>
              <w:left w:val="nil"/>
              <w:bottom w:val="nil"/>
              <w:right w:val="nil"/>
            </w:tcBorders>
            <w:shd w:val="clear" w:color="auto" w:fill="auto"/>
            <w:noWrap/>
            <w:vAlign w:val="center"/>
            <w:hideMark/>
          </w:tcPr>
          <w:p w14:paraId="4BA6548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0,604</w:t>
            </w:r>
          </w:p>
        </w:tc>
      </w:tr>
      <w:tr w:rsidR="0099770F" w:rsidRPr="003B5783" w14:paraId="5F96FEE0" w14:textId="77777777" w:rsidTr="00633129">
        <w:trPr>
          <w:trHeight w:val="195"/>
        </w:trPr>
        <w:tc>
          <w:tcPr>
            <w:tcW w:w="566" w:type="dxa"/>
            <w:tcBorders>
              <w:top w:val="nil"/>
              <w:left w:val="nil"/>
              <w:bottom w:val="nil"/>
              <w:right w:val="nil"/>
            </w:tcBorders>
            <w:shd w:val="clear" w:color="auto" w:fill="auto"/>
            <w:noWrap/>
            <w:vAlign w:val="center"/>
            <w:hideMark/>
          </w:tcPr>
          <w:p w14:paraId="51EB9441" w14:textId="77777777" w:rsidR="0099770F" w:rsidRDefault="0099770F" w:rsidP="00633129">
            <w:pPr>
              <w:spacing w:after="0" w:line="240" w:lineRule="auto"/>
              <w:jc w:val="center"/>
              <w:rPr>
                <w:rFonts w:ascii="Calibri" w:eastAsia="Times New Roman" w:hAnsi="Calibri" w:cs="Calibri"/>
                <w:color w:val="000000"/>
                <w:sz w:val="18"/>
                <w:szCs w:val="18"/>
                <w:lang w:val="en-US"/>
              </w:rPr>
            </w:pPr>
          </w:p>
          <w:p w14:paraId="55A3507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p>
        </w:tc>
        <w:tc>
          <w:tcPr>
            <w:tcW w:w="1009" w:type="dxa"/>
            <w:tcBorders>
              <w:top w:val="nil"/>
              <w:left w:val="nil"/>
              <w:bottom w:val="nil"/>
              <w:right w:val="nil"/>
            </w:tcBorders>
            <w:shd w:val="clear" w:color="auto" w:fill="auto"/>
            <w:vAlign w:val="center"/>
            <w:hideMark/>
          </w:tcPr>
          <w:p w14:paraId="7551B5D2"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122" w:type="dxa"/>
            <w:tcBorders>
              <w:top w:val="nil"/>
              <w:left w:val="nil"/>
              <w:bottom w:val="nil"/>
              <w:right w:val="nil"/>
            </w:tcBorders>
            <w:shd w:val="clear" w:color="auto" w:fill="auto"/>
            <w:noWrap/>
            <w:vAlign w:val="center"/>
            <w:hideMark/>
          </w:tcPr>
          <w:p w14:paraId="5AB93106"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523" w:type="dxa"/>
            <w:tcBorders>
              <w:top w:val="nil"/>
              <w:left w:val="nil"/>
              <w:bottom w:val="nil"/>
              <w:right w:val="nil"/>
            </w:tcBorders>
            <w:shd w:val="clear" w:color="auto" w:fill="auto"/>
            <w:noWrap/>
            <w:vAlign w:val="center"/>
            <w:hideMark/>
          </w:tcPr>
          <w:p w14:paraId="0D9A9736"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636" w:type="dxa"/>
            <w:tcBorders>
              <w:top w:val="nil"/>
              <w:left w:val="nil"/>
              <w:bottom w:val="nil"/>
              <w:right w:val="nil"/>
            </w:tcBorders>
            <w:shd w:val="clear" w:color="auto" w:fill="auto"/>
            <w:noWrap/>
            <w:vAlign w:val="center"/>
            <w:hideMark/>
          </w:tcPr>
          <w:p w14:paraId="7EA7B8E5"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167" w:type="dxa"/>
            <w:tcBorders>
              <w:top w:val="nil"/>
              <w:left w:val="nil"/>
              <w:bottom w:val="nil"/>
              <w:right w:val="nil"/>
            </w:tcBorders>
            <w:shd w:val="clear" w:color="auto" w:fill="auto"/>
            <w:noWrap/>
            <w:vAlign w:val="center"/>
            <w:hideMark/>
          </w:tcPr>
          <w:p w14:paraId="036D37EF"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281" w:type="dxa"/>
            <w:tcBorders>
              <w:top w:val="nil"/>
              <w:left w:val="nil"/>
              <w:bottom w:val="nil"/>
              <w:right w:val="nil"/>
            </w:tcBorders>
            <w:shd w:val="clear" w:color="auto" w:fill="auto"/>
            <w:noWrap/>
            <w:vAlign w:val="center"/>
            <w:hideMark/>
          </w:tcPr>
          <w:p w14:paraId="1007805A"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024" w:type="dxa"/>
            <w:tcBorders>
              <w:top w:val="nil"/>
              <w:left w:val="nil"/>
              <w:bottom w:val="nil"/>
              <w:right w:val="nil"/>
            </w:tcBorders>
            <w:shd w:val="clear" w:color="auto" w:fill="auto"/>
            <w:noWrap/>
            <w:vAlign w:val="center"/>
            <w:hideMark/>
          </w:tcPr>
          <w:p w14:paraId="0AD3BCD6"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c>
          <w:tcPr>
            <w:tcW w:w="1138" w:type="dxa"/>
            <w:tcBorders>
              <w:top w:val="nil"/>
              <w:left w:val="nil"/>
              <w:bottom w:val="nil"/>
              <w:right w:val="nil"/>
            </w:tcBorders>
            <w:shd w:val="clear" w:color="auto" w:fill="auto"/>
            <w:noWrap/>
            <w:vAlign w:val="center"/>
            <w:hideMark/>
          </w:tcPr>
          <w:p w14:paraId="780023CC" w14:textId="77777777" w:rsidR="0099770F" w:rsidRDefault="0099770F" w:rsidP="00633129">
            <w:pPr>
              <w:spacing w:after="0" w:line="240" w:lineRule="auto"/>
              <w:jc w:val="center"/>
              <w:rPr>
                <w:rFonts w:ascii="Times New Roman" w:eastAsia="Times New Roman" w:hAnsi="Times New Roman" w:cs="Times New Roman"/>
                <w:sz w:val="18"/>
                <w:szCs w:val="18"/>
                <w:lang w:val="en-US"/>
              </w:rPr>
            </w:pPr>
          </w:p>
          <w:p w14:paraId="386A42F2" w14:textId="77777777" w:rsidR="0099770F" w:rsidRPr="003B5783" w:rsidRDefault="0099770F" w:rsidP="00633129">
            <w:pPr>
              <w:spacing w:after="0" w:line="240" w:lineRule="auto"/>
              <w:jc w:val="center"/>
              <w:rPr>
                <w:rFonts w:ascii="Times New Roman" w:eastAsia="Times New Roman" w:hAnsi="Times New Roman" w:cs="Times New Roman"/>
                <w:sz w:val="18"/>
                <w:szCs w:val="18"/>
                <w:lang w:val="en-US"/>
              </w:rPr>
            </w:pPr>
          </w:p>
        </w:tc>
      </w:tr>
      <w:tr w:rsidR="0099770F" w:rsidRPr="003B5783" w14:paraId="3828CDF5" w14:textId="77777777" w:rsidTr="00633129">
        <w:trPr>
          <w:trHeight w:val="195"/>
        </w:trPr>
        <w:tc>
          <w:tcPr>
            <w:tcW w:w="566" w:type="dxa"/>
            <w:tcBorders>
              <w:top w:val="single" w:sz="8" w:space="0" w:color="auto"/>
              <w:left w:val="nil"/>
              <w:bottom w:val="double" w:sz="6" w:space="0" w:color="auto"/>
              <w:right w:val="nil"/>
            </w:tcBorders>
            <w:shd w:val="clear" w:color="auto" w:fill="auto"/>
            <w:noWrap/>
            <w:vAlign w:val="center"/>
            <w:hideMark/>
          </w:tcPr>
          <w:p w14:paraId="3EBCC3B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E60DC6">
              <w:rPr>
                <w:rFonts w:ascii="Calibri" w:eastAsia="Times New Roman" w:hAnsi="Calibri" w:cs="Calibri"/>
                <w:color w:val="000000"/>
                <w:sz w:val="18"/>
                <w:szCs w:val="18"/>
                <w:lang w:val="en-US"/>
              </w:rPr>
              <w:t>UF</w:t>
            </w:r>
          </w:p>
        </w:tc>
        <w:tc>
          <w:tcPr>
            <w:tcW w:w="1009" w:type="dxa"/>
            <w:tcBorders>
              <w:top w:val="single" w:sz="8" w:space="0" w:color="auto"/>
              <w:left w:val="nil"/>
              <w:bottom w:val="double" w:sz="6" w:space="0" w:color="auto"/>
              <w:right w:val="nil"/>
            </w:tcBorders>
            <w:shd w:val="clear" w:color="auto" w:fill="auto"/>
            <w:noWrap/>
            <w:vAlign w:val="center"/>
            <w:hideMark/>
          </w:tcPr>
          <w:p w14:paraId="6AAD5CB5" w14:textId="7E792F8A"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Other</w:t>
            </w:r>
            <w:r w:rsidR="0099770F">
              <w:rPr>
                <w:rFonts w:ascii="Calibri" w:eastAsia="Times New Roman" w:hAnsi="Calibri" w:cs="Calibri"/>
                <w:color w:val="000000"/>
                <w:sz w:val="18"/>
                <w:szCs w:val="18"/>
                <w:lang w:val="en-US"/>
              </w:rPr>
              <w:t>.</w:t>
            </w:r>
          </w:p>
        </w:tc>
        <w:tc>
          <w:tcPr>
            <w:tcW w:w="1122" w:type="dxa"/>
            <w:tcBorders>
              <w:top w:val="single" w:sz="8" w:space="0" w:color="auto"/>
              <w:left w:val="nil"/>
              <w:bottom w:val="double" w:sz="6" w:space="0" w:color="auto"/>
              <w:right w:val="nil"/>
            </w:tcBorders>
            <w:shd w:val="clear" w:color="auto" w:fill="auto"/>
            <w:noWrap/>
            <w:vAlign w:val="center"/>
            <w:hideMark/>
          </w:tcPr>
          <w:p w14:paraId="17CA770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523" w:type="dxa"/>
            <w:tcBorders>
              <w:top w:val="single" w:sz="8" w:space="0" w:color="auto"/>
              <w:left w:val="nil"/>
              <w:bottom w:val="double" w:sz="6" w:space="0" w:color="auto"/>
              <w:right w:val="nil"/>
            </w:tcBorders>
            <w:shd w:val="clear" w:color="auto" w:fill="auto"/>
            <w:vAlign w:val="center"/>
            <w:hideMark/>
          </w:tcPr>
          <w:p w14:paraId="4D460BC2" w14:textId="23FF4A05"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Consumption Material</w:t>
            </w:r>
          </w:p>
        </w:tc>
        <w:tc>
          <w:tcPr>
            <w:tcW w:w="1636" w:type="dxa"/>
            <w:tcBorders>
              <w:top w:val="single" w:sz="8" w:space="0" w:color="auto"/>
              <w:left w:val="nil"/>
              <w:bottom w:val="double" w:sz="6" w:space="0" w:color="auto"/>
              <w:right w:val="nil"/>
            </w:tcBorders>
            <w:shd w:val="clear" w:color="auto" w:fill="auto"/>
            <w:vAlign w:val="center"/>
            <w:hideMark/>
          </w:tcPr>
          <w:p w14:paraId="133DE9B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167" w:type="dxa"/>
            <w:tcBorders>
              <w:top w:val="single" w:sz="8" w:space="0" w:color="auto"/>
              <w:left w:val="nil"/>
              <w:bottom w:val="double" w:sz="6" w:space="0" w:color="auto"/>
              <w:right w:val="nil"/>
            </w:tcBorders>
            <w:shd w:val="clear" w:color="auto" w:fill="auto"/>
            <w:noWrap/>
            <w:vAlign w:val="center"/>
            <w:hideMark/>
          </w:tcPr>
          <w:p w14:paraId="493CF6D0" w14:textId="28E90EC7"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Freely Distributed</w:t>
            </w:r>
          </w:p>
        </w:tc>
        <w:tc>
          <w:tcPr>
            <w:tcW w:w="1281" w:type="dxa"/>
            <w:tcBorders>
              <w:top w:val="single" w:sz="8" w:space="0" w:color="auto"/>
              <w:left w:val="nil"/>
              <w:bottom w:val="double" w:sz="6" w:space="0" w:color="auto"/>
              <w:right w:val="nil"/>
            </w:tcBorders>
            <w:shd w:val="clear" w:color="auto" w:fill="auto"/>
            <w:noWrap/>
            <w:vAlign w:val="center"/>
            <w:hideMark/>
          </w:tcPr>
          <w:p w14:paraId="42D56CC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024" w:type="dxa"/>
            <w:tcBorders>
              <w:top w:val="single" w:sz="8" w:space="0" w:color="auto"/>
              <w:left w:val="nil"/>
              <w:bottom w:val="double" w:sz="6" w:space="0" w:color="auto"/>
              <w:right w:val="nil"/>
            </w:tcBorders>
            <w:shd w:val="clear" w:color="auto" w:fill="auto"/>
            <w:noWrap/>
            <w:vAlign w:val="center"/>
            <w:hideMark/>
          </w:tcPr>
          <w:p w14:paraId="10BA87ED" w14:textId="6F50F18B"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Outsorced individuals</w:t>
            </w:r>
          </w:p>
        </w:tc>
        <w:tc>
          <w:tcPr>
            <w:tcW w:w="1138" w:type="dxa"/>
            <w:tcBorders>
              <w:top w:val="single" w:sz="8" w:space="0" w:color="auto"/>
              <w:left w:val="nil"/>
              <w:bottom w:val="double" w:sz="6" w:space="0" w:color="auto"/>
              <w:right w:val="nil"/>
            </w:tcBorders>
            <w:shd w:val="clear" w:color="auto" w:fill="auto"/>
            <w:noWrap/>
            <w:vAlign w:val="center"/>
            <w:hideMark/>
          </w:tcPr>
          <w:p w14:paraId="5EFD581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r>
      <w:tr w:rsidR="0099770F" w:rsidRPr="003B5783" w14:paraId="03B3F257" w14:textId="77777777" w:rsidTr="00633129">
        <w:trPr>
          <w:trHeight w:val="195"/>
        </w:trPr>
        <w:tc>
          <w:tcPr>
            <w:tcW w:w="566" w:type="dxa"/>
            <w:tcBorders>
              <w:top w:val="nil"/>
              <w:left w:val="nil"/>
              <w:bottom w:val="nil"/>
              <w:right w:val="nil"/>
            </w:tcBorders>
            <w:shd w:val="clear" w:color="auto" w:fill="auto"/>
            <w:noWrap/>
            <w:vAlign w:val="center"/>
            <w:hideMark/>
          </w:tcPr>
          <w:p w14:paraId="10720FE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BA</w:t>
            </w:r>
          </w:p>
        </w:tc>
        <w:tc>
          <w:tcPr>
            <w:tcW w:w="1009" w:type="dxa"/>
            <w:tcBorders>
              <w:top w:val="nil"/>
              <w:left w:val="nil"/>
              <w:bottom w:val="nil"/>
              <w:right w:val="nil"/>
            </w:tcBorders>
            <w:shd w:val="clear" w:color="auto" w:fill="auto"/>
            <w:noWrap/>
            <w:vAlign w:val="center"/>
            <w:hideMark/>
          </w:tcPr>
          <w:p w14:paraId="02D94AAB"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-50,611</w:t>
            </w:r>
          </w:p>
        </w:tc>
        <w:tc>
          <w:tcPr>
            <w:tcW w:w="1122" w:type="dxa"/>
            <w:tcBorders>
              <w:top w:val="nil"/>
              <w:left w:val="nil"/>
              <w:bottom w:val="nil"/>
              <w:right w:val="nil"/>
            </w:tcBorders>
            <w:shd w:val="clear" w:color="auto" w:fill="auto"/>
            <w:noWrap/>
            <w:vAlign w:val="center"/>
            <w:hideMark/>
          </w:tcPr>
          <w:p w14:paraId="6512409C"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0,051</w:t>
            </w:r>
          </w:p>
        </w:tc>
        <w:tc>
          <w:tcPr>
            <w:tcW w:w="1523" w:type="dxa"/>
            <w:tcBorders>
              <w:top w:val="nil"/>
              <w:left w:val="nil"/>
              <w:bottom w:val="nil"/>
              <w:right w:val="nil"/>
            </w:tcBorders>
            <w:shd w:val="clear" w:color="auto" w:fill="auto"/>
            <w:noWrap/>
            <w:vAlign w:val="center"/>
            <w:hideMark/>
          </w:tcPr>
          <w:p w14:paraId="08458D4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21,167</w:t>
            </w:r>
          </w:p>
        </w:tc>
        <w:tc>
          <w:tcPr>
            <w:tcW w:w="1636" w:type="dxa"/>
            <w:tcBorders>
              <w:top w:val="nil"/>
              <w:left w:val="nil"/>
              <w:bottom w:val="nil"/>
              <w:right w:val="nil"/>
            </w:tcBorders>
            <w:shd w:val="clear" w:color="auto" w:fill="auto"/>
            <w:noWrap/>
            <w:vAlign w:val="center"/>
            <w:hideMark/>
          </w:tcPr>
          <w:p w14:paraId="6F487BE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0,224</w:t>
            </w:r>
          </w:p>
        </w:tc>
        <w:tc>
          <w:tcPr>
            <w:tcW w:w="1167" w:type="dxa"/>
            <w:tcBorders>
              <w:top w:val="nil"/>
              <w:left w:val="nil"/>
              <w:bottom w:val="nil"/>
              <w:right w:val="nil"/>
            </w:tcBorders>
            <w:shd w:val="clear" w:color="auto" w:fill="auto"/>
            <w:noWrap/>
            <w:vAlign w:val="center"/>
            <w:hideMark/>
          </w:tcPr>
          <w:p w14:paraId="4AC755B1" w14:textId="77777777" w:rsidR="0099770F" w:rsidRPr="004933DD" w:rsidRDefault="0099770F" w:rsidP="00633129">
            <w:pPr>
              <w:spacing w:after="0" w:line="240" w:lineRule="auto"/>
              <w:jc w:val="center"/>
              <w:rPr>
                <w:rFonts w:ascii="Calibri" w:eastAsia="Times New Roman" w:hAnsi="Calibri" w:cs="Calibri"/>
                <w:color w:val="000000" w:themeColor="text1"/>
                <w:sz w:val="18"/>
                <w:szCs w:val="18"/>
                <w:lang w:val="en-US"/>
              </w:rPr>
            </w:pPr>
            <w:r w:rsidRPr="004933DD">
              <w:rPr>
                <w:rFonts w:ascii="Calibri" w:eastAsia="Times New Roman" w:hAnsi="Calibri" w:cs="Calibri"/>
                <w:color w:val="000000" w:themeColor="text1"/>
                <w:sz w:val="18"/>
                <w:szCs w:val="18"/>
                <w:lang w:val="en-US"/>
              </w:rPr>
              <w:t>5,499</w:t>
            </w:r>
          </w:p>
        </w:tc>
        <w:tc>
          <w:tcPr>
            <w:tcW w:w="1281" w:type="dxa"/>
            <w:tcBorders>
              <w:top w:val="nil"/>
              <w:left w:val="nil"/>
              <w:bottom w:val="nil"/>
              <w:right w:val="nil"/>
            </w:tcBorders>
            <w:shd w:val="clear" w:color="auto" w:fill="auto"/>
            <w:noWrap/>
            <w:vAlign w:val="center"/>
            <w:hideMark/>
          </w:tcPr>
          <w:p w14:paraId="5C2F476F" w14:textId="77777777" w:rsidR="0099770F" w:rsidRPr="004933DD" w:rsidRDefault="0099770F" w:rsidP="00633129">
            <w:pPr>
              <w:spacing w:after="0" w:line="240" w:lineRule="auto"/>
              <w:jc w:val="center"/>
              <w:rPr>
                <w:rFonts w:ascii="Calibri" w:eastAsia="Times New Roman" w:hAnsi="Calibri" w:cs="Calibri"/>
                <w:color w:val="000000" w:themeColor="text1"/>
                <w:sz w:val="18"/>
                <w:szCs w:val="18"/>
                <w:lang w:val="en-US"/>
              </w:rPr>
            </w:pPr>
            <w:r w:rsidRPr="004933DD">
              <w:rPr>
                <w:rFonts w:ascii="Calibri" w:eastAsia="Times New Roman" w:hAnsi="Calibri" w:cs="Calibri"/>
                <w:color w:val="000000" w:themeColor="text1"/>
                <w:sz w:val="18"/>
                <w:szCs w:val="18"/>
                <w:lang w:val="en-US"/>
              </w:rPr>
              <w:t>0,099</w:t>
            </w:r>
          </w:p>
        </w:tc>
        <w:tc>
          <w:tcPr>
            <w:tcW w:w="1024" w:type="dxa"/>
            <w:tcBorders>
              <w:top w:val="nil"/>
              <w:left w:val="nil"/>
              <w:bottom w:val="nil"/>
              <w:right w:val="nil"/>
            </w:tcBorders>
            <w:shd w:val="clear" w:color="auto" w:fill="auto"/>
            <w:noWrap/>
            <w:vAlign w:val="center"/>
            <w:hideMark/>
          </w:tcPr>
          <w:p w14:paraId="1CD448E4" w14:textId="77777777" w:rsidR="0099770F" w:rsidRPr="000A60BD" w:rsidRDefault="0099770F" w:rsidP="00633129">
            <w:pPr>
              <w:spacing w:after="0" w:line="240" w:lineRule="auto"/>
              <w:jc w:val="center"/>
              <w:rPr>
                <w:rFonts w:ascii="Calibri" w:eastAsia="Times New Roman" w:hAnsi="Calibri" w:cs="Calibri"/>
                <w:color w:val="FF0000"/>
                <w:sz w:val="18"/>
                <w:szCs w:val="18"/>
                <w:lang w:val="en-US"/>
              </w:rPr>
            </w:pPr>
            <w:r w:rsidRPr="000A60BD">
              <w:rPr>
                <w:rFonts w:ascii="Calibri" w:eastAsia="Times New Roman" w:hAnsi="Calibri" w:cs="Calibri"/>
                <w:color w:val="FF0000"/>
                <w:sz w:val="18"/>
                <w:szCs w:val="18"/>
                <w:lang w:val="en-US"/>
              </w:rPr>
              <w:t>46,34</w:t>
            </w:r>
          </w:p>
        </w:tc>
        <w:tc>
          <w:tcPr>
            <w:tcW w:w="1138" w:type="dxa"/>
            <w:tcBorders>
              <w:top w:val="nil"/>
              <w:left w:val="nil"/>
              <w:bottom w:val="nil"/>
              <w:right w:val="nil"/>
            </w:tcBorders>
            <w:shd w:val="clear" w:color="auto" w:fill="auto"/>
            <w:noWrap/>
            <w:vAlign w:val="center"/>
            <w:hideMark/>
          </w:tcPr>
          <w:p w14:paraId="16FD04F5" w14:textId="77777777" w:rsidR="0099770F" w:rsidRPr="000A60BD" w:rsidRDefault="0099770F" w:rsidP="00633129">
            <w:pPr>
              <w:spacing w:after="0" w:line="240" w:lineRule="auto"/>
              <w:jc w:val="center"/>
              <w:rPr>
                <w:rFonts w:ascii="Calibri" w:eastAsia="Times New Roman" w:hAnsi="Calibri" w:cs="Calibri"/>
                <w:color w:val="FF0000"/>
                <w:sz w:val="18"/>
                <w:szCs w:val="18"/>
                <w:lang w:val="en-US"/>
              </w:rPr>
            </w:pPr>
            <w:r w:rsidRPr="000A60BD">
              <w:rPr>
                <w:rFonts w:ascii="Calibri" w:eastAsia="Times New Roman" w:hAnsi="Calibri" w:cs="Calibri"/>
                <w:color w:val="FF0000"/>
                <w:sz w:val="18"/>
                <w:szCs w:val="18"/>
                <w:lang w:val="en-US"/>
              </w:rPr>
              <w:t>0</w:t>
            </w:r>
          </w:p>
        </w:tc>
      </w:tr>
      <w:tr w:rsidR="0099770F" w:rsidRPr="003B5783" w14:paraId="3E684648" w14:textId="77777777" w:rsidTr="00633129">
        <w:trPr>
          <w:trHeight w:val="180"/>
        </w:trPr>
        <w:tc>
          <w:tcPr>
            <w:tcW w:w="566" w:type="dxa"/>
            <w:tcBorders>
              <w:top w:val="nil"/>
              <w:left w:val="nil"/>
              <w:bottom w:val="nil"/>
              <w:right w:val="nil"/>
            </w:tcBorders>
            <w:shd w:val="clear" w:color="auto" w:fill="auto"/>
            <w:noWrap/>
            <w:vAlign w:val="center"/>
            <w:hideMark/>
          </w:tcPr>
          <w:p w14:paraId="2964A41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MG</w:t>
            </w:r>
          </w:p>
        </w:tc>
        <w:tc>
          <w:tcPr>
            <w:tcW w:w="1009" w:type="dxa"/>
            <w:tcBorders>
              <w:top w:val="nil"/>
              <w:left w:val="nil"/>
              <w:bottom w:val="nil"/>
              <w:right w:val="nil"/>
            </w:tcBorders>
            <w:shd w:val="clear" w:color="auto" w:fill="auto"/>
            <w:noWrap/>
            <w:vAlign w:val="center"/>
            <w:hideMark/>
          </w:tcPr>
          <w:p w14:paraId="14F7A77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70,741</w:t>
            </w:r>
          </w:p>
        </w:tc>
        <w:tc>
          <w:tcPr>
            <w:tcW w:w="1122" w:type="dxa"/>
            <w:tcBorders>
              <w:top w:val="nil"/>
              <w:left w:val="nil"/>
              <w:bottom w:val="nil"/>
              <w:right w:val="nil"/>
            </w:tcBorders>
            <w:shd w:val="clear" w:color="auto" w:fill="auto"/>
            <w:noWrap/>
            <w:vAlign w:val="center"/>
            <w:hideMark/>
          </w:tcPr>
          <w:p w14:paraId="7BE0B1B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0,296</w:t>
            </w:r>
          </w:p>
        </w:tc>
        <w:tc>
          <w:tcPr>
            <w:tcW w:w="1523" w:type="dxa"/>
            <w:tcBorders>
              <w:top w:val="nil"/>
              <w:left w:val="nil"/>
              <w:bottom w:val="nil"/>
              <w:right w:val="nil"/>
            </w:tcBorders>
            <w:shd w:val="clear" w:color="auto" w:fill="auto"/>
            <w:noWrap/>
            <w:vAlign w:val="center"/>
            <w:hideMark/>
          </w:tcPr>
          <w:p w14:paraId="760F5EE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21,524</w:t>
            </w:r>
          </w:p>
        </w:tc>
        <w:tc>
          <w:tcPr>
            <w:tcW w:w="1636" w:type="dxa"/>
            <w:tcBorders>
              <w:top w:val="nil"/>
              <w:left w:val="nil"/>
              <w:bottom w:val="nil"/>
              <w:right w:val="nil"/>
            </w:tcBorders>
            <w:shd w:val="clear" w:color="auto" w:fill="auto"/>
            <w:noWrap/>
            <w:vAlign w:val="center"/>
            <w:hideMark/>
          </w:tcPr>
          <w:p w14:paraId="46B8831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0,125</w:t>
            </w:r>
          </w:p>
        </w:tc>
        <w:tc>
          <w:tcPr>
            <w:tcW w:w="1167" w:type="dxa"/>
            <w:tcBorders>
              <w:top w:val="nil"/>
              <w:left w:val="nil"/>
              <w:bottom w:val="nil"/>
              <w:right w:val="nil"/>
            </w:tcBorders>
            <w:shd w:val="clear" w:color="auto" w:fill="auto"/>
            <w:noWrap/>
            <w:vAlign w:val="center"/>
            <w:hideMark/>
          </w:tcPr>
          <w:p w14:paraId="2F899B4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-5,233</w:t>
            </w:r>
          </w:p>
        </w:tc>
        <w:tc>
          <w:tcPr>
            <w:tcW w:w="1281" w:type="dxa"/>
            <w:tcBorders>
              <w:top w:val="nil"/>
              <w:left w:val="nil"/>
              <w:bottom w:val="nil"/>
              <w:right w:val="nil"/>
            </w:tcBorders>
            <w:shd w:val="clear" w:color="auto" w:fill="auto"/>
            <w:noWrap/>
            <w:vAlign w:val="center"/>
            <w:hideMark/>
          </w:tcPr>
          <w:p w14:paraId="4D1642F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0,412</w:t>
            </w:r>
          </w:p>
        </w:tc>
        <w:tc>
          <w:tcPr>
            <w:tcW w:w="1024" w:type="dxa"/>
            <w:tcBorders>
              <w:top w:val="nil"/>
              <w:left w:val="nil"/>
              <w:bottom w:val="nil"/>
              <w:right w:val="nil"/>
            </w:tcBorders>
            <w:shd w:val="clear" w:color="auto" w:fill="auto"/>
            <w:noWrap/>
            <w:vAlign w:val="center"/>
            <w:hideMark/>
          </w:tcPr>
          <w:p w14:paraId="6A14C21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11,021</w:t>
            </w:r>
          </w:p>
        </w:tc>
        <w:tc>
          <w:tcPr>
            <w:tcW w:w="1138" w:type="dxa"/>
            <w:tcBorders>
              <w:top w:val="nil"/>
              <w:left w:val="nil"/>
              <w:bottom w:val="nil"/>
              <w:right w:val="nil"/>
            </w:tcBorders>
            <w:shd w:val="clear" w:color="auto" w:fill="auto"/>
            <w:noWrap/>
            <w:vAlign w:val="center"/>
            <w:hideMark/>
          </w:tcPr>
          <w:p w14:paraId="3966F8E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0,51</w:t>
            </w:r>
          </w:p>
        </w:tc>
      </w:tr>
      <w:tr w:rsidR="0099770F" w:rsidRPr="003B5783" w14:paraId="18C39D47" w14:textId="77777777" w:rsidTr="00633129">
        <w:trPr>
          <w:trHeight w:val="180"/>
        </w:trPr>
        <w:tc>
          <w:tcPr>
            <w:tcW w:w="566" w:type="dxa"/>
            <w:tcBorders>
              <w:top w:val="nil"/>
              <w:left w:val="nil"/>
              <w:bottom w:val="nil"/>
              <w:right w:val="nil"/>
            </w:tcBorders>
            <w:shd w:val="clear" w:color="auto" w:fill="auto"/>
            <w:noWrap/>
            <w:vAlign w:val="center"/>
            <w:hideMark/>
          </w:tcPr>
          <w:p w14:paraId="415D1C1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MS</w:t>
            </w:r>
          </w:p>
        </w:tc>
        <w:tc>
          <w:tcPr>
            <w:tcW w:w="1009" w:type="dxa"/>
            <w:tcBorders>
              <w:top w:val="nil"/>
              <w:left w:val="nil"/>
              <w:bottom w:val="nil"/>
              <w:right w:val="nil"/>
            </w:tcBorders>
            <w:shd w:val="clear" w:color="auto" w:fill="auto"/>
            <w:noWrap/>
            <w:vAlign w:val="center"/>
            <w:hideMark/>
          </w:tcPr>
          <w:p w14:paraId="2C0C43DA"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122,468</w:t>
            </w:r>
          </w:p>
        </w:tc>
        <w:tc>
          <w:tcPr>
            <w:tcW w:w="1122" w:type="dxa"/>
            <w:tcBorders>
              <w:top w:val="nil"/>
              <w:left w:val="nil"/>
              <w:bottom w:val="nil"/>
              <w:right w:val="nil"/>
            </w:tcBorders>
            <w:shd w:val="clear" w:color="auto" w:fill="auto"/>
            <w:noWrap/>
            <w:vAlign w:val="center"/>
            <w:hideMark/>
          </w:tcPr>
          <w:p w14:paraId="6D93C853"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0,005</w:t>
            </w:r>
          </w:p>
        </w:tc>
        <w:tc>
          <w:tcPr>
            <w:tcW w:w="1523" w:type="dxa"/>
            <w:tcBorders>
              <w:top w:val="nil"/>
              <w:left w:val="nil"/>
              <w:bottom w:val="nil"/>
              <w:right w:val="nil"/>
            </w:tcBorders>
            <w:shd w:val="clear" w:color="auto" w:fill="auto"/>
            <w:noWrap/>
            <w:vAlign w:val="center"/>
            <w:hideMark/>
          </w:tcPr>
          <w:p w14:paraId="597918F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-41,955</w:t>
            </w:r>
          </w:p>
        </w:tc>
        <w:tc>
          <w:tcPr>
            <w:tcW w:w="1636" w:type="dxa"/>
            <w:tcBorders>
              <w:top w:val="nil"/>
              <w:left w:val="nil"/>
              <w:bottom w:val="nil"/>
              <w:right w:val="nil"/>
            </w:tcBorders>
            <w:shd w:val="clear" w:color="auto" w:fill="auto"/>
            <w:noWrap/>
            <w:vAlign w:val="center"/>
            <w:hideMark/>
          </w:tcPr>
          <w:p w14:paraId="15BF2BC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0,196</w:t>
            </w:r>
          </w:p>
        </w:tc>
        <w:tc>
          <w:tcPr>
            <w:tcW w:w="1167" w:type="dxa"/>
            <w:tcBorders>
              <w:top w:val="nil"/>
              <w:left w:val="nil"/>
              <w:bottom w:val="nil"/>
              <w:right w:val="nil"/>
            </w:tcBorders>
            <w:shd w:val="clear" w:color="auto" w:fill="auto"/>
            <w:noWrap/>
            <w:vAlign w:val="center"/>
            <w:hideMark/>
          </w:tcPr>
          <w:p w14:paraId="61FF0A5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3,195</w:t>
            </w:r>
          </w:p>
        </w:tc>
        <w:tc>
          <w:tcPr>
            <w:tcW w:w="1281" w:type="dxa"/>
            <w:tcBorders>
              <w:top w:val="nil"/>
              <w:left w:val="nil"/>
              <w:bottom w:val="nil"/>
              <w:right w:val="nil"/>
            </w:tcBorders>
            <w:shd w:val="clear" w:color="auto" w:fill="auto"/>
            <w:noWrap/>
            <w:vAlign w:val="center"/>
            <w:hideMark/>
          </w:tcPr>
          <w:p w14:paraId="103BB8E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0,355</w:t>
            </w:r>
          </w:p>
        </w:tc>
        <w:tc>
          <w:tcPr>
            <w:tcW w:w="1024" w:type="dxa"/>
            <w:tcBorders>
              <w:top w:val="nil"/>
              <w:left w:val="nil"/>
              <w:bottom w:val="nil"/>
              <w:right w:val="nil"/>
            </w:tcBorders>
            <w:shd w:val="clear" w:color="auto" w:fill="auto"/>
            <w:noWrap/>
            <w:vAlign w:val="center"/>
            <w:hideMark/>
          </w:tcPr>
          <w:p w14:paraId="5E30D92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-19,442</w:t>
            </w:r>
          </w:p>
        </w:tc>
        <w:tc>
          <w:tcPr>
            <w:tcW w:w="1138" w:type="dxa"/>
            <w:tcBorders>
              <w:top w:val="nil"/>
              <w:left w:val="nil"/>
              <w:bottom w:val="nil"/>
              <w:right w:val="nil"/>
            </w:tcBorders>
            <w:shd w:val="clear" w:color="auto" w:fill="auto"/>
            <w:noWrap/>
            <w:vAlign w:val="center"/>
            <w:hideMark/>
          </w:tcPr>
          <w:p w14:paraId="130743E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0,065</w:t>
            </w:r>
          </w:p>
        </w:tc>
      </w:tr>
      <w:tr w:rsidR="0099770F" w:rsidRPr="003B5783" w14:paraId="7A0DC070" w14:textId="77777777" w:rsidTr="00633129">
        <w:trPr>
          <w:trHeight w:val="180"/>
        </w:trPr>
        <w:tc>
          <w:tcPr>
            <w:tcW w:w="566" w:type="dxa"/>
            <w:tcBorders>
              <w:top w:val="nil"/>
              <w:left w:val="nil"/>
              <w:bottom w:val="nil"/>
              <w:right w:val="nil"/>
            </w:tcBorders>
            <w:shd w:val="clear" w:color="auto" w:fill="auto"/>
            <w:noWrap/>
            <w:vAlign w:val="center"/>
            <w:hideMark/>
          </w:tcPr>
          <w:p w14:paraId="2375696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MT</w:t>
            </w:r>
          </w:p>
        </w:tc>
        <w:tc>
          <w:tcPr>
            <w:tcW w:w="1009" w:type="dxa"/>
            <w:tcBorders>
              <w:top w:val="nil"/>
              <w:left w:val="nil"/>
              <w:bottom w:val="nil"/>
              <w:right w:val="nil"/>
            </w:tcBorders>
            <w:shd w:val="clear" w:color="auto" w:fill="auto"/>
            <w:noWrap/>
            <w:vAlign w:val="center"/>
            <w:hideMark/>
          </w:tcPr>
          <w:p w14:paraId="6A59B8F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105,005</w:t>
            </w:r>
          </w:p>
        </w:tc>
        <w:tc>
          <w:tcPr>
            <w:tcW w:w="1122" w:type="dxa"/>
            <w:tcBorders>
              <w:top w:val="nil"/>
              <w:left w:val="nil"/>
              <w:bottom w:val="nil"/>
              <w:right w:val="nil"/>
            </w:tcBorders>
            <w:shd w:val="clear" w:color="auto" w:fill="auto"/>
            <w:noWrap/>
            <w:vAlign w:val="center"/>
            <w:hideMark/>
          </w:tcPr>
          <w:p w14:paraId="0F198AB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0,178</w:t>
            </w:r>
          </w:p>
        </w:tc>
        <w:tc>
          <w:tcPr>
            <w:tcW w:w="1523" w:type="dxa"/>
            <w:tcBorders>
              <w:top w:val="nil"/>
              <w:left w:val="nil"/>
              <w:bottom w:val="nil"/>
              <w:right w:val="nil"/>
            </w:tcBorders>
            <w:shd w:val="clear" w:color="auto" w:fill="auto"/>
            <w:noWrap/>
            <w:vAlign w:val="center"/>
            <w:hideMark/>
          </w:tcPr>
          <w:p w14:paraId="61EB3DA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75,363</w:t>
            </w:r>
          </w:p>
        </w:tc>
        <w:tc>
          <w:tcPr>
            <w:tcW w:w="1636" w:type="dxa"/>
            <w:tcBorders>
              <w:top w:val="nil"/>
              <w:left w:val="nil"/>
              <w:bottom w:val="nil"/>
              <w:right w:val="nil"/>
            </w:tcBorders>
            <w:shd w:val="clear" w:color="auto" w:fill="auto"/>
            <w:noWrap/>
            <w:vAlign w:val="center"/>
            <w:hideMark/>
          </w:tcPr>
          <w:p w14:paraId="18AA4D0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0,075</w:t>
            </w:r>
          </w:p>
        </w:tc>
        <w:tc>
          <w:tcPr>
            <w:tcW w:w="1167" w:type="dxa"/>
            <w:tcBorders>
              <w:top w:val="nil"/>
              <w:left w:val="nil"/>
              <w:bottom w:val="nil"/>
              <w:right w:val="nil"/>
            </w:tcBorders>
            <w:shd w:val="clear" w:color="auto" w:fill="auto"/>
            <w:noWrap/>
            <w:vAlign w:val="center"/>
            <w:hideMark/>
          </w:tcPr>
          <w:p w14:paraId="585AA37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1,535</w:t>
            </w:r>
          </w:p>
        </w:tc>
        <w:tc>
          <w:tcPr>
            <w:tcW w:w="1281" w:type="dxa"/>
            <w:tcBorders>
              <w:top w:val="nil"/>
              <w:left w:val="nil"/>
              <w:bottom w:val="nil"/>
              <w:right w:val="nil"/>
            </w:tcBorders>
            <w:shd w:val="clear" w:color="auto" w:fill="auto"/>
            <w:noWrap/>
            <w:vAlign w:val="center"/>
            <w:hideMark/>
          </w:tcPr>
          <w:p w14:paraId="283E11D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0,465</w:t>
            </w:r>
          </w:p>
        </w:tc>
        <w:tc>
          <w:tcPr>
            <w:tcW w:w="1024" w:type="dxa"/>
            <w:tcBorders>
              <w:top w:val="nil"/>
              <w:left w:val="nil"/>
              <w:bottom w:val="nil"/>
              <w:right w:val="nil"/>
            </w:tcBorders>
            <w:shd w:val="clear" w:color="auto" w:fill="auto"/>
            <w:noWrap/>
            <w:vAlign w:val="center"/>
            <w:hideMark/>
          </w:tcPr>
          <w:p w14:paraId="703EC6A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34,033</w:t>
            </w:r>
          </w:p>
        </w:tc>
        <w:tc>
          <w:tcPr>
            <w:tcW w:w="1138" w:type="dxa"/>
            <w:tcBorders>
              <w:top w:val="nil"/>
              <w:left w:val="nil"/>
              <w:bottom w:val="nil"/>
              <w:right w:val="nil"/>
            </w:tcBorders>
            <w:shd w:val="clear" w:color="auto" w:fill="auto"/>
            <w:noWrap/>
            <w:vAlign w:val="center"/>
            <w:hideMark/>
          </w:tcPr>
          <w:p w14:paraId="33590B2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0,164</w:t>
            </w:r>
          </w:p>
        </w:tc>
      </w:tr>
      <w:tr w:rsidR="0099770F" w:rsidRPr="003B5783" w14:paraId="52C43E6B" w14:textId="77777777" w:rsidTr="00633129">
        <w:trPr>
          <w:trHeight w:val="180"/>
        </w:trPr>
        <w:tc>
          <w:tcPr>
            <w:tcW w:w="566" w:type="dxa"/>
            <w:tcBorders>
              <w:top w:val="nil"/>
              <w:left w:val="nil"/>
              <w:bottom w:val="nil"/>
              <w:right w:val="nil"/>
            </w:tcBorders>
            <w:shd w:val="clear" w:color="auto" w:fill="auto"/>
            <w:noWrap/>
            <w:vAlign w:val="center"/>
            <w:hideMark/>
          </w:tcPr>
          <w:p w14:paraId="7C9C90C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PI</w:t>
            </w:r>
          </w:p>
        </w:tc>
        <w:tc>
          <w:tcPr>
            <w:tcW w:w="1009" w:type="dxa"/>
            <w:tcBorders>
              <w:top w:val="nil"/>
              <w:left w:val="nil"/>
              <w:bottom w:val="nil"/>
              <w:right w:val="nil"/>
            </w:tcBorders>
            <w:shd w:val="clear" w:color="auto" w:fill="auto"/>
            <w:noWrap/>
            <w:vAlign w:val="center"/>
            <w:hideMark/>
          </w:tcPr>
          <w:p w14:paraId="1D6A36EC"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-78,07</w:t>
            </w:r>
          </w:p>
        </w:tc>
        <w:tc>
          <w:tcPr>
            <w:tcW w:w="1122" w:type="dxa"/>
            <w:tcBorders>
              <w:top w:val="nil"/>
              <w:left w:val="nil"/>
              <w:bottom w:val="nil"/>
              <w:right w:val="nil"/>
            </w:tcBorders>
            <w:shd w:val="clear" w:color="auto" w:fill="auto"/>
            <w:noWrap/>
            <w:vAlign w:val="center"/>
            <w:hideMark/>
          </w:tcPr>
          <w:p w14:paraId="0EC9CA7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0,002</w:t>
            </w:r>
          </w:p>
        </w:tc>
        <w:tc>
          <w:tcPr>
            <w:tcW w:w="1523" w:type="dxa"/>
            <w:tcBorders>
              <w:top w:val="nil"/>
              <w:left w:val="nil"/>
              <w:bottom w:val="nil"/>
              <w:right w:val="nil"/>
            </w:tcBorders>
            <w:shd w:val="clear" w:color="auto" w:fill="auto"/>
            <w:noWrap/>
            <w:vAlign w:val="center"/>
            <w:hideMark/>
          </w:tcPr>
          <w:p w14:paraId="6E69CD36"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-92,244</w:t>
            </w:r>
          </w:p>
        </w:tc>
        <w:tc>
          <w:tcPr>
            <w:tcW w:w="1636" w:type="dxa"/>
            <w:tcBorders>
              <w:top w:val="nil"/>
              <w:left w:val="nil"/>
              <w:bottom w:val="nil"/>
              <w:right w:val="nil"/>
            </w:tcBorders>
            <w:shd w:val="clear" w:color="auto" w:fill="auto"/>
            <w:noWrap/>
            <w:vAlign w:val="center"/>
            <w:hideMark/>
          </w:tcPr>
          <w:p w14:paraId="6BF28C79"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5303E189"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8,833</w:t>
            </w:r>
          </w:p>
        </w:tc>
        <w:tc>
          <w:tcPr>
            <w:tcW w:w="1281" w:type="dxa"/>
            <w:tcBorders>
              <w:top w:val="nil"/>
              <w:left w:val="nil"/>
              <w:bottom w:val="nil"/>
              <w:right w:val="nil"/>
            </w:tcBorders>
            <w:shd w:val="clear" w:color="auto" w:fill="auto"/>
            <w:noWrap/>
            <w:vAlign w:val="center"/>
            <w:hideMark/>
          </w:tcPr>
          <w:p w14:paraId="56F02E0B"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024" w:type="dxa"/>
            <w:tcBorders>
              <w:top w:val="nil"/>
              <w:left w:val="nil"/>
              <w:bottom w:val="nil"/>
              <w:right w:val="nil"/>
            </w:tcBorders>
            <w:shd w:val="clear" w:color="auto" w:fill="auto"/>
            <w:noWrap/>
            <w:vAlign w:val="center"/>
            <w:hideMark/>
          </w:tcPr>
          <w:p w14:paraId="57233DB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-18,325</w:t>
            </w:r>
          </w:p>
        </w:tc>
        <w:tc>
          <w:tcPr>
            <w:tcW w:w="1138" w:type="dxa"/>
            <w:tcBorders>
              <w:top w:val="nil"/>
              <w:left w:val="nil"/>
              <w:bottom w:val="nil"/>
              <w:right w:val="nil"/>
            </w:tcBorders>
            <w:shd w:val="clear" w:color="auto" w:fill="auto"/>
            <w:noWrap/>
            <w:vAlign w:val="center"/>
            <w:hideMark/>
          </w:tcPr>
          <w:p w14:paraId="7E02F6D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0,304</w:t>
            </w:r>
          </w:p>
        </w:tc>
      </w:tr>
      <w:tr w:rsidR="0099770F" w:rsidRPr="003B5783" w14:paraId="4B4AB2FC" w14:textId="77777777" w:rsidTr="00633129">
        <w:trPr>
          <w:trHeight w:val="180"/>
        </w:trPr>
        <w:tc>
          <w:tcPr>
            <w:tcW w:w="566" w:type="dxa"/>
            <w:tcBorders>
              <w:top w:val="nil"/>
              <w:left w:val="nil"/>
              <w:bottom w:val="nil"/>
              <w:right w:val="nil"/>
            </w:tcBorders>
            <w:shd w:val="clear" w:color="auto" w:fill="auto"/>
            <w:noWrap/>
            <w:vAlign w:val="center"/>
            <w:hideMark/>
          </w:tcPr>
          <w:p w14:paraId="4D9B5E3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PR</w:t>
            </w:r>
          </w:p>
        </w:tc>
        <w:tc>
          <w:tcPr>
            <w:tcW w:w="1009" w:type="dxa"/>
            <w:tcBorders>
              <w:top w:val="nil"/>
              <w:left w:val="nil"/>
              <w:bottom w:val="nil"/>
              <w:right w:val="nil"/>
            </w:tcBorders>
            <w:shd w:val="clear" w:color="auto" w:fill="auto"/>
            <w:noWrap/>
            <w:vAlign w:val="center"/>
            <w:hideMark/>
          </w:tcPr>
          <w:p w14:paraId="5C7A71E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23,729</w:t>
            </w:r>
          </w:p>
        </w:tc>
        <w:tc>
          <w:tcPr>
            <w:tcW w:w="1122" w:type="dxa"/>
            <w:tcBorders>
              <w:top w:val="nil"/>
              <w:left w:val="nil"/>
              <w:bottom w:val="nil"/>
              <w:right w:val="nil"/>
            </w:tcBorders>
            <w:shd w:val="clear" w:color="auto" w:fill="auto"/>
            <w:noWrap/>
            <w:vAlign w:val="center"/>
            <w:hideMark/>
          </w:tcPr>
          <w:p w14:paraId="6070391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0,499</w:t>
            </w:r>
          </w:p>
        </w:tc>
        <w:tc>
          <w:tcPr>
            <w:tcW w:w="1523" w:type="dxa"/>
            <w:tcBorders>
              <w:top w:val="nil"/>
              <w:left w:val="nil"/>
              <w:bottom w:val="nil"/>
              <w:right w:val="nil"/>
            </w:tcBorders>
            <w:shd w:val="clear" w:color="auto" w:fill="auto"/>
            <w:noWrap/>
            <w:vAlign w:val="center"/>
            <w:hideMark/>
          </w:tcPr>
          <w:p w14:paraId="4C4A9AC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-8,6</w:t>
            </w:r>
          </w:p>
        </w:tc>
        <w:tc>
          <w:tcPr>
            <w:tcW w:w="1636" w:type="dxa"/>
            <w:tcBorders>
              <w:top w:val="nil"/>
              <w:left w:val="nil"/>
              <w:bottom w:val="nil"/>
              <w:right w:val="nil"/>
            </w:tcBorders>
            <w:shd w:val="clear" w:color="auto" w:fill="auto"/>
            <w:noWrap/>
            <w:vAlign w:val="center"/>
            <w:hideMark/>
          </w:tcPr>
          <w:p w14:paraId="65203D9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0,435</w:t>
            </w:r>
          </w:p>
        </w:tc>
        <w:tc>
          <w:tcPr>
            <w:tcW w:w="1167" w:type="dxa"/>
            <w:tcBorders>
              <w:top w:val="nil"/>
              <w:left w:val="nil"/>
              <w:bottom w:val="nil"/>
              <w:right w:val="nil"/>
            </w:tcBorders>
            <w:shd w:val="clear" w:color="auto" w:fill="auto"/>
            <w:noWrap/>
            <w:vAlign w:val="center"/>
            <w:hideMark/>
          </w:tcPr>
          <w:p w14:paraId="20E8F69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-1,581</w:t>
            </w:r>
          </w:p>
        </w:tc>
        <w:tc>
          <w:tcPr>
            <w:tcW w:w="1281" w:type="dxa"/>
            <w:tcBorders>
              <w:top w:val="nil"/>
              <w:left w:val="nil"/>
              <w:bottom w:val="nil"/>
              <w:right w:val="nil"/>
            </w:tcBorders>
            <w:shd w:val="clear" w:color="auto" w:fill="auto"/>
            <w:noWrap/>
            <w:vAlign w:val="center"/>
            <w:hideMark/>
          </w:tcPr>
          <w:p w14:paraId="24490C6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0,649</w:t>
            </w:r>
          </w:p>
        </w:tc>
        <w:tc>
          <w:tcPr>
            <w:tcW w:w="1024" w:type="dxa"/>
            <w:tcBorders>
              <w:top w:val="nil"/>
              <w:left w:val="nil"/>
              <w:bottom w:val="nil"/>
              <w:right w:val="nil"/>
            </w:tcBorders>
            <w:shd w:val="clear" w:color="auto" w:fill="auto"/>
            <w:noWrap/>
            <w:vAlign w:val="center"/>
            <w:hideMark/>
          </w:tcPr>
          <w:p w14:paraId="216D5D1A"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17,098</w:t>
            </w:r>
          </w:p>
        </w:tc>
        <w:tc>
          <w:tcPr>
            <w:tcW w:w="1138" w:type="dxa"/>
            <w:tcBorders>
              <w:top w:val="nil"/>
              <w:left w:val="nil"/>
              <w:bottom w:val="nil"/>
              <w:right w:val="nil"/>
            </w:tcBorders>
            <w:shd w:val="clear" w:color="auto" w:fill="auto"/>
            <w:noWrap/>
            <w:vAlign w:val="center"/>
            <w:hideMark/>
          </w:tcPr>
          <w:p w14:paraId="7B998330"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r>
      <w:tr w:rsidR="0099770F" w:rsidRPr="003B5783" w14:paraId="177F4F4E" w14:textId="77777777" w:rsidTr="00633129">
        <w:trPr>
          <w:trHeight w:val="180"/>
        </w:trPr>
        <w:tc>
          <w:tcPr>
            <w:tcW w:w="566" w:type="dxa"/>
            <w:tcBorders>
              <w:top w:val="nil"/>
              <w:left w:val="nil"/>
              <w:bottom w:val="nil"/>
              <w:right w:val="nil"/>
            </w:tcBorders>
            <w:shd w:val="clear" w:color="auto" w:fill="auto"/>
            <w:noWrap/>
            <w:vAlign w:val="center"/>
            <w:hideMark/>
          </w:tcPr>
          <w:p w14:paraId="0BC152C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RJ</w:t>
            </w:r>
          </w:p>
        </w:tc>
        <w:tc>
          <w:tcPr>
            <w:tcW w:w="1009" w:type="dxa"/>
            <w:tcBorders>
              <w:top w:val="nil"/>
              <w:left w:val="nil"/>
              <w:bottom w:val="nil"/>
              <w:right w:val="nil"/>
            </w:tcBorders>
            <w:shd w:val="clear" w:color="auto" w:fill="auto"/>
            <w:noWrap/>
            <w:vAlign w:val="center"/>
            <w:hideMark/>
          </w:tcPr>
          <w:p w14:paraId="12915EF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-41,375</w:t>
            </w:r>
          </w:p>
        </w:tc>
        <w:tc>
          <w:tcPr>
            <w:tcW w:w="1122" w:type="dxa"/>
            <w:tcBorders>
              <w:top w:val="nil"/>
              <w:left w:val="nil"/>
              <w:bottom w:val="nil"/>
              <w:right w:val="nil"/>
            </w:tcBorders>
            <w:shd w:val="clear" w:color="auto" w:fill="auto"/>
            <w:noWrap/>
            <w:vAlign w:val="center"/>
            <w:hideMark/>
          </w:tcPr>
          <w:p w14:paraId="6DF58FF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0,695</w:t>
            </w:r>
          </w:p>
        </w:tc>
        <w:tc>
          <w:tcPr>
            <w:tcW w:w="1523" w:type="dxa"/>
            <w:tcBorders>
              <w:top w:val="nil"/>
              <w:left w:val="nil"/>
              <w:bottom w:val="nil"/>
              <w:right w:val="nil"/>
            </w:tcBorders>
            <w:shd w:val="clear" w:color="auto" w:fill="auto"/>
            <w:noWrap/>
            <w:vAlign w:val="center"/>
            <w:hideMark/>
          </w:tcPr>
          <w:p w14:paraId="00A1975C" w14:textId="77777777" w:rsidR="0099770F" w:rsidRPr="00797AED" w:rsidRDefault="0099770F" w:rsidP="00633129">
            <w:pPr>
              <w:spacing w:after="0" w:line="240" w:lineRule="auto"/>
              <w:jc w:val="center"/>
              <w:rPr>
                <w:rFonts w:ascii="Calibri" w:eastAsia="Times New Roman" w:hAnsi="Calibri" w:cs="Calibri"/>
                <w:color w:val="000000"/>
                <w:sz w:val="18"/>
                <w:szCs w:val="18"/>
                <w:lang w:val="en-US"/>
              </w:rPr>
            </w:pPr>
            <w:r w:rsidRPr="00797AED">
              <w:rPr>
                <w:rFonts w:ascii="Calibri" w:eastAsia="Times New Roman" w:hAnsi="Calibri" w:cs="Calibri"/>
                <w:color w:val="000000"/>
                <w:sz w:val="18"/>
                <w:szCs w:val="18"/>
                <w:lang w:val="en-US"/>
              </w:rPr>
              <w:t>-8,193</w:t>
            </w:r>
          </w:p>
        </w:tc>
        <w:tc>
          <w:tcPr>
            <w:tcW w:w="1636" w:type="dxa"/>
            <w:tcBorders>
              <w:top w:val="nil"/>
              <w:left w:val="nil"/>
              <w:bottom w:val="nil"/>
              <w:right w:val="nil"/>
            </w:tcBorders>
            <w:shd w:val="clear" w:color="auto" w:fill="auto"/>
            <w:noWrap/>
            <w:vAlign w:val="center"/>
            <w:hideMark/>
          </w:tcPr>
          <w:p w14:paraId="52384B9C" w14:textId="77777777" w:rsidR="0099770F" w:rsidRPr="00797AED" w:rsidRDefault="0099770F" w:rsidP="00633129">
            <w:pPr>
              <w:spacing w:after="0" w:line="240" w:lineRule="auto"/>
              <w:jc w:val="center"/>
              <w:rPr>
                <w:rFonts w:ascii="Calibri" w:eastAsia="Times New Roman" w:hAnsi="Calibri" w:cs="Calibri"/>
                <w:color w:val="000000"/>
                <w:sz w:val="18"/>
                <w:szCs w:val="18"/>
                <w:lang w:val="en-US"/>
              </w:rPr>
            </w:pPr>
            <w:r w:rsidRPr="00797AED">
              <w:rPr>
                <w:rFonts w:ascii="Calibri" w:eastAsia="Times New Roman" w:hAnsi="Calibri" w:cs="Calibri"/>
                <w:color w:val="000000"/>
                <w:sz w:val="18"/>
                <w:szCs w:val="18"/>
                <w:lang w:val="en-US"/>
              </w:rPr>
              <w:t>0,484</w:t>
            </w:r>
          </w:p>
        </w:tc>
        <w:tc>
          <w:tcPr>
            <w:tcW w:w="1167" w:type="dxa"/>
            <w:tcBorders>
              <w:top w:val="nil"/>
              <w:left w:val="nil"/>
              <w:bottom w:val="nil"/>
              <w:right w:val="nil"/>
            </w:tcBorders>
            <w:shd w:val="clear" w:color="auto" w:fill="auto"/>
            <w:noWrap/>
            <w:vAlign w:val="center"/>
            <w:hideMark/>
          </w:tcPr>
          <w:p w14:paraId="54B97970" w14:textId="77777777" w:rsidR="0099770F" w:rsidRPr="00981E17" w:rsidRDefault="0099770F" w:rsidP="00633129">
            <w:pPr>
              <w:spacing w:after="0" w:line="240" w:lineRule="auto"/>
              <w:jc w:val="center"/>
              <w:rPr>
                <w:rFonts w:ascii="Calibri" w:eastAsia="Times New Roman" w:hAnsi="Calibri" w:cs="Calibri"/>
                <w:color w:val="00B050"/>
                <w:sz w:val="18"/>
                <w:szCs w:val="18"/>
                <w:lang w:val="en-US"/>
              </w:rPr>
            </w:pPr>
            <w:r w:rsidRPr="00981E17">
              <w:rPr>
                <w:rFonts w:ascii="Calibri" w:eastAsia="Times New Roman" w:hAnsi="Calibri" w:cs="Calibri"/>
                <w:color w:val="00B050"/>
                <w:sz w:val="18"/>
                <w:szCs w:val="18"/>
                <w:lang w:val="en-US"/>
              </w:rPr>
              <w:t>-10,058</w:t>
            </w:r>
          </w:p>
        </w:tc>
        <w:tc>
          <w:tcPr>
            <w:tcW w:w="1281" w:type="dxa"/>
            <w:tcBorders>
              <w:top w:val="nil"/>
              <w:left w:val="nil"/>
              <w:bottom w:val="nil"/>
              <w:right w:val="nil"/>
            </w:tcBorders>
            <w:shd w:val="clear" w:color="auto" w:fill="auto"/>
            <w:noWrap/>
            <w:vAlign w:val="center"/>
            <w:hideMark/>
          </w:tcPr>
          <w:p w14:paraId="6A7493DA" w14:textId="77777777" w:rsidR="0099770F" w:rsidRPr="00981E17" w:rsidRDefault="0099770F" w:rsidP="00633129">
            <w:pPr>
              <w:spacing w:after="0" w:line="240" w:lineRule="auto"/>
              <w:jc w:val="center"/>
              <w:rPr>
                <w:rFonts w:ascii="Calibri" w:eastAsia="Times New Roman" w:hAnsi="Calibri" w:cs="Calibri"/>
                <w:color w:val="00B050"/>
                <w:sz w:val="18"/>
                <w:szCs w:val="18"/>
                <w:lang w:val="en-US"/>
              </w:rPr>
            </w:pPr>
            <w:r w:rsidRPr="00981E17">
              <w:rPr>
                <w:rFonts w:ascii="Calibri" w:eastAsia="Times New Roman" w:hAnsi="Calibri" w:cs="Calibri"/>
                <w:color w:val="00B050"/>
                <w:sz w:val="18"/>
                <w:szCs w:val="18"/>
                <w:lang w:val="en-US"/>
              </w:rPr>
              <w:t>0,022</w:t>
            </w:r>
          </w:p>
        </w:tc>
        <w:tc>
          <w:tcPr>
            <w:tcW w:w="1024" w:type="dxa"/>
            <w:tcBorders>
              <w:top w:val="nil"/>
              <w:left w:val="nil"/>
              <w:bottom w:val="nil"/>
              <w:right w:val="nil"/>
            </w:tcBorders>
            <w:shd w:val="clear" w:color="auto" w:fill="auto"/>
            <w:noWrap/>
            <w:vAlign w:val="center"/>
            <w:hideMark/>
          </w:tcPr>
          <w:p w14:paraId="15590E0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-5,89</w:t>
            </w:r>
          </w:p>
        </w:tc>
        <w:tc>
          <w:tcPr>
            <w:tcW w:w="1138" w:type="dxa"/>
            <w:tcBorders>
              <w:top w:val="nil"/>
              <w:left w:val="nil"/>
              <w:bottom w:val="nil"/>
              <w:right w:val="nil"/>
            </w:tcBorders>
            <w:shd w:val="clear" w:color="auto" w:fill="auto"/>
            <w:noWrap/>
            <w:vAlign w:val="center"/>
            <w:hideMark/>
          </w:tcPr>
          <w:p w14:paraId="147CEC3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0,688</w:t>
            </w:r>
          </w:p>
        </w:tc>
      </w:tr>
      <w:tr w:rsidR="0099770F" w:rsidRPr="003B5783" w14:paraId="1FF57C18" w14:textId="77777777" w:rsidTr="00633129">
        <w:trPr>
          <w:trHeight w:val="180"/>
        </w:trPr>
        <w:tc>
          <w:tcPr>
            <w:tcW w:w="566" w:type="dxa"/>
            <w:tcBorders>
              <w:top w:val="nil"/>
              <w:left w:val="nil"/>
              <w:bottom w:val="nil"/>
              <w:right w:val="nil"/>
            </w:tcBorders>
            <w:shd w:val="clear" w:color="auto" w:fill="auto"/>
            <w:noWrap/>
            <w:vAlign w:val="center"/>
            <w:hideMark/>
          </w:tcPr>
          <w:p w14:paraId="0A121BD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RO</w:t>
            </w:r>
          </w:p>
        </w:tc>
        <w:tc>
          <w:tcPr>
            <w:tcW w:w="1009" w:type="dxa"/>
            <w:tcBorders>
              <w:top w:val="nil"/>
              <w:left w:val="nil"/>
              <w:bottom w:val="nil"/>
              <w:right w:val="nil"/>
            </w:tcBorders>
            <w:shd w:val="clear" w:color="auto" w:fill="auto"/>
            <w:noWrap/>
            <w:vAlign w:val="center"/>
            <w:hideMark/>
          </w:tcPr>
          <w:p w14:paraId="73C2929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-16,819</w:t>
            </w:r>
          </w:p>
        </w:tc>
        <w:tc>
          <w:tcPr>
            <w:tcW w:w="1122" w:type="dxa"/>
            <w:tcBorders>
              <w:top w:val="nil"/>
              <w:left w:val="nil"/>
              <w:bottom w:val="nil"/>
              <w:right w:val="nil"/>
            </w:tcBorders>
            <w:shd w:val="clear" w:color="auto" w:fill="auto"/>
            <w:noWrap/>
            <w:vAlign w:val="center"/>
            <w:hideMark/>
          </w:tcPr>
          <w:p w14:paraId="0A7DBCD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0,648</w:t>
            </w:r>
          </w:p>
        </w:tc>
        <w:tc>
          <w:tcPr>
            <w:tcW w:w="1523" w:type="dxa"/>
            <w:tcBorders>
              <w:top w:val="nil"/>
              <w:left w:val="nil"/>
              <w:bottom w:val="nil"/>
              <w:right w:val="nil"/>
            </w:tcBorders>
            <w:shd w:val="clear" w:color="auto" w:fill="auto"/>
            <w:noWrap/>
            <w:vAlign w:val="center"/>
            <w:hideMark/>
          </w:tcPr>
          <w:p w14:paraId="14C32B40"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-35,118</w:t>
            </w:r>
          </w:p>
        </w:tc>
        <w:tc>
          <w:tcPr>
            <w:tcW w:w="1636" w:type="dxa"/>
            <w:tcBorders>
              <w:top w:val="nil"/>
              <w:left w:val="nil"/>
              <w:bottom w:val="nil"/>
              <w:right w:val="nil"/>
            </w:tcBorders>
            <w:shd w:val="clear" w:color="auto" w:fill="auto"/>
            <w:noWrap/>
            <w:vAlign w:val="center"/>
            <w:hideMark/>
          </w:tcPr>
          <w:p w14:paraId="1E5EFC3C"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0,041</w:t>
            </w:r>
          </w:p>
        </w:tc>
        <w:tc>
          <w:tcPr>
            <w:tcW w:w="1167" w:type="dxa"/>
            <w:tcBorders>
              <w:top w:val="nil"/>
              <w:left w:val="nil"/>
              <w:bottom w:val="nil"/>
              <w:right w:val="nil"/>
            </w:tcBorders>
            <w:shd w:val="clear" w:color="auto" w:fill="auto"/>
            <w:noWrap/>
            <w:vAlign w:val="center"/>
            <w:hideMark/>
          </w:tcPr>
          <w:p w14:paraId="3CFF564D"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-5,889</w:t>
            </w:r>
          </w:p>
        </w:tc>
        <w:tc>
          <w:tcPr>
            <w:tcW w:w="1281" w:type="dxa"/>
            <w:tcBorders>
              <w:top w:val="nil"/>
              <w:left w:val="nil"/>
              <w:bottom w:val="nil"/>
              <w:right w:val="nil"/>
            </w:tcBorders>
            <w:shd w:val="clear" w:color="auto" w:fill="auto"/>
            <w:noWrap/>
            <w:vAlign w:val="center"/>
            <w:hideMark/>
          </w:tcPr>
          <w:p w14:paraId="2A9E8CE9"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0,015</w:t>
            </w:r>
          </w:p>
        </w:tc>
        <w:tc>
          <w:tcPr>
            <w:tcW w:w="1024" w:type="dxa"/>
            <w:tcBorders>
              <w:top w:val="nil"/>
              <w:left w:val="nil"/>
              <w:bottom w:val="nil"/>
              <w:right w:val="nil"/>
            </w:tcBorders>
            <w:shd w:val="clear" w:color="auto" w:fill="auto"/>
            <w:noWrap/>
            <w:vAlign w:val="center"/>
            <w:hideMark/>
          </w:tcPr>
          <w:p w14:paraId="1F907E52" w14:textId="77777777" w:rsidR="0099770F" w:rsidRPr="00CB67A1" w:rsidRDefault="0099770F" w:rsidP="00633129">
            <w:pPr>
              <w:spacing w:after="0" w:line="240" w:lineRule="auto"/>
              <w:jc w:val="center"/>
              <w:rPr>
                <w:rFonts w:ascii="Calibri" w:eastAsia="Times New Roman" w:hAnsi="Calibri" w:cs="Calibri"/>
                <w:color w:val="FF0000"/>
                <w:sz w:val="18"/>
                <w:szCs w:val="18"/>
                <w:lang w:val="en-US"/>
              </w:rPr>
            </w:pPr>
            <w:r w:rsidRPr="00CB67A1">
              <w:rPr>
                <w:rFonts w:ascii="Calibri" w:eastAsia="Times New Roman" w:hAnsi="Calibri" w:cs="Calibri"/>
                <w:color w:val="FF0000"/>
                <w:sz w:val="18"/>
                <w:szCs w:val="18"/>
                <w:lang w:val="en-US"/>
              </w:rPr>
              <w:t>11,204</w:t>
            </w:r>
          </w:p>
        </w:tc>
        <w:tc>
          <w:tcPr>
            <w:tcW w:w="1138" w:type="dxa"/>
            <w:tcBorders>
              <w:top w:val="nil"/>
              <w:left w:val="nil"/>
              <w:bottom w:val="nil"/>
              <w:right w:val="nil"/>
            </w:tcBorders>
            <w:shd w:val="clear" w:color="auto" w:fill="auto"/>
            <w:noWrap/>
            <w:vAlign w:val="center"/>
            <w:hideMark/>
          </w:tcPr>
          <w:p w14:paraId="054AC1B2" w14:textId="77777777" w:rsidR="0099770F" w:rsidRPr="00CB67A1" w:rsidRDefault="0099770F" w:rsidP="00633129">
            <w:pPr>
              <w:spacing w:after="0" w:line="240" w:lineRule="auto"/>
              <w:jc w:val="center"/>
              <w:rPr>
                <w:rFonts w:ascii="Calibri" w:eastAsia="Times New Roman" w:hAnsi="Calibri" w:cs="Calibri"/>
                <w:color w:val="FF0000"/>
                <w:sz w:val="18"/>
                <w:szCs w:val="18"/>
                <w:lang w:val="en-US"/>
              </w:rPr>
            </w:pPr>
            <w:r w:rsidRPr="00CB67A1">
              <w:rPr>
                <w:rFonts w:ascii="Calibri" w:eastAsia="Times New Roman" w:hAnsi="Calibri" w:cs="Calibri"/>
                <w:color w:val="FF0000"/>
                <w:sz w:val="18"/>
                <w:szCs w:val="18"/>
                <w:lang w:val="en-US"/>
              </w:rPr>
              <w:t>0,029</w:t>
            </w:r>
          </w:p>
        </w:tc>
      </w:tr>
      <w:tr w:rsidR="0099770F" w:rsidRPr="003B5783" w14:paraId="65FFFC75" w14:textId="77777777" w:rsidTr="00633129">
        <w:trPr>
          <w:trHeight w:val="180"/>
        </w:trPr>
        <w:tc>
          <w:tcPr>
            <w:tcW w:w="566" w:type="dxa"/>
            <w:tcBorders>
              <w:top w:val="nil"/>
              <w:left w:val="nil"/>
              <w:bottom w:val="nil"/>
              <w:right w:val="nil"/>
            </w:tcBorders>
            <w:shd w:val="clear" w:color="auto" w:fill="auto"/>
            <w:noWrap/>
            <w:vAlign w:val="center"/>
            <w:hideMark/>
          </w:tcPr>
          <w:p w14:paraId="27A6619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RS</w:t>
            </w:r>
          </w:p>
        </w:tc>
        <w:tc>
          <w:tcPr>
            <w:tcW w:w="1009" w:type="dxa"/>
            <w:tcBorders>
              <w:top w:val="nil"/>
              <w:left w:val="nil"/>
              <w:bottom w:val="nil"/>
              <w:right w:val="nil"/>
            </w:tcBorders>
            <w:shd w:val="clear" w:color="auto" w:fill="auto"/>
            <w:noWrap/>
            <w:vAlign w:val="center"/>
            <w:hideMark/>
          </w:tcPr>
          <w:p w14:paraId="34F997A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16,241</w:t>
            </w:r>
          </w:p>
        </w:tc>
        <w:tc>
          <w:tcPr>
            <w:tcW w:w="1122" w:type="dxa"/>
            <w:tcBorders>
              <w:top w:val="nil"/>
              <w:left w:val="nil"/>
              <w:bottom w:val="nil"/>
              <w:right w:val="nil"/>
            </w:tcBorders>
            <w:shd w:val="clear" w:color="auto" w:fill="auto"/>
            <w:noWrap/>
            <w:vAlign w:val="center"/>
            <w:hideMark/>
          </w:tcPr>
          <w:p w14:paraId="663C6A7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0,774</w:t>
            </w:r>
          </w:p>
        </w:tc>
        <w:tc>
          <w:tcPr>
            <w:tcW w:w="1523" w:type="dxa"/>
            <w:tcBorders>
              <w:top w:val="nil"/>
              <w:left w:val="nil"/>
              <w:bottom w:val="nil"/>
              <w:right w:val="nil"/>
            </w:tcBorders>
            <w:shd w:val="clear" w:color="auto" w:fill="auto"/>
            <w:noWrap/>
            <w:vAlign w:val="center"/>
            <w:hideMark/>
          </w:tcPr>
          <w:p w14:paraId="36CD2DEC"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-33,177</w:t>
            </w:r>
          </w:p>
        </w:tc>
        <w:tc>
          <w:tcPr>
            <w:tcW w:w="1636" w:type="dxa"/>
            <w:tcBorders>
              <w:top w:val="nil"/>
              <w:left w:val="nil"/>
              <w:bottom w:val="nil"/>
              <w:right w:val="nil"/>
            </w:tcBorders>
            <w:shd w:val="clear" w:color="auto" w:fill="auto"/>
            <w:noWrap/>
            <w:vAlign w:val="center"/>
            <w:hideMark/>
          </w:tcPr>
          <w:p w14:paraId="786796A4"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0,004</w:t>
            </w:r>
          </w:p>
        </w:tc>
        <w:tc>
          <w:tcPr>
            <w:tcW w:w="1167" w:type="dxa"/>
            <w:tcBorders>
              <w:top w:val="nil"/>
              <w:left w:val="nil"/>
              <w:bottom w:val="nil"/>
              <w:right w:val="nil"/>
            </w:tcBorders>
            <w:shd w:val="clear" w:color="auto" w:fill="auto"/>
            <w:noWrap/>
            <w:vAlign w:val="center"/>
            <w:hideMark/>
          </w:tcPr>
          <w:p w14:paraId="390AFE99"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-7,988</w:t>
            </w:r>
          </w:p>
        </w:tc>
        <w:tc>
          <w:tcPr>
            <w:tcW w:w="1281" w:type="dxa"/>
            <w:tcBorders>
              <w:top w:val="nil"/>
              <w:left w:val="nil"/>
              <w:bottom w:val="nil"/>
              <w:right w:val="nil"/>
            </w:tcBorders>
            <w:shd w:val="clear" w:color="auto" w:fill="auto"/>
            <w:noWrap/>
            <w:vAlign w:val="center"/>
            <w:hideMark/>
          </w:tcPr>
          <w:p w14:paraId="75D61882"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0,031</w:t>
            </w:r>
          </w:p>
        </w:tc>
        <w:tc>
          <w:tcPr>
            <w:tcW w:w="1024" w:type="dxa"/>
            <w:tcBorders>
              <w:top w:val="nil"/>
              <w:left w:val="nil"/>
              <w:bottom w:val="nil"/>
              <w:right w:val="nil"/>
            </w:tcBorders>
            <w:shd w:val="clear" w:color="auto" w:fill="auto"/>
            <w:noWrap/>
            <w:vAlign w:val="center"/>
            <w:hideMark/>
          </w:tcPr>
          <w:p w14:paraId="317726C4"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8,883</w:t>
            </w:r>
          </w:p>
        </w:tc>
        <w:tc>
          <w:tcPr>
            <w:tcW w:w="1138" w:type="dxa"/>
            <w:tcBorders>
              <w:top w:val="nil"/>
              <w:left w:val="nil"/>
              <w:bottom w:val="nil"/>
              <w:right w:val="nil"/>
            </w:tcBorders>
            <w:shd w:val="clear" w:color="auto" w:fill="auto"/>
            <w:noWrap/>
            <w:vAlign w:val="center"/>
            <w:hideMark/>
          </w:tcPr>
          <w:p w14:paraId="43170AA4"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0,012</w:t>
            </w:r>
          </w:p>
        </w:tc>
      </w:tr>
      <w:tr w:rsidR="0099770F" w:rsidRPr="003B5783" w14:paraId="2815382C" w14:textId="77777777" w:rsidTr="00633129">
        <w:trPr>
          <w:trHeight w:val="180"/>
        </w:trPr>
        <w:tc>
          <w:tcPr>
            <w:tcW w:w="566" w:type="dxa"/>
            <w:tcBorders>
              <w:top w:val="nil"/>
              <w:left w:val="nil"/>
              <w:bottom w:val="nil"/>
              <w:right w:val="nil"/>
            </w:tcBorders>
            <w:shd w:val="clear" w:color="auto" w:fill="auto"/>
            <w:noWrap/>
            <w:vAlign w:val="center"/>
            <w:hideMark/>
          </w:tcPr>
          <w:p w14:paraId="28850E4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SC</w:t>
            </w:r>
          </w:p>
        </w:tc>
        <w:tc>
          <w:tcPr>
            <w:tcW w:w="1009" w:type="dxa"/>
            <w:tcBorders>
              <w:top w:val="nil"/>
              <w:left w:val="nil"/>
              <w:bottom w:val="nil"/>
              <w:right w:val="nil"/>
            </w:tcBorders>
            <w:shd w:val="clear" w:color="auto" w:fill="auto"/>
            <w:noWrap/>
            <w:vAlign w:val="center"/>
            <w:hideMark/>
          </w:tcPr>
          <w:p w14:paraId="1381008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-37,585</w:t>
            </w:r>
          </w:p>
        </w:tc>
        <w:tc>
          <w:tcPr>
            <w:tcW w:w="1122" w:type="dxa"/>
            <w:tcBorders>
              <w:top w:val="nil"/>
              <w:left w:val="nil"/>
              <w:bottom w:val="nil"/>
              <w:right w:val="nil"/>
            </w:tcBorders>
            <w:shd w:val="clear" w:color="auto" w:fill="auto"/>
            <w:noWrap/>
            <w:vAlign w:val="center"/>
            <w:hideMark/>
          </w:tcPr>
          <w:p w14:paraId="56FEDD6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0,359</w:t>
            </w:r>
          </w:p>
        </w:tc>
        <w:tc>
          <w:tcPr>
            <w:tcW w:w="1523" w:type="dxa"/>
            <w:tcBorders>
              <w:top w:val="nil"/>
              <w:left w:val="nil"/>
              <w:bottom w:val="nil"/>
              <w:right w:val="nil"/>
            </w:tcBorders>
            <w:shd w:val="clear" w:color="auto" w:fill="auto"/>
            <w:noWrap/>
            <w:vAlign w:val="center"/>
            <w:hideMark/>
          </w:tcPr>
          <w:p w14:paraId="0A8019B3"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-25,546</w:t>
            </w:r>
          </w:p>
        </w:tc>
        <w:tc>
          <w:tcPr>
            <w:tcW w:w="1636" w:type="dxa"/>
            <w:tcBorders>
              <w:top w:val="nil"/>
              <w:left w:val="nil"/>
              <w:bottom w:val="nil"/>
              <w:right w:val="nil"/>
            </w:tcBorders>
            <w:shd w:val="clear" w:color="auto" w:fill="auto"/>
            <w:noWrap/>
            <w:vAlign w:val="center"/>
            <w:hideMark/>
          </w:tcPr>
          <w:p w14:paraId="6F66AFBB"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0,019</w:t>
            </w:r>
          </w:p>
        </w:tc>
        <w:tc>
          <w:tcPr>
            <w:tcW w:w="1167" w:type="dxa"/>
            <w:tcBorders>
              <w:top w:val="nil"/>
              <w:left w:val="nil"/>
              <w:bottom w:val="nil"/>
              <w:right w:val="nil"/>
            </w:tcBorders>
            <w:shd w:val="clear" w:color="auto" w:fill="auto"/>
            <w:noWrap/>
            <w:vAlign w:val="center"/>
            <w:hideMark/>
          </w:tcPr>
          <w:p w14:paraId="5170929E"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-10,866</w:t>
            </w:r>
          </w:p>
        </w:tc>
        <w:tc>
          <w:tcPr>
            <w:tcW w:w="1281" w:type="dxa"/>
            <w:tcBorders>
              <w:top w:val="nil"/>
              <w:left w:val="nil"/>
              <w:bottom w:val="nil"/>
              <w:right w:val="nil"/>
            </w:tcBorders>
            <w:shd w:val="clear" w:color="auto" w:fill="auto"/>
            <w:noWrap/>
            <w:vAlign w:val="center"/>
            <w:hideMark/>
          </w:tcPr>
          <w:p w14:paraId="66B590A3"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0,018</w:t>
            </w:r>
          </w:p>
        </w:tc>
        <w:tc>
          <w:tcPr>
            <w:tcW w:w="1024" w:type="dxa"/>
            <w:tcBorders>
              <w:top w:val="nil"/>
              <w:left w:val="nil"/>
              <w:bottom w:val="nil"/>
              <w:right w:val="nil"/>
            </w:tcBorders>
            <w:shd w:val="clear" w:color="auto" w:fill="auto"/>
            <w:noWrap/>
            <w:vAlign w:val="center"/>
            <w:hideMark/>
          </w:tcPr>
          <w:p w14:paraId="5E7AA3DD"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14,019</w:t>
            </w:r>
          </w:p>
        </w:tc>
        <w:tc>
          <w:tcPr>
            <w:tcW w:w="1138" w:type="dxa"/>
            <w:tcBorders>
              <w:top w:val="nil"/>
              <w:left w:val="nil"/>
              <w:bottom w:val="nil"/>
              <w:right w:val="nil"/>
            </w:tcBorders>
            <w:shd w:val="clear" w:color="auto" w:fill="auto"/>
            <w:noWrap/>
            <w:vAlign w:val="center"/>
            <w:hideMark/>
          </w:tcPr>
          <w:p w14:paraId="21ED4FA5"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0,001</w:t>
            </w:r>
          </w:p>
        </w:tc>
      </w:tr>
      <w:tr w:rsidR="0099770F" w:rsidRPr="003B5783" w14:paraId="22305EAC" w14:textId="77777777" w:rsidTr="00633129">
        <w:trPr>
          <w:trHeight w:val="180"/>
        </w:trPr>
        <w:tc>
          <w:tcPr>
            <w:tcW w:w="566" w:type="dxa"/>
            <w:tcBorders>
              <w:top w:val="nil"/>
              <w:left w:val="nil"/>
              <w:bottom w:val="nil"/>
              <w:right w:val="nil"/>
            </w:tcBorders>
            <w:shd w:val="clear" w:color="auto" w:fill="auto"/>
            <w:noWrap/>
            <w:vAlign w:val="center"/>
            <w:hideMark/>
          </w:tcPr>
          <w:p w14:paraId="5118B18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SP</w:t>
            </w:r>
          </w:p>
        </w:tc>
        <w:tc>
          <w:tcPr>
            <w:tcW w:w="1009" w:type="dxa"/>
            <w:tcBorders>
              <w:top w:val="nil"/>
              <w:left w:val="nil"/>
              <w:bottom w:val="nil"/>
              <w:right w:val="nil"/>
            </w:tcBorders>
            <w:shd w:val="clear" w:color="auto" w:fill="auto"/>
            <w:noWrap/>
            <w:vAlign w:val="center"/>
            <w:hideMark/>
          </w:tcPr>
          <w:p w14:paraId="3B601F3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104,644</w:t>
            </w:r>
          </w:p>
        </w:tc>
        <w:tc>
          <w:tcPr>
            <w:tcW w:w="1122" w:type="dxa"/>
            <w:tcBorders>
              <w:top w:val="nil"/>
              <w:left w:val="nil"/>
              <w:bottom w:val="nil"/>
              <w:right w:val="nil"/>
            </w:tcBorders>
            <w:shd w:val="clear" w:color="auto" w:fill="auto"/>
            <w:noWrap/>
            <w:vAlign w:val="center"/>
            <w:hideMark/>
          </w:tcPr>
          <w:p w14:paraId="719AC5F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0,254</w:t>
            </w:r>
          </w:p>
        </w:tc>
        <w:tc>
          <w:tcPr>
            <w:tcW w:w="1523" w:type="dxa"/>
            <w:tcBorders>
              <w:top w:val="nil"/>
              <w:left w:val="nil"/>
              <w:bottom w:val="nil"/>
              <w:right w:val="nil"/>
            </w:tcBorders>
            <w:shd w:val="clear" w:color="auto" w:fill="auto"/>
            <w:noWrap/>
            <w:vAlign w:val="center"/>
            <w:hideMark/>
          </w:tcPr>
          <w:p w14:paraId="59A9830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-28,75</w:t>
            </w:r>
          </w:p>
        </w:tc>
        <w:tc>
          <w:tcPr>
            <w:tcW w:w="1636" w:type="dxa"/>
            <w:tcBorders>
              <w:top w:val="nil"/>
              <w:left w:val="nil"/>
              <w:bottom w:val="nil"/>
              <w:right w:val="nil"/>
            </w:tcBorders>
            <w:shd w:val="clear" w:color="auto" w:fill="auto"/>
            <w:noWrap/>
            <w:vAlign w:val="center"/>
            <w:hideMark/>
          </w:tcPr>
          <w:p w14:paraId="5714656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0,305</w:t>
            </w:r>
          </w:p>
        </w:tc>
        <w:tc>
          <w:tcPr>
            <w:tcW w:w="1167" w:type="dxa"/>
            <w:tcBorders>
              <w:top w:val="nil"/>
              <w:left w:val="nil"/>
              <w:bottom w:val="nil"/>
              <w:right w:val="nil"/>
            </w:tcBorders>
            <w:shd w:val="clear" w:color="auto" w:fill="auto"/>
            <w:noWrap/>
            <w:vAlign w:val="center"/>
            <w:hideMark/>
          </w:tcPr>
          <w:p w14:paraId="448313A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-6,426</w:t>
            </w:r>
          </w:p>
        </w:tc>
        <w:tc>
          <w:tcPr>
            <w:tcW w:w="1281" w:type="dxa"/>
            <w:tcBorders>
              <w:top w:val="nil"/>
              <w:left w:val="nil"/>
              <w:bottom w:val="nil"/>
              <w:right w:val="nil"/>
            </w:tcBorders>
            <w:shd w:val="clear" w:color="auto" w:fill="auto"/>
            <w:noWrap/>
            <w:vAlign w:val="center"/>
            <w:hideMark/>
          </w:tcPr>
          <w:p w14:paraId="7395FBC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0,419</w:t>
            </w:r>
          </w:p>
        </w:tc>
        <w:tc>
          <w:tcPr>
            <w:tcW w:w="1024" w:type="dxa"/>
            <w:tcBorders>
              <w:top w:val="nil"/>
              <w:left w:val="nil"/>
              <w:bottom w:val="nil"/>
              <w:right w:val="nil"/>
            </w:tcBorders>
            <w:shd w:val="clear" w:color="auto" w:fill="auto"/>
            <w:noWrap/>
            <w:vAlign w:val="center"/>
            <w:hideMark/>
          </w:tcPr>
          <w:p w14:paraId="5BE9FDA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13,691</w:t>
            </w:r>
          </w:p>
        </w:tc>
        <w:tc>
          <w:tcPr>
            <w:tcW w:w="1138" w:type="dxa"/>
            <w:tcBorders>
              <w:top w:val="nil"/>
              <w:left w:val="nil"/>
              <w:bottom w:val="nil"/>
              <w:right w:val="nil"/>
            </w:tcBorders>
            <w:shd w:val="clear" w:color="auto" w:fill="auto"/>
            <w:noWrap/>
            <w:vAlign w:val="center"/>
            <w:hideMark/>
          </w:tcPr>
          <w:p w14:paraId="3AB3E3A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0,063</w:t>
            </w:r>
          </w:p>
        </w:tc>
      </w:tr>
      <w:tr w:rsidR="0099770F" w:rsidRPr="003B5783" w14:paraId="1215DF78" w14:textId="77777777" w:rsidTr="00633129">
        <w:trPr>
          <w:trHeight w:val="195"/>
        </w:trPr>
        <w:tc>
          <w:tcPr>
            <w:tcW w:w="566" w:type="dxa"/>
            <w:tcBorders>
              <w:top w:val="nil"/>
              <w:left w:val="nil"/>
              <w:bottom w:val="nil"/>
              <w:right w:val="nil"/>
            </w:tcBorders>
            <w:shd w:val="clear" w:color="auto" w:fill="auto"/>
            <w:noWrap/>
            <w:vAlign w:val="center"/>
            <w:hideMark/>
          </w:tcPr>
          <w:p w14:paraId="34ACB56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p>
        </w:tc>
        <w:tc>
          <w:tcPr>
            <w:tcW w:w="1009" w:type="dxa"/>
            <w:tcBorders>
              <w:top w:val="nil"/>
              <w:left w:val="nil"/>
              <w:bottom w:val="nil"/>
              <w:right w:val="nil"/>
            </w:tcBorders>
            <w:shd w:val="clear" w:color="auto" w:fill="auto"/>
            <w:noWrap/>
            <w:vAlign w:val="bottom"/>
            <w:hideMark/>
          </w:tcPr>
          <w:p w14:paraId="60B78D0D"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122" w:type="dxa"/>
            <w:tcBorders>
              <w:top w:val="nil"/>
              <w:left w:val="nil"/>
              <w:bottom w:val="nil"/>
              <w:right w:val="nil"/>
            </w:tcBorders>
            <w:shd w:val="clear" w:color="auto" w:fill="auto"/>
            <w:noWrap/>
            <w:vAlign w:val="bottom"/>
            <w:hideMark/>
          </w:tcPr>
          <w:p w14:paraId="7CAB0FC0"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523" w:type="dxa"/>
            <w:tcBorders>
              <w:top w:val="nil"/>
              <w:left w:val="nil"/>
              <w:bottom w:val="nil"/>
              <w:right w:val="nil"/>
            </w:tcBorders>
            <w:shd w:val="clear" w:color="auto" w:fill="auto"/>
            <w:noWrap/>
            <w:vAlign w:val="bottom"/>
            <w:hideMark/>
          </w:tcPr>
          <w:p w14:paraId="49882565"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636" w:type="dxa"/>
            <w:tcBorders>
              <w:top w:val="nil"/>
              <w:left w:val="nil"/>
              <w:bottom w:val="nil"/>
              <w:right w:val="nil"/>
            </w:tcBorders>
            <w:shd w:val="clear" w:color="auto" w:fill="auto"/>
            <w:noWrap/>
            <w:vAlign w:val="bottom"/>
            <w:hideMark/>
          </w:tcPr>
          <w:p w14:paraId="070F7C38"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167" w:type="dxa"/>
            <w:tcBorders>
              <w:top w:val="nil"/>
              <w:left w:val="nil"/>
              <w:bottom w:val="nil"/>
              <w:right w:val="nil"/>
            </w:tcBorders>
            <w:shd w:val="clear" w:color="auto" w:fill="auto"/>
            <w:noWrap/>
            <w:vAlign w:val="bottom"/>
            <w:hideMark/>
          </w:tcPr>
          <w:p w14:paraId="781D32BA"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281" w:type="dxa"/>
            <w:tcBorders>
              <w:top w:val="nil"/>
              <w:left w:val="nil"/>
              <w:bottom w:val="nil"/>
              <w:right w:val="nil"/>
            </w:tcBorders>
            <w:shd w:val="clear" w:color="auto" w:fill="auto"/>
            <w:noWrap/>
            <w:vAlign w:val="bottom"/>
            <w:hideMark/>
          </w:tcPr>
          <w:p w14:paraId="1330073A"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024" w:type="dxa"/>
            <w:tcBorders>
              <w:top w:val="nil"/>
              <w:left w:val="nil"/>
              <w:bottom w:val="nil"/>
              <w:right w:val="nil"/>
            </w:tcBorders>
            <w:shd w:val="clear" w:color="auto" w:fill="auto"/>
            <w:noWrap/>
            <w:vAlign w:val="bottom"/>
            <w:hideMark/>
          </w:tcPr>
          <w:p w14:paraId="34920713"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138" w:type="dxa"/>
            <w:tcBorders>
              <w:top w:val="nil"/>
              <w:left w:val="nil"/>
              <w:bottom w:val="nil"/>
              <w:right w:val="nil"/>
            </w:tcBorders>
            <w:shd w:val="clear" w:color="auto" w:fill="auto"/>
            <w:noWrap/>
            <w:vAlign w:val="bottom"/>
            <w:hideMark/>
          </w:tcPr>
          <w:p w14:paraId="612636EC"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D853DD" w14:paraId="6723FEDC" w14:textId="77777777" w:rsidTr="00633129">
        <w:trPr>
          <w:trHeight w:val="195"/>
        </w:trPr>
        <w:tc>
          <w:tcPr>
            <w:tcW w:w="566" w:type="dxa"/>
            <w:tcBorders>
              <w:top w:val="single" w:sz="8" w:space="0" w:color="auto"/>
              <w:left w:val="nil"/>
              <w:bottom w:val="double" w:sz="6" w:space="0" w:color="auto"/>
              <w:right w:val="nil"/>
            </w:tcBorders>
            <w:shd w:val="clear" w:color="auto" w:fill="auto"/>
            <w:vAlign w:val="center"/>
            <w:hideMark/>
          </w:tcPr>
          <w:p w14:paraId="6C2AA90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E60DC6">
              <w:rPr>
                <w:rFonts w:ascii="Calibri" w:eastAsia="Times New Roman" w:hAnsi="Calibri" w:cs="Calibri"/>
                <w:color w:val="000000"/>
                <w:sz w:val="18"/>
                <w:szCs w:val="18"/>
                <w:lang w:val="en-US"/>
              </w:rPr>
              <w:t>UF</w:t>
            </w:r>
          </w:p>
        </w:tc>
        <w:tc>
          <w:tcPr>
            <w:tcW w:w="1009" w:type="dxa"/>
            <w:tcBorders>
              <w:top w:val="single" w:sz="8" w:space="0" w:color="auto"/>
              <w:left w:val="nil"/>
              <w:bottom w:val="double" w:sz="6" w:space="0" w:color="auto"/>
              <w:right w:val="nil"/>
            </w:tcBorders>
            <w:shd w:val="clear" w:color="auto" w:fill="auto"/>
            <w:vAlign w:val="center"/>
            <w:hideMark/>
          </w:tcPr>
          <w:p w14:paraId="3BA25DDC" w14:textId="65907D3E"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Outsorced entities</w:t>
            </w:r>
          </w:p>
        </w:tc>
        <w:tc>
          <w:tcPr>
            <w:tcW w:w="1122" w:type="dxa"/>
            <w:tcBorders>
              <w:top w:val="single" w:sz="8" w:space="0" w:color="auto"/>
              <w:left w:val="nil"/>
              <w:bottom w:val="double" w:sz="6" w:space="0" w:color="auto"/>
              <w:right w:val="nil"/>
            </w:tcBorders>
            <w:shd w:val="clear" w:color="auto" w:fill="auto"/>
            <w:vAlign w:val="center"/>
            <w:hideMark/>
          </w:tcPr>
          <w:p w14:paraId="5EF79A4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523" w:type="dxa"/>
            <w:tcBorders>
              <w:top w:val="single" w:sz="8" w:space="0" w:color="auto"/>
              <w:left w:val="nil"/>
              <w:bottom w:val="double" w:sz="6" w:space="0" w:color="auto"/>
              <w:right w:val="nil"/>
            </w:tcBorders>
            <w:shd w:val="clear" w:color="auto" w:fill="auto"/>
            <w:vAlign w:val="center"/>
            <w:hideMark/>
          </w:tcPr>
          <w:p w14:paraId="5BE7BD49" w14:textId="58A664EF" w:rsidR="0099770F" w:rsidRPr="003B5783" w:rsidRDefault="00E2766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Per diem</w:t>
            </w:r>
          </w:p>
        </w:tc>
        <w:tc>
          <w:tcPr>
            <w:tcW w:w="1636" w:type="dxa"/>
            <w:tcBorders>
              <w:top w:val="single" w:sz="8" w:space="0" w:color="auto"/>
              <w:left w:val="nil"/>
              <w:bottom w:val="double" w:sz="6" w:space="0" w:color="auto"/>
              <w:right w:val="nil"/>
            </w:tcBorders>
            <w:shd w:val="clear" w:color="auto" w:fill="auto"/>
            <w:vAlign w:val="center"/>
            <w:hideMark/>
          </w:tcPr>
          <w:p w14:paraId="64558BA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167" w:type="dxa"/>
            <w:tcBorders>
              <w:top w:val="single" w:sz="8" w:space="0" w:color="auto"/>
              <w:left w:val="nil"/>
              <w:bottom w:val="double" w:sz="6" w:space="0" w:color="auto"/>
              <w:right w:val="nil"/>
            </w:tcBorders>
            <w:shd w:val="clear" w:color="auto" w:fill="auto"/>
            <w:vAlign w:val="center"/>
            <w:hideMark/>
          </w:tcPr>
          <w:p w14:paraId="40DAB831" w14:textId="17F88C73" w:rsidR="0099770F" w:rsidRPr="003B5783" w:rsidRDefault="00575CD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Capital Expenses</w:t>
            </w:r>
          </w:p>
        </w:tc>
        <w:tc>
          <w:tcPr>
            <w:tcW w:w="1281" w:type="dxa"/>
            <w:tcBorders>
              <w:top w:val="single" w:sz="8" w:space="0" w:color="auto"/>
              <w:left w:val="nil"/>
              <w:bottom w:val="double" w:sz="6" w:space="0" w:color="auto"/>
              <w:right w:val="nil"/>
            </w:tcBorders>
            <w:shd w:val="clear" w:color="auto" w:fill="auto"/>
            <w:vAlign w:val="center"/>
            <w:hideMark/>
          </w:tcPr>
          <w:p w14:paraId="21D910A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024" w:type="dxa"/>
            <w:tcBorders>
              <w:top w:val="single" w:sz="8" w:space="0" w:color="auto"/>
              <w:left w:val="nil"/>
              <w:bottom w:val="double" w:sz="6" w:space="0" w:color="auto"/>
              <w:right w:val="nil"/>
            </w:tcBorders>
            <w:shd w:val="clear" w:color="auto" w:fill="auto"/>
            <w:vAlign w:val="center"/>
            <w:hideMark/>
          </w:tcPr>
          <w:p w14:paraId="1F61DE18" w14:textId="0626963C"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Amortiz</w:t>
            </w:r>
            <w:r w:rsidR="00575CD5">
              <w:rPr>
                <w:rFonts w:ascii="Calibri" w:eastAsia="Times New Roman" w:hAnsi="Calibri" w:cs="Calibri"/>
                <w:color w:val="000000"/>
                <w:sz w:val="18"/>
                <w:szCs w:val="18"/>
                <w:lang w:val="en-US"/>
              </w:rPr>
              <w:t>.</w:t>
            </w:r>
          </w:p>
        </w:tc>
        <w:tc>
          <w:tcPr>
            <w:tcW w:w="1138" w:type="dxa"/>
            <w:tcBorders>
              <w:top w:val="single" w:sz="8" w:space="0" w:color="auto"/>
              <w:left w:val="nil"/>
              <w:bottom w:val="double" w:sz="6" w:space="0" w:color="auto"/>
              <w:right w:val="nil"/>
            </w:tcBorders>
            <w:shd w:val="clear" w:color="auto" w:fill="auto"/>
            <w:vAlign w:val="center"/>
            <w:hideMark/>
          </w:tcPr>
          <w:p w14:paraId="0892145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r>
      <w:tr w:rsidR="0099770F" w:rsidRPr="003B5783" w14:paraId="2FD84341" w14:textId="77777777" w:rsidTr="00633129">
        <w:trPr>
          <w:trHeight w:val="195"/>
        </w:trPr>
        <w:tc>
          <w:tcPr>
            <w:tcW w:w="566" w:type="dxa"/>
            <w:tcBorders>
              <w:top w:val="nil"/>
              <w:left w:val="nil"/>
              <w:bottom w:val="nil"/>
              <w:right w:val="nil"/>
            </w:tcBorders>
            <w:shd w:val="clear" w:color="auto" w:fill="auto"/>
            <w:noWrap/>
            <w:vAlign w:val="center"/>
            <w:hideMark/>
          </w:tcPr>
          <w:p w14:paraId="6AF53E4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BA</w:t>
            </w:r>
          </w:p>
        </w:tc>
        <w:tc>
          <w:tcPr>
            <w:tcW w:w="1009" w:type="dxa"/>
            <w:tcBorders>
              <w:top w:val="nil"/>
              <w:left w:val="nil"/>
              <w:bottom w:val="nil"/>
              <w:right w:val="nil"/>
            </w:tcBorders>
            <w:shd w:val="clear" w:color="auto" w:fill="auto"/>
            <w:noWrap/>
            <w:vAlign w:val="center"/>
            <w:hideMark/>
          </w:tcPr>
          <w:p w14:paraId="5D62E309"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-93,81</w:t>
            </w:r>
          </w:p>
        </w:tc>
        <w:tc>
          <w:tcPr>
            <w:tcW w:w="1122" w:type="dxa"/>
            <w:tcBorders>
              <w:top w:val="nil"/>
              <w:left w:val="nil"/>
              <w:bottom w:val="nil"/>
              <w:right w:val="nil"/>
            </w:tcBorders>
            <w:shd w:val="clear" w:color="auto" w:fill="auto"/>
            <w:noWrap/>
            <w:vAlign w:val="center"/>
            <w:hideMark/>
          </w:tcPr>
          <w:p w14:paraId="35ACC7C8"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523" w:type="dxa"/>
            <w:tcBorders>
              <w:top w:val="nil"/>
              <w:left w:val="nil"/>
              <w:bottom w:val="nil"/>
              <w:right w:val="nil"/>
            </w:tcBorders>
            <w:shd w:val="clear" w:color="auto" w:fill="auto"/>
            <w:noWrap/>
            <w:vAlign w:val="center"/>
            <w:hideMark/>
          </w:tcPr>
          <w:p w14:paraId="407912A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-0,835</w:t>
            </w:r>
          </w:p>
        </w:tc>
        <w:tc>
          <w:tcPr>
            <w:tcW w:w="1636" w:type="dxa"/>
            <w:tcBorders>
              <w:top w:val="nil"/>
              <w:left w:val="nil"/>
              <w:bottom w:val="nil"/>
              <w:right w:val="nil"/>
            </w:tcBorders>
            <w:shd w:val="clear" w:color="auto" w:fill="auto"/>
            <w:noWrap/>
            <w:vAlign w:val="center"/>
            <w:hideMark/>
          </w:tcPr>
          <w:p w14:paraId="7FCC958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0,339</w:t>
            </w:r>
          </w:p>
        </w:tc>
        <w:tc>
          <w:tcPr>
            <w:tcW w:w="1167" w:type="dxa"/>
            <w:tcBorders>
              <w:top w:val="nil"/>
              <w:left w:val="nil"/>
              <w:bottom w:val="nil"/>
              <w:right w:val="nil"/>
            </w:tcBorders>
            <w:shd w:val="clear" w:color="auto" w:fill="auto"/>
            <w:noWrap/>
            <w:vAlign w:val="center"/>
            <w:hideMark/>
          </w:tcPr>
          <w:p w14:paraId="66927E7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67,401</w:t>
            </w:r>
          </w:p>
        </w:tc>
        <w:tc>
          <w:tcPr>
            <w:tcW w:w="1281" w:type="dxa"/>
            <w:tcBorders>
              <w:top w:val="nil"/>
              <w:left w:val="nil"/>
              <w:bottom w:val="nil"/>
              <w:right w:val="nil"/>
            </w:tcBorders>
            <w:shd w:val="clear" w:color="auto" w:fill="auto"/>
            <w:noWrap/>
            <w:vAlign w:val="center"/>
            <w:hideMark/>
          </w:tcPr>
          <w:p w14:paraId="1D0999A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0,12</w:t>
            </w:r>
          </w:p>
        </w:tc>
        <w:tc>
          <w:tcPr>
            <w:tcW w:w="1024" w:type="dxa"/>
            <w:tcBorders>
              <w:top w:val="nil"/>
              <w:left w:val="nil"/>
              <w:bottom w:val="nil"/>
              <w:right w:val="nil"/>
            </w:tcBorders>
            <w:shd w:val="clear" w:color="auto" w:fill="auto"/>
            <w:noWrap/>
            <w:vAlign w:val="center"/>
            <w:hideMark/>
          </w:tcPr>
          <w:p w14:paraId="14597FE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-8,116</w:t>
            </w:r>
          </w:p>
        </w:tc>
        <w:tc>
          <w:tcPr>
            <w:tcW w:w="1138" w:type="dxa"/>
            <w:tcBorders>
              <w:top w:val="nil"/>
              <w:left w:val="nil"/>
              <w:bottom w:val="nil"/>
              <w:right w:val="nil"/>
            </w:tcBorders>
            <w:shd w:val="clear" w:color="auto" w:fill="auto"/>
            <w:noWrap/>
            <w:vAlign w:val="center"/>
            <w:hideMark/>
          </w:tcPr>
          <w:p w14:paraId="488BA22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0,34</w:t>
            </w:r>
          </w:p>
        </w:tc>
      </w:tr>
      <w:tr w:rsidR="0099770F" w:rsidRPr="003B5783" w14:paraId="764C4448" w14:textId="77777777" w:rsidTr="00633129">
        <w:trPr>
          <w:trHeight w:val="180"/>
        </w:trPr>
        <w:tc>
          <w:tcPr>
            <w:tcW w:w="566" w:type="dxa"/>
            <w:tcBorders>
              <w:top w:val="nil"/>
              <w:left w:val="nil"/>
              <w:bottom w:val="nil"/>
              <w:right w:val="nil"/>
            </w:tcBorders>
            <w:shd w:val="clear" w:color="auto" w:fill="auto"/>
            <w:noWrap/>
            <w:vAlign w:val="center"/>
            <w:hideMark/>
          </w:tcPr>
          <w:p w14:paraId="1698D7F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MG</w:t>
            </w:r>
          </w:p>
        </w:tc>
        <w:tc>
          <w:tcPr>
            <w:tcW w:w="1009" w:type="dxa"/>
            <w:tcBorders>
              <w:top w:val="nil"/>
              <w:left w:val="nil"/>
              <w:bottom w:val="nil"/>
              <w:right w:val="nil"/>
            </w:tcBorders>
            <w:shd w:val="clear" w:color="auto" w:fill="auto"/>
            <w:noWrap/>
            <w:vAlign w:val="center"/>
            <w:hideMark/>
          </w:tcPr>
          <w:p w14:paraId="00A2509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16,201</w:t>
            </w:r>
          </w:p>
        </w:tc>
        <w:tc>
          <w:tcPr>
            <w:tcW w:w="1122" w:type="dxa"/>
            <w:tcBorders>
              <w:top w:val="nil"/>
              <w:left w:val="nil"/>
              <w:bottom w:val="nil"/>
              <w:right w:val="nil"/>
            </w:tcBorders>
            <w:shd w:val="clear" w:color="auto" w:fill="auto"/>
            <w:noWrap/>
            <w:vAlign w:val="center"/>
            <w:hideMark/>
          </w:tcPr>
          <w:p w14:paraId="6DFB52C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0,476</w:t>
            </w:r>
          </w:p>
        </w:tc>
        <w:tc>
          <w:tcPr>
            <w:tcW w:w="1523" w:type="dxa"/>
            <w:tcBorders>
              <w:top w:val="nil"/>
              <w:left w:val="nil"/>
              <w:bottom w:val="nil"/>
              <w:right w:val="nil"/>
            </w:tcBorders>
            <w:shd w:val="clear" w:color="auto" w:fill="auto"/>
            <w:noWrap/>
            <w:vAlign w:val="center"/>
            <w:hideMark/>
          </w:tcPr>
          <w:p w14:paraId="5DA2870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-6,615</w:t>
            </w:r>
          </w:p>
        </w:tc>
        <w:tc>
          <w:tcPr>
            <w:tcW w:w="1636" w:type="dxa"/>
            <w:tcBorders>
              <w:top w:val="nil"/>
              <w:left w:val="nil"/>
              <w:bottom w:val="nil"/>
              <w:right w:val="nil"/>
            </w:tcBorders>
            <w:shd w:val="clear" w:color="auto" w:fill="auto"/>
            <w:noWrap/>
            <w:vAlign w:val="center"/>
            <w:hideMark/>
          </w:tcPr>
          <w:p w14:paraId="3F23503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0,122</w:t>
            </w:r>
          </w:p>
        </w:tc>
        <w:tc>
          <w:tcPr>
            <w:tcW w:w="1167" w:type="dxa"/>
            <w:tcBorders>
              <w:top w:val="nil"/>
              <w:left w:val="nil"/>
              <w:bottom w:val="nil"/>
              <w:right w:val="nil"/>
            </w:tcBorders>
            <w:shd w:val="clear" w:color="auto" w:fill="auto"/>
            <w:noWrap/>
            <w:vAlign w:val="center"/>
            <w:hideMark/>
          </w:tcPr>
          <w:p w14:paraId="48CA2A8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-37,109</w:t>
            </w:r>
          </w:p>
        </w:tc>
        <w:tc>
          <w:tcPr>
            <w:tcW w:w="1281" w:type="dxa"/>
            <w:tcBorders>
              <w:top w:val="nil"/>
              <w:left w:val="nil"/>
              <w:bottom w:val="nil"/>
              <w:right w:val="nil"/>
            </w:tcBorders>
            <w:shd w:val="clear" w:color="auto" w:fill="auto"/>
            <w:noWrap/>
            <w:vAlign w:val="center"/>
            <w:hideMark/>
          </w:tcPr>
          <w:p w14:paraId="0ECF166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0,444</w:t>
            </w:r>
          </w:p>
        </w:tc>
        <w:tc>
          <w:tcPr>
            <w:tcW w:w="1024" w:type="dxa"/>
            <w:tcBorders>
              <w:top w:val="nil"/>
              <w:left w:val="nil"/>
              <w:bottom w:val="nil"/>
              <w:right w:val="nil"/>
            </w:tcBorders>
            <w:shd w:val="clear" w:color="auto" w:fill="auto"/>
            <w:noWrap/>
            <w:vAlign w:val="center"/>
            <w:hideMark/>
          </w:tcPr>
          <w:p w14:paraId="399B233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-2,556</w:t>
            </w:r>
          </w:p>
        </w:tc>
        <w:tc>
          <w:tcPr>
            <w:tcW w:w="1138" w:type="dxa"/>
            <w:tcBorders>
              <w:top w:val="nil"/>
              <w:left w:val="nil"/>
              <w:bottom w:val="nil"/>
              <w:right w:val="nil"/>
            </w:tcBorders>
            <w:shd w:val="clear" w:color="auto" w:fill="auto"/>
            <w:noWrap/>
            <w:vAlign w:val="center"/>
            <w:hideMark/>
          </w:tcPr>
          <w:p w14:paraId="0FA2DED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0,803</w:t>
            </w:r>
          </w:p>
        </w:tc>
      </w:tr>
      <w:tr w:rsidR="0099770F" w:rsidRPr="003B5783" w14:paraId="5E078D65" w14:textId="77777777" w:rsidTr="00633129">
        <w:trPr>
          <w:trHeight w:val="180"/>
        </w:trPr>
        <w:tc>
          <w:tcPr>
            <w:tcW w:w="566" w:type="dxa"/>
            <w:tcBorders>
              <w:top w:val="nil"/>
              <w:left w:val="nil"/>
              <w:bottom w:val="nil"/>
              <w:right w:val="nil"/>
            </w:tcBorders>
            <w:shd w:val="clear" w:color="auto" w:fill="auto"/>
            <w:noWrap/>
            <w:vAlign w:val="center"/>
            <w:hideMark/>
          </w:tcPr>
          <w:p w14:paraId="66E47E5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MS</w:t>
            </w:r>
          </w:p>
        </w:tc>
        <w:tc>
          <w:tcPr>
            <w:tcW w:w="1009" w:type="dxa"/>
            <w:tcBorders>
              <w:top w:val="nil"/>
              <w:left w:val="nil"/>
              <w:bottom w:val="nil"/>
              <w:right w:val="nil"/>
            </w:tcBorders>
            <w:shd w:val="clear" w:color="auto" w:fill="auto"/>
            <w:noWrap/>
            <w:vAlign w:val="center"/>
            <w:hideMark/>
          </w:tcPr>
          <w:p w14:paraId="66D0612B"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106,023</w:t>
            </w:r>
          </w:p>
        </w:tc>
        <w:tc>
          <w:tcPr>
            <w:tcW w:w="1122" w:type="dxa"/>
            <w:tcBorders>
              <w:top w:val="nil"/>
              <w:left w:val="nil"/>
              <w:bottom w:val="nil"/>
              <w:right w:val="nil"/>
            </w:tcBorders>
            <w:shd w:val="clear" w:color="auto" w:fill="auto"/>
            <w:noWrap/>
            <w:vAlign w:val="center"/>
            <w:hideMark/>
          </w:tcPr>
          <w:p w14:paraId="632C8EFA"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523" w:type="dxa"/>
            <w:tcBorders>
              <w:top w:val="nil"/>
              <w:left w:val="nil"/>
              <w:bottom w:val="nil"/>
              <w:right w:val="nil"/>
            </w:tcBorders>
            <w:shd w:val="clear" w:color="auto" w:fill="auto"/>
            <w:noWrap/>
            <w:vAlign w:val="center"/>
            <w:hideMark/>
          </w:tcPr>
          <w:p w14:paraId="3F75FD4A"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-10,326</w:t>
            </w:r>
          </w:p>
        </w:tc>
        <w:tc>
          <w:tcPr>
            <w:tcW w:w="1636" w:type="dxa"/>
            <w:tcBorders>
              <w:top w:val="nil"/>
              <w:left w:val="nil"/>
              <w:bottom w:val="nil"/>
              <w:right w:val="nil"/>
            </w:tcBorders>
            <w:shd w:val="clear" w:color="auto" w:fill="auto"/>
            <w:noWrap/>
            <w:vAlign w:val="center"/>
            <w:hideMark/>
          </w:tcPr>
          <w:p w14:paraId="2C82CC03"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30D9578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-29,69</w:t>
            </w:r>
          </w:p>
        </w:tc>
        <w:tc>
          <w:tcPr>
            <w:tcW w:w="1281" w:type="dxa"/>
            <w:tcBorders>
              <w:top w:val="nil"/>
              <w:left w:val="nil"/>
              <w:bottom w:val="nil"/>
              <w:right w:val="nil"/>
            </w:tcBorders>
            <w:shd w:val="clear" w:color="auto" w:fill="auto"/>
            <w:noWrap/>
            <w:vAlign w:val="center"/>
            <w:hideMark/>
          </w:tcPr>
          <w:p w14:paraId="1D00622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0,082</w:t>
            </w:r>
          </w:p>
        </w:tc>
        <w:tc>
          <w:tcPr>
            <w:tcW w:w="1024" w:type="dxa"/>
            <w:tcBorders>
              <w:top w:val="nil"/>
              <w:left w:val="nil"/>
              <w:bottom w:val="nil"/>
              <w:right w:val="nil"/>
            </w:tcBorders>
            <w:shd w:val="clear" w:color="auto" w:fill="auto"/>
            <w:noWrap/>
            <w:vAlign w:val="center"/>
            <w:hideMark/>
          </w:tcPr>
          <w:p w14:paraId="32C1AF1C"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14,361</w:t>
            </w:r>
          </w:p>
        </w:tc>
        <w:tc>
          <w:tcPr>
            <w:tcW w:w="1138" w:type="dxa"/>
            <w:tcBorders>
              <w:top w:val="nil"/>
              <w:left w:val="nil"/>
              <w:bottom w:val="nil"/>
              <w:right w:val="nil"/>
            </w:tcBorders>
            <w:shd w:val="clear" w:color="auto" w:fill="auto"/>
            <w:noWrap/>
            <w:vAlign w:val="center"/>
            <w:hideMark/>
          </w:tcPr>
          <w:p w14:paraId="4B678935"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0,021</w:t>
            </w:r>
          </w:p>
        </w:tc>
      </w:tr>
      <w:tr w:rsidR="0099770F" w:rsidRPr="003B5783" w14:paraId="416DEEBE" w14:textId="77777777" w:rsidTr="00633129">
        <w:trPr>
          <w:trHeight w:val="180"/>
        </w:trPr>
        <w:tc>
          <w:tcPr>
            <w:tcW w:w="566" w:type="dxa"/>
            <w:tcBorders>
              <w:top w:val="nil"/>
              <w:left w:val="nil"/>
              <w:bottom w:val="nil"/>
              <w:right w:val="nil"/>
            </w:tcBorders>
            <w:shd w:val="clear" w:color="auto" w:fill="auto"/>
            <w:noWrap/>
            <w:vAlign w:val="center"/>
            <w:hideMark/>
          </w:tcPr>
          <w:p w14:paraId="62C83F0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MT</w:t>
            </w:r>
          </w:p>
        </w:tc>
        <w:tc>
          <w:tcPr>
            <w:tcW w:w="1009" w:type="dxa"/>
            <w:tcBorders>
              <w:top w:val="nil"/>
              <w:left w:val="nil"/>
              <w:bottom w:val="nil"/>
              <w:right w:val="nil"/>
            </w:tcBorders>
            <w:shd w:val="clear" w:color="auto" w:fill="auto"/>
            <w:noWrap/>
            <w:vAlign w:val="center"/>
            <w:hideMark/>
          </w:tcPr>
          <w:p w14:paraId="372783A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-11,59</w:t>
            </w:r>
          </w:p>
        </w:tc>
        <w:tc>
          <w:tcPr>
            <w:tcW w:w="1122" w:type="dxa"/>
            <w:tcBorders>
              <w:top w:val="nil"/>
              <w:left w:val="nil"/>
              <w:bottom w:val="nil"/>
              <w:right w:val="nil"/>
            </w:tcBorders>
            <w:shd w:val="clear" w:color="auto" w:fill="auto"/>
            <w:noWrap/>
            <w:vAlign w:val="center"/>
            <w:hideMark/>
          </w:tcPr>
          <w:p w14:paraId="01F284C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0,757</w:t>
            </w:r>
          </w:p>
        </w:tc>
        <w:tc>
          <w:tcPr>
            <w:tcW w:w="1523" w:type="dxa"/>
            <w:tcBorders>
              <w:top w:val="nil"/>
              <w:left w:val="nil"/>
              <w:bottom w:val="nil"/>
              <w:right w:val="nil"/>
            </w:tcBorders>
            <w:shd w:val="clear" w:color="auto" w:fill="auto"/>
            <w:noWrap/>
            <w:vAlign w:val="center"/>
            <w:hideMark/>
          </w:tcPr>
          <w:p w14:paraId="4FDC510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5,862</w:t>
            </w:r>
          </w:p>
        </w:tc>
        <w:tc>
          <w:tcPr>
            <w:tcW w:w="1636" w:type="dxa"/>
            <w:tcBorders>
              <w:top w:val="nil"/>
              <w:left w:val="nil"/>
              <w:bottom w:val="nil"/>
              <w:right w:val="nil"/>
            </w:tcBorders>
            <w:shd w:val="clear" w:color="auto" w:fill="auto"/>
            <w:noWrap/>
            <w:vAlign w:val="center"/>
            <w:hideMark/>
          </w:tcPr>
          <w:p w14:paraId="521C929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0,262</w:t>
            </w:r>
          </w:p>
        </w:tc>
        <w:tc>
          <w:tcPr>
            <w:tcW w:w="1167" w:type="dxa"/>
            <w:tcBorders>
              <w:top w:val="nil"/>
              <w:left w:val="nil"/>
              <w:bottom w:val="nil"/>
              <w:right w:val="nil"/>
            </w:tcBorders>
            <w:shd w:val="clear" w:color="auto" w:fill="auto"/>
            <w:noWrap/>
            <w:vAlign w:val="center"/>
            <w:hideMark/>
          </w:tcPr>
          <w:p w14:paraId="2D30AC0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49,737</w:t>
            </w:r>
          </w:p>
        </w:tc>
        <w:tc>
          <w:tcPr>
            <w:tcW w:w="1281" w:type="dxa"/>
            <w:tcBorders>
              <w:top w:val="nil"/>
              <w:left w:val="nil"/>
              <w:bottom w:val="nil"/>
              <w:right w:val="nil"/>
            </w:tcBorders>
            <w:shd w:val="clear" w:color="auto" w:fill="auto"/>
            <w:noWrap/>
            <w:vAlign w:val="center"/>
            <w:hideMark/>
          </w:tcPr>
          <w:p w14:paraId="3F448E7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w:t>
            </w:r>
          </w:p>
        </w:tc>
        <w:tc>
          <w:tcPr>
            <w:tcW w:w="1024" w:type="dxa"/>
            <w:tcBorders>
              <w:top w:val="nil"/>
              <w:left w:val="nil"/>
              <w:bottom w:val="nil"/>
              <w:right w:val="nil"/>
            </w:tcBorders>
            <w:shd w:val="clear" w:color="auto" w:fill="auto"/>
            <w:noWrap/>
            <w:vAlign w:val="center"/>
            <w:hideMark/>
          </w:tcPr>
          <w:p w14:paraId="44194F3B"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32,544</w:t>
            </w:r>
          </w:p>
        </w:tc>
        <w:tc>
          <w:tcPr>
            <w:tcW w:w="1138" w:type="dxa"/>
            <w:tcBorders>
              <w:top w:val="nil"/>
              <w:left w:val="nil"/>
              <w:bottom w:val="nil"/>
              <w:right w:val="nil"/>
            </w:tcBorders>
            <w:shd w:val="clear" w:color="auto" w:fill="auto"/>
            <w:noWrap/>
            <w:vAlign w:val="center"/>
            <w:hideMark/>
          </w:tcPr>
          <w:p w14:paraId="1A015D88"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0,001</w:t>
            </w:r>
          </w:p>
        </w:tc>
      </w:tr>
      <w:tr w:rsidR="0099770F" w:rsidRPr="003B5783" w14:paraId="468F347C" w14:textId="77777777" w:rsidTr="00633129">
        <w:trPr>
          <w:trHeight w:val="180"/>
        </w:trPr>
        <w:tc>
          <w:tcPr>
            <w:tcW w:w="566" w:type="dxa"/>
            <w:tcBorders>
              <w:top w:val="nil"/>
              <w:left w:val="nil"/>
              <w:bottom w:val="nil"/>
              <w:right w:val="nil"/>
            </w:tcBorders>
            <w:shd w:val="clear" w:color="auto" w:fill="auto"/>
            <w:noWrap/>
            <w:vAlign w:val="center"/>
            <w:hideMark/>
          </w:tcPr>
          <w:p w14:paraId="316CBBA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PI</w:t>
            </w:r>
          </w:p>
        </w:tc>
        <w:tc>
          <w:tcPr>
            <w:tcW w:w="1009" w:type="dxa"/>
            <w:tcBorders>
              <w:top w:val="nil"/>
              <w:left w:val="nil"/>
              <w:bottom w:val="nil"/>
              <w:right w:val="nil"/>
            </w:tcBorders>
            <w:shd w:val="clear" w:color="auto" w:fill="auto"/>
            <w:noWrap/>
            <w:vAlign w:val="center"/>
            <w:hideMark/>
          </w:tcPr>
          <w:p w14:paraId="3368AEB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27,973</w:t>
            </w:r>
          </w:p>
        </w:tc>
        <w:tc>
          <w:tcPr>
            <w:tcW w:w="1122" w:type="dxa"/>
            <w:tcBorders>
              <w:top w:val="nil"/>
              <w:left w:val="nil"/>
              <w:bottom w:val="nil"/>
              <w:right w:val="nil"/>
            </w:tcBorders>
            <w:shd w:val="clear" w:color="auto" w:fill="auto"/>
            <w:noWrap/>
            <w:vAlign w:val="center"/>
            <w:hideMark/>
          </w:tcPr>
          <w:p w14:paraId="52039EA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0,178</w:t>
            </w:r>
          </w:p>
        </w:tc>
        <w:tc>
          <w:tcPr>
            <w:tcW w:w="1523" w:type="dxa"/>
            <w:tcBorders>
              <w:top w:val="nil"/>
              <w:left w:val="nil"/>
              <w:bottom w:val="nil"/>
              <w:right w:val="nil"/>
            </w:tcBorders>
            <w:shd w:val="clear" w:color="auto" w:fill="auto"/>
            <w:noWrap/>
            <w:vAlign w:val="center"/>
            <w:hideMark/>
          </w:tcPr>
          <w:p w14:paraId="6FE9AC3A"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-7,829</w:t>
            </w:r>
          </w:p>
        </w:tc>
        <w:tc>
          <w:tcPr>
            <w:tcW w:w="1636" w:type="dxa"/>
            <w:tcBorders>
              <w:top w:val="nil"/>
              <w:left w:val="nil"/>
              <w:bottom w:val="nil"/>
              <w:right w:val="nil"/>
            </w:tcBorders>
            <w:shd w:val="clear" w:color="auto" w:fill="auto"/>
            <w:noWrap/>
            <w:vAlign w:val="center"/>
            <w:hideMark/>
          </w:tcPr>
          <w:p w14:paraId="7281252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5F7C3624"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124,393</w:t>
            </w:r>
          </w:p>
        </w:tc>
        <w:tc>
          <w:tcPr>
            <w:tcW w:w="1281" w:type="dxa"/>
            <w:tcBorders>
              <w:top w:val="nil"/>
              <w:left w:val="nil"/>
              <w:bottom w:val="nil"/>
              <w:right w:val="nil"/>
            </w:tcBorders>
            <w:shd w:val="clear" w:color="auto" w:fill="auto"/>
            <w:noWrap/>
            <w:vAlign w:val="center"/>
            <w:hideMark/>
          </w:tcPr>
          <w:p w14:paraId="3B35FA97"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024" w:type="dxa"/>
            <w:tcBorders>
              <w:top w:val="nil"/>
              <w:left w:val="nil"/>
              <w:bottom w:val="nil"/>
              <w:right w:val="nil"/>
            </w:tcBorders>
            <w:shd w:val="clear" w:color="auto" w:fill="auto"/>
            <w:noWrap/>
            <w:vAlign w:val="center"/>
            <w:hideMark/>
          </w:tcPr>
          <w:p w14:paraId="20DB41D5"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10,75</w:t>
            </w:r>
          </w:p>
        </w:tc>
        <w:tc>
          <w:tcPr>
            <w:tcW w:w="1138" w:type="dxa"/>
            <w:tcBorders>
              <w:top w:val="nil"/>
              <w:left w:val="nil"/>
              <w:bottom w:val="nil"/>
              <w:right w:val="nil"/>
            </w:tcBorders>
            <w:shd w:val="clear" w:color="auto" w:fill="auto"/>
            <w:noWrap/>
            <w:vAlign w:val="center"/>
            <w:hideMark/>
          </w:tcPr>
          <w:p w14:paraId="16794D17"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r>
      <w:tr w:rsidR="0099770F" w:rsidRPr="003B5783" w14:paraId="1029F3D3" w14:textId="77777777" w:rsidTr="00633129">
        <w:trPr>
          <w:trHeight w:val="180"/>
        </w:trPr>
        <w:tc>
          <w:tcPr>
            <w:tcW w:w="566" w:type="dxa"/>
            <w:tcBorders>
              <w:top w:val="nil"/>
              <w:left w:val="nil"/>
              <w:bottom w:val="nil"/>
              <w:right w:val="nil"/>
            </w:tcBorders>
            <w:shd w:val="clear" w:color="auto" w:fill="auto"/>
            <w:noWrap/>
            <w:vAlign w:val="center"/>
            <w:hideMark/>
          </w:tcPr>
          <w:p w14:paraId="7EDD5DA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PR</w:t>
            </w:r>
          </w:p>
        </w:tc>
        <w:tc>
          <w:tcPr>
            <w:tcW w:w="1009" w:type="dxa"/>
            <w:tcBorders>
              <w:top w:val="nil"/>
              <w:left w:val="nil"/>
              <w:bottom w:val="nil"/>
              <w:right w:val="nil"/>
            </w:tcBorders>
            <w:shd w:val="clear" w:color="auto" w:fill="auto"/>
            <w:noWrap/>
            <w:vAlign w:val="center"/>
            <w:hideMark/>
          </w:tcPr>
          <w:p w14:paraId="0D5F8D8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-6,697</w:t>
            </w:r>
          </w:p>
        </w:tc>
        <w:tc>
          <w:tcPr>
            <w:tcW w:w="1122" w:type="dxa"/>
            <w:tcBorders>
              <w:top w:val="nil"/>
              <w:left w:val="nil"/>
              <w:bottom w:val="nil"/>
              <w:right w:val="nil"/>
            </w:tcBorders>
            <w:shd w:val="clear" w:color="auto" w:fill="auto"/>
            <w:noWrap/>
            <w:vAlign w:val="center"/>
            <w:hideMark/>
          </w:tcPr>
          <w:p w14:paraId="25C4C88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0,808</w:t>
            </w:r>
          </w:p>
        </w:tc>
        <w:tc>
          <w:tcPr>
            <w:tcW w:w="1523" w:type="dxa"/>
            <w:tcBorders>
              <w:top w:val="nil"/>
              <w:left w:val="nil"/>
              <w:bottom w:val="nil"/>
              <w:right w:val="nil"/>
            </w:tcBorders>
            <w:shd w:val="clear" w:color="auto" w:fill="auto"/>
            <w:noWrap/>
            <w:vAlign w:val="center"/>
            <w:hideMark/>
          </w:tcPr>
          <w:p w14:paraId="094D0EF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-1,63</w:t>
            </w:r>
          </w:p>
        </w:tc>
        <w:tc>
          <w:tcPr>
            <w:tcW w:w="1636" w:type="dxa"/>
            <w:tcBorders>
              <w:top w:val="nil"/>
              <w:left w:val="nil"/>
              <w:bottom w:val="nil"/>
              <w:right w:val="nil"/>
            </w:tcBorders>
            <w:shd w:val="clear" w:color="auto" w:fill="auto"/>
            <w:noWrap/>
            <w:vAlign w:val="center"/>
            <w:hideMark/>
          </w:tcPr>
          <w:p w14:paraId="6C4447F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0,257</w:t>
            </w:r>
          </w:p>
        </w:tc>
        <w:tc>
          <w:tcPr>
            <w:tcW w:w="1167" w:type="dxa"/>
            <w:tcBorders>
              <w:top w:val="nil"/>
              <w:left w:val="nil"/>
              <w:bottom w:val="nil"/>
              <w:right w:val="nil"/>
            </w:tcBorders>
            <w:shd w:val="clear" w:color="auto" w:fill="auto"/>
            <w:noWrap/>
            <w:vAlign w:val="center"/>
            <w:hideMark/>
          </w:tcPr>
          <w:p w14:paraId="1288A81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-20,949</w:t>
            </w:r>
          </w:p>
        </w:tc>
        <w:tc>
          <w:tcPr>
            <w:tcW w:w="1281" w:type="dxa"/>
            <w:tcBorders>
              <w:top w:val="nil"/>
              <w:left w:val="nil"/>
              <w:bottom w:val="nil"/>
              <w:right w:val="nil"/>
            </w:tcBorders>
            <w:shd w:val="clear" w:color="auto" w:fill="auto"/>
            <w:noWrap/>
            <w:vAlign w:val="center"/>
            <w:hideMark/>
          </w:tcPr>
          <w:p w14:paraId="1FA5556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0,539</w:t>
            </w:r>
          </w:p>
        </w:tc>
        <w:tc>
          <w:tcPr>
            <w:tcW w:w="1024" w:type="dxa"/>
            <w:tcBorders>
              <w:top w:val="nil"/>
              <w:left w:val="nil"/>
              <w:bottom w:val="nil"/>
              <w:right w:val="nil"/>
            </w:tcBorders>
            <w:shd w:val="clear" w:color="auto" w:fill="auto"/>
            <w:noWrap/>
            <w:vAlign w:val="center"/>
            <w:hideMark/>
          </w:tcPr>
          <w:p w14:paraId="24C9D1C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-1,469</w:t>
            </w:r>
          </w:p>
        </w:tc>
        <w:tc>
          <w:tcPr>
            <w:tcW w:w="1138" w:type="dxa"/>
            <w:tcBorders>
              <w:top w:val="nil"/>
              <w:left w:val="nil"/>
              <w:bottom w:val="nil"/>
              <w:right w:val="nil"/>
            </w:tcBorders>
            <w:shd w:val="clear" w:color="auto" w:fill="auto"/>
            <w:noWrap/>
            <w:vAlign w:val="center"/>
            <w:hideMark/>
          </w:tcPr>
          <w:p w14:paraId="6D81306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0,78</w:t>
            </w:r>
          </w:p>
        </w:tc>
      </w:tr>
      <w:tr w:rsidR="0099770F" w:rsidRPr="003B5783" w14:paraId="29F7137D" w14:textId="77777777" w:rsidTr="00633129">
        <w:trPr>
          <w:trHeight w:val="180"/>
        </w:trPr>
        <w:tc>
          <w:tcPr>
            <w:tcW w:w="566" w:type="dxa"/>
            <w:tcBorders>
              <w:top w:val="nil"/>
              <w:left w:val="nil"/>
              <w:bottom w:val="nil"/>
              <w:right w:val="nil"/>
            </w:tcBorders>
            <w:shd w:val="clear" w:color="auto" w:fill="auto"/>
            <w:noWrap/>
            <w:vAlign w:val="center"/>
            <w:hideMark/>
          </w:tcPr>
          <w:p w14:paraId="347B9F6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RJ</w:t>
            </w:r>
          </w:p>
        </w:tc>
        <w:tc>
          <w:tcPr>
            <w:tcW w:w="1009" w:type="dxa"/>
            <w:tcBorders>
              <w:top w:val="nil"/>
              <w:left w:val="nil"/>
              <w:bottom w:val="nil"/>
              <w:right w:val="nil"/>
            </w:tcBorders>
            <w:shd w:val="clear" w:color="auto" w:fill="auto"/>
            <w:noWrap/>
            <w:vAlign w:val="center"/>
            <w:hideMark/>
          </w:tcPr>
          <w:p w14:paraId="059FCDC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-100,498</w:t>
            </w:r>
          </w:p>
        </w:tc>
        <w:tc>
          <w:tcPr>
            <w:tcW w:w="1122" w:type="dxa"/>
            <w:tcBorders>
              <w:top w:val="nil"/>
              <w:left w:val="nil"/>
              <w:bottom w:val="nil"/>
              <w:right w:val="nil"/>
            </w:tcBorders>
            <w:shd w:val="clear" w:color="auto" w:fill="auto"/>
            <w:noWrap/>
            <w:vAlign w:val="center"/>
            <w:hideMark/>
          </w:tcPr>
          <w:p w14:paraId="5EA6E39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0,085</w:t>
            </w:r>
          </w:p>
        </w:tc>
        <w:tc>
          <w:tcPr>
            <w:tcW w:w="1523" w:type="dxa"/>
            <w:tcBorders>
              <w:top w:val="nil"/>
              <w:left w:val="nil"/>
              <w:bottom w:val="nil"/>
              <w:right w:val="nil"/>
            </w:tcBorders>
            <w:shd w:val="clear" w:color="auto" w:fill="auto"/>
            <w:noWrap/>
            <w:vAlign w:val="center"/>
            <w:hideMark/>
          </w:tcPr>
          <w:p w14:paraId="4376524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-1,548</w:t>
            </w:r>
          </w:p>
        </w:tc>
        <w:tc>
          <w:tcPr>
            <w:tcW w:w="1636" w:type="dxa"/>
            <w:tcBorders>
              <w:top w:val="nil"/>
              <w:left w:val="nil"/>
              <w:bottom w:val="nil"/>
              <w:right w:val="nil"/>
            </w:tcBorders>
            <w:shd w:val="clear" w:color="auto" w:fill="auto"/>
            <w:noWrap/>
            <w:vAlign w:val="center"/>
            <w:hideMark/>
          </w:tcPr>
          <w:p w14:paraId="2D3F44A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0,161</w:t>
            </w:r>
          </w:p>
        </w:tc>
        <w:tc>
          <w:tcPr>
            <w:tcW w:w="1167" w:type="dxa"/>
            <w:tcBorders>
              <w:top w:val="nil"/>
              <w:left w:val="nil"/>
              <w:bottom w:val="nil"/>
              <w:right w:val="nil"/>
            </w:tcBorders>
            <w:shd w:val="clear" w:color="auto" w:fill="auto"/>
            <w:noWrap/>
            <w:vAlign w:val="center"/>
            <w:hideMark/>
          </w:tcPr>
          <w:p w14:paraId="6F38E8B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82,898</w:t>
            </w:r>
          </w:p>
        </w:tc>
        <w:tc>
          <w:tcPr>
            <w:tcW w:w="1281" w:type="dxa"/>
            <w:tcBorders>
              <w:top w:val="nil"/>
              <w:left w:val="nil"/>
              <w:bottom w:val="nil"/>
              <w:right w:val="nil"/>
            </w:tcBorders>
            <w:shd w:val="clear" w:color="auto" w:fill="auto"/>
            <w:noWrap/>
            <w:vAlign w:val="center"/>
            <w:hideMark/>
          </w:tcPr>
          <w:p w14:paraId="7543D97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0,152</w:t>
            </w:r>
          </w:p>
        </w:tc>
        <w:tc>
          <w:tcPr>
            <w:tcW w:w="1024" w:type="dxa"/>
            <w:tcBorders>
              <w:top w:val="nil"/>
              <w:left w:val="nil"/>
              <w:bottom w:val="nil"/>
              <w:right w:val="nil"/>
            </w:tcBorders>
            <w:shd w:val="clear" w:color="auto" w:fill="auto"/>
            <w:noWrap/>
            <w:vAlign w:val="center"/>
            <w:hideMark/>
          </w:tcPr>
          <w:p w14:paraId="46F9A9B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-19,654</w:t>
            </w:r>
          </w:p>
        </w:tc>
        <w:tc>
          <w:tcPr>
            <w:tcW w:w="1138" w:type="dxa"/>
            <w:tcBorders>
              <w:top w:val="nil"/>
              <w:left w:val="nil"/>
              <w:bottom w:val="nil"/>
              <w:right w:val="nil"/>
            </w:tcBorders>
            <w:shd w:val="clear" w:color="auto" w:fill="auto"/>
            <w:noWrap/>
            <w:vAlign w:val="center"/>
            <w:hideMark/>
          </w:tcPr>
          <w:p w14:paraId="72F1312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0,116</w:t>
            </w:r>
          </w:p>
        </w:tc>
      </w:tr>
      <w:tr w:rsidR="0099770F" w:rsidRPr="003B5783" w14:paraId="251C758C" w14:textId="77777777" w:rsidTr="00633129">
        <w:trPr>
          <w:trHeight w:val="180"/>
        </w:trPr>
        <w:tc>
          <w:tcPr>
            <w:tcW w:w="566" w:type="dxa"/>
            <w:tcBorders>
              <w:top w:val="nil"/>
              <w:left w:val="nil"/>
              <w:bottom w:val="nil"/>
              <w:right w:val="nil"/>
            </w:tcBorders>
            <w:shd w:val="clear" w:color="auto" w:fill="auto"/>
            <w:noWrap/>
            <w:vAlign w:val="center"/>
            <w:hideMark/>
          </w:tcPr>
          <w:p w14:paraId="06B35AF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RO</w:t>
            </w:r>
          </w:p>
        </w:tc>
        <w:tc>
          <w:tcPr>
            <w:tcW w:w="1009" w:type="dxa"/>
            <w:tcBorders>
              <w:top w:val="nil"/>
              <w:left w:val="nil"/>
              <w:bottom w:val="nil"/>
              <w:right w:val="nil"/>
            </w:tcBorders>
            <w:shd w:val="clear" w:color="auto" w:fill="auto"/>
            <w:noWrap/>
            <w:vAlign w:val="center"/>
            <w:hideMark/>
          </w:tcPr>
          <w:p w14:paraId="29B62E58"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-66,583</w:t>
            </w:r>
          </w:p>
        </w:tc>
        <w:tc>
          <w:tcPr>
            <w:tcW w:w="1122" w:type="dxa"/>
            <w:tcBorders>
              <w:top w:val="nil"/>
              <w:left w:val="nil"/>
              <w:bottom w:val="nil"/>
              <w:right w:val="nil"/>
            </w:tcBorders>
            <w:shd w:val="clear" w:color="auto" w:fill="auto"/>
            <w:noWrap/>
            <w:vAlign w:val="center"/>
            <w:hideMark/>
          </w:tcPr>
          <w:p w14:paraId="4D1CB3AB"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0</w:t>
            </w:r>
          </w:p>
        </w:tc>
        <w:tc>
          <w:tcPr>
            <w:tcW w:w="1523" w:type="dxa"/>
            <w:tcBorders>
              <w:top w:val="nil"/>
              <w:left w:val="nil"/>
              <w:bottom w:val="nil"/>
              <w:right w:val="nil"/>
            </w:tcBorders>
            <w:shd w:val="clear" w:color="auto" w:fill="auto"/>
            <w:noWrap/>
            <w:vAlign w:val="center"/>
            <w:hideMark/>
          </w:tcPr>
          <w:p w14:paraId="61258ED2"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-13,397</w:t>
            </w:r>
          </w:p>
        </w:tc>
        <w:tc>
          <w:tcPr>
            <w:tcW w:w="1636" w:type="dxa"/>
            <w:tcBorders>
              <w:top w:val="nil"/>
              <w:left w:val="nil"/>
              <w:bottom w:val="nil"/>
              <w:right w:val="nil"/>
            </w:tcBorders>
            <w:shd w:val="clear" w:color="auto" w:fill="auto"/>
            <w:noWrap/>
            <w:vAlign w:val="center"/>
            <w:hideMark/>
          </w:tcPr>
          <w:p w14:paraId="78E4F71C"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02E8F1CD" w14:textId="77777777" w:rsidR="0099770F" w:rsidRPr="00797AED" w:rsidRDefault="0099770F" w:rsidP="00633129">
            <w:pPr>
              <w:spacing w:after="0" w:line="240" w:lineRule="auto"/>
              <w:jc w:val="center"/>
              <w:rPr>
                <w:rFonts w:ascii="Calibri" w:eastAsia="Times New Roman" w:hAnsi="Calibri" w:cs="Calibri"/>
                <w:color w:val="000000"/>
                <w:sz w:val="18"/>
                <w:szCs w:val="18"/>
                <w:lang w:val="en-US"/>
              </w:rPr>
            </w:pPr>
            <w:r w:rsidRPr="00797AED">
              <w:rPr>
                <w:rFonts w:ascii="Calibri" w:eastAsia="Times New Roman" w:hAnsi="Calibri" w:cs="Calibri"/>
                <w:color w:val="000000"/>
                <w:sz w:val="18"/>
                <w:szCs w:val="18"/>
                <w:lang w:val="en-US"/>
              </w:rPr>
              <w:t>8,142</w:t>
            </w:r>
          </w:p>
        </w:tc>
        <w:tc>
          <w:tcPr>
            <w:tcW w:w="1281" w:type="dxa"/>
            <w:tcBorders>
              <w:top w:val="nil"/>
              <w:left w:val="nil"/>
              <w:bottom w:val="nil"/>
              <w:right w:val="nil"/>
            </w:tcBorders>
            <w:shd w:val="clear" w:color="auto" w:fill="auto"/>
            <w:noWrap/>
            <w:vAlign w:val="center"/>
            <w:hideMark/>
          </w:tcPr>
          <w:p w14:paraId="3D90E61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0,813</w:t>
            </w:r>
          </w:p>
        </w:tc>
        <w:tc>
          <w:tcPr>
            <w:tcW w:w="1024" w:type="dxa"/>
            <w:tcBorders>
              <w:top w:val="nil"/>
              <w:left w:val="nil"/>
              <w:bottom w:val="nil"/>
              <w:right w:val="nil"/>
            </w:tcBorders>
            <w:shd w:val="clear" w:color="auto" w:fill="auto"/>
            <w:noWrap/>
            <w:vAlign w:val="center"/>
            <w:hideMark/>
          </w:tcPr>
          <w:p w14:paraId="7AD6F48A" w14:textId="77777777" w:rsidR="0099770F" w:rsidRPr="00CB67A1" w:rsidRDefault="0099770F" w:rsidP="00633129">
            <w:pPr>
              <w:spacing w:after="0" w:line="240" w:lineRule="auto"/>
              <w:jc w:val="center"/>
              <w:rPr>
                <w:rFonts w:ascii="Calibri" w:eastAsia="Times New Roman" w:hAnsi="Calibri" w:cs="Calibri"/>
                <w:color w:val="FF0000"/>
                <w:sz w:val="18"/>
                <w:szCs w:val="18"/>
                <w:lang w:val="en-US"/>
              </w:rPr>
            </w:pPr>
            <w:r w:rsidRPr="00CB67A1">
              <w:rPr>
                <w:rFonts w:ascii="Calibri" w:eastAsia="Times New Roman" w:hAnsi="Calibri" w:cs="Calibri"/>
                <w:color w:val="FF0000"/>
                <w:sz w:val="18"/>
                <w:szCs w:val="18"/>
                <w:lang w:val="en-US"/>
              </w:rPr>
              <w:t>11,506</w:t>
            </w:r>
          </w:p>
        </w:tc>
        <w:tc>
          <w:tcPr>
            <w:tcW w:w="1138" w:type="dxa"/>
            <w:tcBorders>
              <w:top w:val="nil"/>
              <w:left w:val="nil"/>
              <w:bottom w:val="nil"/>
              <w:right w:val="nil"/>
            </w:tcBorders>
            <w:shd w:val="clear" w:color="auto" w:fill="auto"/>
            <w:noWrap/>
            <w:vAlign w:val="center"/>
            <w:hideMark/>
          </w:tcPr>
          <w:p w14:paraId="2370453A" w14:textId="77777777" w:rsidR="0099770F" w:rsidRPr="00CB67A1" w:rsidRDefault="0099770F" w:rsidP="00633129">
            <w:pPr>
              <w:spacing w:after="0" w:line="240" w:lineRule="auto"/>
              <w:jc w:val="center"/>
              <w:rPr>
                <w:rFonts w:ascii="Calibri" w:eastAsia="Times New Roman" w:hAnsi="Calibri" w:cs="Calibri"/>
                <w:color w:val="FF0000"/>
                <w:sz w:val="18"/>
                <w:szCs w:val="18"/>
                <w:lang w:val="en-US"/>
              </w:rPr>
            </w:pPr>
            <w:r w:rsidRPr="00CB67A1">
              <w:rPr>
                <w:rFonts w:ascii="Calibri" w:eastAsia="Times New Roman" w:hAnsi="Calibri" w:cs="Calibri"/>
                <w:color w:val="FF0000"/>
                <w:sz w:val="18"/>
                <w:szCs w:val="18"/>
                <w:lang w:val="en-US"/>
              </w:rPr>
              <w:t>0,007</w:t>
            </w:r>
          </w:p>
        </w:tc>
      </w:tr>
      <w:tr w:rsidR="0099770F" w:rsidRPr="003B5783" w14:paraId="05451400" w14:textId="77777777" w:rsidTr="00633129">
        <w:trPr>
          <w:trHeight w:val="180"/>
        </w:trPr>
        <w:tc>
          <w:tcPr>
            <w:tcW w:w="566" w:type="dxa"/>
            <w:tcBorders>
              <w:top w:val="nil"/>
              <w:left w:val="nil"/>
              <w:bottom w:val="nil"/>
              <w:right w:val="nil"/>
            </w:tcBorders>
            <w:shd w:val="clear" w:color="auto" w:fill="auto"/>
            <w:noWrap/>
            <w:vAlign w:val="center"/>
            <w:hideMark/>
          </w:tcPr>
          <w:p w14:paraId="4FD64D8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RS</w:t>
            </w:r>
          </w:p>
        </w:tc>
        <w:tc>
          <w:tcPr>
            <w:tcW w:w="1009" w:type="dxa"/>
            <w:tcBorders>
              <w:top w:val="nil"/>
              <w:left w:val="nil"/>
              <w:bottom w:val="nil"/>
              <w:right w:val="nil"/>
            </w:tcBorders>
            <w:shd w:val="clear" w:color="auto" w:fill="auto"/>
            <w:noWrap/>
            <w:vAlign w:val="center"/>
            <w:hideMark/>
          </w:tcPr>
          <w:p w14:paraId="6B6933C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87,713</w:t>
            </w:r>
          </w:p>
        </w:tc>
        <w:tc>
          <w:tcPr>
            <w:tcW w:w="1122" w:type="dxa"/>
            <w:tcBorders>
              <w:top w:val="nil"/>
              <w:left w:val="nil"/>
              <w:bottom w:val="nil"/>
              <w:right w:val="nil"/>
            </w:tcBorders>
            <w:shd w:val="clear" w:color="auto" w:fill="auto"/>
            <w:noWrap/>
            <w:vAlign w:val="center"/>
            <w:hideMark/>
          </w:tcPr>
          <w:p w14:paraId="3DF4E75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0,145</w:t>
            </w:r>
          </w:p>
        </w:tc>
        <w:tc>
          <w:tcPr>
            <w:tcW w:w="1523" w:type="dxa"/>
            <w:tcBorders>
              <w:top w:val="nil"/>
              <w:left w:val="nil"/>
              <w:bottom w:val="nil"/>
              <w:right w:val="nil"/>
            </w:tcBorders>
            <w:shd w:val="clear" w:color="auto" w:fill="auto"/>
            <w:noWrap/>
            <w:vAlign w:val="center"/>
            <w:hideMark/>
          </w:tcPr>
          <w:p w14:paraId="775B99FE"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-2,06</w:t>
            </w:r>
          </w:p>
        </w:tc>
        <w:tc>
          <w:tcPr>
            <w:tcW w:w="1636" w:type="dxa"/>
            <w:tcBorders>
              <w:top w:val="nil"/>
              <w:left w:val="nil"/>
              <w:bottom w:val="nil"/>
              <w:right w:val="nil"/>
            </w:tcBorders>
            <w:shd w:val="clear" w:color="auto" w:fill="auto"/>
            <w:noWrap/>
            <w:vAlign w:val="center"/>
            <w:hideMark/>
          </w:tcPr>
          <w:p w14:paraId="102F979E"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0,017</w:t>
            </w:r>
          </w:p>
        </w:tc>
        <w:tc>
          <w:tcPr>
            <w:tcW w:w="1167" w:type="dxa"/>
            <w:tcBorders>
              <w:top w:val="nil"/>
              <w:left w:val="nil"/>
              <w:bottom w:val="nil"/>
              <w:right w:val="nil"/>
            </w:tcBorders>
            <w:shd w:val="clear" w:color="auto" w:fill="auto"/>
            <w:noWrap/>
            <w:vAlign w:val="center"/>
            <w:hideMark/>
          </w:tcPr>
          <w:p w14:paraId="0CD8431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-20,316</w:t>
            </w:r>
          </w:p>
        </w:tc>
        <w:tc>
          <w:tcPr>
            <w:tcW w:w="1281" w:type="dxa"/>
            <w:tcBorders>
              <w:top w:val="nil"/>
              <w:left w:val="nil"/>
              <w:bottom w:val="nil"/>
              <w:right w:val="nil"/>
            </w:tcBorders>
            <w:shd w:val="clear" w:color="auto" w:fill="auto"/>
            <w:noWrap/>
            <w:vAlign w:val="center"/>
            <w:hideMark/>
          </w:tcPr>
          <w:p w14:paraId="5F91C5A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0,572</w:t>
            </w:r>
          </w:p>
        </w:tc>
        <w:tc>
          <w:tcPr>
            <w:tcW w:w="1024" w:type="dxa"/>
            <w:tcBorders>
              <w:top w:val="nil"/>
              <w:left w:val="nil"/>
              <w:bottom w:val="nil"/>
              <w:right w:val="nil"/>
            </w:tcBorders>
            <w:shd w:val="clear" w:color="auto" w:fill="auto"/>
            <w:noWrap/>
            <w:vAlign w:val="center"/>
            <w:hideMark/>
          </w:tcPr>
          <w:p w14:paraId="7657A54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6,8</w:t>
            </w:r>
          </w:p>
        </w:tc>
        <w:tc>
          <w:tcPr>
            <w:tcW w:w="1138" w:type="dxa"/>
            <w:tcBorders>
              <w:top w:val="nil"/>
              <w:left w:val="nil"/>
              <w:bottom w:val="nil"/>
              <w:right w:val="nil"/>
            </w:tcBorders>
            <w:shd w:val="clear" w:color="auto" w:fill="auto"/>
            <w:noWrap/>
            <w:vAlign w:val="center"/>
            <w:hideMark/>
          </w:tcPr>
          <w:p w14:paraId="1B6B7A7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0,413</w:t>
            </w:r>
          </w:p>
        </w:tc>
      </w:tr>
      <w:tr w:rsidR="0099770F" w:rsidRPr="003B5783" w14:paraId="7B6DC1C9" w14:textId="77777777" w:rsidTr="00633129">
        <w:trPr>
          <w:trHeight w:val="180"/>
        </w:trPr>
        <w:tc>
          <w:tcPr>
            <w:tcW w:w="566" w:type="dxa"/>
            <w:tcBorders>
              <w:top w:val="nil"/>
              <w:left w:val="nil"/>
              <w:bottom w:val="nil"/>
              <w:right w:val="nil"/>
            </w:tcBorders>
            <w:shd w:val="clear" w:color="auto" w:fill="auto"/>
            <w:noWrap/>
            <w:vAlign w:val="center"/>
            <w:hideMark/>
          </w:tcPr>
          <w:p w14:paraId="461CFA6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SC</w:t>
            </w:r>
          </w:p>
        </w:tc>
        <w:tc>
          <w:tcPr>
            <w:tcW w:w="1009" w:type="dxa"/>
            <w:tcBorders>
              <w:top w:val="nil"/>
              <w:left w:val="nil"/>
              <w:bottom w:val="nil"/>
              <w:right w:val="nil"/>
            </w:tcBorders>
            <w:shd w:val="clear" w:color="auto" w:fill="auto"/>
            <w:noWrap/>
            <w:vAlign w:val="center"/>
            <w:hideMark/>
          </w:tcPr>
          <w:p w14:paraId="60BEEFF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-9,503</w:t>
            </w:r>
          </w:p>
        </w:tc>
        <w:tc>
          <w:tcPr>
            <w:tcW w:w="1122" w:type="dxa"/>
            <w:tcBorders>
              <w:top w:val="nil"/>
              <w:left w:val="nil"/>
              <w:bottom w:val="nil"/>
              <w:right w:val="nil"/>
            </w:tcBorders>
            <w:shd w:val="clear" w:color="auto" w:fill="auto"/>
            <w:noWrap/>
            <w:vAlign w:val="center"/>
            <w:hideMark/>
          </w:tcPr>
          <w:p w14:paraId="18080F6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0,759</w:t>
            </w:r>
          </w:p>
        </w:tc>
        <w:tc>
          <w:tcPr>
            <w:tcW w:w="1523" w:type="dxa"/>
            <w:tcBorders>
              <w:top w:val="nil"/>
              <w:left w:val="nil"/>
              <w:bottom w:val="nil"/>
              <w:right w:val="nil"/>
            </w:tcBorders>
            <w:shd w:val="clear" w:color="auto" w:fill="auto"/>
            <w:noWrap/>
            <w:vAlign w:val="center"/>
            <w:hideMark/>
          </w:tcPr>
          <w:p w14:paraId="084398E5"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-3,249</w:t>
            </w:r>
          </w:p>
        </w:tc>
        <w:tc>
          <w:tcPr>
            <w:tcW w:w="1636" w:type="dxa"/>
            <w:tcBorders>
              <w:top w:val="nil"/>
              <w:left w:val="nil"/>
              <w:bottom w:val="nil"/>
              <w:right w:val="nil"/>
            </w:tcBorders>
            <w:shd w:val="clear" w:color="auto" w:fill="auto"/>
            <w:noWrap/>
            <w:vAlign w:val="center"/>
            <w:hideMark/>
          </w:tcPr>
          <w:p w14:paraId="244D3EB1"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0,001</w:t>
            </w:r>
          </w:p>
        </w:tc>
        <w:tc>
          <w:tcPr>
            <w:tcW w:w="1167" w:type="dxa"/>
            <w:tcBorders>
              <w:top w:val="nil"/>
              <w:left w:val="nil"/>
              <w:bottom w:val="nil"/>
              <w:right w:val="nil"/>
            </w:tcBorders>
            <w:shd w:val="clear" w:color="auto" w:fill="auto"/>
            <w:noWrap/>
            <w:vAlign w:val="center"/>
            <w:hideMark/>
          </w:tcPr>
          <w:p w14:paraId="426ADA4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-125,487</w:t>
            </w:r>
          </w:p>
        </w:tc>
        <w:tc>
          <w:tcPr>
            <w:tcW w:w="1281" w:type="dxa"/>
            <w:tcBorders>
              <w:top w:val="nil"/>
              <w:left w:val="nil"/>
              <w:bottom w:val="nil"/>
              <w:right w:val="nil"/>
            </w:tcBorders>
            <w:shd w:val="clear" w:color="auto" w:fill="auto"/>
            <w:noWrap/>
            <w:vAlign w:val="center"/>
            <w:hideMark/>
          </w:tcPr>
          <w:p w14:paraId="18459930"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024" w:type="dxa"/>
            <w:tcBorders>
              <w:top w:val="nil"/>
              <w:left w:val="nil"/>
              <w:bottom w:val="nil"/>
              <w:right w:val="nil"/>
            </w:tcBorders>
            <w:shd w:val="clear" w:color="auto" w:fill="auto"/>
            <w:noWrap/>
            <w:vAlign w:val="center"/>
            <w:hideMark/>
          </w:tcPr>
          <w:p w14:paraId="4112786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5,058</w:t>
            </w:r>
          </w:p>
        </w:tc>
        <w:tc>
          <w:tcPr>
            <w:tcW w:w="1138" w:type="dxa"/>
            <w:tcBorders>
              <w:top w:val="nil"/>
              <w:left w:val="nil"/>
              <w:bottom w:val="nil"/>
              <w:right w:val="nil"/>
            </w:tcBorders>
            <w:shd w:val="clear" w:color="auto" w:fill="auto"/>
            <w:noWrap/>
            <w:vAlign w:val="center"/>
            <w:hideMark/>
          </w:tcPr>
          <w:p w14:paraId="7CA25A4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0,335</w:t>
            </w:r>
          </w:p>
        </w:tc>
      </w:tr>
      <w:tr w:rsidR="0099770F" w:rsidRPr="003B5783" w14:paraId="6DB4E9D4" w14:textId="77777777" w:rsidTr="00633129">
        <w:trPr>
          <w:trHeight w:val="180"/>
        </w:trPr>
        <w:tc>
          <w:tcPr>
            <w:tcW w:w="566" w:type="dxa"/>
            <w:tcBorders>
              <w:top w:val="nil"/>
              <w:left w:val="nil"/>
              <w:bottom w:val="nil"/>
              <w:right w:val="nil"/>
            </w:tcBorders>
            <w:shd w:val="clear" w:color="auto" w:fill="auto"/>
            <w:noWrap/>
            <w:vAlign w:val="center"/>
            <w:hideMark/>
          </w:tcPr>
          <w:p w14:paraId="3CB0293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SP</w:t>
            </w:r>
          </w:p>
        </w:tc>
        <w:tc>
          <w:tcPr>
            <w:tcW w:w="1009" w:type="dxa"/>
            <w:tcBorders>
              <w:top w:val="nil"/>
              <w:left w:val="nil"/>
              <w:bottom w:val="nil"/>
              <w:right w:val="nil"/>
            </w:tcBorders>
            <w:shd w:val="clear" w:color="auto" w:fill="auto"/>
            <w:noWrap/>
            <w:vAlign w:val="center"/>
            <w:hideMark/>
          </w:tcPr>
          <w:p w14:paraId="4D29094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80,853</w:t>
            </w:r>
          </w:p>
        </w:tc>
        <w:tc>
          <w:tcPr>
            <w:tcW w:w="1122" w:type="dxa"/>
            <w:tcBorders>
              <w:top w:val="nil"/>
              <w:left w:val="nil"/>
              <w:bottom w:val="nil"/>
              <w:right w:val="nil"/>
            </w:tcBorders>
            <w:shd w:val="clear" w:color="auto" w:fill="auto"/>
            <w:noWrap/>
            <w:vAlign w:val="center"/>
            <w:hideMark/>
          </w:tcPr>
          <w:p w14:paraId="3A56BA4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0,275</w:t>
            </w:r>
          </w:p>
        </w:tc>
        <w:tc>
          <w:tcPr>
            <w:tcW w:w="1523" w:type="dxa"/>
            <w:tcBorders>
              <w:top w:val="nil"/>
              <w:left w:val="nil"/>
              <w:bottom w:val="nil"/>
              <w:right w:val="nil"/>
            </w:tcBorders>
            <w:shd w:val="clear" w:color="auto" w:fill="auto"/>
            <w:noWrap/>
            <w:vAlign w:val="center"/>
            <w:hideMark/>
          </w:tcPr>
          <w:p w14:paraId="2C34C71A"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0,28</w:t>
            </w:r>
          </w:p>
        </w:tc>
        <w:tc>
          <w:tcPr>
            <w:tcW w:w="1636" w:type="dxa"/>
            <w:tcBorders>
              <w:top w:val="nil"/>
              <w:left w:val="nil"/>
              <w:bottom w:val="nil"/>
              <w:right w:val="nil"/>
            </w:tcBorders>
            <w:shd w:val="clear" w:color="auto" w:fill="auto"/>
            <w:noWrap/>
            <w:vAlign w:val="center"/>
            <w:hideMark/>
          </w:tcPr>
          <w:p w14:paraId="7FC708B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0,875</w:t>
            </w:r>
          </w:p>
        </w:tc>
        <w:tc>
          <w:tcPr>
            <w:tcW w:w="1167" w:type="dxa"/>
            <w:tcBorders>
              <w:top w:val="nil"/>
              <w:left w:val="nil"/>
              <w:bottom w:val="nil"/>
              <w:right w:val="nil"/>
            </w:tcBorders>
            <w:shd w:val="clear" w:color="auto" w:fill="auto"/>
            <w:noWrap/>
            <w:vAlign w:val="center"/>
            <w:hideMark/>
          </w:tcPr>
          <w:p w14:paraId="11A606E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-65,558</w:t>
            </w:r>
          </w:p>
        </w:tc>
        <w:tc>
          <w:tcPr>
            <w:tcW w:w="1281" w:type="dxa"/>
            <w:tcBorders>
              <w:top w:val="nil"/>
              <w:left w:val="nil"/>
              <w:bottom w:val="nil"/>
              <w:right w:val="nil"/>
            </w:tcBorders>
            <w:shd w:val="clear" w:color="auto" w:fill="auto"/>
            <w:noWrap/>
            <w:vAlign w:val="center"/>
            <w:hideMark/>
          </w:tcPr>
          <w:p w14:paraId="2963D59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0,156</w:t>
            </w:r>
          </w:p>
        </w:tc>
        <w:tc>
          <w:tcPr>
            <w:tcW w:w="1024" w:type="dxa"/>
            <w:tcBorders>
              <w:top w:val="nil"/>
              <w:left w:val="nil"/>
              <w:bottom w:val="nil"/>
              <w:right w:val="nil"/>
            </w:tcBorders>
            <w:shd w:val="clear" w:color="auto" w:fill="auto"/>
            <w:noWrap/>
            <w:vAlign w:val="center"/>
            <w:hideMark/>
          </w:tcPr>
          <w:p w14:paraId="7604C2A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5,248</w:t>
            </w:r>
          </w:p>
        </w:tc>
        <w:tc>
          <w:tcPr>
            <w:tcW w:w="1138" w:type="dxa"/>
            <w:tcBorders>
              <w:top w:val="nil"/>
              <w:left w:val="nil"/>
              <w:bottom w:val="nil"/>
              <w:right w:val="nil"/>
            </w:tcBorders>
            <w:shd w:val="clear" w:color="auto" w:fill="auto"/>
            <w:noWrap/>
            <w:vAlign w:val="center"/>
            <w:hideMark/>
          </w:tcPr>
          <w:p w14:paraId="2FABD27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0,558</w:t>
            </w:r>
          </w:p>
        </w:tc>
      </w:tr>
      <w:tr w:rsidR="0099770F" w:rsidRPr="003B5783" w14:paraId="3705BA95" w14:textId="77777777" w:rsidTr="00633129">
        <w:trPr>
          <w:trHeight w:val="195"/>
        </w:trPr>
        <w:tc>
          <w:tcPr>
            <w:tcW w:w="566" w:type="dxa"/>
            <w:tcBorders>
              <w:top w:val="nil"/>
              <w:left w:val="nil"/>
              <w:bottom w:val="nil"/>
              <w:right w:val="nil"/>
            </w:tcBorders>
            <w:shd w:val="clear" w:color="auto" w:fill="auto"/>
            <w:noWrap/>
            <w:vAlign w:val="bottom"/>
            <w:hideMark/>
          </w:tcPr>
          <w:p w14:paraId="507B4D5F" w14:textId="77777777" w:rsidR="0099770F" w:rsidRPr="003B5783" w:rsidRDefault="0099770F" w:rsidP="00633129">
            <w:pPr>
              <w:spacing w:after="0" w:line="240" w:lineRule="auto"/>
              <w:jc w:val="center"/>
              <w:rPr>
                <w:rFonts w:ascii="Calibri" w:eastAsia="Times New Roman" w:hAnsi="Calibri" w:cs="Calibri"/>
                <w:b/>
                <w:bCs/>
                <w:color w:val="000000"/>
                <w:sz w:val="18"/>
                <w:szCs w:val="18"/>
                <w:lang w:val="en-US"/>
              </w:rPr>
            </w:pPr>
          </w:p>
        </w:tc>
        <w:tc>
          <w:tcPr>
            <w:tcW w:w="1009" w:type="dxa"/>
            <w:tcBorders>
              <w:top w:val="nil"/>
              <w:left w:val="nil"/>
              <w:bottom w:val="nil"/>
              <w:right w:val="nil"/>
            </w:tcBorders>
            <w:shd w:val="clear" w:color="auto" w:fill="auto"/>
            <w:noWrap/>
            <w:vAlign w:val="bottom"/>
            <w:hideMark/>
          </w:tcPr>
          <w:p w14:paraId="255409F5" w14:textId="77777777" w:rsidR="0099770F" w:rsidRPr="003B5783" w:rsidRDefault="0099770F" w:rsidP="00633129">
            <w:pPr>
              <w:spacing w:after="0" w:line="240" w:lineRule="auto"/>
              <w:rPr>
                <w:rFonts w:ascii="Times New Roman" w:eastAsia="Times New Roman" w:hAnsi="Times New Roman" w:cs="Times New Roman"/>
                <w:b/>
                <w:bCs/>
                <w:sz w:val="18"/>
                <w:szCs w:val="18"/>
                <w:lang w:val="en-US"/>
              </w:rPr>
            </w:pPr>
          </w:p>
        </w:tc>
        <w:tc>
          <w:tcPr>
            <w:tcW w:w="1122" w:type="dxa"/>
            <w:tcBorders>
              <w:top w:val="nil"/>
              <w:left w:val="nil"/>
              <w:bottom w:val="nil"/>
              <w:right w:val="nil"/>
            </w:tcBorders>
            <w:shd w:val="clear" w:color="auto" w:fill="auto"/>
            <w:noWrap/>
            <w:vAlign w:val="bottom"/>
            <w:hideMark/>
          </w:tcPr>
          <w:p w14:paraId="240ECAAE" w14:textId="77777777" w:rsidR="0099770F" w:rsidRPr="003B5783" w:rsidRDefault="0099770F" w:rsidP="00633129">
            <w:pPr>
              <w:spacing w:after="0" w:line="240" w:lineRule="auto"/>
              <w:rPr>
                <w:rFonts w:ascii="Times New Roman" w:eastAsia="Times New Roman" w:hAnsi="Times New Roman" w:cs="Times New Roman"/>
                <w:b/>
                <w:bCs/>
                <w:sz w:val="18"/>
                <w:szCs w:val="18"/>
                <w:lang w:val="en-US"/>
              </w:rPr>
            </w:pPr>
          </w:p>
        </w:tc>
        <w:tc>
          <w:tcPr>
            <w:tcW w:w="1523" w:type="dxa"/>
            <w:tcBorders>
              <w:top w:val="nil"/>
              <w:left w:val="nil"/>
              <w:bottom w:val="nil"/>
              <w:right w:val="nil"/>
            </w:tcBorders>
            <w:shd w:val="clear" w:color="auto" w:fill="auto"/>
            <w:noWrap/>
            <w:vAlign w:val="bottom"/>
            <w:hideMark/>
          </w:tcPr>
          <w:p w14:paraId="66824468" w14:textId="77777777" w:rsidR="0099770F" w:rsidRPr="003B5783" w:rsidRDefault="0099770F" w:rsidP="00633129">
            <w:pPr>
              <w:spacing w:after="0" w:line="240" w:lineRule="auto"/>
              <w:rPr>
                <w:rFonts w:ascii="Times New Roman" w:eastAsia="Times New Roman" w:hAnsi="Times New Roman" w:cs="Times New Roman"/>
                <w:b/>
                <w:bCs/>
                <w:sz w:val="18"/>
                <w:szCs w:val="18"/>
                <w:lang w:val="en-US"/>
              </w:rPr>
            </w:pPr>
          </w:p>
        </w:tc>
        <w:tc>
          <w:tcPr>
            <w:tcW w:w="1636" w:type="dxa"/>
            <w:tcBorders>
              <w:top w:val="nil"/>
              <w:left w:val="nil"/>
              <w:bottom w:val="nil"/>
              <w:right w:val="nil"/>
            </w:tcBorders>
            <w:shd w:val="clear" w:color="auto" w:fill="auto"/>
            <w:noWrap/>
            <w:vAlign w:val="bottom"/>
            <w:hideMark/>
          </w:tcPr>
          <w:p w14:paraId="2E8749C3" w14:textId="77777777" w:rsidR="0099770F" w:rsidRPr="003B5783" w:rsidRDefault="0099770F" w:rsidP="00633129">
            <w:pPr>
              <w:spacing w:after="0" w:line="240" w:lineRule="auto"/>
              <w:rPr>
                <w:rFonts w:ascii="Times New Roman" w:eastAsia="Times New Roman" w:hAnsi="Times New Roman" w:cs="Times New Roman"/>
                <w:b/>
                <w:bCs/>
                <w:sz w:val="18"/>
                <w:szCs w:val="18"/>
                <w:lang w:val="en-US"/>
              </w:rPr>
            </w:pPr>
          </w:p>
        </w:tc>
        <w:tc>
          <w:tcPr>
            <w:tcW w:w="1167" w:type="dxa"/>
            <w:tcBorders>
              <w:top w:val="nil"/>
              <w:left w:val="nil"/>
              <w:bottom w:val="nil"/>
              <w:right w:val="nil"/>
            </w:tcBorders>
            <w:shd w:val="clear" w:color="auto" w:fill="auto"/>
            <w:noWrap/>
            <w:vAlign w:val="bottom"/>
            <w:hideMark/>
          </w:tcPr>
          <w:p w14:paraId="17257A9C" w14:textId="77777777" w:rsidR="0099770F" w:rsidRPr="003B5783" w:rsidRDefault="0099770F" w:rsidP="00633129">
            <w:pPr>
              <w:spacing w:after="0" w:line="240" w:lineRule="auto"/>
              <w:rPr>
                <w:rFonts w:ascii="Times New Roman" w:eastAsia="Times New Roman" w:hAnsi="Times New Roman" w:cs="Times New Roman"/>
                <w:b/>
                <w:bCs/>
                <w:sz w:val="18"/>
                <w:szCs w:val="18"/>
                <w:lang w:val="en-US"/>
              </w:rPr>
            </w:pPr>
          </w:p>
        </w:tc>
        <w:tc>
          <w:tcPr>
            <w:tcW w:w="1281" w:type="dxa"/>
            <w:tcBorders>
              <w:top w:val="nil"/>
              <w:left w:val="nil"/>
              <w:bottom w:val="nil"/>
              <w:right w:val="nil"/>
            </w:tcBorders>
            <w:shd w:val="clear" w:color="auto" w:fill="auto"/>
            <w:noWrap/>
            <w:vAlign w:val="bottom"/>
            <w:hideMark/>
          </w:tcPr>
          <w:p w14:paraId="13DD7210" w14:textId="77777777" w:rsidR="0099770F" w:rsidRPr="003B5783" w:rsidRDefault="0099770F" w:rsidP="00633129">
            <w:pPr>
              <w:spacing w:after="0" w:line="240" w:lineRule="auto"/>
              <w:rPr>
                <w:rFonts w:ascii="Times New Roman" w:eastAsia="Times New Roman" w:hAnsi="Times New Roman" w:cs="Times New Roman"/>
                <w:b/>
                <w:bCs/>
                <w:sz w:val="18"/>
                <w:szCs w:val="18"/>
                <w:lang w:val="en-US"/>
              </w:rPr>
            </w:pPr>
          </w:p>
        </w:tc>
        <w:tc>
          <w:tcPr>
            <w:tcW w:w="1024" w:type="dxa"/>
            <w:tcBorders>
              <w:top w:val="nil"/>
              <w:left w:val="nil"/>
              <w:bottom w:val="nil"/>
              <w:right w:val="nil"/>
            </w:tcBorders>
            <w:shd w:val="clear" w:color="auto" w:fill="auto"/>
            <w:noWrap/>
            <w:vAlign w:val="bottom"/>
            <w:hideMark/>
          </w:tcPr>
          <w:p w14:paraId="316D9CEA"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c>
          <w:tcPr>
            <w:tcW w:w="1138" w:type="dxa"/>
            <w:tcBorders>
              <w:top w:val="nil"/>
              <w:left w:val="nil"/>
              <w:bottom w:val="nil"/>
              <w:right w:val="nil"/>
            </w:tcBorders>
            <w:shd w:val="clear" w:color="auto" w:fill="auto"/>
            <w:noWrap/>
            <w:vAlign w:val="bottom"/>
            <w:hideMark/>
          </w:tcPr>
          <w:p w14:paraId="55299353"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62862AB9" w14:textId="77777777" w:rsidTr="00633129">
        <w:trPr>
          <w:trHeight w:val="195"/>
        </w:trPr>
        <w:tc>
          <w:tcPr>
            <w:tcW w:w="566" w:type="dxa"/>
            <w:tcBorders>
              <w:top w:val="single" w:sz="8" w:space="0" w:color="auto"/>
              <w:left w:val="nil"/>
              <w:bottom w:val="double" w:sz="6" w:space="0" w:color="auto"/>
              <w:right w:val="nil"/>
            </w:tcBorders>
            <w:shd w:val="clear" w:color="auto" w:fill="auto"/>
            <w:vAlign w:val="center"/>
            <w:hideMark/>
          </w:tcPr>
          <w:p w14:paraId="71D3C16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E60DC6">
              <w:rPr>
                <w:rFonts w:ascii="Calibri" w:eastAsia="Times New Roman" w:hAnsi="Calibri" w:cs="Calibri"/>
                <w:color w:val="000000"/>
                <w:sz w:val="18"/>
                <w:szCs w:val="18"/>
                <w:lang w:val="en-US"/>
              </w:rPr>
              <w:t>UF</w:t>
            </w:r>
          </w:p>
        </w:tc>
        <w:tc>
          <w:tcPr>
            <w:tcW w:w="1009" w:type="dxa"/>
            <w:tcBorders>
              <w:top w:val="single" w:sz="8" w:space="0" w:color="auto"/>
              <w:left w:val="nil"/>
              <w:bottom w:val="double" w:sz="6" w:space="0" w:color="auto"/>
              <w:right w:val="nil"/>
            </w:tcBorders>
            <w:shd w:val="clear" w:color="auto" w:fill="auto"/>
            <w:vAlign w:val="center"/>
            <w:hideMark/>
          </w:tcPr>
          <w:p w14:paraId="63AEFC4E" w14:textId="63351B82"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Invest</w:t>
            </w:r>
          </w:p>
        </w:tc>
        <w:tc>
          <w:tcPr>
            <w:tcW w:w="1122" w:type="dxa"/>
            <w:tcBorders>
              <w:top w:val="single" w:sz="8" w:space="0" w:color="auto"/>
              <w:left w:val="nil"/>
              <w:bottom w:val="double" w:sz="6" w:space="0" w:color="auto"/>
              <w:right w:val="nil"/>
            </w:tcBorders>
            <w:shd w:val="clear" w:color="auto" w:fill="auto"/>
            <w:vAlign w:val="center"/>
            <w:hideMark/>
          </w:tcPr>
          <w:p w14:paraId="4B123A9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523" w:type="dxa"/>
            <w:tcBorders>
              <w:top w:val="single" w:sz="8" w:space="0" w:color="auto"/>
              <w:left w:val="nil"/>
              <w:bottom w:val="double" w:sz="6" w:space="0" w:color="auto"/>
              <w:right w:val="nil"/>
            </w:tcBorders>
            <w:shd w:val="clear" w:color="auto" w:fill="auto"/>
            <w:vAlign w:val="center"/>
            <w:hideMark/>
          </w:tcPr>
          <w:p w14:paraId="155E8F2C" w14:textId="3582E0A0"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Equipament </w:t>
            </w:r>
            <w:r w:rsidR="00575CD5">
              <w:rPr>
                <w:rFonts w:ascii="Calibri" w:eastAsia="Times New Roman" w:hAnsi="Calibri" w:cs="Calibri"/>
                <w:color w:val="000000"/>
                <w:sz w:val="18"/>
                <w:szCs w:val="18"/>
                <w:lang w:val="en-US"/>
              </w:rPr>
              <w:t>and</w:t>
            </w:r>
            <w:r>
              <w:rPr>
                <w:rFonts w:ascii="Calibri" w:eastAsia="Times New Roman" w:hAnsi="Calibri" w:cs="Calibri"/>
                <w:color w:val="000000"/>
                <w:sz w:val="18"/>
                <w:szCs w:val="18"/>
                <w:lang w:val="en-US"/>
              </w:rPr>
              <w:t xml:space="preserve"> </w:t>
            </w:r>
            <w:r w:rsidR="00575CD5">
              <w:rPr>
                <w:rFonts w:ascii="Calibri" w:eastAsia="Times New Roman" w:hAnsi="Calibri" w:cs="Calibri"/>
                <w:color w:val="000000"/>
                <w:sz w:val="18"/>
                <w:szCs w:val="18"/>
                <w:lang w:val="en-US"/>
              </w:rPr>
              <w:t>Permanent Material</w:t>
            </w:r>
          </w:p>
        </w:tc>
        <w:tc>
          <w:tcPr>
            <w:tcW w:w="1636" w:type="dxa"/>
            <w:tcBorders>
              <w:top w:val="single" w:sz="8" w:space="0" w:color="auto"/>
              <w:left w:val="nil"/>
              <w:bottom w:val="double" w:sz="6" w:space="0" w:color="auto"/>
              <w:right w:val="nil"/>
            </w:tcBorders>
            <w:shd w:val="clear" w:color="auto" w:fill="auto"/>
            <w:vAlign w:val="center"/>
            <w:hideMark/>
          </w:tcPr>
          <w:p w14:paraId="67A7361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167" w:type="dxa"/>
            <w:tcBorders>
              <w:top w:val="single" w:sz="8" w:space="0" w:color="auto"/>
              <w:left w:val="nil"/>
              <w:bottom w:val="double" w:sz="6" w:space="0" w:color="auto"/>
              <w:right w:val="nil"/>
            </w:tcBorders>
            <w:shd w:val="clear" w:color="auto" w:fill="auto"/>
            <w:vAlign w:val="center"/>
            <w:hideMark/>
          </w:tcPr>
          <w:p w14:paraId="14D21507" w14:textId="0536C1DB" w:rsidR="0099770F" w:rsidRPr="003B5783" w:rsidRDefault="00575CD5"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Construction and</w:t>
            </w:r>
            <w:r w:rsidR="0099770F">
              <w:rPr>
                <w:rFonts w:ascii="Calibri" w:eastAsia="Times New Roman" w:hAnsi="Calibri" w:cs="Calibri"/>
                <w:color w:val="000000"/>
                <w:sz w:val="18"/>
                <w:szCs w:val="18"/>
                <w:lang w:val="en-US"/>
              </w:rPr>
              <w:t xml:space="preserve"> Instala</w:t>
            </w:r>
            <w:r>
              <w:rPr>
                <w:rFonts w:ascii="Calibri" w:eastAsia="Times New Roman" w:hAnsi="Calibri" w:cs="Calibri"/>
                <w:color w:val="000000"/>
                <w:sz w:val="18"/>
                <w:szCs w:val="18"/>
                <w:lang w:val="en-US"/>
              </w:rPr>
              <w:t>tions</w:t>
            </w:r>
          </w:p>
        </w:tc>
        <w:tc>
          <w:tcPr>
            <w:tcW w:w="1281" w:type="dxa"/>
            <w:tcBorders>
              <w:top w:val="single" w:sz="8" w:space="0" w:color="auto"/>
              <w:left w:val="nil"/>
              <w:bottom w:val="double" w:sz="6" w:space="0" w:color="auto"/>
              <w:right w:val="nil"/>
            </w:tcBorders>
            <w:shd w:val="clear" w:color="auto" w:fill="auto"/>
            <w:vAlign w:val="center"/>
            <w:hideMark/>
          </w:tcPr>
          <w:p w14:paraId="5A7D61C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p-valor</w:t>
            </w:r>
          </w:p>
        </w:tc>
        <w:tc>
          <w:tcPr>
            <w:tcW w:w="1024" w:type="dxa"/>
            <w:tcBorders>
              <w:top w:val="nil"/>
              <w:left w:val="nil"/>
              <w:bottom w:val="nil"/>
              <w:right w:val="nil"/>
            </w:tcBorders>
            <w:shd w:val="clear" w:color="auto" w:fill="auto"/>
            <w:vAlign w:val="bottom"/>
            <w:hideMark/>
          </w:tcPr>
          <w:p w14:paraId="171C8D33" w14:textId="77777777" w:rsidR="0099770F" w:rsidRPr="003B5783" w:rsidRDefault="0099770F" w:rsidP="00633129">
            <w:pPr>
              <w:spacing w:after="0" w:line="240" w:lineRule="auto"/>
              <w:rPr>
                <w:rFonts w:ascii="Calibri" w:eastAsia="Times New Roman" w:hAnsi="Calibri" w:cs="Calibri"/>
                <w:color w:val="000000"/>
                <w:sz w:val="18"/>
                <w:szCs w:val="18"/>
                <w:lang w:val="en-US"/>
              </w:rPr>
            </w:pPr>
          </w:p>
        </w:tc>
        <w:tc>
          <w:tcPr>
            <w:tcW w:w="1138" w:type="dxa"/>
            <w:tcBorders>
              <w:top w:val="nil"/>
              <w:left w:val="nil"/>
              <w:bottom w:val="nil"/>
              <w:right w:val="nil"/>
            </w:tcBorders>
            <w:shd w:val="clear" w:color="auto" w:fill="auto"/>
            <w:vAlign w:val="bottom"/>
            <w:hideMark/>
          </w:tcPr>
          <w:p w14:paraId="3D618DB5"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45E4D189" w14:textId="77777777" w:rsidTr="00633129">
        <w:trPr>
          <w:trHeight w:val="195"/>
        </w:trPr>
        <w:tc>
          <w:tcPr>
            <w:tcW w:w="566" w:type="dxa"/>
            <w:tcBorders>
              <w:top w:val="nil"/>
              <w:left w:val="nil"/>
              <w:bottom w:val="nil"/>
              <w:right w:val="nil"/>
            </w:tcBorders>
            <w:shd w:val="clear" w:color="auto" w:fill="auto"/>
            <w:noWrap/>
            <w:vAlign w:val="center"/>
            <w:hideMark/>
          </w:tcPr>
          <w:p w14:paraId="5021F07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BA</w:t>
            </w:r>
          </w:p>
        </w:tc>
        <w:tc>
          <w:tcPr>
            <w:tcW w:w="1009" w:type="dxa"/>
            <w:tcBorders>
              <w:top w:val="nil"/>
              <w:left w:val="nil"/>
              <w:bottom w:val="nil"/>
              <w:right w:val="nil"/>
            </w:tcBorders>
            <w:shd w:val="clear" w:color="auto" w:fill="auto"/>
            <w:noWrap/>
            <w:vAlign w:val="center"/>
            <w:hideMark/>
          </w:tcPr>
          <w:p w14:paraId="41130FB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72,046</w:t>
            </w:r>
          </w:p>
        </w:tc>
        <w:tc>
          <w:tcPr>
            <w:tcW w:w="1122" w:type="dxa"/>
            <w:tcBorders>
              <w:top w:val="nil"/>
              <w:left w:val="nil"/>
              <w:bottom w:val="nil"/>
              <w:right w:val="nil"/>
            </w:tcBorders>
            <w:shd w:val="clear" w:color="auto" w:fill="auto"/>
            <w:noWrap/>
            <w:vAlign w:val="center"/>
            <w:hideMark/>
          </w:tcPr>
          <w:p w14:paraId="134E134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0,066</w:t>
            </w:r>
          </w:p>
        </w:tc>
        <w:tc>
          <w:tcPr>
            <w:tcW w:w="1523" w:type="dxa"/>
            <w:tcBorders>
              <w:top w:val="nil"/>
              <w:left w:val="nil"/>
              <w:bottom w:val="nil"/>
              <w:right w:val="nil"/>
            </w:tcBorders>
            <w:shd w:val="clear" w:color="auto" w:fill="auto"/>
            <w:noWrap/>
            <w:vAlign w:val="center"/>
            <w:hideMark/>
          </w:tcPr>
          <w:p w14:paraId="35466F0C"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30,896</w:t>
            </w:r>
          </w:p>
        </w:tc>
        <w:tc>
          <w:tcPr>
            <w:tcW w:w="1636" w:type="dxa"/>
            <w:tcBorders>
              <w:top w:val="nil"/>
              <w:left w:val="nil"/>
              <w:bottom w:val="nil"/>
              <w:right w:val="nil"/>
            </w:tcBorders>
            <w:shd w:val="clear" w:color="auto" w:fill="auto"/>
            <w:noWrap/>
            <w:vAlign w:val="center"/>
            <w:hideMark/>
          </w:tcPr>
          <w:p w14:paraId="6A1EFA8B"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167" w:type="dxa"/>
            <w:tcBorders>
              <w:top w:val="nil"/>
              <w:left w:val="nil"/>
              <w:bottom w:val="nil"/>
              <w:right w:val="nil"/>
            </w:tcBorders>
            <w:shd w:val="clear" w:color="auto" w:fill="auto"/>
            <w:noWrap/>
            <w:vAlign w:val="center"/>
            <w:hideMark/>
          </w:tcPr>
          <w:p w14:paraId="417EA8DF" w14:textId="77777777" w:rsidR="0099770F" w:rsidRPr="004933DD" w:rsidRDefault="0099770F" w:rsidP="00633129">
            <w:pPr>
              <w:spacing w:after="0" w:line="240" w:lineRule="auto"/>
              <w:jc w:val="center"/>
              <w:rPr>
                <w:rFonts w:ascii="Calibri" w:eastAsia="Times New Roman" w:hAnsi="Calibri" w:cs="Calibri"/>
                <w:color w:val="000000"/>
                <w:sz w:val="18"/>
                <w:szCs w:val="18"/>
                <w:lang w:val="en-US"/>
              </w:rPr>
            </w:pPr>
            <w:r w:rsidRPr="004933DD">
              <w:rPr>
                <w:rFonts w:ascii="Calibri" w:eastAsia="Times New Roman" w:hAnsi="Calibri" w:cs="Calibri"/>
                <w:color w:val="000000"/>
                <w:sz w:val="18"/>
                <w:szCs w:val="18"/>
                <w:lang w:val="en-US"/>
              </w:rPr>
              <w:t>51,371</w:t>
            </w:r>
          </w:p>
        </w:tc>
        <w:tc>
          <w:tcPr>
            <w:tcW w:w="1281" w:type="dxa"/>
            <w:tcBorders>
              <w:top w:val="nil"/>
              <w:left w:val="nil"/>
              <w:bottom w:val="nil"/>
              <w:right w:val="nil"/>
            </w:tcBorders>
            <w:shd w:val="clear" w:color="auto" w:fill="auto"/>
            <w:noWrap/>
            <w:vAlign w:val="center"/>
            <w:hideMark/>
          </w:tcPr>
          <w:p w14:paraId="33214EF3" w14:textId="77777777" w:rsidR="0099770F" w:rsidRPr="004933DD" w:rsidRDefault="0099770F" w:rsidP="00633129">
            <w:pPr>
              <w:spacing w:after="0" w:line="240" w:lineRule="auto"/>
              <w:jc w:val="center"/>
              <w:rPr>
                <w:rFonts w:ascii="Calibri" w:eastAsia="Times New Roman" w:hAnsi="Calibri" w:cs="Calibri"/>
                <w:color w:val="000000"/>
                <w:sz w:val="18"/>
                <w:szCs w:val="18"/>
                <w:lang w:val="en-US"/>
              </w:rPr>
            </w:pPr>
            <w:r w:rsidRPr="004933DD">
              <w:rPr>
                <w:rFonts w:ascii="Calibri" w:eastAsia="Times New Roman" w:hAnsi="Calibri" w:cs="Calibri"/>
                <w:color w:val="000000"/>
                <w:sz w:val="18"/>
                <w:szCs w:val="18"/>
                <w:lang w:val="en-US"/>
              </w:rPr>
              <w:t>0,097</w:t>
            </w:r>
          </w:p>
        </w:tc>
        <w:tc>
          <w:tcPr>
            <w:tcW w:w="1024" w:type="dxa"/>
            <w:tcBorders>
              <w:top w:val="nil"/>
              <w:left w:val="nil"/>
              <w:bottom w:val="nil"/>
              <w:right w:val="nil"/>
            </w:tcBorders>
            <w:shd w:val="clear" w:color="auto" w:fill="auto"/>
            <w:noWrap/>
            <w:vAlign w:val="bottom"/>
            <w:hideMark/>
          </w:tcPr>
          <w:p w14:paraId="1FDE954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p>
        </w:tc>
        <w:tc>
          <w:tcPr>
            <w:tcW w:w="1138" w:type="dxa"/>
            <w:tcBorders>
              <w:top w:val="nil"/>
              <w:left w:val="nil"/>
              <w:bottom w:val="nil"/>
              <w:right w:val="nil"/>
            </w:tcBorders>
            <w:shd w:val="clear" w:color="auto" w:fill="auto"/>
            <w:noWrap/>
            <w:vAlign w:val="bottom"/>
            <w:hideMark/>
          </w:tcPr>
          <w:p w14:paraId="39106AFA"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68E93FE8" w14:textId="77777777" w:rsidTr="00633129">
        <w:trPr>
          <w:trHeight w:val="180"/>
        </w:trPr>
        <w:tc>
          <w:tcPr>
            <w:tcW w:w="566" w:type="dxa"/>
            <w:tcBorders>
              <w:top w:val="nil"/>
              <w:left w:val="nil"/>
              <w:bottom w:val="nil"/>
              <w:right w:val="nil"/>
            </w:tcBorders>
            <w:shd w:val="clear" w:color="auto" w:fill="auto"/>
            <w:noWrap/>
            <w:vAlign w:val="center"/>
            <w:hideMark/>
          </w:tcPr>
          <w:p w14:paraId="7647510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MG</w:t>
            </w:r>
          </w:p>
        </w:tc>
        <w:tc>
          <w:tcPr>
            <w:tcW w:w="1009" w:type="dxa"/>
            <w:tcBorders>
              <w:top w:val="nil"/>
              <w:left w:val="nil"/>
              <w:bottom w:val="nil"/>
              <w:right w:val="nil"/>
            </w:tcBorders>
            <w:shd w:val="clear" w:color="auto" w:fill="auto"/>
            <w:noWrap/>
            <w:vAlign w:val="center"/>
            <w:hideMark/>
          </w:tcPr>
          <w:p w14:paraId="28FB843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-34,734</w:t>
            </w:r>
          </w:p>
        </w:tc>
        <w:tc>
          <w:tcPr>
            <w:tcW w:w="1122" w:type="dxa"/>
            <w:tcBorders>
              <w:top w:val="nil"/>
              <w:left w:val="nil"/>
              <w:bottom w:val="nil"/>
              <w:right w:val="nil"/>
            </w:tcBorders>
            <w:shd w:val="clear" w:color="auto" w:fill="auto"/>
            <w:noWrap/>
            <w:vAlign w:val="center"/>
            <w:hideMark/>
          </w:tcPr>
          <w:p w14:paraId="540BAE02"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0,41</w:t>
            </w:r>
          </w:p>
        </w:tc>
        <w:tc>
          <w:tcPr>
            <w:tcW w:w="1523" w:type="dxa"/>
            <w:tcBorders>
              <w:top w:val="nil"/>
              <w:left w:val="nil"/>
              <w:bottom w:val="nil"/>
              <w:right w:val="nil"/>
            </w:tcBorders>
            <w:shd w:val="clear" w:color="auto" w:fill="auto"/>
            <w:noWrap/>
            <w:vAlign w:val="center"/>
            <w:hideMark/>
          </w:tcPr>
          <w:p w14:paraId="5F1F6AE0"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7,018</w:t>
            </w:r>
          </w:p>
        </w:tc>
        <w:tc>
          <w:tcPr>
            <w:tcW w:w="1636" w:type="dxa"/>
            <w:tcBorders>
              <w:top w:val="nil"/>
              <w:left w:val="nil"/>
              <w:bottom w:val="nil"/>
              <w:right w:val="nil"/>
            </w:tcBorders>
            <w:shd w:val="clear" w:color="auto" w:fill="auto"/>
            <w:noWrap/>
            <w:vAlign w:val="center"/>
            <w:hideMark/>
          </w:tcPr>
          <w:p w14:paraId="5353FFA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0,57</w:t>
            </w:r>
          </w:p>
        </w:tc>
        <w:tc>
          <w:tcPr>
            <w:tcW w:w="1167" w:type="dxa"/>
            <w:tcBorders>
              <w:top w:val="nil"/>
              <w:left w:val="nil"/>
              <w:bottom w:val="nil"/>
              <w:right w:val="nil"/>
            </w:tcBorders>
            <w:shd w:val="clear" w:color="auto" w:fill="auto"/>
            <w:noWrap/>
            <w:vAlign w:val="center"/>
            <w:hideMark/>
          </w:tcPr>
          <w:p w14:paraId="588348D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-54,571</w:t>
            </w:r>
          </w:p>
        </w:tc>
        <w:tc>
          <w:tcPr>
            <w:tcW w:w="1281" w:type="dxa"/>
            <w:tcBorders>
              <w:top w:val="nil"/>
              <w:left w:val="nil"/>
              <w:bottom w:val="nil"/>
              <w:right w:val="nil"/>
            </w:tcBorders>
            <w:shd w:val="clear" w:color="auto" w:fill="auto"/>
            <w:noWrap/>
            <w:vAlign w:val="center"/>
            <w:hideMark/>
          </w:tcPr>
          <w:p w14:paraId="3F8E292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0,126</w:t>
            </w:r>
          </w:p>
        </w:tc>
        <w:tc>
          <w:tcPr>
            <w:tcW w:w="1024" w:type="dxa"/>
            <w:tcBorders>
              <w:top w:val="nil"/>
              <w:left w:val="nil"/>
              <w:bottom w:val="nil"/>
              <w:right w:val="nil"/>
            </w:tcBorders>
            <w:shd w:val="clear" w:color="auto" w:fill="auto"/>
            <w:noWrap/>
            <w:vAlign w:val="bottom"/>
            <w:hideMark/>
          </w:tcPr>
          <w:p w14:paraId="4BCDE78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p>
        </w:tc>
        <w:tc>
          <w:tcPr>
            <w:tcW w:w="1138" w:type="dxa"/>
            <w:tcBorders>
              <w:top w:val="nil"/>
              <w:left w:val="nil"/>
              <w:bottom w:val="nil"/>
              <w:right w:val="nil"/>
            </w:tcBorders>
            <w:shd w:val="clear" w:color="auto" w:fill="auto"/>
            <w:noWrap/>
            <w:vAlign w:val="bottom"/>
            <w:hideMark/>
          </w:tcPr>
          <w:p w14:paraId="35390E60"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0E0D19DB" w14:textId="77777777" w:rsidTr="00633129">
        <w:trPr>
          <w:trHeight w:val="180"/>
        </w:trPr>
        <w:tc>
          <w:tcPr>
            <w:tcW w:w="566" w:type="dxa"/>
            <w:tcBorders>
              <w:top w:val="nil"/>
              <w:left w:val="nil"/>
              <w:bottom w:val="nil"/>
              <w:right w:val="nil"/>
            </w:tcBorders>
            <w:shd w:val="clear" w:color="auto" w:fill="auto"/>
            <w:noWrap/>
            <w:vAlign w:val="center"/>
            <w:hideMark/>
          </w:tcPr>
          <w:p w14:paraId="5745889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MS</w:t>
            </w:r>
          </w:p>
        </w:tc>
        <w:tc>
          <w:tcPr>
            <w:tcW w:w="1009" w:type="dxa"/>
            <w:tcBorders>
              <w:top w:val="nil"/>
              <w:left w:val="nil"/>
              <w:bottom w:val="nil"/>
              <w:right w:val="nil"/>
            </w:tcBorders>
            <w:shd w:val="clear" w:color="auto" w:fill="auto"/>
            <w:noWrap/>
            <w:vAlign w:val="center"/>
            <w:hideMark/>
          </w:tcPr>
          <w:p w14:paraId="2196C701"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-46,12</w:t>
            </w:r>
          </w:p>
        </w:tc>
        <w:tc>
          <w:tcPr>
            <w:tcW w:w="1122" w:type="dxa"/>
            <w:tcBorders>
              <w:top w:val="nil"/>
              <w:left w:val="nil"/>
              <w:bottom w:val="nil"/>
              <w:right w:val="nil"/>
            </w:tcBorders>
            <w:shd w:val="clear" w:color="auto" w:fill="auto"/>
            <w:noWrap/>
            <w:vAlign w:val="center"/>
            <w:hideMark/>
          </w:tcPr>
          <w:p w14:paraId="305D2E48"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0,004</w:t>
            </w:r>
          </w:p>
        </w:tc>
        <w:tc>
          <w:tcPr>
            <w:tcW w:w="1523" w:type="dxa"/>
            <w:tcBorders>
              <w:top w:val="nil"/>
              <w:left w:val="nil"/>
              <w:bottom w:val="nil"/>
              <w:right w:val="nil"/>
            </w:tcBorders>
            <w:shd w:val="clear" w:color="auto" w:fill="auto"/>
            <w:noWrap/>
            <w:vAlign w:val="center"/>
            <w:hideMark/>
          </w:tcPr>
          <w:p w14:paraId="01C54D7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-24,516</w:t>
            </w:r>
          </w:p>
        </w:tc>
        <w:tc>
          <w:tcPr>
            <w:tcW w:w="1636" w:type="dxa"/>
            <w:tcBorders>
              <w:top w:val="nil"/>
              <w:left w:val="nil"/>
              <w:bottom w:val="nil"/>
              <w:right w:val="nil"/>
            </w:tcBorders>
            <w:shd w:val="clear" w:color="auto" w:fill="auto"/>
            <w:noWrap/>
            <w:vAlign w:val="center"/>
            <w:hideMark/>
          </w:tcPr>
          <w:p w14:paraId="093A52E9"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0,002</w:t>
            </w:r>
          </w:p>
        </w:tc>
        <w:tc>
          <w:tcPr>
            <w:tcW w:w="1167" w:type="dxa"/>
            <w:tcBorders>
              <w:top w:val="nil"/>
              <w:left w:val="nil"/>
              <w:bottom w:val="nil"/>
              <w:right w:val="nil"/>
            </w:tcBorders>
            <w:shd w:val="clear" w:color="auto" w:fill="auto"/>
            <w:noWrap/>
            <w:vAlign w:val="center"/>
            <w:hideMark/>
          </w:tcPr>
          <w:p w14:paraId="1D8B655A"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-38,988</w:t>
            </w:r>
          </w:p>
        </w:tc>
        <w:tc>
          <w:tcPr>
            <w:tcW w:w="1281" w:type="dxa"/>
            <w:tcBorders>
              <w:top w:val="nil"/>
              <w:left w:val="nil"/>
              <w:bottom w:val="nil"/>
              <w:right w:val="nil"/>
            </w:tcBorders>
            <w:shd w:val="clear" w:color="auto" w:fill="auto"/>
            <w:noWrap/>
            <w:vAlign w:val="center"/>
            <w:hideMark/>
          </w:tcPr>
          <w:p w14:paraId="07BBFAB7"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0,003</w:t>
            </w:r>
          </w:p>
        </w:tc>
        <w:tc>
          <w:tcPr>
            <w:tcW w:w="1024" w:type="dxa"/>
            <w:tcBorders>
              <w:top w:val="nil"/>
              <w:left w:val="nil"/>
              <w:bottom w:val="nil"/>
              <w:right w:val="nil"/>
            </w:tcBorders>
            <w:shd w:val="clear" w:color="auto" w:fill="auto"/>
            <w:noWrap/>
            <w:vAlign w:val="bottom"/>
            <w:hideMark/>
          </w:tcPr>
          <w:p w14:paraId="518DFE95"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p>
        </w:tc>
        <w:tc>
          <w:tcPr>
            <w:tcW w:w="1138" w:type="dxa"/>
            <w:tcBorders>
              <w:top w:val="nil"/>
              <w:left w:val="nil"/>
              <w:bottom w:val="nil"/>
              <w:right w:val="nil"/>
            </w:tcBorders>
            <w:shd w:val="clear" w:color="auto" w:fill="auto"/>
            <w:noWrap/>
            <w:vAlign w:val="bottom"/>
            <w:hideMark/>
          </w:tcPr>
          <w:p w14:paraId="4F6C6FE2"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47057225" w14:textId="77777777" w:rsidTr="00633129">
        <w:trPr>
          <w:trHeight w:val="180"/>
        </w:trPr>
        <w:tc>
          <w:tcPr>
            <w:tcW w:w="566" w:type="dxa"/>
            <w:tcBorders>
              <w:top w:val="nil"/>
              <w:left w:val="nil"/>
              <w:bottom w:val="nil"/>
              <w:right w:val="nil"/>
            </w:tcBorders>
            <w:shd w:val="clear" w:color="auto" w:fill="auto"/>
            <w:noWrap/>
            <w:vAlign w:val="center"/>
            <w:hideMark/>
          </w:tcPr>
          <w:p w14:paraId="27A5977D"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MT</w:t>
            </w:r>
          </w:p>
        </w:tc>
        <w:tc>
          <w:tcPr>
            <w:tcW w:w="1009" w:type="dxa"/>
            <w:tcBorders>
              <w:top w:val="nil"/>
              <w:left w:val="nil"/>
              <w:bottom w:val="nil"/>
              <w:right w:val="nil"/>
            </w:tcBorders>
            <w:shd w:val="clear" w:color="auto" w:fill="auto"/>
            <w:noWrap/>
            <w:vAlign w:val="center"/>
            <w:hideMark/>
          </w:tcPr>
          <w:p w14:paraId="16B1615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15,976</w:t>
            </w:r>
          </w:p>
        </w:tc>
        <w:tc>
          <w:tcPr>
            <w:tcW w:w="1122" w:type="dxa"/>
            <w:tcBorders>
              <w:top w:val="nil"/>
              <w:left w:val="nil"/>
              <w:bottom w:val="nil"/>
              <w:right w:val="nil"/>
            </w:tcBorders>
            <w:shd w:val="clear" w:color="auto" w:fill="auto"/>
            <w:noWrap/>
            <w:vAlign w:val="center"/>
            <w:hideMark/>
          </w:tcPr>
          <w:p w14:paraId="2DF012A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0,816</w:t>
            </w:r>
          </w:p>
        </w:tc>
        <w:tc>
          <w:tcPr>
            <w:tcW w:w="1523" w:type="dxa"/>
            <w:tcBorders>
              <w:top w:val="nil"/>
              <w:left w:val="nil"/>
              <w:bottom w:val="nil"/>
              <w:right w:val="nil"/>
            </w:tcBorders>
            <w:shd w:val="clear" w:color="auto" w:fill="auto"/>
            <w:noWrap/>
            <w:vAlign w:val="center"/>
            <w:hideMark/>
          </w:tcPr>
          <w:p w14:paraId="6E089EE1"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-28,848</w:t>
            </w:r>
          </w:p>
        </w:tc>
        <w:tc>
          <w:tcPr>
            <w:tcW w:w="1636" w:type="dxa"/>
            <w:tcBorders>
              <w:top w:val="nil"/>
              <w:left w:val="nil"/>
              <w:bottom w:val="nil"/>
              <w:right w:val="nil"/>
            </w:tcBorders>
            <w:shd w:val="clear" w:color="auto" w:fill="auto"/>
            <w:noWrap/>
            <w:vAlign w:val="center"/>
            <w:hideMark/>
          </w:tcPr>
          <w:p w14:paraId="5BC41480"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0C53489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-59,484</w:t>
            </w:r>
          </w:p>
        </w:tc>
        <w:tc>
          <w:tcPr>
            <w:tcW w:w="1281" w:type="dxa"/>
            <w:tcBorders>
              <w:top w:val="nil"/>
              <w:left w:val="nil"/>
              <w:bottom w:val="nil"/>
              <w:right w:val="nil"/>
            </w:tcBorders>
            <w:shd w:val="clear" w:color="auto" w:fill="auto"/>
            <w:noWrap/>
            <w:vAlign w:val="center"/>
            <w:hideMark/>
          </w:tcPr>
          <w:p w14:paraId="7214BDBE"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0,314</w:t>
            </w:r>
          </w:p>
        </w:tc>
        <w:tc>
          <w:tcPr>
            <w:tcW w:w="1024" w:type="dxa"/>
            <w:tcBorders>
              <w:top w:val="nil"/>
              <w:left w:val="nil"/>
              <w:bottom w:val="nil"/>
              <w:right w:val="nil"/>
            </w:tcBorders>
            <w:shd w:val="clear" w:color="auto" w:fill="auto"/>
            <w:noWrap/>
            <w:vAlign w:val="bottom"/>
            <w:hideMark/>
          </w:tcPr>
          <w:p w14:paraId="20C009A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p>
        </w:tc>
        <w:tc>
          <w:tcPr>
            <w:tcW w:w="1138" w:type="dxa"/>
            <w:tcBorders>
              <w:top w:val="nil"/>
              <w:left w:val="nil"/>
              <w:bottom w:val="nil"/>
              <w:right w:val="nil"/>
            </w:tcBorders>
            <w:shd w:val="clear" w:color="auto" w:fill="auto"/>
            <w:noWrap/>
            <w:vAlign w:val="bottom"/>
            <w:hideMark/>
          </w:tcPr>
          <w:p w14:paraId="023F073D"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1D7A552D" w14:textId="77777777" w:rsidTr="00633129">
        <w:trPr>
          <w:trHeight w:val="180"/>
        </w:trPr>
        <w:tc>
          <w:tcPr>
            <w:tcW w:w="566" w:type="dxa"/>
            <w:tcBorders>
              <w:top w:val="nil"/>
              <w:left w:val="nil"/>
              <w:bottom w:val="nil"/>
              <w:right w:val="nil"/>
            </w:tcBorders>
            <w:shd w:val="clear" w:color="auto" w:fill="auto"/>
            <w:noWrap/>
            <w:vAlign w:val="center"/>
            <w:hideMark/>
          </w:tcPr>
          <w:p w14:paraId="36F8DE1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PI</w:t>
            </w:r>
          </w:p>
        </w:tc>
        <w:tc>
          <w:tcPr>
            <w:tcW w:w="1009" w:type="dxa"/>
            <w:tcBorders>
              <w:top w:val="nil"/>
              <w:left w:val="nil"/>
              <w:bottom w:val="nil"/>
              <w:right w:val="nil"/>
            </w:tcBorders>
            <w:shd w:val="clear" w:color="auto" w:fill="auto"/>
            <w:noWrap/>
            <w:vAlign w:val="center"/>
            <w:hideMark/>
          </w:tcPr>
          <w:p w14:paraId="046E0C3A"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109,191</w:t>
            </w:r>
          </w:p>
        </w:tc>
        <w:tc>
          <w:tcPr>
            <w:tcW w:w="1122" w:type="dxa"/>
            <w:tcBorders>
              <w:top w:val="nil"/>
              <w:left w:val="nil"/>
              <w:bottom w:val="nil"/>
              <w:right w:val="nil"/>
            </w:tcBorders>
            <w:shd w:val="clear" w:color="auto" w:fill="auto"/>
            <w:noWrap/>
            <w:vAlign w:val="center"/>
            <w:hideMark/>
          </w:tcPr>
          <w:p w14:paraId="0CD7D30F"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523" w:type="dxa"/>
            <w:tcBorders>
              <w:top w:val="nil"/>
              <w:left w:val="nil"/>
              <w:bottom w:val="nil"/>
              <w:right w:val="nil"/>
            </w:tcBorders>
            <w:shd w:val="clear" w:color="auto" w:fill="auto"/>
            <w:noWrap/>
            <w:vAlign w:val="center"/>
            <w:hideMark/>
          </w:tcPr>
          <w:p w14:paraId="4EC88C96"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10,452</w:t>
            </w:r>
          </w:p>
        </w:tc>
        <w:tc>
          <w:tcPr>
            <w:tcW w:w="1636" w:type="dxa"/>
            <w:tcBorders>
              <w:top w:val="nil"/>
              <w:left w:val="nil"/>
              <w:bottom w:val="nil"/>
              <w:right w:val="nil"/>
            </w:tcBorders>
            <w:shd w:val="clear" w:color="auto" w:fill="auto"/>
            <w:noWrap/>
            <w:vAlign w:val="center"/>
            <w:hideMark/>
          </w:tcPr>
          <w:p w14:paraId="7EC641C9"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0,003</w:t>
            </w:r>
          </w:p>
        </w:tc>
        <w:tc>
          <w:tcPr>
            <w:tcW w:w="1167" w:type="dxa"/>
            <w:tcBorders>
              <w:top w:val="nil"/>
              <w:left w:val="nil"/>
              <w:bottom w:val="nil"/>
              <w:right w:val="nil"/>
            </w:tcBorders>
            <w:shd w:val="clear" w:color="auto" w:fill="auto"/>
            <w:noWrap/>
            <w:vAlign w:val="center"/>
            <w:hideMark/>
          </w:tcPr>
          <w:p w14:paraId="16D6C06C"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52,373</w:t>
            </w:r>
          </w:p>
        </w:tc>
        <w:tc>
          <w:tcPr>
            <w:tcW w:w="1281" w:type="dxa"/>
            <w:tcBorders>
              <w:top w:val="nil"/>
              <w:left w:val="nil"/>
              <w:bottom w:val="nil"/>
              <w:right w:val="nil"/>
            </w:tcBorders>
            <w:shd w:val="clear" w:color="auto" w:fill="auto"/>
            <w:noWrap/>
            <w:vAlign w:val="center"/>
            <w:hideMark/>
          </w:tcPr>
          <w:p w14:paraId="47A0A136"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r w:rsidRPr="003B5783">
              <w:rPr>
                <w:rFonts w:ascii="Calibri" w:eastAsia="Times New Roman" w:hAnsi="Calibri" w:cs="Calibri"/>
                <w:color w:val="FF0000"/>
                <w:sz w:val="18"/>
                <w:szCs w:val="18"/>
                <w:lang w:val="en-US"/>
              </w:rPr>
              <w:t>0</w:t>
            </w:r>
          </w:p>
        </w:tc>
        <w:tc>
          <w:tcPr>
            <w:tcW w:w="1024" w:type="dxa"/>
            <w:tcBorders>
              <w:top w:val="nil"/>
              <w:left w:val="nil"/>
              <w:bottom w:val="nil"/>
              <w:right w:val="nil"/>
            </w:tcBorders>
            <w:shd w:val="clear" w:color="auto" w:fill="auto"/>
            <w:noWrap/>
            <w:vAlign w:val="bottom"/>
            <w:hideMark/>
          </w:tcPr>
          <w:p w14:paraId="7855745F" w14:textId="77777777" w:rsidR="0099770F" w:rsidRPr="003B5783" w:rsidRDefault="0099770F" w:rsidP="00633129">
            <w:pPr>
              <w:spacing w:after="0" w:line="240" w:lineRule="auto"/>
              <w:jc w:val="center"/>
              <w:rPr>
                <w:rFonts w:ascii="Calibri" w:eastAsia="Times New Roman" w:hAnsi="Calibri" w:cs="Calibri"/>
                <w:color w:val="FF0000"/>
                <w:sz w:val="18"/>
                <w:szCs w:val="18"/>
                <w:lang w:val="en-US"/>
              </w:rPr>
            </w:pPr>
          </w:p>
        </w:tc>
        <w:tc>
          <w:tcPr>
            <w:tcW w:w="1138" w:type="dxa"/>
            <w:tcBorders>
              <w:top w:val="nil"/>
              <w:left w:val="nil"/>
              <w:bottom w:val="nil"/>
              <w:right w:val="nil"/>
            </w:tcBorders>
            <w:shd w:val="clear" w:color="auto" w:fill="auto"/>
            <w:noWrap/>
            <w:vAlign w:val="bottom"/>
            <w:hideMark/>
          </w:tcPr>
          <w:p w14:paraId="015E65F7"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504C91A0" w14:textId="77777777" w:rsidTr="00633129">
        <w:trPr>
          <w:trHeight w:val="180"/>
        </w:trPr>
        <w:tc>
          <w:tcPr>
            <w:tcW w:w="566" w:type="dxa"/>
            <w:tcBorders>
              <w:top w:val="nil"/>
              <w:left w:val="nil"/>
              <w:bottom w:val="nil"/>
              <w:right w:val="nil"/>
            </w:tcBorders>
            <w:shd w:val="clear" w:color="auto" w:fill="auto"/>
            <w:noWrap/>
            <w:vAlign w:val="center"/>
            <w:hideMark/>
          </w:tcPr>
          <w:p w14:paraId="79226BC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PR</w:t>
            </w:r>
          </w:p>
        </w:tc>
        <w:tc>
          <w:tcPr>
            <w:tcW w:w="1009" w:type="dxa"/>
            <w:tcBorders>
              <w:top w:val="nil"/>
              <w:left w:val="nil"/>
              <w:bottom w:val="nil"/>
              <w:right w:val="nil"/>
            </w:tcBorders>
            <w:shd w:val="clear" w:color="auto" w:fill="auto"/>
            <w:noWrap/>
            <w:vAlign w:val="center"/>
            <w:hideMark/>
          </w:tcPr>
          <w:p w14:paraId="388D7AC3"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-23,061</w:t>
            </w:r>
          </w:p>
        </w:tc>
        <w:tc>
          <w:tcPr>
            <w:tcW w:w="1122" w:type="dxa"/>
            <w:tcBorders>
              <w:top w:val="nil"/>
              <w:left w:val="nil"/>
              <w:bottom w:val="nil"/>
              <w:right w:val="nil"/>
            </w:tcBorders>
            <w:shd w:val="clear" w:color="auto" w:fill="auto"/>
            <w:noWrap/>
            <w:vAlign w:val="center"/>
            <w:hideMark/>
          </w:tcPr>
          <w:p w14:paraId="26AB556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0,423</w:t>
            </w:r>
          </w:p>
        </w:tc>
        <w:tc>
          <w:tcPr>
            <w:tcW w:w="1523" w:type="dxa"/>
            <w:tcBorders>
              <w:top w:val="nil"/>
              <w:left w:val="nil"/>
              <w:bottom w:val="nil"/>
              <w:right w:val="nil"/>
            </w:tcBorders>
            <w:shd w:val="clear" w:color="auto" w:fill="auto"/>
            <w:noWrap/>
            <w:vAlign w:val="center"/>
            <w:hideMark/>
          </w:tcPr>
          <w:p w14:paraId="15F7D345"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-39,255</w:t>
            </w:r>
          </w:p>
        </w:tc>
        <w:tc>
          <w:tcPr>
            <w:tcW w:w="1636" w:type="dxa"/>
            <w:tcBorders>
              <w:top w:val="nil"/>
              <w:left w:val="nil"/>
              <w:bottom w:val="nil"/>
              <w:right w:val="nil"/>
            </w:tcBorders>
            <w:shd w:val="clear" w:color="auto" w:fill="auto"/>
            <w:noWrap/>
            <w:vAlign w:val="center"/>
            <w:hideMark/>
          </w:tcPr>
          <w:p w14:paraId="5F70ADCB"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00C839A3"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-35,624</w:t>
            </w:r>
          </w:p>
        </w:tc>
        <w:tc>
          <w:tcPr>
            <w:tcW w:w="1281" w:type="dxa"/>
            <w:tcBorders>
              <w:top w:val="nil"/>
              <w:left w:val="nil"/>
              <w:bottom w:val="nil"/>
              <w:right w:val="nil"/>
            </w:tcBorders>
            <w:shd w:val="clear" w:color="auto" w:fill="auto"/>
            <w:noWrap/>
            <w:vAlign w:val="center"/>
            <w:hideMark/>
          </w:tcPr>
          <w:p w14:paraId="1C57E37B"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0,005</w:t>
            </w:r>
          </w:p>
        </w:tc>
        <w:tc>
          <w:tcPr>
            <w:tcW w:w="1024" w:type="dxa"/>
            <w:tcBorders>
              <w:top w:val="nil"/>
              <w:left w:val="nil"/>
              <w:bottom w:val="nil"/>
              <w:right w:val="nil"/>
            </w:tcBorders>
            <w:shd w:val="clear" w:color="auto" w:fill="auto"/>
            <w:noWrap/>
            <w:vAlign w:val="bottom"/>
            <w:hideMark/>
          </w:tcPr>
          <w:p w14:paraId="72BEA12D"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p>
        </w:tc>
        <w:tc>
          <w:tcPr>
            <w:tcW w:w="1138" w:type="dxa"/>
            <w:tcBorders>
              <w:top w:val="nil"/>
              <w:left w:val="nil"/>
              <w:bottom w:val="nil"/>
              <w:right w:val="nil"/>
            </w:tcBorders>
            <w:shd w:val="clear" w:color="auto" w:fill="auto"/>
            <w:noWrap/>
            <w:vAlign w:val="bottom"/>
            <w:hideMark/>
          </w:tcPr>
          <w:p w14:paraId="163A293C"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43D1D12B" w14:textId="77777777" w:rsidTr="00633129">
        <w:trPr>
          <w:trHeight w:val="180"/>
        </w:trPr>
        <w:tc>
          <w:tcPr>
            <w:tcW w:w="566" w:type="dxa"/>
            <w:tcBorders>
              <w:top w:val="nil"/>
              <w:left w:val="nil"/>
              <w:bottom w:val="nil"/>
              <w:right w:val="nil"/>
            </w:tcBorders>
            <w:shd w:val="clear" w:color="auto" w:fill="auto"/>
            <w:noWrap/>
            <w:vAlign w:val="center"/>
            <w:hideMark/>
          </w:tcPr>
          <w:p w14:paraId="247B951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RJ</w:t>
            </w:r>
          </w:p>
        </w:tc>
        <w:tc>
          <w:tcPr>
            <w:tcW w:w="1009" w:type="dxa"/>
            <w:tcBorders>
              <w:top w:val="nil"/>
              <w:left w:val="nil"/>
              <w:bottom w:val="nil"/>
              <w:right w:val="nil"/>
            </w:tcBorders>
            <w:shd w:val="clear" w:color="auto" w:fill="auto"/>
            <w:noWrap/>
            <w:vAlign w:val="center"/>
            <w:hideMark/>
          </w:tcPr>
          <w:p w14:paraId="3414929D" w14:textId="77777777" w:rsidR="0099770F" w:rsidRPr="00981E17" w:rsidRDefault="0099770F" w:rsidP="00633129">
            <w:pPr>
              <w:spacing w:after="0" w:line="240" w:lineRule="auto"/>
              <w:jc w:val="center"/>
              <w:rPr>
                <w:rFonts w:ascii="Calibri" w:eastAsia="Times New Roman" w:hAnsi="Calibri" w:cs="Calibri"/>
                <w:color w:val="FF0000"/>
                <w:sz w:val="18"/>
                <w:szCs w:val="18"/>
                <w:lang w:val="en-US"/>
              </w:rPr>
            </w:pPr>
            <w:r w:rsidRPr="00981E17">
              <w:rPr>
                <w:rFonts w:ascii="Calibri" w:eastAsia="Times New Roman" w:hAnsi="Calibri" w:cs="Calibri"/>
                <w:color w:val="FF0000"/>
                <w:sz w:val="18"/>
                <w:szCs w:val="18"/>
                <w:lang w:val="en-US"/>
              </w:rPr>
              <w:t>104,626</w:t>
            </w:r>
          </w:p>
        </w:tc>
        <w:tc>
          <w:tcPr>
            <w:tcW w:w="1122" w:type="dxa"/>
            <w:tcBorders>
              <w:top w:val="nil"/>
              <w:left w:val="nil"/>
              <w:bottom w:val="nil"/>
              <w:right w:val="nil"/>
            </w:tcBorders>
            <w:shd w:val="clear" w:color="auto" w:fill="auto"/>
            <w:noWrap/>
            <w:vAlign w:val="center"/>
            <w:hideMark/>
          </w:tcPr>
          <w:p w14:paraId="14496E66" w14:textId="77777777" w:rsidR="0099770F" w:rsidRPr="00981E17" w:rsidRDefault="0099770F" w:rsidP="00633129">
            <w:pPr>
              <w:spacing w:after="0" w:line="240" w:lineRule="auto"/>
              <w:jc w:val="center"/>
              <w:rPr>
                <w:rFonts w:ascii="Calibri" w:eastAsia="Times New Roman" w:hAnsi="Calibri" w:cs="Calibri"/>
                <w:color w:val="FF0000"/>
                <w:sz w:val="18"/>
                <w:szCs w:val="18"/>
                <w:lang w:val="en-US"/>
              </w:rPr>
            </w:pPr>
            <w:r w:rsidRPr="00981E17">
              <w:rPr>
                <w:rFonts w:ascii="Calibri" w:eastAsia="Times New Roman" w:hAnsi="Calibri" w:cs="Calibri"/>
                <w:color w:val="FF0000"/>
                <w:sz w:val="18"/>
                <w:szCs w:val="18"/>
                <w:lang w:val="en-US"/>
              </w:rPr>
              <w:t>0,032</w:t>
            </w:r>
          </w:p>
        </w:tc>
        <w:tc>
          <w:tcPr>
            <w:tcW w:w="1523" w:type="dxa"/>
            <w:tcBorders>
              <w:top w:val="nil"/>
              <w:left w:val="nil"/>
              <w:bottom w:val="nil"/>
              <w:right w:val="nil"/>
            </w:tcBorders>
            <w:shd w:val="clear" w:color="auto" w:fill="auto"/>
            <w:noWrap/>
            <w:vAlign w:val="center"/>
            <w:hideMark/>
          </w:tcPr>
          <w:p w14:paraId="601CFEF8"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7,772</w:t>
            </w:r>
          </w:p>
        </w:tc>
        <w:tc>
          <w:tcPr>
            <w:tcW w:w="1636" w:type="dxa"/>
            <w:tcBorders>
              <w:top w:val="nil"/>
              <w:left w:val="nil"/>
              <w:bottom w:val="nil"/>
              <w:right w:val="nil"/>
            </w:tcBorders>
            <w:shd w:val="clear" w:color="auto" w:fill="auto"/>
            <w:noWrap/>
            <w:vAlign w:val="center"/>
            <w:hideMark/>
          </w:tcPr>
          <w:p w14:paraId="536E479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0,265</w:t>
            </w:r>
          </w:p>
        </w:tc>
        <w:tc>
          <w:tcPr>
            <w:tcW w:w="1167" w:type="dxa"/>
            <w:tcBorders>
              <w:top w:val="nil"/>
              <w:left w:val="nil"/>
              <w:bottom w:val="nil"/>
              <w:right w:val="nil"/>
            </w:tcBorders>
            <w:shd w:val="clear" w:color="auto" w:fill="auto"/>
            <w:noWrap/>
            <w:vAlign w:val="center"/>
            <w:hideMark/>
          </w:tcPr>
          <w:p w14:paraId="48BE0B8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37,642</w:t>
            </w:r>
          </w:p>
        </w:tc>
        <w:tc>
          <w:tcPr>
            <w:tcW w:w="1281" w:type="dxa"/>
            <w:tcBorders>
              <w:top w:val="nil"/>
              <w:left w:val="nil"/>
              <w:bottom w:val="nil"/>
              <w:right w:val="nil"/>
            </w:tcBorders>
            <w:shd w:val="clear" w:color="auto" w:fill="auto"/>
            <w:noWrap/>
            <w:vAlign w:val="center"/>
            <w:hideMark/>
          </w:tcPr>
          <w:p w14:paraId="3DCC39E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0,337</w:t>
            </w:r>
          </w:p>
        </w:tc>
        <w:tc>
          <w:tcPr>
            <w:tcW w:w="1024" w:type="dxa"/>
            <w:tcBorders>
              <w:top w:val="nil"/>
              <w:left w:val="nil"/>
              <w:bottom w:val="nil"/>
              <w:right w:val="nil"/>
            </w:tcBorders>
            <w:shd w:val="clear" w:color="auto" w:fill="auto"/>
            <w:noWrap/>
            <w:vAlign w:val="bottom"/>
            <w:hideMark/>
          </w:tcPr>
          <w:p w14:paraId="5ED6AEF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p>
        </w:tc>
        <w:tc>
          <w:tcPr>
            <w:tcW w:w="1138" w:type="dxa"/>
            <w:tcBorders>
              <w:top w:val="nil"/>
              <w:left w:val="nil"/>
              <w:bottom w:val="nil"/>
              <w:right w:val="nil"/>
            </w:tcBorders>
            <w:shd w:val="clear" w:color="auto" w:fill="auto"/>
            <w:noWrap/>
            <w:vAlign w:val="bottom"/>
            <w:hideMark/>
          </w:tcPr>
          <w:p w14:paraId="6D03BF61"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021DC66E" w14:textId="77777777" w:rsidTr="00633129">
        <w:trPr>
          <w:trHeight w:val="180"/>
        </w:trPr>
        <w:tc>
          <w:tcPr>
            <w:tcW w:w="566" w:type="dxa"/>
            <w:tcBorders>
              <w:top w:val="nil"/>
              <w:left w:val="nil"/>
              <w:bottom w:val="nil"/>
              <w:right w:val="nil"/>
            </w:tcBorders>
            <w:shd w:val="clear" w:color="auto" w:fill="auto"/>
            <w:noWrap/>
            <w:vAlign w:val="center"/>
            <w:hideMark/>
          </w:tcPr>
          <w:p w14:paraId="63522BDF"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RO</w:t>
            </w:r>
          </w:p>
        </w:tc>
        <w:tc>
          <w:tcPr>
            <w:tcW w:w="1009" w:type="dxa"/>
            <w:tcBorders>
              <w:top w:val="nil"/>
              <w:left w:val="nil"/>
              <w:bottom w:val="nil"/>
              <w:right w:val="nil"/>
            </w:tcBorders>
            <w:shd w:val="clear" w:color="auto" w:fill="auto"/>
            <w:noWrap/>
            <w:vAlign w:val="center"/>
            <w:hideMark/>
          </w:tcPr>
          <w:p w14:paraId="6269EE4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-4,285</w:t>
            </w:r>
          </w:p>
        </w:tc>
        <w:tc>
          <w:tcPr>
            <w:tcW w:w="1122" w:type="dxa"/>
            <w:tcBorders>
              <w:top w:val="nil"/>
              <w:left w:val="nil"/>
              <w:bottom w:val="nil"/>
              <w:right w:val="nil"/>
            </w:tcBorders>
            <w:shd w:val="clear" w:color="auto" w:fill="auto"/>
            <w:noWrap/>
            <w:vAlign w:val="center"/>
            <w:hideMark/>
          </w:tcPr>
          <w:p w14:paraId="14E681E5"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0,901</w:t>
            </w:r>
          </w:p>
        </w:tc>
        <w:tc>
          <w:tcPr>
            <w:tcW w:w="1523" w:type="dxa"/>
            <w:tcBorders>
              <w:top w:val="nil"/>
              <w:left w:val="nil"/>
              <w:bottom w:val="nil"/>
              <w:right w:val="nil"/>
            </w:tcBorders>
            <w:shd w:val="clear" w:color="auto" w:fill="auto"/>
            <w:noWrap/>
            <w:vAlign w:val="center"/>
            <w:hideMark/>
          </w:tcPr>
          <w:p w14:paraId="6A11E3D6"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-67,225</w:t>
            </w:r>
          </w:p>
        </w:tc>
        <w:tc>
          <w:tcPr>
            <w:tcW w:w="1636" w:type="dxa"/>
            <w:tcBorders>
              <w:top w:val="nil"/>
              <w:left w:val="nil"/>
              <w:bottom w:val="nil"/>
              <w:right w:val="nil"/>
            </w:tcBorders>
            <w:shd w:val="clear" w:color="auto" w:fill="auto"/>
            <w:noWrap/>
            <w:vAlign w:val="center"/>
            <w:hideMark/>
          </w:tcPr>
          <w:p w14:paraId="4B5E8B0B"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0508F9F8"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-68,514</w:t>
            </w:r>
          </w:p>
        </w:tc>
        <w:tc>
          <w:tcPr>
            <w:tcW w:w="1281" w:type="dxa"/>
            <w:tcBorders>
              <w:top w:val="nil"/>
              <w:left w:val="nil"/>
              <w:bottom w:val="nil"/>
              <w:right w:val="nil"/>
            </w:tcBorders>
            <w:shd w:val="clear" w:color="auto" w:fill="auto"/>
            <w:noWrap/>
            <w:vAlign w:val="center"/>
            <w:hideMark/>
          </w:tcPr>
          <w:p w14:paraId="446A51D2"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r w:rsidRPr="00797AED">
              <w:rPr>
                <w:rFonts w:ascii="Calibri" w:eastAsia="Times New Roman" w:hAnsi="Calibri" w:cs="Calibri"/>
                <w:color w:val="00B050"/>
                <w:sz w:val="18"/>
                <w:szCs w:val="18"/>
                <w:lang w:val="en-US"/>
              </w:rPr>
              <w:t>0,019</w:t>
            </w:r>
          </w:p>
        </w:tc>
        <w:tc>
          <w:tcPr>
            <w:tcW w:w="1024" w:type="dxa"/>
            <w:tcBorders>
              <w:top w:val="nil"/>
              <w:left w:val="nil"/>
              <w:bottom w:val="nil"/>
              <w:right w:val="nil"/>
            </w:tcBorders>
            <w:shd w:val="clear" w:color="auto" w:fill="auto"/>
            <w:noWrap/>
            <w:vAlign w:val="bottom"/>
            <w:hideMark/>
          </w:tcPr>
          <w:p w14:paraId="3DD1BE01" w14:textId="77777777" w:rsidR="0099770F" w:rsidRPr="00797AED" w:rsidRDefault="0099770F" w:rsidP="00633129">
            <w:pPr>
              <w:spacing w:after="0" w:line="240" w:lineRule="auto"/>
              <w:jc w:val="center"/>
              <w:rPr>
                <w:rFonts w:ascii="Calibri" w:eastAsia="Times New Roman" w:hAnsi="Calibri" w:cs="Calibri"/>
                <w:color w:val="00B050"/>
                <w:sz w:val="18"/>
                <w:szCs w:val="18"/>
                <w:lang w:val="en-US"/>
              </w:rPr>
            </w:pPr>
          </w:p>
        </w:tc>
        <w:tc>
          <w:tcPr>
            <w:tcW w:w="1138" w:type="dxa"/>
            <w:tcBorders>
              <w:top w:val="nil"/>
              <w:left w:val="nil"/>
              <w:bottom w:val="nil"/>
              <w:right w:val="nil"/>
            </w:tcBorders>
            <w:shd w:val="clear" w:color="auto" w:fill="auto"/>
            <w:noWrap/>
            <w:vAlign w:val="bottom"/>
            <w:hideMark/>
          </w:tcPr>
          <w:p w14:paraId="3273089A" w14:textId="77777777" w:rsidR="0099770F" w:rsidRPr="003B5783" w:rsidRDefault="0099770F" w:rsidP="00633129">
            <w:pPr>
              <w:spacing w:after="0" w:line="240" w:lineRule="auto"/>
              <w:rPr>
                <w:rFonts w:ascii="Times New Roman" w:eastAsia="Times New Roman" w:hAnsi="Times New Roman" w:cs="Times New Roman"/>
                <w:sz w:val="18"/>
                <w:szCs w:val="18"/>
                <w:lang w:val="en-US"/>
              </w:rPr>
            </w:pPr>
          </w:p>
        </w:tc>
      </w:tr>
      <w:tr w:rsidR="0099770F" w:rsidRPr="003B5783" w14:paraId="4AD3DE69" w14:textId="77777777" w:rsidTr="00633129">
        <w:trPr>
          <w:trHeight w:val="180"/>
        </w:trPr>
        <w:tc>
          <w:tcPr>
            <w:tcW w:w="566" w:type="dxa"/>
            <w:tcBorders>
              <w:top w:val="nil"/>
              <w:left w:val="nil"/>
              <w:bottom w:val="nil"/>
              <w:right w:val="nil"/>
            </w:tcBorders>
            <w:shd w:val="clear" w:color="auto" w:fill="auto"/>
            <w:noWrap/>
            <w:vAlign w:val="center"/>
            <w:hideMark/>
          </w:tcPr>
          <w:p w14:paraId="4B520C34"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RS</w:t>
            </w:r>
          </w:p>
        </w:tc>
        <w:tc>
          <w:tcPr>
            <w:tcW w:w="1009" w:type="dxa"/>
            <w:tcBorders>
              <w:top w:val="nil"/>
              <w:left w:val="nil"/>
              <w:bottom w:val="nil"/>
              <w:right w:val="nil"/>
            </w:tcBorders>
            <w:shd w:val="clear" w:color="auto" w:fill="auto"/>
            <w:noWrap/>
            <w:vAlign w:val="center"/>
            <w:hideMark/>
          </w:tcPr>
          <w:p w14:paraId="25AB011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-29,872</w:t>
            </w:r>
          </w:p>
        </w:tc>
        <w:tc>
          <w:tcPr>
            <w:tcW w:w="1122" w:type="dxa"/>
            <w:tcBorders>
              <w:top w:val="nil"/>
              <w:left w:val="nil"/>
              <w:bottom w:val="nil"/>
              <w:right w:val="nil"/>
            </w:tcBorders>
            <w:shd w:val="clear" w:color="auto" w:fill="auto"/>
            <w:noWrap/>
            <w:vAlign w:val="center"/>
            <w:hideMark/>
          </w:tcPr>
          <w:p w14:paraId="2C564DF7"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0,421</w:t>
            </w:r>
          </w:p>
        </w:tc>
        <w:tc>
          <w:tcPr>
            <w:tcW w:w="1523" w:type="dxa"/>
            <w:tcBorders>
              <w:top w:val="nil"/>
              <w:left w:val="nil"/>
              <w:bottom w:val="nil"/>
              <w:right w:val="nil"/>
            </w:tcBorders>
            <w:shd w:val="clear" w:color="auto" w:fill="auto"/>
            <w:noWrap/>
            <w:vAlign w:val="center"/>
            <w:hideMark/>
          </w:tcPr>
          <w:p w14:paraId="05F9B874"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-21,565</w:t>
            </w:r>
          </w:p>
        </w:tc>
        <w:tc>
          <w:tcPr>
            <w:tcW w:w="1636" w:type="dxa"/>
            <w:tcBorders>
              <w:top w:val="nil"/>
              <w:left w:val="nil"/>
              <w:bottom w:val="nil"/>
              <w:right w:val="nil"/>
            </w:tcBorders>
            <w:shd w:val="clear" w:color="auto" w:fill="auto"/>
            <w:noWrap/>
            <w:vAlign w:val="center"/>
            <w:hideMark/>
          </w:tcPr>
          <w:p w14:paraId="5825E4B3"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0,068</w:t>
            </w:r>
          </w:p>
        </w:tc>
        <w:tc>
          <w:tcPr>
            <w:tcW w:w="1167" w:type="dxa"/>
            <w:tcBorders>
              <w:top w:val="nil"/>
              <w:left w:val="nil"/>
              <w:bottom w:val="nil"/>
              <w:right w:val="nil"/>
            </w:tcBorders>
            <w:shd w:val="clear" w:color="auto" w:fill="auto"/>
            <w:noWrap/>
            <w:vAlign w:val="center"/>
            <w:hideMark/>
          </w:tcPr>
          <w:p w14:paraId="40C38776"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-47,586</w:t>
            </w:r>
          </w:p>
        </w:tc>
        <w:tc>
          <w:tcPr>
            <w:tcW w:w="1281" w:type="dxa"/>
            <w:tcBorders>
              <w:top w:val="nil"/>
              <w:left w:val="nil"/>
              <w:bottom w:val="nil"/>
              <w:right w:val="nil"/>
            </w:tcBorders>
            <w:shd w:val="clear" w:color="auto" w:fill="auto"/>
            <w:noWrap/>
            <w:vAlign w:val="center"/>
            <w:hideMark/>
          </w:tcPr>
          <w:p w14:paraId="28308AF1"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0,175</w:t>
            </w:r>
          </w:p>
        </w:tc>
        <w:tc>
          <w:tcPr>
            <w:tcW w:w="1024" w:type="dxa"/>
            <w:tcBorders>
              <w:top w:val="nil"/>
              <w:left w:val="nil"/>
              <w:bottom w:val="nil"/>
              <w:right w:val="nil"/>
            </w:tcBorders>
            <w:shd w:val="clear" w:color="auto" w:fill="auto"/>
            <w:noWrap/>
            <w:vAlign w:val="bottom"/>
            <w:hideMark/>
          </w:tcPr>
          <w:p w14:paraId="694F078E" w14:textId="77777777" w:rsidR="0099770F" w:rsidRPr="003B5783" w:rsidRDefault="0099770F" w:rsidP="00633129">
            <w:pPr>
              <w:spacing w:after="0" w:line="240" w:lineRule="auto"/>
              <w:jc w:val="center"/>
              <w:rPr>
                <w:rFonts w:ascii="Calibri" w:eastAsia="Times New Roman" w:hAnsi="Calibri" w:cs="Calibri"/>
                <w:color w:val="000000"/>
                <w:sz w:val="13"/>
                <w:szCs w:val="13"/>
                <w:lang w:val="en-US"/>
              </w:rPr>
            </w:pPr>
          </w:p>
        </w:tc>
        <w:tc>
          <w:tcPr>
            <w:tcW w:w="1138" w:type="dxa"/>
            <w:tcBorders>
              <w:top w:val="nil"/>
              <w:left w:val="nil"/>
              <w:bottom w:val="nil"/>
              <w:right w:val="nil"/>
            </w:tcBorders>
            <w:shd w:val="clear" w:color="auto" w:fill="auto"/>
            <w:noWrap/>
            <w:vAlign w:val="bottom"/>
            <w:hideMark/>
          </w:tcPr>
          <w:p w14:paraId="17E1C1C8" w14:textId="77777777" w:rsidR="0099770F" w:rsidRPr="003B5783" w:rsidRDefault="0099770F" w:rsidP="00633129">
            <w:pPr>
              <w:spacing w:after="0" w:line="240" w:lineRule="auto"/>
              <w:rPr>
                <w:rFonts w:ascii="Times New Roman" w:eastAsia="Times New Roman" w:hAnsi="Times New Roman" w:cs="Times New Roman"/>
                <w:sz w:val="20"/>
                <w:szCs w:val="20"/>
                <w:lang w:val="en-US"/>
              </w:rPr>
            </w:pPr>
          </w:p>
        </w:tc>
      </w:tr>
      <w:tr w:rsidR="0099770F" w:rsidRPr="003B5783" w14:paraId="1F3509CE" w14:textId="77777777" w:rsidTr="00633129">
        <w:trPr>
          <w:trHeight w:val="180"/>
        </w:trPr>
        <w:tc>
          <w:tcPr>
            <w:tcW w:w="566" w:type="dxa"/>
            <w:tcBorders>
              <w:top w:val="nil"/>
              <w:left w:val="nil"/>
              <w:bottom w:val="nil"/>
              <w:right w:val="nil"/>
            </w:tcBorders>
            <w:shd w:val="clear" w:color="auto" w:fill="auto"/>
            <w:noWrap/>
            <w:vAlign w:val="center"/>
            <w:hideMark/>
          </w:tcPr>
          <w:p w14:paraId="3D084A4C"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SC</w:t>
            </w:r>
          </w:p>
        </w:tc>
        <w:tc>
          <w:tcPr>
            <w:tcW w:w="1009" w:type="dxa"/>
            <w:tcBorders>
              <w:top w:val="nil"/>
              <w:left w:val="nil"/>
              <w:bottom w:val="nil"/>
              <w:right w:val="nil"/>
            </w:tcBorders>
            <w:shd w:val="clear" w:color="auto" w:fill="auto"/>
            <w:noWrap/>
            <w:vAlign w:val="center"/>
            <w:hideMark/>
          </w:tcPr>
          <w:p w14:paraId="02170B86"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-126,939</w:t>
            </w:r>
          </w:p>
        </w:tc>
        <w:tc>
          <w:tcPr>
            <w:tcW w:w="1122" w:type="dxa"/>
            <w:tcBorders>
              <w:top w:val="nil"/>
              <w:left w:val="nil"/>
              <w:bottom w:val="nil"/>
              <w:right w:val="nil"/>
            </w:tcBorders>
            <w:shd w:val="clear" w:color="auto" w:fill="auto"/>
            <w:noWrap/>
            <w:vAlign w:val="center"/>
            <w:hideMark/>
          </w:tcPr>
          <w:p w14:paraId="4921B2DA"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523" w:type="dxa"/>
            <w:tcBorders>
              <w:top w:val="nil"/>
              <w:left w:val="nil"/>
              <w:bottom w:val="nil"/>
              <w:right w:val="nil"/>
            </w:tcBorders>
            <w:shd w:val="clear" w:color="auto" w:fill="auto"/>
            <w:noWrap/>
            <w:vAlign w:val="center"/>
            <w:hideMark/>
          </w:tcPr>
          <w:p w14:paraId="2CD71E41"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-27,955</w:t>
            </w:r>
          </w:p>
        </w:tc>
        <w:tc>
          <w:tcPr>
            <w:tcW w:w="1636" w:type="dxa"/>
            <w:tcBorders>
              <w:top w:val="nil"/>
              <w:left w:val="nil"/>
              <w:bottom w:val="nil"/>
              <w:right w:val="nil"/>
            </w:tcBorders>
            <w:shd w:val="clear" w:color="auto" w:fill="auto"/>
            <w:noWrap/>
            <w:vAlign w:val="center"/>
            <w:hideMark/>
          </w:tcPr>
          <w:p w14:paraId="53B071EA"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167" w:type="dxa"/>
            <w:tcBorders>
              <w:top w:val="nil"/>
              <w:left w:val="nil"/>
              <w:bottom w:val="nil"/>
              <w:right w:val="nil"/>
            </w:tcBorders>
            <w:shd w:val="clear" w:color="auto" w:fill="auto"/>
            <w:noWrap/>
            <w:vAlign w:val="center"/>
            <w:hideMark/>
          </w:tcPr>
          <w:p w14:paraId="330EF0BB"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-87,777</w:t>
            </w:r>
          </w:p>
        </w:tc>
        <w:tc>
          <w:tcPr>
            <w:tcW w:w="1281" w:type="dxa"/>
            <w:tcBorders>
              <w:top w:val="nil"/>
              <w:left w:val="nil"/>
              <w:bottom w:val="nil"/>
              <w:right w:val="nil"/>
            </w:tcBorders>
            <w:shd w:val="clear" w:color="auto" w:fill="auto"/>
            <w:noWrap/>
            <w:vAlign w:val="center"/>
            <w:hideMark/>
          </w:tcPr>
          <w:p w14:paraId="5F35FDCA"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w:t>
            </w:r>
          </w:p>
        </w:tc>
        <w:tc>
          <w:tcPr>
            <w:tcW w:w="1024" w:type="dxa"/>
            <w:tcBorders>
              <w:top w:val="nil"/>
              <w:left w:val="nil"/>
              <w:bottom w:val="nil"/>
              <w:right w:val="nil"/>
            </w:tcBorders>
            <w:shd w:val="clear" w:color="auto" w:fill="auto"/>
            <w:noWrap/>
            <w:vAlign w:val="bottom"/>
            <w:hideMark/>
          </w:tcPr>
          <w:p w14:paraId="35560FA4" w14:textId="77777777" w:rsidR="0099770F" w:rsidRPr="003B5783" w:rsidRDefault="0099770F" w:rsidP="00633129">
            <w:pPr>
              <w:spacing w:after="0" w:line="240" w:lineRule="auto"/>
              <w:jc w:val="center"/>
              <w:rPr>
                <w:rFonts w:ascii="Calibri" w:eastAsia="Times New Roman" w:hAnsi="Calibri" w:cs="Calibri"/>
                <w:color w:val="00B050"/>
                <w:sz w:val="13"/>
                <w:szCs w:val="13"/>
                <w:lang w:val="en-US"/>
              </w:rPr>
            </w:pPr>
          </w:p>
        </w:tc>
        <w:tc>
          <w:tcPr>
            <w:tcW w:w="1138" w:type="dxa"/>
            <w:tcBorders>
              <w:top w:val="nil"/>
              <w:left w:val="nil"/>
              <w:bottom w:val="nil"/>
              <w:right w:val="nil"/>
            </w:tcBorders>
            <w:shd w:val="clear" w:color="auto" w:fill="auto"/>
            <w:noWrap/>
            <w:vAlign w:val="bottom"/>
            <w:hideMark/>
          </w:tcPr>
          <w:p w14:paraId="41A2D793" w14:textId="77777777" w:rsidR="0099770F" w:rsidRPr="003B5783" w:rsidRDefault="0099770F" w:rsidP="00633129">
            <w:pPr>
              <w:spacing w:after="0" w:line="240" w:lineRule="auto"/>
              <w:rPr>
                <w:rFonts w:ascii="Times New Roman" w:eastAsia="Times New Roman" w:hAnsi="Times New Roman" w:cs="Times New Roman"/>
                <w:sz w:val="20"/>
                <w:szCs w:val="20"/>
                <w:lang w:val="en-US"/>
              </w:rPr>
            </w:pPr>
          </w:p>
        </w:tc>
      </w:tr>
      <w:tr w:rsidR="0099770F" w:rsidRPr="003B5783" w14:paraId="42EB8861" w14:textId="77777777" w:rsidTr="00633129">
        <w:trPr>
          <w:trHeight w:val="180"/>
        </w:trPr>
        <w:tc>
          <w:tcPr>
            <w:tcW w:w="566" w:type="dxa"/>
            <w:tcBorders>
              <w:top w:val="nil"/>
              <w:left w:val="nil"/>
              <w:bottom w:val="nil"/>
              <w:right w:val="nil"/>
            </w:tcBorders>
            <w:shd w:val="clear" w:color="auto" w:fill="auto"/>
            <w:noWrap/>
            <w:vAlign w:val="center"/>
            <w:hideMark/>
          </w:tcPr>
          <w:p w14:paraId="50C5F0C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SP</w:t>
            </w:r>
          </w:p>
        </w:tc>
        <w:tc>
          <w:tcPr>
            <w:tcW w:w="1009" w:type="dxa"/>
            <w:tcBorders>
              <w:top w:val="nil"/>
              <w:left w:val="nil"/>
              <w:bottom w:val="nil"/>
              <w:right w:val="nil"/>
            </w:tcBorders>
            <w:shd w:val="clear" w:color="auto" w:fill="auto"/>
            <w:noWrap/>
            <w:vAlign w:val="center"/>
            <w:hideMark/>
          </w:tcPr>
          <w:p w14:paraId="54B33DC3"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-68,429</w:t>
            </w:r>
          </w:p>
        </w:tc>
        <w:tc>
          <w:tcPr>
            <w:tcW w:w="1122" w:type="dxa"/>
            <w:tcBorders>
              <w:top w:val="nil"/>
              <w:left w:val="nil"/>
              <w:bottom w:val="nil"/>
              <w:right w:val="nil"/>
            </w:tcBorders>
            <w:shd w:val="clear" w:color="auto" w:fill="auto"/>
            <w:noWrap/>
            <w:vAlign w:val="center"/>
            <w:hideMark/>
          </w:tcPr>
          <w:p w14:paraId="7B554D82"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0,088</w:t>
            </w:r>
          </w:p>
        </w:tc>
        <w:tc>
          <w:tcPr>
            <w:tcW w:w="1523" w:type="dxa"/>
            <w:tcBorders>
              <w:top w:val="nil"/>
              <w:left w:val="nil"/>
              <w:bottom w:val="nil"/>
              <w:right w:val="nil"/>
            </w:tcBorders>
            <w:shd w:val="clear" w:color="auto" w:fill="auto"/>
            <w:noWrap/>
            <w:vAlign w:val="center"/>
            <w:hideMark/>
          </w:tcPr>
          <w:p w14:paraId="128B751B"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-0,108</w:t>
            </w:r>
          </w:p>
        </w:tc>
        <w:tc>
          <w:tcPr>
            <w:tcW w:w="1636" w:type="dxa"/>
            <w:tcBorders>
              <w:top w:val="nil"/>
              <w:left w:val="nil"/>
              <w:bottom w:val="nil"/>
              <w:right w:val="nil"/>
            </w:tcBorders>
            <w:shd w:val="clear" w:color="auto" w:fill="auto"/>
            <w:noWrap/>
            <w:vAlign w:val="center"/>
            <w:hideMark/>
          </w:tcPr>
          <w:p w14:paraId="0B185079" w14:textId="77777777" w:rsidR="0099770F" w:rsidRPr="003B5783" w:rsidRDefault="0099770F" w:rsidP="00633129">
            <w:pPr>
              <w:spacing w:after="0" w:line="240" w:lineRule="auto"/>
              <w:jc w:val="center"/>
              <w:rPr>
                <w:rFonts w:ascii="Calibri" w:eastAsia="Times New Roman" w:hAnsi="Calibri" w:cs="Calibri"/>
                <w:color w:val="000000"/>
                <w:sz w:val="18"/>
                <w:szCs w:val="18"/>
                <w:lang w:val="en-US"/>
              </w:rPr>
            </w:pPr>
            <w:r w:rsidRPr="003B5783">
              <w:rPr>
                <w:rFonts w:ascii="Calibri" w:eastAsia="Times New Roman" w:hAnsi="Calibri" w:cs="Calibri"/>
                <w:color w:val="000000"/>
                <w:sz w:val="18"/>
                <w:szCs w:val="18"/>
                <w:lang w:val="en-US"/>
              </w:rPr>
              <w:t>0,983</w:t>
            </w:r>
          </w:p>
        </w:tc>
        <w:tc>
          <w:tcPr>
            <w:tcW w:w="1167" w:type="dxa"/>
            <w:tcBorders>
              <w:top w:val="nil"/>
              <w:left w:val="nil"/>
              <w:bottom w:val="nil"/>
              <w:right w:val="nil"/>
            </w:tcBorders>
            <w:shd w:val="clear" w:color="auto" w:fill="auto"/>
            <w:noWrap/>
            <w:vAlign w:val="center"/>
            <w:hideMark/>
          </w:tcPr>
          <w:p w14:paraId="3ED3E642"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-63,055</w:t>
            </w:r>
          </w:p>
        </w:tc>
        <w:tc>
          <w:tcPr>
            <w:tcW w:w="1281" w:type="dxa"/>
            <w:tcBorders>
              <w:top w:val="nil"/>
              <w:left w:val="nil"/>
              <w:bottom w:val="nil"/>
              <w:right w:val="nil"/>
            </w:tcBorders>
            <w:shd w:val="clear" w:color="auto" w:fill="auto"/>
            <w:noWrap/>
            <w:vAlign w:val="center"/>
            <w:hideMark/>
          </w:tcPr>
          <w:p w14:paraId="62354392" w14:textId="77777777" w:rsidR="0099770F" w:rsidRPr="003B5783" w:rsidRDefault="0099770F" w:rsidP="00633129">
            <w:pPr>
              <w:spacing w:after="0" w:line="240" w:lineRule="auto"/>
              <w:jc w:val="center"/>
              <w:rPr>
                <w:rFonts w:ascii="Calibri" w:eastAsia="Times New Roman" w:hAnsi="Calibri" w:cs="Calibri"/>
                <w:color w:val="00B050"/>
                <w:sz w:val="18"/>
                <w:szCs w:val="18"/>
                <w:lang w:val="en-US"/>
              </w:rPr>
            </w:pPr>
            <w:r w:rsidRPr="003B5783">
              <w:rPr>
                <w:rFonts w:ascii="Calibri" w:eastAsia="Times New Roman" w:hAnsi="Calibri" w:cs="Calibri"/>
                <w:color w:val="00B050"/>
                <w:sz w:val="18"/>
                <w:szCs w:val="18"/>
                <w:lang w:val="en-US"/>
              </w:rPr>
              <w:t>0,044</w:t>
            </w:r>
          </w:p>
        </w:tc>
        <w:tc>
          <w:tcPr>
            <w:tcW w:w="1024" w:type="dxa"/>
            <w:tcBorders>
              <w:top w:val="nil"/>
              <w:left w:val="nil"/>
              <w:bottom w:val="nil"/>
              <w:right w:val="nil"/>
            </w:tcBorders>
            <w:shd w:val="clear" w:color="auto" w:fill="auto"/>
            <w:noWrap/>
            <w:vAlign w:val="bottom"/>
            <w:hideMark/>
          </w:tcPr>
          <w:p w14:paraId="306E30D3" w14:textId="77777777" w:rsidR="0099770F" w:rsidRPr="003B5783" w:rsidRDefault="0099770F" w:rsidP="00633129">
            <w:pPr>
              <w:spacing w:after="0" w:line="240" w:lineRule="auto"/>
              <w:jc w:val="center"/>
              <w:rPr>
                <w:rFonts w:ascii="Calibri" w:eastAsia="Times New Roman" w:hAnsi="Calibri" w:cs="Calibri"/>
                <w:color w:val="00B050"/>
                <w:sz w:val="13"/>
                <w:szCs w:val="13"/>
                <w:lang w:val="en-US"/>
              </w:rPr>
            </w:pPr>
          </w:p>
        </w:tc>
        <w:tc>
          <w:tcPr>
            <w:tcW w:w="1138" w:type="dxa"/>
            <w:tcBorders>
              <w:top w:val="nil"/>
              <w:left w:val="nil"/>
              <w:bottom w:val="nil"/>
              <w:right w:val="nil"/>
            </w:tcBorders>
            <w:shd w:val="clear" w:color="auto" w:fill="auto"/>
            <w:noWrap/>
            <w:vAlign w:val="bottom"/>
            <w:hideMark/>
          </w:tcPr>
          <w:p w14:paraId="0E53E100" w14:textId="77777777" w:rsidR="0099770F" w:rsidRPr="003B5783" w:rsidRDefault="0099770F" w:rsidP="00633129">
            <w:pPr>
              <w:spacing w:after="0" w:line="240" w:lineRule="auto"/>
              <w:rPr>
                <w:rFonts w:ascii="Times New Roman" w:eastAsia="Times New Roman" w:hAnsi="Times New Roman" w:cs="Times New Roman"/>
                <w:sz w:val="20"/>
                <w:szCs w:val="20"/>
                <w:lang w:val="en-US"/>
              </w:rPr>
            </w:pPr>
          </w:p>
        </w:tc>
      </w:tr>
    </w:tbl>
    <w:p w14:paraId="3B771AAB" w14:textId="77777777" w:rsidR="00E3289A" w:rsidRDefault="00E3289A" w:rsidP="00E3289A">
      <w:pPr>
        <w:spacing w:line="240" w:lineRule="auto"/>
        <w:contextualSpacing/>
        <w:jc w:val="both"/>
        <w:rPr>
          <w:rFonts w:ascii="Calibri" w:eastAsia="Times New Roman" w:hAnsi="Calibri" w:cs="Calibri"/>
          <w:color w:val="000000"/>
          <w:sz w:val="18"/>
          <w:szCs w:val="18"/>
        </w:rPr>
      </w:pPr>
    </w:p>
    <w:p w14:paraId="1F80E655" w14:textId="76BE1835" w:rsidR="00E3289A" w:rsidRPr="00834B41" w:rsidRDefault="00E3289A" w:rsidP="00E3289A">
      <w:pPr>
        <w:spacing w:line="240" w:lineRule="auto"/>
        <w:contextualSpacing/>
        <w:jc w:val="both"/>
        <w:rPr>
          <w:rFonts w:ascii="Calibri" w:eastAsia="Times New Roman" w:hAnsi="Calibri" w:cs="Calibri"/>
          <w:color w:val="000000"/>
          <w:sz w:val="18"/>
          <w:szCs w:val="18"/>
        </w:rPr>
      </w:pPr>
      <w:r>
        <w:rPr>
          <w:rFonts w:ascii="Calibri" w:eastAsia="Times New Roman" w:hAnsi="Calibri" w:cs="Calibri"/>
          <w:color w:val="000000"/>
          <w:sz w:val="18"/>
          <w:szCs w:val="18"/>
        </w:rPr>
        <w:t>Source</w:t>
      </w:r>
      <w:r w:rsidRPr="00834B4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Self elaboration</w:t>
      </w:r>
      <w:r w:rsidRPr="00834B41">
        <w:rPr>
          <w:rFonts w:ascii="Calibri" w:eastAsia="Times New Roman" w:hAnsi="Calibri" w:cs="Calibri"/>
          <w:color w:val="000000"/>
          <w:sz w:val="18"/>
          <w:szCs w:val="18"/>
        </w:rPr>
        <w:t xml:space="preserve">. </w:t>
      </w:r>
    </w:p>
    <w:p w14:paraId="036F1E28" w14:textId="5DCE217D" w:rsidR="0099770F" w:rsidRPr="00F23A80" w:rsidRDefault="00E3289A" w:rsidP="00173539">
      <w:pPr>
        <w:spacing w:line="240" w:lineRule="auto"/>
        <w:contextualSpacing/>
        <w:jc w:val="both"/>
        <w:rPr>
          <w:rFonts w:ascii="Times New Roman" w:hAnsi="Times New Roman" w:cs="Times New Roman"/>
          <w:sz w:val="24"/>
          <w:szCs w:val="24"/>
          <w:lang w:val="en-US"/>
        </w:rPr>
      </w:pPr>
      <w:r w:rsidRPr="00F23A80">
        <w:rPr>
          <w:rFonts w:ascii="Calibri" w:eastAsia="Times New Roman" w:hAnsi="Calibri" w:cs="Calibri"/>
          <w:color w:val="000000"/>
          <w:sz w:val="18"/>
          <w:szCs w:val="18"/>
          <w:lang w:val="en-US"/>
        </w:rPr>
        <w:t xml:space="preserve">Note: </w:t>
      </w:r>
      <w:r w:rsidR="00173539" w:rsidRPr="00173539">
        <w:rPr>
          <w:rFonts w:ascii="Calibri" w:eastAsia="Times New Roman" w:hAnsi="Calibri" w:cs="Calibri"/>
          <w:color w:val="000000"/>
          <w:sz w:val="18"/>
          <w:szCs w:val="18"/>
          <w:lang w:val="en-US"/>
        </w:rPr>
        <w:t>The values in green and red represent, respectively, negative and positive coefficients, significant at the 5% significance level.</w:t>
      </w:r>
    </w:p>
    <w:p w14:paraId="2ED52D48" w14:textId="4E5B4CEE" w:rsidR="0053748B" w:rsidRDefault="0053748B" w:rsidP="00492FA1">
      <w:pPr>
        <w:pStyle w:val="NormalWeb"/>
        <w:spacing w:line="360" w:lineRule="auto"/>
        <w:ind w:firstLine="567"/>
        <w:contextualSpacing/>
        <w:jc w:val="both"/>
      </w:pPr>
      <w:r w:rsidRPr="0053748B">
        <w:t xml:space="preserve">In the three states of the southeastern region of Brazil, Rio de Janeiro (RJ), Minas Gerais (MG), and São Paulo (SP), the coefficients of difference-in-differences are, with rare exceptions, </w:t>
      </w:r>
      <w:r w:rsidRPr="0053748B">
        <w:lastRenderedPageBreak/>
        <w:t>not significant. The scarcity of significant and negative coefficients suggests that the effectiveness of the Social Observatories strategy for public expenditure control has been relatively low in these states. What may be associated with inefficiencies in the Observatories management, or with team members co-optation by local elites. Rio de Janeiro, for example, which has six observatories (all from the OSB network) have only two significant coefficients. One negative, for “Outsourced Services to Legal Entities” and one positive, for the heading “Investment". Minas Gerais, served by six OSB network observatories and an independent one, has a single significant and negative coefficient associated with “Personnel” expenses. And São Paulo (which has eighteen Observatories of the OSB network and an independent one) performs only a little better than its Southeast counterparts, presenting two negative and significant coefficients associated with the headings: “Investment”  and “Construction and Installations”.</w:t>
      </w:r>
    </w:p>
    <w:p w14:paraId="529BFECE" w14:textId="0089E253" w:rsidR="00B061FF" w:rsidRDefault="00B061FF" w:rsidP="00B061FF">
      <w:pPr>
        <w:pStyle w:val="NormalWeb"/>
        <w:spacing w:line="360" w:lineRule="auto"/>
        <w:ind w:firstLine="567"/>
        <w:contextualSpacing/>
        <w:jc w:val="both"/>
      </w:pPr>
      <w:r w:rsidRPr="00A97791">
        <w:t>Finally, in the South region, the Observatories seem to be more effective than in the rest of the country. The three states that represent the region in the sample: Paraná (PR), Rio Grande do Sul (RS), and Santa Catarina (SC), present several expenses with negative and significant coefficients (as expected) and only one positive and significant coefficient, for the expense of “Outsourced Services to Individuals”, which, as we have seen, is suspect of non-parallelism of trends bias, and is not considered in figure 1.</w:t>
      </w:r>
    </w:p>
    <w:p w14:paraId="73FE9E43" w14:textId="4C870CC2" w:rsidR="00B061FF" w:rsidRDefault="00B061FF" w:rsidP="00B061FF">
      <w:pPr>
        <w:pStyle w:val="NormalWeb"/>
        <w:spacing w:line="360" w:lineRule="auto"/>
        <w:ind w:firstLine="567"/>
        <w:contextualSpacing/>
        <w:jc w:val="both"/>
      </w:pPr>
      <w:r w:rsidRPr="008C6A24">
        <w:t>Paraná, which has thirty-seven Observatories (thirty-one OSBs and six independent ones), has significant and negative coefficients for three expenses: “Personnel”, “Equipment and Permanent Material”, “Construction and Installations”. Rio Grande do Sul, which has fourteen Observatories, all from the OSB network, has five negative and significant coefficients: “Personnel”, “Consumption of Materials”, “Freely distributed Materials”, “Per diem”, and “Equipment and Permanent Material”. Finally, Santa Catarina, which has twenty-six Observatories (twenty-four OSBs and two independent ones), has nine negative and significant coefficients: “Total Expenses”, “Personnel”, “Consumption of Materials”, “Freely Distributed Materials”, “Per diem”, “Investment”, “Equipment and Permanent Materials” and “Construction and Installations”.</w:t>
      </w:r>
    </w:p>
    <w:p w14:paraId="74015E7E" w14:textId="584610BB" w:rsidR="00167842" w:rsidRDefault="00167842" w:rsidP="00A32EBD">
      <w:pPr>
        <w:pStyle w:val="NormalWeb"/>
        <w:spacing w:line="360" w:lineRule="auto"/>
        <w:ind w:firstLine="567"/>
        <w:contextualSpacing/>
        <w:jc w:val="both"/>
      </w:pPr>
      <w:r w:rsidRPr="008C6A24">
        <w:t xml:space="preserve">The picture of severe interstate heterogeneity that turns out, where States with a reasonable amount of Observatories (such as Minas Gerais and Rio de Janeiro) show effectiveness equal to or less than that of States with a reduced number of Observatories (Mato Grosso, Mato Grosso do Sul and Rondônia), or where States with a similar number of Observatories present very discrepant effectiveness (comparison between São Paulo and Rio Grande do Sul), or almost diametrically opposite (comparison between Santa Catarina and Piauí); shows that in some regions the culture of corruption may be still deeply rooted in the population’s values, habits, and traditions </w:t>
      </w:r>
      <w:r>
        <w:fldChar w:fldCharType="begin" w:fldLock="1"/>
      </w:r>
      <w:r w:rsidR="00521889">
        <w:instrText>ADDIN CSL_CITATION {"citationItems":[{"id":"ITEM-1","itemData":{"DOI":"10.1177/0170840607067832","ISSN":"01708406","abstract":"The author claims that the conceptualization of the relation between individual and structure is central to social science. This paper overviews some recent developments in the social theory of structure and agency, and makes a novel addition, based on a concept of habit derived from pragmatist philosophy and sociology and from Veblenian institutional economics. The author shows how processes of habituation provide a mechanism of ‘reconstitutive downward causation’ where institutional circumstances may affect individual preferences. Finally, special characteristics of organizations are discussed, endorsing an evolutionary analytical approach that combines insights from both evolutionary economics and organization science.","author":[{"dropping-particle":"","family":"Hodgson","given":"Geoffrey M.","non-dropping-particle":"","parse-names":false,"suffix":""}],"container-title":"Organization Studies","id":"ITEM-1","issue":"1","issued":{"date-parts":[["2007"]]},"page":"95-116","title":"Institutions and individuals: Interaction and evolution","type":"article-journal","volume":"28"},"uris":["http://www.mendeley.com/documents/?uuid=b99b6cce-a99d-4a74-acb9-d70d2efec3e9"]}],"mendeley":{"formattedCitation":"(Hodgson, 2007)","plainTextFormattedCitation":"(Hodgson, 2007)","previouslyFormattedCitation":"(Hodgson, 2007)"},"properties":{"noteIndex":0},"schema":"https://github.com/citation-style-language/schema/raw/master/csl-citation.json"}</w:instrText>
      </w:r>
      <w:r>
        <w:fldChar w:fldCharType="separate"/>
      </w:r>
      <w:r w:rsidRPr="00185DED">
        <w:rPr>
          <w:noProof/>
        </w:rPr>
        <w:t>(Hodgson, 2007)</w:t>
      </w:r>
      <w:r>
        <w:fldChar w:fldCharType="end"/>
      </w:r>
      <w:r w:rsidRPr="008C6A24">
        <w:t>, resisting the establishment of the culture of transparency and accountability that the Social Observatories seek to encourage, reducing the magnitude of their practical results.</w:t>
      </w:r>
    </w:p>
    <w:p w14:paraId="1AA66555" w14:textId="67B53C3F" w:rsidR="00B306EF" w:rsidRPr="002A7AFF" w:rsidRDefault="00B306EF" w:rsidP="00492FA1">
      <w:pPr>
        <w:pStyle w:val="NormalWeb"/>
        <w:spacing w:line="360" w:lineRule="auto"/>
        <w:ind w:firstLine="567"/>
        <w:contextualSpacing/>
        <w:jc w:val="both"/>
        <w:rPr>
          <w:rFonts w:asciiTheme="minorHAnsi" w:hAnsiTheme="minorHAnsi" w:cstheme="minorBidi"/>
          <w:b/>
          <w:bCs/>
          <w:sz w:val="22"/>
          <w:szCs w:val="22"/>
        </w:rPr>
      </w:pPr>
      <w:r w:rsidRPr="002A7AFF">
        <w:rPr>
          <w:rFonts w:asciiTheme="minorHAnsi" w:hAnsiTheme="minorHAnsi" w:cstheme="minorBidi"/>
          <w:b/>
          <w:bCs/>
          <w:sz w:val="22"/>
          <w:szCs w:val="22"/>
        </w:rPr>
        <w:lastRenderedPageBreak/>
        <w:t>Figure 1 – Effectiveness of Observatories by State</w:t>
      </w:r>
    </w:p>
    <w:p w14:paraId="162B14A1" w14:textId="06501BB6" w:rsidR="003F7560" w:rsidRDefault="003F7560" w:rsidP="00492FA1">
      <w:pPr>
        <w:pStyle w:val="NormalWeb"/>
        <w:spacing w:line="360" w:lineRule="auto"/>
        <w:ind w:firstLine="567"/>
        <w:contextualSpacing/>
        <w:jc w:val="both"/>
      </w:pPr>
      <w:r>
        <w:rPr>
          <w:noProof/>
        </w:rPr>
        <w:drawing>
          <wp:inline distT="0" distB="0" distL="0" distR="0" wp14:anchorId="4A43D45B" wp14:editId="0C4FE702">
            <wp:extent cx="6120130" cy="3248943"/>
            <wp:effectExtent l="0" t="0" r="0" b="0"/>
            <wp:docPr id="1" name="Gráfico 1">
              <a:extLst xmlns:a="http://schemas.openxmlformats.org/drawingml/2006/main">
                <a:ext uri="{FF2B5EF4-FFF2-40B4-BE49-F238E27FC236}">
                  <a16:creationId xmlns:a16="http://schemas.microsoft.com/office/drawing/2014/main" id="{FB99B0FE-6D4F-4B49-B1F5-341D3C498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9B43B6" w14:textId="01FB420B" w:rsidR="00B306EF" w:rsidRPr="00B306EF" w:rsidRDefault="00B306EF" w:rsidP="00B306EF">
      <w:pPr>
        <w:pStyle w:val="NormalWeb"/>
        <w:ind w:firstLine="567"/>
        <w:contextualSpacing/>
        <w:jc w:val="both"/>
        <w:rPr>
          <w:sz w:val="20"/>
          <w:szCs w:val="20"/>
        </w:rPr>
      </w:pPr>
      <w:r w:rsidRPr="00B306EF">
        <w:rPr>
          <w:sz w:val="20"/>
          <w:szCs w:val="20"/>
        </w:rPr>
        <w:t xml:space="preserve">Source: </w:t>
      </w:r>
      <w:r w:rsidR="0053748B">
        <w:rPr>
          <w:sz w:val="20"/>
          <w:szCs w:val="20"/>
        </w:rPr>
        <w:t>Self</w:t>
      </w:r>
      <w:r w:rsidRPr="00B306EF">
        <w:rPr>
          <w:sz w:val="20"/>
          <w:szCs w:val="20"/>
        </w:rPr>
        <w:t xml:space="preserve"> elaboration.</w:t>
      </w:r>
    </w:p>
    <w:p w14:paraId="4C74CFFF" w14:textId="5F0C3070" w:rsidR="00FA49C9" w:rsidRDefault="00B306EF" w:rsidP="003F7560">
      <w:pPr>
        <w:pStyle w:val="NormalWeb"/>
        <w:ind w:firstLine="567"/>
        <w:contextualSpacing/>
        <w:jc w:val="both"/>
        <w:rPr>
          <w:sz w:val="20"/>
          <w:szCs w:val="20"/>
        </w:rPr>
      </w:pPr>
      <w:r w:rsidRPr="00B306EF">
        <w:rPr>
          <w:sz w:val="20"/>
          <w:szCs w:val="20"/>
        </w:rPr>
        <w:t>Note: The coefficients in the figure are significant at the 5% significance level.</w:t>
      </w:r>
    </w:p>
    <w:p w14:paraId="71AB2F4C" w14:textId="77777777" w:rsidR="003F7560" w:rsidRPr="003F7560" w:rsidRDefault="003F7560" w:rsidP="003F7560">
      <w:pPr>
        <w:pStyle w:val="NormalWeb"/>
        <w:ind w:firstLine="567"/>
        <w:contextualSpacing/>
        <w:jc w:val="both"/>
        <w:rPr>
          <w:sz w:val="20"/>
          <w:szCs w:val="20"/>
        </w:rPr>
      </w:pPr>
    </w:p>
    <w:p w14:paraId="437C1AD6" w14:textId="77777777" w:rsidR="008C6A24" w:rsidRPr="001C68FE" w:rsidRDefault="008C6A24" w:rsidP="001C68FE">
      <w:pPr>
        <w:pStyle w:val="NormalWeb"/>
        <w:spacing w:line="360" w:lineRule="auto"/>
        <w:ind w:firstLine="567"/>
        <w:contextualSpacing/>
        <w:jc w:val="both"/>
      </w:pPr>
    </w:p>
    <w:p w14:paraId="7F3A5C7D" w14:textId="22C3C24A" w:rsidR="00732C3C" w:rsidRPr="00502ECE" w:rsidRDefault="00370AC4" w:rsidP="00BE3117">
      <w:pPr>
        <w:pStyle w:val="NormalWeb"/>
        <w:spacing w:line="360" w:lineRule="auto"/>
        <w:ind w:firstLine="567"/>
        <w:contextualSpacing/>
        <w:jc w:val="both"/>
        <w:rPr>
          <w:b/>
          <w:bCs/>
        </w:rPr>
      </w:pPr>
      <w:r w:rsidRPr="00502ECE">
        <w:rPr>
          <w:b/>
          <w:bCs/>
        </w:rPr>
        <w:t xml:space="preserve">6. Final </w:t>
      </w:r>
      <w:r w:rsidR="002F51B5" w:rsidRPr="00502ECE">
        <w:rPr>
          <w:b/>
          <w:bCs/>
        </w:rPr>
        <w:t>remarks</w:t>
      </w:r>
    </w:p>
    <w:p w14:paraId="4B014449" w14:textId="77777777" w:rsidR="00BE3117" w:rsidRDefault="00BE3117" w:rsidP="00BE3117">
      <w:pPr>
        <w:pStyle w:val="NormalWeb"/>
        <w:spacing w:line="360" w:lineRule="auto"/>
        <w:ind w:firstLine="567"/>
        <w:contextualSpacing/>
        <w:jc w:val="both"/>
      </w:pPr>
    </w:p>
    <w:p w14:paraId="6FC018BA" w14:textId="1E8C78C2" w:rsidR="00C65C66" w:rsidRDefault="00F84EC3" w:rsidP="00C65C66">
      <w:pPr>
        <w:pStyle w:val="NormalWeb"/>
        <w:spacing w:line="360" w:lineRule="auto"/>
        <w:ind w:firstLine="567"/>
        <w:contextualSpacing/>
        <w:jc w:val="both"/>
      </w:pPr>
      <w:r w:rsidRPr="00F84EC3">
        <w:t xml:space="preserve">Despite the little attention it receives from the </w:t>
      </w:r>
      <w:r w:rsidR="00732C3C">
        <w:t xml:space="preserve">Brazilian </w:t>
      </w:r>
      <w:r w:rsidRPr="00F84EC3">
        <w:t>press, the municipal corruption is especially harmful, affecting the most vulnerable strata of the population, living in regions of low level of economic and social development.</w:t>
      </w:r>
      <w:r w:rsidR="00395E5A" w:rsidRPr="00395E5A">
        <w:t xml:space="preserve"> </w:t>
      </w:r>
      <w:r w:rsidR="00B43A23" w:rsidRPr="00B43A23">
        <w:t>Limitations of legal competence or material resources by the General Comptroller of the Union, inefficiencies of the audit courts, and lack of interest from local politicians to promote inspection institutions in these locations, allow corruption to flourish. In this context, Observatories emerge as a precious device of social control, with the potential to overturn this situation into transparent environments of accountability-based governance. Despite having great potentiality, the effectiveness of Social Observatories comes up against practical issues, such as the ability to engage volunteers capable of monitoring bids and public spending, disseminating financial education, and fundamentally, resisting pressures, threats, and attempts of co-option by part of local elites.</w:t>
      </w:r>
    </w:p>
    <w:p w14:paraId="5720A6C3" w14:textId="7913B4E7" w:rsidR="003C05A6" w:rsidRDefault="00C65C66" w:rsidP="0009092C">
      <w:pPr>
        <w:pStyle w:val="NormalWeb"/>
        <w:spacing w:line="360" w:lineRule="auto"/>
        <w:ind w:firstLine="567"/>
        <w:contextualSpacing/>
        <w:jc w:val="both"/>
      </w:pPr>
      <w:r>
        <w:t xml:space="preserve">The effectiveness, in the Brazilian context, of the strategy to control municipal public spending by Social Observatories is the gap that we set out to cover in our first study. The analysis of the difference-in-differences coefficients of fifteen municipal per capita expenses, from the model of equation 4, revealed quite robust evidence on the effectiveness of the Observatories, </w:t>
      </w:r>
      <w:r>
        <w:lastRenderedPageBreak/>
        <w:t>showing significant declines (at the 5% level) in about 60% of the municipal expenses in the post-intervention period. A percentage that rises to 67%, if we accept the 10% significance level.</w:t>
      </w:r>
    </w:p>
    <w:p w14:paraId="0E9C4B05" w14:textId="77777777" w:rsidR="00502953" w:rsidRDefault="00AD6835" w:rsidP="00EC1742">
      <w:pPr>
        <w:pStyle w:val="NormalWeb"/>
        <w:spacing w:line="360" w:lineRule="auto"/>
        <w:ind w:firstLine="567"/>
        <w:contextualSpacing/>
        <w:jc w:val="both"/>
      </w:pPr>
      <w:r w:rsidRPr="00AD6835">
        <w:t xml:space="preserve">About the greater effectiveness of Social Observatories in small and lightly populated municipalities, there is a dilemma. On the one hand, the frailty of the system of institutional controls tends to make any increase in control (such as that of the Social Observatories) to promote expressive results. On the other, the greater proximity to local bureaucrats and politicians boosts the chances of co-opting Observatories’ representatives. The research results help to understand which way around does this scale tips in the Brazilian context. The Observatories monitoring promotes a significant reduction (at the level of 5%) in 20% of the analyzed per capita outlays. On these expenses, the reductions are substantially larger in the sample of small municipalities. Thus, at least about the items: “Current Expenditure”, “Personnel” and investments in “Permanent Material and Equipment”, the evidence shows that the Social Observatories are more effective in </w:t>
      </w:r>
      <w:r>
        <w:t>small</w:t>
      </w:r>
      <w:r w:rsidRPr="00AD6835">
        <w:t xml:space="preserve"> municipalities. On the other headings, two have likely biased coefficients (because of non-parallelism of trends) while the others, although being not statistically significant, </w:t>
      </w:r>
      <w:r>
        <w:t>generally</w:t>
      </w:r>
      <w:r w:rsidRPr="00AD6835">
        <w:t xml:space="preserve"> have negative coefficients, reinforcing the evidence on the effectiveness of the Observatories in small municipalities. </w:t>
      </w:r>
      <w:r w:rsidR="00502953" w:rsidRPr="00502953">
        <w:t>The results presented open space for investigations into why the greater effectiveness of Observatories in small cities is verified for some expenses, but not for others.</w:t>
      </w:r>
    </w:p>
    <w:p w14:paraId="4FE4DC43" w14:textId="24A1BC34" w:rsidR="00EC1742" w:rsidRDefault="00625A15" w:rsidP="00EC1742">
      <w:pPr>
        <w:pStyle w:val="NormalWeb"/>
        <w:spacing w:line="360" w:lineRule="auto"/>
        <w:ind w:firstLine="567"/>
        <w:contextualSpacing/>
        <w:jc w:val="both"/>
      </w:pPr>
      <w:r w:rsidRPr="00625A15">
        <w:t xml:space="preserve">As for the hypothesis of the greater effectiveness of the OSB Observatories relative to the set of Brazilian Observatories, the research did not find evidence that validates it. The results seem to suggest that the methodological and operational differences of the OSB network do not provide differentials of effectiveness. This is a counterintuitive result because even though there are few methodological differences between the OSB and the independent observatories, the operational differences are remarkable. The literature in the fields of Industrial Organization and Strategy in Organizations predicts competitive advantages for organizations that operate in a network </w:t>
      </w:r>
      <w:r w:rsidR="00521889">
        <w:fldChar w:fldCharType="begin" w:fldLock="1"/>
      </w:r>
      <w:r w:rsidR="00521889">
        <w:instrText>ADDIN CSL_CITATION {"citationItems":[{"id":"ITEM-1","itemData":{"DOI":"10.1108/13665620310488548","ISSN":"13665626","abstract":"Globalisation is transforming the competitive environment of small and medium-sized firms. Because these firms are competing with their larger counterparts in an economy where collaboration is increasingly central to organisational effectiveness, one must pay more attention to the social networks that organisations rely on. This article focuses on the relational perspective and describes the characteristics of embedded relationships that firms have to pay attention to in order to survive. © 2003, MCB UP Limited","author":[{"dropping-particle":"","family":"Laere","given":"Kristien","non-dropping-particle":"Van","parse-names":false,"suffix":""},{"dropping-particle":"","family":"Heene","given":"Aimé","non-dropping-particle":"","parse-names":false,"suffix":""}],"container-title":"Journal of Workplace Learning","id":"ITEM-1","issue":"6","issued":{"date-parts":[["2003"]]},"page":"248-258","title":"Social networks as a source of competitive advantage for the firm","type":"article-journal","volume":"15"},"uris":["http://www.mendeley.com/documents/?uuid=516a3924-751a-4ce3-b2d6-cefb4fc6220b"]}],"mendeley":{"formattedCitation":"(Van Laere &amp; Heene, 2003)","plainTextFormattedCitation":"(Van Laere &amp; Heene, 2003)","previouslyFormattedCitation":"(Van Laere &amp; Heene, 2003)"},"properties":{"noteIndex":0},"schema":"https://github.com/citation-style-language/schema/raw/master/csl-citation.json"}</w:instrText>
      </w:r>
      <w:r w:rsidR="00521889">
        <w:fldChar w:fldCharType="separate"/>
      </w:r>
      <w:r w:rsidR="00521889" w:rsidRPr="00521889">
        <w:rPr>
          <w:noProof/>
        </w:rPr>
        <w:t>(Van Laere &amp; Heene, 2003)</w:t>
      </w:r>
      <w:r w:rsidR="00521889">
        <w:fldChar w:fldCharType="end"/>
      </w:r>
      <w:r w:rsidR="00521889">
        <w:t xml:space="preserve">. </w:t>
      </w:r>
      <w:r w:rsidRPr="00625A15">
        <w:t xml:space="preserve">According to </w:t>
      </w:r>
      <w:r w:rsidR="00521889">
        <w:fldChar w:fldCharType="begin" w:fldLock="1"/>
      </w:r>
      <w:r w:rsidR="00116588">
        <w:instrText>ADDIN CSL_CITATION {"citationItems":[{"id":"ITEM-1","itemData":{"author":[{"dropping-particle":"","family":"Granovetter","given":"Mark","non-dropping-particle":"","parse-names":false,"suffix":""}],"container-title":"American Journal of Sociology","id":"ITEM-1","issue":"3","issued":{"date-parts":[["1985"]]},"page":"481-510","title":"Economic Action and Social Structure: The Problem of Embeddedness","type":"article-journal","volume":"91"},"uris":["http://www.mendeley.com/documents/?uuid=022dc5a7-c351-3234-9830-3cbd0e160eee"]}],"mendeley":{"formattedCitation":"(Granovetter, 1985)","manualFormatting":"Granovetter (1985)","plainTextFormattedCitation":"(Granovetter, 1985)","previouslyFormattedCitation":"(Granovetter, 1985)"},"properties":{"noteIndex":0},"schema":"https://github.com/citation-style-language/schema/raw/master/csl-citation.json"}</w:instrText>
      </w:r>
      <w:r w:rsidR="00521889">
        <w:fldChar w:fldCharType="separate"/>
      </w:r>
      <w:r w:rsidR="00521889" w:rsidRPr="00521889">
        <w:rPr>
          <w:noProof/>
        </w:rPr>
        <w:t>Granovetter</w:t>
      </w:r>
      <w:r w:rsidR="00116588">
        <w:rPr>
          <w:noProof/>
        </w:rPr>
        <w:t xml:space="preserve"> (</w:t>
      </w:r>
      <w:r w:rsidR="00521889" w:rsidRPr="00521889">
        <w:rPr>
          <w:noProof/>
        </w:rPr>
        <w:t>1985)</w:t>
      </w:r>
      <w:r w:rsidR="00521889">
        <w:fldChar w:fldCharType="end"/>
      </w:r>
      <w:r w:rsidRPr="00625A15">
        <w:t xml:space="preserve">, network operation facilitates access to resources that expand the organization’s competencies. Besides ensuring access to strategic actors, information holders, and resources that can prove to be of great value at opportune times </w:t>
      </w:r>
      <w:r w:rsidR="00116588">
        <w:fldChar w:fldCharType="begin" w:fldLock="1"/>
      </w:r>
      <w:r w:rsidR="00116588">
        <w:instrText>ADDIN CSL_CITATION {"citationItems":[{"id":"ITEM-1","itemData":{"author":[{"dropping-particle":"","family":"Burt","given":"RS","non-dropping-particle":"","parse-names":false,"suffix":""}],"id":"ITEM-1","issued":{"date-parts":[["1992"]]},"publisher":"Harvard University Press","publisher-place":"Cambridge, MA","title":"Structural Holes: The Social Structure of Competition","type":"book"},"uris":["http://www.mendeley.com/documents/?uuid=80cca0ac-0f37-47d4-8be2-972d2881696c"]}],"mendeley":{"formattedCitation":"(Burt, 1992)","plainTextFormattedCitation":"(Burt, 1992)","previouslyFormattedCitation":"(Burt, 1992)"},"properties":{"noteIndex":0},"schema":"https://github.com/citation-style-language/schema/raw/master/csl-citation.json"}</w:instrText>
      </w:r>
      <w:r w:rsidR="00116588">
        <w:fldChar w:fldCharType="separate"/>
      </w:r>
      <w:r w:rsidR="00116588" w:rsidRPr="00116588">
        <w:rPr>
          <w:noProof/>
        </w:rPr>
        <w:t>(Burt, 1992)</w:t>
      </w:r>
      <w:r w:rsidR="00116588">
        <w:fldChar w:fldCharType="end"/>
      </w:r>
      <w:r w:rsidRPr="00625A15">
        <w:t>. For these reasons and because our base of independent Observatories is small (containing only 16 units), we recommend caution in accepting this result and we suggest that future research delve deeper into this topic</w:t>
      </w:r>
      <w:r w:rsidR="003157DB">
        <w:t>.</w:t>
      </w:r>
    </w:p>
    <w:p w14:paraId="3B33CBAE" w14:textId="287A9BA3" w:rsidR="00204086" w:rsidRPr="00794362" w:rsidRDefault="00794362" w:rsidP="00794362">
      <w:pPr>
        <w:pStyle w:val="NormalWeb"/>
        <w:spacing w:line="360" w:lineRule="auto"/>
        <w:ind w:firstLine="567"/>
        <w:contextualSpacing/>
        <w:jc w:val="both"/>
      </w:pPr>
      <w:r w:rsidRPr="00794362">
        <w:t>Finally, the data in table 5 show evidence favorable to the hypothesis of the Observatories’ interstate heterogeneity. A reasonable explanation for this phenomenon is that the levels of corruption institutionalization vary between states. Corruption becomes institutionalized when it turns into a pervasive and enduring fact of society’s life,  an aspect of its culture, that is, of the everyday social norms and practices</w:t>
      </w:r>
      <w:r w:rsidR="00116588">
        <w:t xml:space="preserve"> </w:t>
      </w:r>
      <w:r w:rsidR="00116588">
        <w:fldChar w:fldCharType="begin" w:fldLock="1"/>
      </w:r>
      <w:r w:rsidR="00F12189">
        <w:instrText>ADDIN CSL_CITATION {"citationItems":[{"id":"ITEM-1","itemData":{"DOI":"10.1080/03906700500038678","ISSN":"03906701","abstract":"Cultural factors, as measured by the two dimensions of values identified by Inglehart, explain 75% of the variation in the Perceived Corruption Index across non-communist countries. A strong 'survival' orientation contributes twice as much as a strong 'traditional' orientation to higher levels of corruption. When controlling for these cultural variables, communism and post-communism increase the levels of corruption even further, both directly and by contributing to heavier emphasis on survival values. Communism created structural incentives for engaging in corrupt behaviors, which became such a widespread fact of life that they became rooted in the culture in these societies - that is, the social norms and practices prevailing in communist societies. The transitions toward democracy and market economies have not yet erased this culture of corruption. In addition, the process of privatization itself has opened myriad opportunities for corruption. The effects are manifest in comparisons of corruption in non-communist and (post-)communist countries in five cultural zones. © 2005 University of Rome 'La Sapienza'.","author":[{"dropping-particle":"","family":"Sandholtz","given":"Wayne","non-dropping-particle":"","parse-names":false,"suffix":""},{"dropping-particle":"","family":"Taagepera","given":"Rein","non-dropping-particle":"","parse-names":false,"suffix":""}],"container-title":"International Review of Sociology","id":"ITEM-1","issue":"1","issued":{"date-parts":[["2005"]]},"page":"109-131","title":"Corruption, culture, and communism","type":"article-journal","volume":"15"},"uris":["http://www.mendeley.com/documents/?uuid=fbf78e2d-b9cd-4db7-aa0f-0c794246554d"]}],"mendeley":{"formattedCitation":"(Sandholtz &amp; Taagepera, 2005)","plainTextFormattedCitation":"(Sandholtz &amp; Taagepera, 2005)","previouslyFormattedCitation":"(Sandholtz &amp; Taagepera, 2005)"},"properties":{"noteIndex":0},"schema":"https://github.com/citation-style-language/schema/raw/master/csl-citation.json"}</w:instrText>
      </w:r>
      <w:r w:rsidR="00116588">
        <w:fldChar w:fldCharType="separate"/>
      </w:r>
      <w:r w:rsidR="00116588" w:rsidRPr="00116588">
        <w:rPr>
          <w:noProof/>
        </w:rPr>
        <w:t>(Sandholtz &amp; Taagepera, 2005)</w:t>
      </w:r>
      <w:r w:rsidR="00116588">
        <w:fldChar w:fldCharType="end"/>
      </w:r>
      <w:r w:rsidRPr="00794362">
        <w:t xml:space="preserve">. Del Monte and Papagni </w:t>
      </w:r>
      <w:r w:rsidRPr="00794362">
        <w:lastRenderedPageBreak/>
        <w:t>(2007) warn about the effects of the different levels of corruption institutionalization in different regions of a country, arguing that the more institutionalized, the greater the stimulus for its practice. This is because the profit an individual expects to extract from corrupt practices “must depend on the number of corrupt people he believes there are in the organization or society” (op. cit, p. 383). Bologna (2017) presents a map of corruption pockets in the different states of Brazil, which are more concentrated and intense in the Northeast region and the state of Rio de Janeiro. There are cues that the culture of corruption is more institutionalized in some states and regions of Brazil, imposing greater resistance to disseminating the transparency and accountability culture, and hindering the effectiveness of the social control of public spending. In this sense, specific regional strategies, stimulated by the OSB network and other actors may help to reverse this situation</w:t>
      </w:r>
      <w:r w:rsidR="00D26E0B">
        <w:t>.</w:t>
      </w:r>
    </w:p>
    <w:p w14:paraId="352BA332" w14:textId="25BF6935" w:rsidR="00575CD5" w:rsidRDefault="009F74FB" w:rsidP="00AC3885">
      <w:pPr>
        <w:pStyle w:val="PargrafodaLista"/>
        <w:spacing w:after="0" w:line="360" w:lineRule="auto"/>
        <w:ind w:left="0" w:firstLine="624"/>
        <w:jc w:val="both"/>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7DDF8C0C" w14:textId="77777777" w:rsidR="00DE57D7" w:rsidRDefault="00DE57D7" w:rsidP="00AC3885">
      <w:pPr>
        <w:pStyle w:val="PargrafodaLista"/>
        <w:spacing w:after="0" w:line="360" w:lineRule="auto"/>
        <w:ind w:left="0" w:firstLine="624"/>
        <w:jc w:val="both"/>
        <w:rPr>
          <w:rFonts w:ascii="Times New Roman" w:hAnsi="Times New Roman" w:cs="Times New Roman"/>
          <w:sz w:val="24"/>
          <w:szCs w:val="24"/>
          <w:lang w:val="en-US"/>
        </w:rPr>
      </w:pPr>
    </w:p>
    <w:p w14:paraId="79EF5FE1" w14:textId="455DA124" w:rsidR="00E51658" w:rsidRPr="00E51658" w:rsidRDefault="009F74FB"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9F74FB">
        <w:rPr>
          <w:rFonts w:ascii="Times New Roman" w:hAnsi="Times New Roman" w:cs="Times New Roman"/>
          <w:color w:val="000000" w:themeColor="text1"/>
          <w:sz w:val="24"/>
          <w:szCs w:val="24"/>
          <w:lang w:val="en-US"/>
        </w:rPr>
        <w:fldChar w:fldCharType="begin" w:fldLock="1"/>
      </w:r>
      <w:r w:rsidRPr="009F74FB">
        <w:rPr>
          <w:rFonts w:ascii="Times New Roman" w:hAnsi="Times New Roman" w:cs="Times New Roman"/>
          <w:color w:val="000000" w:themeColor="text1"/>
          <w:sz w:val="24"/>
          <w:szCs w:val="24"/>
          <w:lang w:val="en-US"/>
        </w:rPr>
        <w:instrText xml:space="preserve">ADDIN Mendeley Bibliography CSL_BIBLIOGRAPHY </w:instrText>
      </w:r>
      <w:r w:rsidRPr="009F74FB">
        <w:rPr>
          <w:rFonts w:ascii="Times New Roman" w:hAnsi="Times New Roman" w:cs="Times New Roman"/>
          <w:color w:val="000000" w:themeColor="text1"/>
          <w:sz w:val="24"/>
          <w:szCs w:val="24"/>
          <w:lang w:val="en-US"/>
        </w:rPr>
        <w:fldChar w:fldCharType="separate"/>
      </w:r>
      <w:r w:rsidR="00E51658" w:rsidRPr="00D12ED1">
        <w:rPr>
          <w:rFonts w:ascii="Times New Roman" w:hAnsi="Times New Roman" w:cs="Times New Roman"/>
          <w:noProof/>
          <w:sz w:val="24"/>
          <w:szCs w:val="24"/>
          <w:lang w:val="en-US"/>
        </w:rPr>
        <w:t xml:space="preserve">Angrist, J. D., &amp; Pischke, J. S. (2015). </w:t>
      </w:r>
      <w:r w:rsidR="00E51658" w:rsidRPr="00D12ED1">
        <w:rPr>
          <w:rFonts w:ascii="Times New Roman" w:hAnsi="Times New Roman" w:cs="Times New Roman"/>
          <w:i/>
          <w:iCs/>
          <w:noProof/>
          <w:sz w:val="24"/>
          <w:szCs w:val="24"/>
          <w:lang w:val="en-US"/>
        </w:rPr>
        <w:t>Mastering ’Metrics: The Path from Cause to Effect</w:t>
      </w:r>
      <w:r w:rsidR="00E51658" w:rsidRPr="00D12ED1">
        <w:rPr>
          <w:rFonts w:ascii="Times New Roman" w:hAnsi="Times New Roman" w:cs="Times New Roman"/>
          <w:noProof/>
          <w:sz w:val="24"/>
          <w:szCs w:val="24"/>
          <w:lang w:val="en-US"/>
        </w:rPr>
        <w:t xml:space="preserve">. </w:t>
      </w:r>
      <w:r w:rsidR="00E51658" w:rsidRPr="00E51658">
        <w:rPr>
          <w:rFonts w:ascii="Times New Roman" w:hAnsi="Times New Roman" w:cs="Times New Roman"/>
          <w:noProof/>
          <w:sz w:val="24"/>
          <w:szCs w:val="24"/>
        </w:rPr>
        <w:t>Princeton University Press.</w:t>
      </w:r>
    </w:p>
    <w:p w14:paraId="6F3E43B4"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Barros, J. N., Sobrinho, M. V., Vasconcellos, A. M. de A., &amp; Cançado, A. C. (2019). </w:t>
      </w:r>
      <w:r w:rsidRPr="00D12ED1">
        <w:rPr>
          <w:rFonts w:ascii="Times New Roman" w:hAnsi="Times New Roman" w:cs="Times New Roman"/>
          <w:noProof/>
          <w:sz w:val="24"/>
          <w:szCs w:val="24"/>
          <w:lang w:val="en-US"/>
        </w:rPr>
        <w:t xml:space="preserve">Social Observatory as a new space for civil society and government relationships in Belém, Pará State, brazilian Amazon. </w:t>
      </w:r>
      <w:r w:rsidRPr="00E51658">
        <w:rPr>
          <w:rFonts w:ascii="Times New Roman" w:hAnsi="Times New Roman" w:cs="Times New Roman"/>
          <w:i/>
          <w:iCs/>
          <w:noProof/>
          <w:sz w:val="24"/>
          <w:szCs w:val="24"/>
        </w:rPr>
        <w:t>Interações (Campo Grande)</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20</w:t>
      </w:r>
      <w:r w:rsidRPr="00E51658">
        <w:rPr>
          <w:rFonts w:ascii="Times New Roman" w:hAnsi="Times New Roman" w:cs="Times New Roman"/>
          <w:noProof/>
          <w:sz w:val="24"/>
          <w:szCs w:val="24"/>
        </w:rPr>
        <w:t>(3), 725–736. https://doi.org/10.20435/inter.v20i3.1810</w:t>
      </w:r>
    </w:p>
    <w:p w14:paraId="42B85217"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Becker, G. S., &amp; Stigler, G. J. (1974). </w:t>
      </w:r>
      <w:r w:rsidRPr="00D12ED1">
        <w:rPr>
          <w:rFonts w:ascii="Times New Roman" w:hAnsi="Times New Roman" w:cs="Times New Roman"/>
          <w:noProof/>
          <w:sz w:val="24"/>
          <w:szCs w:val="24"/>
          <w:lang w:val="en-US"/>
        </w:rPr>
        <w:t xml:space="preserve">LAW ENFORCEMENT , MALFEASANCE AND COMPENSATIONS OF ENFORCERS. </w:t>
      </w:r>
      <w:r w:rsidRPr="00D12ED1">
        <w:rPr>
          <w:rFonts w:ascii="Times New Roman" w:hAnsi="Times New Roman" w:cs="Times New Roman"/>
          <w:i/>
          <w:iCs/>
          <w:noProof/>
          <w:sz w:val="24"/>
          <w:szCs w:val="24"/>
          <w:lang w:val="en-US"/>
        </w:rPr>
        <w:t>Journal of Legal Studies</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3</w:t>
      </w:r>
      <w:r w:rsidRPr="00D12ED1">
        <w:rPr>
          <w:rFonts w:ascii="Times New Roman" w:hAnsi="Times New Roman" w:cs="Times New Roman"/>
          <w:noProof/>
          <w:sz w:val="24"/>
          <w:szCs w:val="24"/>
          <w:lang w:val="en-US"/>
        </w:rPr>
        <w:t>(1), 1–18.</w:t>
      </w:r>
    </w:p>
    <w:p w14:paraId="34322661"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Becker, S. O., Egger, P. H., &amp; Seidel, T. (2009). Common political culture: Evidence on regional corruption contagion. </w:t>
      </w:r>
      <w:r w:rsidRPr="00D12ED1">
        <w:rPr>
          <w:rFonts w:ascii="Times New Roman" w:hAnsi="Times New Roman" w:cs="Times New Roman"/>
          <w:i/>
          <w:iCs/>
          <w:noProof/>
          <w:sz w:val="24"/>
          <w:szCs w:val="24"/>
          <w:lang w:val="en-US"/>
        </w:rPr>
        <w:t>European Journal of Political Economy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25</w:t>
      </w:r>
      <w:r w:rsidRPr="00D12ED1">
        <w:rPr>
          <w:rFonts w:ascii="Times New Roman" w:hAnsi="Times New Roman" w:cs="Times New Roman"/>
          <w:noProof/>
          <w:sz w:val="24"/>
          <w:szCs w:val="24"/>
          <w:lang w:val="en-US"/>
        </w:rPr>
        <w:t>(3), 300–310. https://doi.org/10.1016/j.ejpoleco.2008.12.002</w:t>
      </w:r>
    </w:p>
    <w:p w14:paraId="02F731E8"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Bjurstrøm, K. H. (2020). Principal–Agent or Principal–Steward: How Ministry–Agency Relations Condition the Impact of Performance Management in the Steering of Government Agencies. </w:t>
      </w:r>
      <w:r w:rsidRPr="00D12ED1">
        <w:rPr>
          <w:rFonts w:ascii="Times New Roman" w:hAnsi="Times New Roman" w:cs="Times New Roman"/>
          <w:i/>
          <w:iCs/>
          <w:noProof/>
          <w:sz w:val="24"/>
          <w:szCs w:val="24"/>
          <w:lang w:val="en-US"/>
        </w:rPr>
        <w:t>Public Performance and Management Review</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43</w:t>
      </w:r>
      <w:r w:rsidRPr="00D12ED1">
        <w:rPr>
          <w:rFonts w:ascii="Times New Roman" w:hAnsi="Times New Roman" w:cs="Times New Roman"/>
          <w:noProof/>
          <w:sz w:val="24"/>
          <w:szCs w:val="24"/>
          <w:lang w:val="en-US"/>
        </w:rPr>
        <w:t>(5), 1053–1077. https://doi.org/10.1080/15309576.2020.1739087</w:t>
      </w:r>
    </w:p>
    <w:p w14:paraId="60423C83"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Bologna, J. (2017). Contagious corruption, informal employment, and income: evidence from Brazilian municipalities. </w:t>
      </w:r>
      <w:r w:rsidRPr="00D12ED1">
        <w:rPr>
          <w:rFonts w:ascii="Times New Roman" w:hAnsi="Times New Roman" w:cs="Times New Roman"/>
          <w:i/>
          <w:iCs/>
          <w:noProof/>
          <w:sz w:val="24"/>
          <w:szCs w:val="24"/>
          <w:lang w:val="en-US"/>
        </w:rPr>
        <w:t>Annals of Regional Science</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58</w:t>
      </w:r>
      <w:r w:rsidRPr="00D12ED1">
        <w:rPr>
          <w:rFonts w:ascii="Times New Roman" w:hAnsi="Times New Roman" w:cs="Times New Roman"/>
          <w:noProof/>
          <w:sz w:val="24"/>
          <w:szCs w:val="24"/>
          <w:lang w:val="en-US"/>
        </w:rPr>
        <w:t>(1), 67–118. https://doi.org/10.1007/s00168-016-0786-1</w:t>
      </w:r>
    </w:p>
    <w:p w14:paraId="68186660"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Borsky, S., &amp; Kalkschmied, K. (2019). Corruption in space: A closer look at the world’s subnations. </w:t>
      </w:r>
      <w:r w:rsidRPr="00D12ED1">
        <w:rPr>
          <w:rFonts w:ascii="Times New Roman" w:hAnsi="Times New Roman" w:cs="Times New Roman"/>
          <w:i/>
          <w:iCs/>
          <w:noProof/>
          <w:sz w:val="24"/>
          <w:szCs w:val="24"/>
          <w:lang w:val="en-US"/>
        </w:rPr>
        <w:t>European Journal of Political Economy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59</w:t>
      </w:r>
      <w:r w:rsidRPr="00D12ED1">
        <w:rPr>
          <w:rFonts w:ascii="Times New Roman" w:hAnsi="Times New Roman" w:cs="Times New Roman"/>
          <w:noProof/>
          <w:sz w:val="24"/>
          <w:szCs w:val="24"/>
          <w:lang w:val="en-US"/>
        </w:rPr>
        <w:t>(October), 400–422. https://doi.org/10.1016/j.ejpoleco.2019.05.004</w:t>
      </w:r>
    </w:p>
    <w:p w14:paraId="0B1C5A3A"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Burt, R. (1992). </w:t>
      </w:r>
      <w:r w:rsidRPr="00D12ED1">
        <w:rPr>
          <w:rFonts w:ascii="Times New Roman" w:hAnsi="Times New Roman" w:cs="Times New Roman"/>
          <w:i/>
          <w:iCs/>
          <w:noProof/>
          <w:sz w:val="24"/>
          <w:szCs w:val="24"/>
          <w:lang w:val="en-US"/>
        </w:rPr>
        <w:t>Structural Holes: The Social Structure of Competition</w:t>
      </w:r>
      <w:r w:rsidRPr="00D12ED1">
        <w:rPr>
          <w:rFonts w:ascii="Times New Roman" w:hAnsi="Times New Roman" w:cs="Times New Roman"/>
          <w:noProof/>
          <w:sz w:val="24"/>
          <w:szCs w:val="24"/>
          <w:lang w:val="en-US"/>
        </w:rPr>
        <w:t xml:space="preserve">. </w:t>
      </w:r>
      <w:r w:rsidRPr="00E51658">
        <w:rPr>
          <w:rFonts w:ascii="Times New Roman" w:hAnsi="Times New Roman" w:cs="Times New Roman"/>
          <w:noProof/>
          <w:sz w:val="24"/>
          <w:szCs w:val="24"/>
        </w:rPr>
        <w:t>Harvard University Press.</w:t>
      </w:r>
    </w:p>
    <w:p w14:paraId="59BE2561"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lastRenderedPageBreak/>
        <w:t xml:space="preserve">Caldas, O. V., Costa, C. M., &amp; Pagliarussi, M. S. (2016). Corrupção e composição dos gastos governamentais: Evidências a partir do Programa de Fiscalização por Sorteios Públicos da Controladoria-Geral da União. </w:t>
      </w:r>
      <w:r w:rsidRPr="00E51658">
        <w:rPr>
          <w:rFonts w:ascii="Times New Roman" w:hAnsi="Times New Roman" w:cs="Times New Roman"/>
          <w:i/>
          <w:iCs/>
          <w:noProof/>
          <w:sz w:val="24"/>
          <w:szCs w:val="24"/>
        </w:rPr>
        <w:t>Revista de Administracao Publica</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50</w:t>
      </w:r>
      <w:r w:rsidRPr="00E51658">
        <w:rPr>
          <w:rFonts w:ascii="Times New Roman" w:hAnsi="Times New Roman" w:cs="Times New Roman"/>
          <w:noProof/>
          <w:sz w:val="24"/>
          <w:szCs w:val="24"/>
        </w:rPr>
        <w:t>(2), 237–264. https://doi.org/10.1590/0034-7612140185</w:t>
      </w:r>
    </w:p>
    <w:p w14:paraId="6EACF0EC"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Callaway, B., &amp; Sant’Anna, P. H. C. (2020). </w:t>
      </w:r>
      <w:r w:rsidRPr="00D12ED1">
        <w:rPr>
          <w:rFonts w:ascii="Times New Roman" w:hAnsi="Times New Roman" w:cs="Times New Roman"/>
          <w:noProof/>
          <w:sz w:val="24"/>
          <w:szCs w:val="24"/>
          <w:lang w:val="en-US"/>
        </w:rPr>
        <w:t xml:space="preserve">Difference-in-Differences with multiple time periods. </w:t>
      </w:r>
      <w:r w:rsidRPr="00E51658">
        <w:rPr>
          <w:rFonts w:ascii="Times New Roman" w:hAnsi="Times New Roman" w:cs="Times New Roman"/>
          <w:i/>
          <w:iCs/>
          <w:noProof/>
          <w:sz w:val="24"/>
          <w:szCs w:val="24"/>
        </w:rPr>
        <w:t>Journal of Econometrics</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December</w:t>
      </w:r>
      <w:r w:rsidRPr="00E51658">
        <w:rPr>
          <w:rFonts w:ascii="Times New Roman" w:hAnsi="Times New Roman" w:cs="Times New Roman"/>
          <w:noProof/>
          <w:sz w:val="24"/>
          <w:szCs w:val="24"/>
        </w:rPr>
        <w:t>. https://doi.org/10.1016/j.jeconom.2020.12.001</w:t>
      </w:r>
    </w:p>
    <w:p w14:paraId="7BA38325"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Campos, F. de A. O., Castelar, I., &amp; Soares, R. B. (2018). Fatores associados à corrupção municipal em transferências de recursos da União. </w:t>
      </w:r>
      <w:r w:rsidRPr="00E51658">
        <w:rPr>
          <w:rFonts w:ascii="Times New Roman" w:hAnsi="Times New Roman" w:cs="Times New Roman"/>
          <w:i/>
          <w:iCs/>
          <w:noProof/>
          <w:sz w:val="24"/>
          <w:szCs w:val="24"/>
        </w:rPr>
        <w:t>Nova Economia</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28</w:t>
      </w:r>
      <w:r w:rsidRPr="00E51658">
        <w:rPr>
          <w:rFonts w:ascii="Times New Roman" w:hAnsi="Times New Roman" w:cs="Times New Roman"/>
          <w:noProof/>
          <w:sz w:val="24"/>
          <w:szCs w:val="24"/>
        </w:rPr>
        <w:t>(3), 879–911. https://doi.org/10.1590/0103-6351/3050</w:t>
      </w:r>
    </w:p>
    <w:p w14:paraId="4AEB148F"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Chies Schommer, P., &amp; Lima Moraes, R. (2010). Observatórios Sociais como Promotores de Controle Social e Accountability: Reflexões a Partir da Experiência do Observatório Social de Itajaí. </w:t>
      </w:r>
      <w:r w:rsidRPr="00E51658">
        <w:rPr>
          <w:rFonts w:ascii="Times New Roman" w:hAnsi="Times New Roman" w:cs="Times New Roman"/>
          <w:i/>
          <w:iCs/>
          <w:noProof/>
          <w:sz w:val="24"/>
          <w:szCs w:val="24"/>
        </w:rPr>
        <w:t>Gestão.Org Revista Eletrônica de Gestão Organizacional</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8</w:t>
      </w:r>
      <w:r w:rsidRPr="00E51658">
        <w:rPr>
          <w:rFonts w:ascii="Times New Roman" w:hAnsi="Times New Roman" w:cs="Times New Roman"/>
          <w:noProof/>
          <w:sz w:val="24"/>
          <w:szCs w:val="24"/>
        </w:rPr>
        <w:t>(3), 298–326.</w:t>
      </w:r>
    </w:p>
    <w:p w14:paraId="37807E01"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Controladoria Geral da União. (2016). </w:t>
      </w:r>
      <w:r w:rsidRPr="00E51658">
        <w:rPr>
          <w:rFonts w:ascii="Times New Roman" w:hAnsi="Times New Roman" w:cs="Times New Roman"/>
          <w:i/>
          <w:iCs/>
          <w:noProof/>
          <w:sz w:val="24"/>
          <w:szCs w:val="24"/>
        </w:rPr>
        <w:t>OSB: transparência e controle social dos gastos públicos</w:t>
      </w:r>
      <w:r w:rsidRPr="00E51658">
        <w:rPr>
          <w:rFonts w:ascii="Times New Roman" w:hAnsi="Times New Roman" w:cs="Times New Roman"/>
          <w:noProof/>
          <w:sz w:val="24"/>
          <w:szCs w:val="24"/>
        </w:rPr>
        <w:t>. https://www.gov.br/cgu/pt-br/governo-aberto/noticias/2016/osb-transparencia-e-controle-social-dos-gastos-publicos</w:t>
      </w:r>
    </w:p>
    <w:p w14:paraId="576EADD9"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Cunningham, S. (2021). </w:t>
      </w:r>
      <w:r w:rsidRPr="00D12ED1">
        <w:rPr>
          <w:rFonts w:ascii="Times New Roman" w:hAnsi="Times New Roman" w:cs="Times New Roman"/>
          <w:i/>
          <w:iCs/>
          <w:noProof/>
          <w:sz w:val="24"/>
          <w:szCs w:val="24"/>
          <w:lang w:val="en-US"/>
        </w:rPr>
        <w:t>Causal Inference : The Mixtape</w:t>
      </w:r>
      <w:r w:rsidRPr="00D12ED1">
        <w:rPr>
          <w:rFonts w:ascii="Times New Roman" w:hAnsi="Times New Roman" w:cs="Times New Roman"/>
          <w:noProof/>
          <w:sz w:val="24"/>
          <w:szCs w:val="24"/>
          <w:lang w:val="en-US"/>
        </w:rPr>
        <w:t>. Yale University Press. https://doi.org/https://doi.org/10.2307/j.ctv1c29t27</w:t>
      </w:r>
    </w:p>
    <w:p w14:paraId="4C105498"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Da Rocha Neto, L. H. (2008). A Formação Do Estado Brasileiro : Patrimonialismo, Burocracia e Corrupção. </w:t>
      </w:r>
      <w:r w:rsidRPr="00E51658">
        <w:rPr>
          <w:rFonts w:ascii="Times New Roman" w:hAnsi="Times New Roman" w:cs="Times New Roman"/>
          <w:i/>
          <w:iCs/>
          <w:noProof/>
          <w:sz w:val="24"/>
          <w:szCs w:val="24"/>
        </w:rPr>
        <w:t>Revista Do Mestrado Em Direito - UCB</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2</w:t>
      </w:r>
      <w:r w:rsidRPr="00E51658">
        <w:rPr>
          <w:rFonts w:ascii="Times New Roman" w:hAnsi="Times New Roman" w:cs="Times New Roman"/>
          <w:noProof/>
          <w:sz w:val="24"/>
          <w:szCs w:val="24"/>
        </w:rPr>
        <w:t>(1), 204–230.</w:t>
      </w:r>
    </w:p>
    <w:p w14:paraId="298A213D"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de Chaisemartin, C., &amp; D’Haultfœuille, X. (2020). </w:t>
      </w:r>
      <w:r w:rsidRPr="00D12ED1">
        <w:rPr>
          <w:rFonts w:ascii="Times New Roman" w:hAnsi="Times New Roman" w:cs="Times New Roman"/>
          <w:noProof/>
          <w:sz w:val="24"/>
          <w:szCs w:val="24"/>
          <w:lang w:val="en-US"/>
        </w:rPr>
        <w:t xml:space="preserve">Two-Way Fixed Effects Estimators with Heterogeneous Treatment Effects. </w:t>
      </w:r>
      <w:r w:rsidRPr="00D12ED1">
        <w:rPr>
          <w:rFonts w:ascii="Times New Roman" w:hAnsi="Times New Roman" w:cs="Times New Roman"/>
          <w:i/>
          <w:iCs/>
          <w:noProof/>
          <w:sz w:val="24"/>
          <w:szCs w:val="24"/>
          <w:lang w:val="en-US"/>
        </w:rPr>
        <w:t>American Economic Review</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110</w:t>
      </w:r>
      <w:r w:rsidRPr="00D12ED1">
        <w:rPr>
          <w:rFonts w:ascii="Times New Roman" w:hAnsi="Times New Roman" w:cs="Times New Roman"/>
          <w:noProof/>
          <w:sz w:val="24"/>
          <w:szCs w:val="24"/>
          <w:lang w:val="en-US"/>
        </w:rPr>
        <w:t>(9), 2964–2996. https://doi.org/10.1257/aer.20181169</w:t>
      </w:r>
    </w:p>
    <w:p w14:paraId="3329E8B8"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Del Monte, A., &amp; Papagni, E. (2007). The determinants of corruption in Italy: Regional panel data analysis. </w:t>
      </w:r>
      <w:r w:rsidRPr="00D12ED1">
        <w:rPr>
          <w:rFonts w:ascii="Times New Roman" w:hAnsi="Times New Roman" w:cs="Times New Roman"/>
          <w:i/>
          <w:iCs/>
          <w:noProof/>
          <w:sz w:val="24"/>
          <w:szCs w:val="24"/>
          <w:lang w:val="en-US"/>
        </w:rPr>
        <w:t>European Journal of Political Economy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23</w:t>
      </w:r>
      <w:r w:rsidRPr="00D12ED1">
        <w:rPr>
          <w:rFonts w:ascii="Times New Roman" w:hAnsi="Times New Roman" w:cs="Times New Roman"/>
          <w:noProof/>
          <w:sz w:val="24"/>
          <w:szCs w:val="24"/>
          <w:lang w:val="en-US"/>
        </w:rPr>
        <w:t>(2), 379–396. https://doi.org/10.1016/j.ejpoleco.2006.03.004</w:t>
      </w:r>
    </w:p>
    <w:p w14:paraId="69D1A03A"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Durães, C. M. N., &amp; Ribeiro, M. de F. (2018). Análise Crítica Sobre O Desequilíbrio Financeiro Dos Municípios No Modelo De Federalismo Fiscal Brasileiro. </w:t>
      </w:r>
      <w:r w:rsidRPr="00E51658">
        <w:rPr>
          <w:rFonts w:ascii="Times New Roman" w:hAnsi="Times New Roman" w:cs="Times New Roman"/>
          <w:i/>
          <w:iCs/>
          <w:noProof/>
          <w:sz w:val="24"/>
          <w:szCs w:val="24"/>
        </w:rPr>
        <w:t>Revista Cesumar – Ciências Humanas e Sociais Aplicadas</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23</w:t>
      </w:r>
      <w:r w:rsidRPr="00E51658">
        <w:rPr>
          <w:rFonts w:ascii="Times New Roman" w:hAnsi="Times New Roman" w:cs="Times New Roman"/>
          <w:noProof/>
          <w:sz w:val="24"/>
          <w:szCs w:val="24"/>
        </w:rPr>
        <w:t>(2), 411. https://doi.org/10.17765/1516-2664.2018v23n2p411-432</w:t>
      </w:r>
    </w:p>
    <w:p w14:paraId="29FCB28E"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Eisenhardt, K. M. (1989). Agency Theory: An Assessment and Review. </w:t>
      </w:r>
      <w:r w:rsidRPr="00D12ED1">
        <w:rPr>
          <w:rFonts w:ascii="Times New Roman" w:hAnsi="Times New Roman" w:cs="Times New Roman"/>
          <w:i/>
          <w:iCs/>
          <w:noProof/>
          <w:sz w:val="24"/>
          <w:szCs w:val="24"/>
          <w:lang w:val="en-US"/>
        </w:rPr>
        <w:t>Academy of Management Review</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14</w:t>
      </w:r>
      <w:r w:rsidRPr="00D12ED1">
        <w:rPr>
          <w:rFonts w:ascii="Times New Roman" w:hAnsi="Times New Roman" w:cs="Times New Roman"/>
          <w:noProof/>
          <w:sz w:val="24"/>
          <w:szCs w:val="24"/>
          <w:lang w:val="en-US"/>
        </w:rPr>
        <w:t>(1), 57–74.</w:t>
      </w:r>
    </w:p>
    <w:p w14:paraId="5E5AB120"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Ejoh, N., &amp; Ejom, P. (2014). </w:t>
      </w:r>
      <w:r w:rsidRPr="00D12ED1">
        <w:rPr>
          <w:rFonts w:ascii="Times New Roman" w:hAnsi="Times New Roman" w:cs="Times New Roman"/>
          <w:i/>
          <w:iCs/>
          <w:noProof/>
          <w:sz w:val="24"/>
          <w:szCs w:val="24"/>
          <w:lang w:val="en-US"/>
        </w:rPr>
        <w:t>The Impact of Internal Control Activities on Financial Performance of Tertiary Institutions in Nigeria</w:t>
      </w:r>
      <w:r w:rsidRPr="00D12ED1">
        <w:rPr>
          <w:rFonts w:ascii="Times New Roman" w:hAnsi="Times New Roman" w:cs="Times New Roman"/>
          <w:noProof/>
          <w:sz w:val="24"/>
          <w:szCs w:val="24"/>
          <w:lang w:val="en-US"/>
        </w:rPr>
        <w:t xml:space="preserve">. </w:t>
      </w:r>
      <w:r w:rsidRPr="00E51658">
        <w:rPr>
          <w:rFonts w:ascii="Times New Roman" w:hAnsi="Times New Roman" w:cs="Times New Roman"/>
          <w:i/>
          <w:iCs/>
          <w:noProof/>
          <w:sz w:val="24"/>
          <w:szCs w:val="24"/>
        </w:rPr>
        <w:t>5</w:t>
      </w:r>
      <w:r w:rsidRPr="00E51658">
        <w:rPr>
          <w:rFonts w:ascii="Times New Roman" w:hAnsi="Times New Roman" w:cs="Times New Roman"/>
          <w:noProof/>
          <w:sz w:val="24"/>
          <w:szCs w:val="24"/>
        </w:rPr>
        <w:t>(16), 133–144.</w:t>
      </w:r>
    </w:p>
    <w:p w14:paraId="5849F3A9"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Fernandes, W. (2015). Moradores de Maringá criam observatório para fiscalizar a gestão municipal. </w:t>
      </w:r>
      <w:r w:rsidRPr="00E51658">
        <w:rPr>
          <w:rFonts w:ascii="Times New Roman" w:hAnsi="Times New Roman" w:cs="Times New Roman"/>
          <w:i/>
          <w:iCs/>
          <w:noProof/>
          <w:sz w:val="24"/>
          <w:szCs w:val="24"/>
        </w:rPr>
        <w:t>Agência CNJ de Notícias</w:t>
      </w:r>
      <w:r w:rsidRPr="00E51658">
        <w:rPr>
          <w:rFonts w:ascii="Times New Roman" w:hAnsi="Times New Roman" w:cs="Times New Roman"/>
          <w:noProof/>
          <w:sz w:val="24"/>
          <w:szCs w:val="24"/>
        </w:rPr>
        <w:t>. https://cnj.jusbrasil.com.br/noticias/265307802/moradores-de-</w:t>
      </w:r>
      <w:r w:rsidRPr="00E51658">
        <w:rPr>
          <w:rFonts w:ascii="Times New Roman" w:hAnsi="Times New Roman" w:cs="Times New Roman"/>
          <w:noProof/>
          <w:sz w:val="24"/>
          <w:szCs w:val="24"/>
        </w:rPr>
        <w:lastRenderedPageBreak/>
        <w:t>maringa-criam-observatorio-para-fiscalizar-a-gestao-municipal</w:t>
      </w:r>
    </w:p>
    <w:p w14:paraId="28158ED6"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France, G. (2019). </w:t>
      </w:r>
      <w:r w:rsidRPr="00D12ED1">
        <w:rPr>
          <w:rFonts w:ascii="Times New Roman" w:hAnsi="Times New Roman" w:cs="Times New Roman"/>
          <w:i/>
          <w:iCs/>
          <w:noProof/>
          <w:sz w:val="24"/>
          <w:szCs w:val="24"/>
          <w:lang w:val="en-US"/>
        </w:rPr>
        <w:t>Brazil : Overview of corruption and anti-corruption</w:t>
      </w:r>
      <w:r w:rsidRPr="00D12ED1">
        <w:rPr>
          <w:rFonts w:ascii="Times New Roman" w:hAnsi="Times New Roman" w:cs="Times New Roman"/>
          <w:noProof/>
          <w:sz w:val="24"/>
          <w:szCs w:val="24"/>
          <w:lang w:val="en-US"/>
        </w:rPr>
        <w:t xml:space="preserve">. </w:t>
      </w:r>
      <w:r w:rsidRPr="00E51658">
        <w:rPr>
          <w:rFonts w:ascii="Times New Roman" w:hAnsi="Times New Roman" w:cs="Times New Roman"/>
          <w:noProof/>
          <w:sz w:val="24"/>
          <w:szCs w:val="24"/>
        </w:rPr>
        <w:t>Transparência Internacional. https://knowledgehub.transparency.org/assets/uploads/helpdesk/Brazil-Country-Profile-2019_PR.pdf</w:t>
      </w:r>
    </w:p>
    <w:p w14:paraId="5E15658E"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Goodman-Bacon, A. (2021). Difference-in-Differences With Variation in Treatment Timing. </w:t>
      </w:r>
      <w:r w:rsidRPr="00D12ED1">
        <w:rPr>
          <w:rFonts w:ascii="Times New Roman" w:hAnsi="Times New Roman" w:cs="Times New Roman"/>
          <w:i/>
          <w:iCs/>
          <w:noProof/>
          <w:sz w:val="24"/>
          <w:szCs w:val="24"/>
          <w:lang w:val="en-US"/>
        </w:rPr>
        <w:t>Journal of Econometrics</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225</w:t>
      </w:r>
      <w:r w:rsidRPr="00D12ED1">
        <w:rPr>
          <w:rFonts w:ascii="Times New Roman" w:hAnsi="Times New Roman" w:cs="Times New Roman"/>
          <w:noProof/>
          <w:sz w:val="24"/>
          <w:szCs w:val="24"/>
          <w:lang w:val="en-US"/>
        </w:rPr>
        <w:t>(2), 254–277. https://www.nber.org/system/files/working_papers/w25018/w25018.pdf,  accessed on 29 June 2021</w:t>
      </w:r>
    </w:p>
    <w:p w14:paraId="75E5F32A"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Granovetter, M. (1985). Economic Action and Social Structure: The Problem of Embeddedness. </w:t>
      </w:r>
      <w:r w:rsidRPr="00D12ED1">
        <w:rPr>
          <w:rFonts w:ascii="Times New Roman" w:hAnsi="Times New Roman" w:cs="Times New Roman"/>
          <w:i/>
          <w:iCs/>
          <w:noProof/>
          <w:sz w:val="24"/>
          <w:szCs w:val="24"/>
          <w:lang w:val="en-US"/>
        </w:rPr>
        <w:t>American Journal of Sociology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91</w:t>
      </w:r>
      <w:r w:rsidRPr="00D12ED1">
        <w:rPr>
          <w:rFonts w:ascii="Times New Roman" w:hAnsi="Times New Roman" w:cs="Times New Roman"/>
          <w:noProof/>
          <w:sz w:val="24"/>
          <w:szCs w:val="24"/>
          <w:lang w:val="en-US"/>
        </w:rPr>
        <w:t>(3), 481–510.</w:t>
      </w:r>
    </w:p>
    <w:p w14:paraId="11AE98C2"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Hodgson, G. M. (2007). Institutions and individuals: Interaction and evolution. </w:t>
      </w:r>
      <w:r w:rsidRPr="00D12ED1">
        <w:rPr>
          <w:rFonts w:ascii="Times New Roman" w:hAnsi="Times New Roman" w:cs="Times New Roman"/>
          <w:i/>
          <w:iCs/>
          <w:noProof/>
          <w:sz w:val="24"/>
          <w:szCs w:val="24"/>
          <w:lang w:val="en-US"/>
        </w:rPr>
        <w:t>Organization Studies</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28</w:t>
      </w:r>
      <w:r w:rsidRPr="00D12ED1">
        <w:rPr>
          <w:rFonts w:ascii="Times New Roman" w:hAnsi="Times New Roman" w:cs="Times New Roman"/>
          <w:noProof/>
          <w:sz w:val="24"/>
          <w:szCs w:val="24"/>
          <w:lang w:val="en-US"/>
        </w:rPr>
        <w:t>(1), 95–116. https://doi.org/10.1177/0170840607067832</w:t>
      </w:r>
    </w:p>
    <w:p w14:paraId="7226FFBF"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Hodgson, G. M., Jiang, S., Journal, S., Dec, N., &amp; Hodgson, G. M. (2007). The Economics of Corruption and the Corruption of Economics : An Institutionalist Perspective. </w:t>
      </w:r>
      <w:r w:rsidRPr="00D12ED1">
        <w:rPr>
          <w:rFonts w:ascii="Times New Roman" w:hAnsi="Times New Roman" w:cs="Times New Roman"/>
          <w:i/>
          <w:iCs/>
          <w:noProof/>
          <w:sz w:val="24"/>
          <w:szCs w:val="24"/>
          <w:lang w:val="en-US"/>
        </w:rPr>
        <w:t>Journal of Economic Issues</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41</w:t>
      </w:r>
      <w:r w:rsidRPr="00D12ED1">
        <w:rPr>
          <w:rFonts w:ascii="Times New Roman" w:hAnsi="Times New Roman" w:cs="Times New Roman"/>
          <w:noProof/>
          <w:sz w:val="24"/>
          <w:szCs w:val="24"/>
          <w:lang w:val="en-US"/>
        </w:rPr>
        <w:t>(4), 1043–1061.</w:t>
      </w:r>
    </w:p>
    <w:p w14:paraId="5D2E4835"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Huntington-Klein, N., &amp; McDermott, G. (2021). Difference-in-Differences Event Study / Dynamic Difference-in-Differences. In </w:t>
      </w:r>
      <w:r w:rsidRPr="00D12ED1">
        <w:rPr>
          <w:rFonts w:ascii="Times New Roman" w:hAnsi="Times New Roman" w:cs="Times New Roman"/>
          <w:i/>
          <w:iCs/>
          <w:noProof/>
          <w:sz w:val="24"/>
          <w:szCs w:val="24"/>
          <w:lang w:val="en-US"/>
        </w:rPr>
        <w:t>Library of Statistical Techniques (LOST)</w:t>
      </w:r>
      <w:r w:rsidRPr="00D12ED1">
        <w:rPr>
          <w:rFonts w:ascii="Times New Roman" w:hAnsi="Times New Roman" w:cs="Times New Roman"/>
          <w:noProof/>
          <w:sz w:val="24"/>
          <w:szCs w:val="24"/>
          <w:lang w:val="en-US"/>
        </w:rPr>
        <w:t>. https://lost-stats.github.io/Model_Estimation/Research_Design/event_study.html</w:t>
      </w:r>
    </w:p>
    <w:p w14:paraId="539502FA"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Imbens, G. W., &amp; Wooldridge, J. M. (2009). Recent developments in the econometrics of program evaluation. </w:t>
      </w:r>
      <w:r w:rsidRPr="00D12ED1">
        <w:rPr>
          <w:rFonts w:ascii="Times New Roman" w:hAnsi="Times New Roman" w:cs="Times New Roman"/>
          <w:i/>
          <w:iCs/>
          <w:noProof/>
          <w:sz w:val="24"/>
          <w:szCs w:val="24"/>
          <w:lang w:val="en-US"/>
        </w:rPr>
        <w:t>Journal of Economic Literature</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47</w:t>
      </w:r>
      <w:r w:rsidRPr="00D12ED1">
        <w:rPr>
          <w:rFonts w:ascii="Times New Roman" w:hAnsi="Times New Roman" w:cs="Times New Roman"/>
          <w:noProof/>
          <w:sz w:val="24"/>
          <w:szCs w:val="24"/>
          <w:lang w:val="en-US"/>
        </w:rPr>
        <w:t>(1), 5–86. https://doi.org/10.1257/jel.47.1.5</w:t>
      </w:r>
    </w:p>
    <w:p w14:paraId="16A015FA"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Klering, L. R., Kruel, A. J., &amp; Stranz, E. (2012). </w:t>
      </w:r>
      <w:r w:rsidRPr="00E51658">
        <w:rPr>
          <w:rFonts w:ascii="Times New Roman" w:hAnsi="Times New Roman" w:cs="Times New Roman"/>
          <w:noProof/>
          <w:sz w:val="24"/>
          <w:szCs w:val="24"/>
        </w:rPr>
        <w:t xml:space="preserve">Os pequenos municípios do Brasil – uma análise a partir de índices de gestão. </w:t>
      </w:r>
      <w:r w:rsidRPr="00E51658">
        <w:rPr>
          <w:rFonts w:ascii="Times New Roman" w:hAnsi="Times New Roman" w:cs="Times New Roman"/>
          <w:i/>
          <w:iCs/>
          <w:noProof/>
          <w:sz w:val="24"/>
          <w:szCs w:val="24"/>
        </w:rPr>
        <w:t>Análise - Revista de Administração PUC-RS</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23</w:t>
      </w:r>
      <w:r w:rsidRPr="00E51658">
        <w:rPr>
          <w:rFonts w:ascii="Times New Roman" w:hAnsi="Times New Roman" w:cs="Times New Roman"/>
          <w:noProof/>
          <w:sz w:val="24"/>
          <w:szCs w:val="24"/>
        </w:rPr>
        <w:t>(1), 31–44.</w:t>
      </w:r>
    </w:p>
    <w:p w14:paraId="1677D38B"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Leruth, L. E., &amp; Paul, E. (2006). </w:t>
      </w:r>
      <w:r w:rsidRPr="00D12ED1">
        <w:rPr>
          <w:rFonts w:ascii="Times New Roman" w:hAnsi="Times New Roman" w:cs="Times New Roman"/>
          <w:noProof/>
          <w:sz w:val="24"/>
          <w:szCs w:val="24"/>
          <w:lang w:val="en-US"/>
        </w:rPr>
        <w:t xml:space="preserve">A Principal-Agent Theory Approach to Public Expenditure Management Systems in Developing Countries. </w:t>
      </w:r>
      <w:r w:rsidRPr="00D12ED1">
        <w:rPr>
          <w:rFonts w:ascii="Times New Roman" w:hAnsi="Times New Roman" w:cs="Times New Roman"/>
          <w:i/>
          <w:iCs/>
          <w:noProof/>
          <w:sz w:val="24"/>
          <w:szCs w:val="24"/>
          <w:lang w:val="en-US"/>
        </w:rPr>
        <w:t>IMF Working Papers</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06</w:t>
      </w:r>
      <w:r w:rsidRPr="00D12ED1">
        <w:rPr>
          <w:rFonts w:ascii="Times New Roman" w:hAnsi="Times New Roman" w:cs="Times New Roman"/>
          <w:noProof/>
          <w:sz w:val="24"/>
          <w:szCs w:val="24"/>
          <w:lang w:val="en-US"/>
        </w:rPr>
        <w:t>(204), 1. https://doi.org/10.5089/9781451864649.001</w:t>
      </w:r>
    </w:p>
    <w:p w14:paraId="0DFB260F"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Mao, Y., Wong, C. S., &amp; Peng, K. Z. (2013). Breaking institutionalized corruption: Is the experience of the Hong Kong Independent Commission Against Corruption generalizable? </w:t>
      </w:r>
      <w:r w:rsidRPr="00D12ED1">
        <w:rPr>
          <w:rFonts w:ascii="Times New Roman" w:hAnsi="Times New Roman" w:cs="Times New Roman"/>
          <w:i/>
          <w:iCs/>
          <w:noProof/>
          <w:sz w:val="24"/>
          <w:szCs w:val="24"/>
          <w:lang w:val="en-US"/>
        </w:rPr>
        <w:t>Asia Pacific Journal of Management</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30</w:t>
      </w:r>
      <w:r w:rsidRPr="00D12ED1">
        <w:rPr>
          <w:rFonts w:ascii="Times New Roman" w:hAnsi="Times New Roman" w:cs="Times New Roman"/>
          <w:noProof/>
          <w:sz w:val="24"/>
          <w:szCs w:val="24"/>
          <w:lang w:val="en-US"/>
        </w:rPr>
        <w:t>(4), 1115–1124. https://doi.org/10.1007/s10490-013-9351-y</w:t>
      </w:r>
    </w:p>
    <w:p w14:paraId="76EFC784"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Mckenzie, D. (2022). </w:t>
      </w:r>
      <w:r w:rsidRPr="00D12ED1">
        <w:rPr>
          <w:rFonts w:ascii="Times New Roman" w:hAnsi="Times New Roman" w:cs="Times New Roman"/>
          <w:i/>
          <w:iCs/>
          <w:noProof/>
          <w:sz w:val="24"/>
          <w:szCs w:val="24"/>
          <w:lang w:val="en-US"/>
        </w:rPr>
        <w:t>A new synthesis and key lessons from the recent difference-in-differences literature</w:t>
      </w:r>
      <w:r w:rsidRPr="00D12ED1">
        <w:rPr>
          <w:rFonts w:ascii="Times New Roman" w:hAnsi="Times New Roman" w:cs="Times New Roman"/>
          <w:noProof/>
          <w:sz w:val="24"/>
          <w:szCs w:val="24"/>
          <w:lang w:val="en-US"/>
        </w:rPr>
        <w:t>. Development Impact - World Bank Blogs. https://blogs.worldbank.org/impactevaluations/new-synthesis-and-key-lessons-recent-difference-differences-literature</w:t>
      </w:r>
    </w:p>
    <w:p w14:paraId="67C60A63"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Ministério da Fazenda. (2008). Manual de despesa nacional. In </w:t>
      </w:r>
      <w:r w:rsidRPr="00E51658">
        <w:rPr>
          <w:rFonts w:ascii="Times New Roman" w:hAnsi="Times New Roman" w:cs="Times New Roman"/>
          <w:i/>
          <w:iCs/>
          <w:noProof/>
          <w:sz w:val="24"/>
          <w:szCs w:val="24"/>
        </w:rPr>
        <w:t>Portaria Conjunta STN/SOF n</w:t>
      </w:r>
      <w:r w:rsidRPr="00E51658">
        <w:rPr>
          <w:rFonts w:ascii="Times New Roman" w:hAnsi="Times New Roman" w:cs="Times New Roman"/>
          <w:i/>
          <w:iCs/>
          <w:noProof/>
          <w:sz w:val="24"/>
          <w:szCs w:val="24"/>
          <w:vertAlign w:val="superscript"/>
        </w:rPr>
        <w:t>o</w:t>
      </w:r>
      <w:r w:rsidRPr="00E51658">
        <w:rPr>
          <w:rFonts w:ascii="Times New Roman" w:hAnsi="Times New Roman" w:cs="Times New Roman"/>
          <w:i/>
          <w:iCs/>
          <w:noProof/>
          <w:sz w:val="24"/>
          <w:szCs w:val="24"/>
        </w:rPr>
        <w:t xml:space="preserve"> 3, de 2008</w:t>
      </w:r>
      <w:r w:rsidRPr="00E51658">
        <w:rPr>
          <w:rFonts w:ascii="Times New Roman" w:hAnsi="Times New Roman" w:cs="Times New Roman"/>
          <w:noProof/>
          <w:sz w:val="24"/>
          <w:szCs w:val="24"/>
        </w:rPr>
        <w:t xml:space="preserve">. Ministério da Fazenda. file:///E:/Artigo/Cadernos e </w:t>
      </w:r>
      <w:r w:rsidRPr="00E51658">
        <w:rPr>
          <w:rFonts w:ascii="Times New Roman" w:hAnsi="Times New Roman" w:cs="Times New Roman"/>
          <w:noProof/>
          <w:sz w:val="24"/>
          <w:szCs w:val="24"/>
        </w:rPr>
        <w:lastRenderedPageBreak/>
        <w:t>Livros/manual_despesa_nacional.pdf</w:t>
      </w:r>
    </w:p>
    <w:p w14:paraId="3389667C"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Nóbrega, M. (2011). </w:t>
      </w:r>
      <w:r w:rsidRPr="00E51658">
        <w:rPr>
          <w:rFonts w:ascii="Times New Roman" w:hAnsi="Times New Roman" w:cs="Times New Roman"/>
          <w:i/>
          <w:iCs/>
          <w:noProof/>
          <w:sz w:val="24"/>
          <w:szCs w:val="24"/>
        </w:rPr>
        <w:t>Os Tribunais de Contas e o controle dos programas sociais</w:t>
      </w:r>
      <w:r w:rsidRPr="00E51658">
        <w:rPr>
          <w:rFonts w:ascii="Times New Roman" w:hAnsi="Times New Roman" w:cs="Times New Roman"/>
          <w:noProof/>
          <w:sz w:val="24"/>
          <w:szCs w:val="24"/>
        </w:rPr>
        <w:t xml:space="preserve">. </w:t>
      </w:r>
      <w:r w:rsidRPr="00D12ED1">
        <w:rPr>
          <w:rFonts w:ascii="Times New Roman" w:hAnsi="Times New Roman" w:cs="Times New Roman"/>
          <w:noProof/>
          <w:sz w:val="24"/>
          <w:szCs w:val="24"/>
          <w:lang w:val="en-US"/>
        </w:rPr>
        <w:t>Editora Forum.</w:t>
      </w:r>
    </w:p>
    <w:p w14:paraId="392D79D1"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Oliveira Junior, T., &amp; Mendes, A. P. (2014). The fundamentals of corruption- fighting within the accountability program of the Brazilian Federal Government. </w:t>
      </w:r>
      <w:r w:rsidRPr="00E51658">
        <w:rPr>
          <w:rFonts w:ascii="Times New Roman" w:hAnsi="Times New Roman" w:cs="Times New Roman"/>
          <w:i/>
          <w:iCs/>
          <w:noProof/>
          <w:sz w:val="24"/>
          <w:szCs w:val="24"/>
        </w:rPr>
        <w:t>Revista Do Serviço Público</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67</w:t>
      </w:r>
      <w:r w:rsidRPr="00E51658">
        <w:rPr>
          <w:rFonts w:ascii="Times New Roman" w:hAnsi="Times New Roman" w:cs="Times New Roman"/>
          <w:noProof/>
          <w:sz w:val="24"/>
          <w:szCs w:val="24"/>
        </w:rPr>
        <w:t>(3), 291–318.</w:t>
      </w:r>
    </w:p>
    <w:p w14:paraId="20A70771"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Oliveira, M., &amp; Rodrigues, K. (2017). Transparência em contas públicas no âmbito local no Brasil. In M. F. . Mohallem &amp; C. E. Ragazzo (Eds.), </w:t>
      </w:r>
      <w:r w:rsidRPr="00E51658">
        <w:rPr>
          <w:rFonts w:ascii="Times New Roman" w:hAnsi="Times New Roman" w:cs="Times New Roman"/>
          <w:i/>
          <w:iCs/>
          <w:noProof/>
          <w:sz w:val="24"/>
          <w:szCs w:val="24"/>
        </w:rPr>
        <w:t>Diagnóstico Institucional: primeiros passos para um plano nacional anticorrupção.</w:t>
      </w:r>
      <w:r w:rsidRPr="00E51658">
        <w:rPr>
          <w:rFonts w:ascii="Times New Roman" w:hAnsi="Times New Roman" w:cs="Times New Roman"/>
          <w:noProof/>
          <w:sz w:val="24"/>
          <w:szCs w:val="24"/>
        </w:rPr>
        <w:t xml:space="preserve"> FGV - Direito Rio. http://bibliotecadigital.fgv.br/dspace/handle/10438/18167</w:t>
      </w:r>
    </w:p>
    <w:p w14:paraId="42D53C96"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Olken, B. A. (2007). </w:t>
      </w:r>
      <w:r w:rsidRPr="00D12ED1">
        <w:rPr>
          <w:rFonts w:ascii="Times New Roman" w:hAnsi="Times New Roman" w:cs="Times New Roman"/>
          <w:noProof/>
          <w:sz w:val="24"/>
          <w:szCs w:val="24"/>
          <w:lang w:val="en-US"/>
        </w:rPr>
        <w:t xml:space="preserve">Monitoring Corruption : Evidence from a Field Experiment in Indonesia. </w:t>
      </w:r>
      <w:r w:rsidRPr="00D12ED1">
        <w:rPr>
          <w:rFonts w:ascii="Times New Roman" w:hAnsi="Times New Roman" w:cs="Times New Roman"/>
          <w:i/>
          <w:iCs/>
          <w:noProof/>
          <w:sz w:val="24"/>
          <w:szCs w:val="24"/>
          <w:lang w:val="en-US"/>
        </w:rPr>
        <w:t>Chicago Journal</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115</w:t>
      </w:r>
      <w:r w:rsidRPr="00D12ED1">
        <w:rPr>
          <w:rFonts w:ascii="Times New Roman" w:hAnsi="Times New Roman" w:cs="Times New Roman"/>
          <w:noProof/>
          <w:sz w:val="24"/>
          <w:szCs w:val="24"/>
          <w:lang w:val="en-US"/>
        </w:rPr>
        <w:t>(2), 200–249.</w:t>
      </w:r>
    </w:p>
    <w:p w14:paraId="09822BB9"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Olken, B. A., &amp; Pande, R. (2012). Corruption in developing countries. </w:t>
      </w:r>
      <w:r w:rsidRPr="00D12ED1">
        <w:rPr>
          <w:rFonts w:ascii="Times New Roman" w:hAnsi="Times New Roman" w:cs="Times New Roman"/>
          <w:i/>
          <w:iCs/>
          <w:noProof/>
          <w:sz w:val="24"/>
          <w:szCs w:val="24"/>
          <w:lang w:val="en-US"/>
        </w:rPr>
        <w:t>Annual Review of Economics</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4</w:t>
      </w:r>
      <w:r w:rsidRPr="00D12ED1">
        <w:rPr>
          <w:rFonts w:ascii="Times New Roman" w:hAnsi="Times New Roman" w:cs="Times New Roman"/>
          <w:noProof/>
          <w:sz w:val="24"/>
          <w:szCs w:val="24"/>
          <w:lang w:val="en-US"/>
        </w:rPr>
        <w:t>, 479–509. https://doi.org/10.1146/annurev-economics-080511-110917</w:t>
      </w:r>
    </w:p>
    <w:p w14:paraId="61D41AE4"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Prud’homme, R. (1995). The dangers of decentralization. </w:t>
      </w:r>
      <w:r w:rsidRPr="00D12ED1">
        <w:rPr>
          <w:rFonts w:ascii="Times New Roman" w:hAnsi="Times New Roman" w:cs="Times New Roman"/>
          <w:i/>
          <w:iCs/>
          <w:noProof/>
          <w:sz w:val="24"/>
          <w:szCs w:val="24"/>
          <w:lang w:val="en-US"/>
        </w:rPr>
        <w:t>World Bank Research Observer</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10</w:t>
      </w:r>
      <w:r w:rsidRPr="00D12ED1">
        <w:rPr>
          <w:rFonts w:ascii="Times New Roman" w:hAnsi="Times New Roman" w:cs="Times New Roman"/>
          <w:noProof/>
          <w:sz w:val="24"/>
          <w:szCs w:val="24"/>
          <w:lang w:val="en-US"/>
        </w:rPr>
        <w:t>(2), 201–220. https://doi.org/10.1093/wbro/10.2.201</w:t>
      </w:r>
    </w:p>
    <w:p w14:paraId="21188FFF"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Ribas, N. da N., &amp; Enara, R. (2018). </w:t>
      </w:r>
      <w:r w:rsidRPr="00E51658">
        <w:rPr>
          <w:rFonts w:ascii="Times New Roman" w:hAnsi="Times New Roman" w:cs="Times New Roman"/>
          <w:i/>
          <w:iCs/>
          <w:noProof/>
          <w:sz w:val="24"/>
          <w:szCs w:val="24"/>
        </w:rPr>
        <w:t>O que é um Observatório Social</w:t>
      </w:r>
      <w:r w:rsidRPr="00E51658">
        <w:rPr>
          <w:rFonts w:ascii="Times New Roman" w:hAnsi="Times New Roman" w:cs="Times New Roman"/>
          <w:noProof/>
          <w:sz w:val="24"/>
          <w:szCs w:val="24"/>
        </w:rPr>
        <w:t>. https://www.youtube.com/watch?v=8qt0FyKTpaA&amp;t=29s</w:t>
      </w:r>
    </w:p>
    <w:p w14:paraId="4658E415"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Rich, J. A. J. (2013). Grassroots Bureaucracy: Intergovernmental Relations and Popular Mobilization in Brazil’s AIDS Policy Sector. </w:t>
      </w:r>
      <w:r w:rsidRPr="00D12ED1">
        <w:rPr>
          <w:rFonts w:ascii="Times New Roman" w:hAnsi="Times New Roman" w:cs="Times New Roman"/>
          <w:i/>
          <w:iCs/>
          <w:noProof/>
          <w:sz w:val="24"/>
          <w:szCs w:val="24"/>
          <w:lang w:val="en-US"/>
        </w:rPr>
        <w:t>Latin American Politics and Society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55</w:t>
      </w:r>
      <w:r w:rsidRPr="00D12ED1">
        <w:rPr>
          <w:rFonts w:ascii="Times New Roman" w:hAnsi="Times New Roman" w:cs="Times New Roman"/>
          <w:noProof/>
          <w:sz w:val="24"/>
          <w:szCs w:val="24"/>
          <w:lang w:val="en-US"/>
        </w:rPr>
        <w:t>(2), 1–25. https://doi.org/10.1111/j.1548-2456.2013.00191.x</w:t>
      </w:r>
    </w:p>
    <w:p w14:paraId="5B32C72E"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Rich, J. A. J., &amp; Gómez, E. J. (2012). Centralizing Decentralized Governance in Brazil. </w:t>
      </w:r>
      <w:r w:rsidRPr="00D12ED1">
        <w:rPr>
          <w:rFonts w:ascii="Times New Roman" w:hAnsi="Times New Roman" w:cs="Times New Roman"/>
          <w:i/>
          <w:iCs/>
          <w:noProof/>
          <w:sz w:val="24"/>
          <w:szCs w:val="24"/>
          <w:lang w:val="en-US"/>
        </w:rPr>
        <w:t>Publius: The Journal of Federalism</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42</w:t>
      </w:r>
      <w:r w:rsidRPr="00D12ED1">
        <w:rPr>
          <w:rFonts w:ascii="Times New Roman" w:hAnsi="Times New Roman" w:cs="Times New Roman"/>
          <w:noProof/>
          <w:sz w:val="24"/>
          <w:szCs w:val="24"/>
          <w:lang w:val="en-US"/>
        </w:rPr>
        <w:t>(4), 636–661.</w:t>
      </w:r>
    </w:p>
    <w:p w14:paraId="4610097A"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Roden, J. (2003). Federalism and Bailouts in Brazil. In J. Roden, G. Eskeland, &amp; J. Litvack (Eds.), </w:t>
      </w:r>
      <w:r w:rsidRPr="00D12ED1">
        <w:rPr>
          <w:rFonts w:ascii="Times New Roman" w:hAnsi="Times New Roman" w:cs="Times New Roman"/>
          <w:i/>
          <w:iCs/>
          <w:noProof/>
          <w:sz w:val="24"/>
          <w:szCs w:val="24"/>
          <w:lang w:val="en-US"/>
        </w:rPr>
        <w:t>Fiscal Decentralization and the Challenge of Hard Budget Constraints</w:t>
      </w:r>
      <w:r w:rsidRPr="00D12ED1">
        <w:rPr>
          <w:rFonts w:ascii="Times New Roman" w:hAnsi="Times New Roman" w:cs="Times New Roman"/>
          <w:noProof/>
          <w:sz w:val="24"/>
          <w:szCs w:val="24"/>
          <w:lang w:val="en-US"/>
        </w:rPr>
        <w:t xml:space="preserve">. </w:t>
      </w:r>
      <w:r w:rsidRPr="00E51658">
        <w:rPr>
          <w:rFonts w:ascii="Times New Roman" w:hAnsi="Times New Roman" w:cs="Times New Roman"/>
          <w:noProof/>
          <w:sz w:val="24"/>
          <w:szCs w:val="24"/>
        </w:rPr>
        <w:t>The MIT Press.</w:t>
      </w:r>
    </w:p>
    <w:p w14:paraId="70485805"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Rose-Ackerman, S. (2002). A economia política da corrupção. In K. A. ELLIOT (Ed.), </w:t>
      </w:r>
      <w:r w:rsidRPr="00E51658">
        <w:rPr>
          <w:rFonts w:ascii="Times New Roman" w:hAnsi="Times New Roman" w:cs="Times New Roman"/>
          <w:i/>
          <w:iCs/>
          <w:noProof/>
          <w:sz w:val="24"/>
          <w:szCs w:val="24"/>
        </w:rPr>
        <w:t>A corrupção e a economia mundial</w:t>
      </w:r>
      <w:r w:rsidRPr="00E51658">
        <w:rPr>
          <w:rFonts w:ascii="Times New Roman" w:hAnsi="Times New Roman" w:cs="Times New Roman"/>
          <w:noProof/>
          <w:sz w:val="24"/>
          <w:szCs w:val="24"/>
        </w:rPr>
        <w:t xml:space="preserve"> (pp. 59–102). Editora Universidade de Brasilia.</w:t>
      </w:r>
    </w:p>
    <w:p w14:paraId="2265BBB1"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Roth, J., Sant’Anna, P. H. C., Bilinski, A., &amp; Poe, J. (2022). </w:t>
      </w:r>
      <w:r w:rsidRPr="00D12ED1">
        <w:rPr>
          <w:rFonts w:ascii="Times New Roman" w:hAnsi="Times New Roman" w:cs="Times New Roman"/>
          <w:i/>
          <w:iCs/>
          <w:noProof/>
          <w:sz w:val="24"/>
          <w:szCs w:val="24"/>
          <w:lang w:val="en-US"/>
        </w:rPr>
        <w:t>What’s Trending in Difference-in-Differences? A Synthesis of the Recent Econometrics Literature</w:t>
      </w:r>
      <w:r w:rsidRPr="00D12ED1">
        <w:rPr>
          <w:rFonts w:ascii="Times New Roman" w:hAnsi="Times New Roman" w:cs="Times New Roman"/>
          <w:noProof/>
          <w:sz w:val="24"/>
          <w:szCs w:val="24"/>
          <w:lang w:val="en-US"/>
        </w:rPr>
        <w:t>. 1–54. http://arxiv.org/abs/2201.01194</w:t>
      </w:r>
    </w:p>
    <w:p w14:paraId="33DE4327"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Sakai, J., &amp; Paiva, N. (2016). </w:t>
      </w:r>
      <w:r w:rsidRPr="00E51658">
        <w:rPr>
          <w:rFonts w:ascii="Times New Roman" w:hAnsi="Times New Roman" w:cs="Times New Roman"/>
          <w:i/>
          <w:iCs/>
          <w:noProof/>
          <w:sz w:val="24"/>
          <w:szCs w:val="24"/>
        </w:rPr>
        <w:t>Quem são os conselheiros dos Tribunais de Contas</w:t>
      </w:r>
      <w:r w:rsidRPr="00E51658">
        <w:rPr>
          <w:rFonts w:ascii="Times New Roman" w:hAnsi="Times New Roman" w:cs="Times New Roman"/>
          <w:noProof/>
          <w:sz w:val="24"/>
          <w:szCs w:val="24"/>
        </w:rPr>
        <w:t>. Transparência Brasil. https://www.transparencia.org.br/downloads/publicacoes/TBrasil - Tribunais de Contas 2016.pdf</w:t>
      </w:r>
    </w:p>
    <w:p w14:paraId="70C2FE70"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Sandholtz, W., &amp; Taagepera, R. (2005). Corruption, culture, and communism. </w:t>
      </w:r>
      <w:r w:rsidRPr="00D12ED1">
        <w:rPr>
          <w:rFonts w:ascii="Times New Roman" w:hAnsi="Times New Roman" w:cs="Times New Roman"/>
          <w:i/>
          <w:iCs/>
          <w:noProof/>
          <w:sz w:val="24"/>
          <w:szCs w:val="24"/>
          <w:lang w:val="en-US"/>
        </w:rPr>
        <w:t>International Review of Sociology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15</w:t>
      </w:r>
      <w:r w:rsidRPr="00D12ED1">
        <w:rPr>
          <w:rFonts w:ascii="Times New Roman" w:hAnsi="Times New Roman" w:cs="Times New Roman"/>
          <w:noProof/>
          <w:sz w:val="24"/>
          <w:szCs w:val="24"/>
          <w:lang w:val="en-US"/>
        </w:rPr>
        <w:t>(1), 109–131. https://doi.org/10.1080/03906700500038678</w:t>
      </w:r>
    </w:p>
    <w:p w14:paraId="03A815A3"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Sant`Anna, P., &amp; Callaway, B. (2020). </w:t>
      </w:r>
      <w:r w:rsidRPr="00D12ED1">
        <w:rPr>
          <w:rFonts w:ascii="Times New Roman" w:hAnsi="Times New Roman" w:cs="Times New Roman"/>
          <w:i/>
          <w:iCs/>
          <w:noProof/>
          <w:sz w:val="24"/>
          <w:szCs w:val="24"/>
          <w:lang w:val="en-US"/>
        </w:rPr>
        <w:t xml:space="preserve">Problems with two-way fixed-effects event-study </w:t>
      </w:r>
      <w:r w:rsidRPr="00D12ED1">
        <w:rPr>
          <w:rFonts w:ascii="Times New Roman" w:hAnsi="Times New Roman" w:cs="Times New Roman"/>
          <w:i/>
          <w:iCs/>
          <w:noProof/>
          <w:sz w:val="24"/>
          <w:szCs w:val="24"/>
          <w:lang w:val="en-US"/>
        </w:rPr>
        <w:lastRenderedPageBreak/>
        <w:t>regressions.pdf</w:t>
      </w:r>
      <w:r w:rsidRPr="00D12ED1">
        <w:rPr>
          <w:rFonts w:ascii="Times New Roman" w:hAnsi="Times New Roman" w:cs="Times New Roman"/>
          <w:noProof/>
          <w:sz w:val="24"/>
          <w:szCs w:val="24"/>
          <w:lang w:val="en-US"/>
        </w:rPr>
        <w:t>.</w:t>
      </w:r>
    </w:p>
    <w:p w14:paraId="6252C6EF"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Schommer, P., Nunes, T., &amp; Moraes, L. (2012). </w:t>
      </w:r>
      <w:r w:rsidRPr="00E51658">
        <w:rPr>
          <w:rFonts w:ascii="Times New Roman" w:hAnsi="Times New Roman" w:cs="Times New Roman"/>
          <w:noProof/>
          <w:sz w:val="24"/>
          <w:szCs w:val="24"/>
        </w:rPr>
        <w:t xml:space="preserve">Accountability, controle social e coprodução do bem público: a atuação de vinte observatórios sociais brasileiros voltados à cidadania e à educação fiscal. </w:t>
      </w:r>
      <w:r w:rsidRPr="00E51658">
        <w:rPr>
          <w:rFonts w:ascii="Times New Roman" w:hAnsi="Times New Roman" w:cs="Times New Roman"/>
          <w:i/>
          <w:iCs/>
          <w:noProof/>
          <w:sz w:val="24"/>
          <w:szCs w:val="24"/>
        </w:rPr>
        <w:t>Publicações Da Escola Da AGU: Gestão Pública Democrática - Escola Da Advocacia-Geral Da União Ministro Victor Nunes Leal</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58</w:t>
      </w:r>
      <w:r w:rsidRPr="00E51658">
        <w:rPr>
          <w:rFonts w:ascii="Times New Roman" w:hAnsi="Times New Roman" w:cs="Times New Roman"/>
          <w:noProof/>
          <w:sz w:val="24"/>
          <w:szCs w:val="24"/>
        </w:rPr>
        <w:t>, 229–258.</w:t>
      </w:r>
    </w:p>
    <w:p w14:paraId="1CA6ABEC"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SEDUC- Maringá. (2017). </w:t>
      </w:r>
      <w:r w:rsidRPr="00E51658">
        <w:rPr>
          <w:rFonts w:ascii="Times New Roman" w:hAnsi="Times New Roman" w:cs="Times New Roman"/>
          <w:i/>
          <w:iCs/>
          <w:noProof/>
          <w:sz w:val="24"/>
          <w:szCs w:val="24"/>
        </w:rPr>
        <w:t>Maringá é a primeira colocada em Educação Fiscal no Paraná</w:t>
      </w:r>
      <w:r w:rsidRPr="00E51658">
        <w:rPr>
          <w:rFonts w:ascii="Times New Roman" w:hAnsi="Times New Roman" w:cs="Times New Roman"/>
          <w:noProof/>
          <w:sz w:val="24"/>
          <w:szCs w:val="24"/>
        </w:rPr>
        <w:t>. http://www2.maringa.pr.gov.br/educacao/?cod=destaque/319</w:t>
      </w:r>
    </w:p>
    <w:p w14:paraId="411E4231"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E51658">
        <w:rPr>
          <w:rFonts w:ascii="Times New Roman" w:hAnsi="Times New Roman" w:cs="Times New Roman"/>
          <w:noProof/>
          <w:sz w:val="24"/>
          <w:szCs w:val="24"/>
        </w:rPr>
        <w:t xml:space="preserve">Seixas, R. N. de L., &amp; Banhos, M. da S. (2021). Controle Social da Administração Pública por Agentes Privados: Avaliando o Impacto dos Observatórios Sociais nas Despesas dos Municípios do Paraná. </w:t>
      </w:r>
      <w:r w:rsidRPr="00D12ED1">
        <w:rPr>
          <w:rFonts w:ascii="Times New Roman" w:hAnsi="Times New Roman" w:cs="Times New Roman"/>
          <w:i/>
          <w:iCs/>
          <w:noProof/>
          <w:sz w:val="24"/>
          <w:szCs w:val="24"/>
          <w:lang w:val="en-US"/>
        </w:rPr>
        <w:t>Economia Aplicada</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25</w:t>
      </w:r>
      <w:r w:rsidRPr="00D12ED1">
        <w:rPr>
          <w:rFonts w:ascii="Times New Roman" w:hAnsi="Times New Roman" w:cs="Times New Roman"/>
          <w:noProof/>
          <w:sz w:val="24"/>
          <w:szCs w:val="24"/>
          <w:lang w:val="en-US"/>
        </w:rPr>
        <w:t>(1), 93–114. https://doi.org/10.11606/1980-5330/ea162776</w:t>
      </w:r>
    </w:p>
    <w:p w14:paraId="40DE3A40"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2ED1">
        <w:rPr>
          <w:rFonts w:ascii="Times New Roman" w:hAnsi="Times New Roman" w:cs="Times New Roman"/>
          <w:noProof/>
          <w:sz w:val="24"/>
          <w:szCs w:val="24"/>
          <w:lang w:val="en-US"/>
        </w:rPr>
        <w:t xml:space="preserve">Sherman, L. W. (1980). Three Models of Organizational Corruption in Agencies of Social Control. </w:t>
      </w:r>
      <w:r w:rsidRPr="00E51658">
        <w:rPr>
          <w:rFonts w:ascii="Times New Roman" w:hAnsi="Times New Roman" w:cs="Times New Roman"/>
          <w:i/>
          <w:iCs/>
          <w:noProof/>
          <w:sz w:val="24"/>
          <w:szCs w:val="24"/>
        </w:rPr>
        <w:t>Social Problems</w:t>
      </w:r>
      <w:r w:rsidRPr="00E51658">
        <w:rPr>
          <w:rFonts w:ascii="Times New Roman" w:hAnsi="Times New Roman" w:cs="Times New Roman"/>
          <w:noProof/>
          <w:sz w:val="24"/>
          <w:szCs w:val="24"/>
        </w:rPr>
        <w:t xml:space="preserve">, </w:t>
      </w:r>
      <w:r w:rsidRPr="00E51658">
        <w:rPr>
          <w:rFonts w:ascii="Times New Roman" w:hAnsi="Times New Roman" w:cs="Times New Roman"/>
          <w:i/>
          <w:iCs/>
          <w:noProof/>
          <w:sz w:val="24"/>
          <w:szCs w:val="24"/>
        </w:rPr>
        <w:t>27</w:t>
      </w:r>
      <w:r w:rsidRPr="00E51658">
        <w:rPr>
          <w:rFonts w:ascii="Times New Roman" w:hAnsi="Times New Roman" w:cs="Times New Roman"/>
          <w:noProof/>
          <w:sz w:val="24"/>
          <w:szCs w:val="24"/>
        </w:rPr>
        <w:t>(4), 478–491. https://doi.org/10.2307/800176</w:t>
      </w:r>
    </w:p>
    <w:p w14:paraId="286D8B08"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Siraque, V. (2009). </w:t>
      </w:r>
      <w:r w:rsidRPr="00E51658">
        <w:rPr>
          <w:rFonts w:ascii="Times New Roman" w:hAnsi="Times New Roman" w:cs="Times New Roman"/>
          <w:i/>
          <w:iCs/>
          <w:noProof/>
          <w:sz w:val="24"/>
          <w:szCs w:val="24"/>
        </w:rPr>
        <w:t>Controle Social da Função Administrativa do Estado: Possibilidades e Limites na Constituição de 1988.</w:t>
      </w:r>
      <w:r w:rsidRPr="00E51658">
        <w:rPr>
          <w:rFonts w:ascii="Times New Roman" w:hAnsi="Times New Roman" w:cs="Times New Roman"/>
          <w:noProof/>
          <w:sz w:val="24"/>
          <w:szCs w:val="24"/>
        </w:rPr>
        <w:t xml:space="preserve"> Saraiva.</w:t>
      </w:r>
    </w:p>
    <w:p w14:paraId="0D7B8D52" w14:textId="77777777" w:rsidR="00E51658" w:rsidRPr="00E51658"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E51658">
        <w:rPr>
          <w:rFonts w:ascii="Times New Roman" w:hAnsi="Times New Roman" w:cs="Times New Roman"/>
          <w:noProof/>
          <w:sz w:val="24"/>
          <w:szCs w:val="24"/>
        </w:rPr>
        <w:t xml:space="preserve">Tesouro Nacional. (2022). </w:t>
      </w:r>
      <w:r w:rsidRPr="00E51658">
        <w:rPr>
          <w:rFonts w:ascii="Times New Roman" w:hAnsi="Times New Roman" w:cs="Times New Roman"/>
          <w:i/>
          <w:iCs/>
          <w:noProof/>
          <w:sz w:val="24"/>
          <w:szCs w:val="24"/>
        </w:rPr>
        <w:t>Tesouro Nacional Transparente</w:t>
      </w:r>
      <w:r w:rsidRPr="00E51658">
        <w:rPr>
          <w:rFonts w:ascii="Times New Roman" w:hAnsi="Times New Roman" w:cs="Times New Roman"/>
          <w:noProof/>
          <w:sz w:val="24"/>
          <w:szCs w:val="24"/>
        </w:rPr>
        <w:t>. Transferências a Estados e Municípios. https://www.tesourotransparente.gov.br/temas/estados-e-municipios/transferencias-a-estados-e-municipios</w:t>
      </w:r>
    </w:p>
    <w:p w14:paraId="57E94D57"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Transparency International. (2019). </w:t>
      </w:r>
      <w:r w:rsidRPr="00D12ED1">
        <w:rPr>
          <w:rFonts w:ascii="Times New Roman" w:hAnsi="Times New Roman" w:cs="Times New Roman"/>
          <w:i/>
          <w:iCs/>
          <w:noProof/>
          <w:sz w:val="24"/>
          <w:szCs w:val="24"/>
          <w:lang w:val="en-US"/>
        </w:rPr>
        <w:t>Corruption Perception Index.</w:t>
      </w:r>
      <w:r w:rsidRPr="00D12ED1">
        <w:rPr>
          <w:rFonts w:ascii="Times New Roman" w:hAnsi="Times New Roman" w:cs="Times New Roman"/>
          <w:noProof/>
          <w:sz w:val="24"/>
          <w:szCs w:val="24"/>
          <w:lang w:val="en-US"/>
        </w:rPr>
        <w:t xml:space="preserve"> https://www.transparency.org/ Transparency</w:t>
      </w:r>
    </w:p>
    <w:p w14:paraId="2C48F88B"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D12ED1">
        <w:rPr>
          <w:rFonts w:ascii="Times New Roman" w:hAnsi="Times New Roman" w:cs="Times New Roman"/>
          <w:noProof/>
          <w:sz w:val="24"/>
          <w:szCs w:val="24"/>
          <w:lang w:val="en-US"/>
        </w:rPr>
        <w:t xml:space="preserve">Van Laere, K., &amp; Heene, A. (2003). Social networks as a source of competitive advantage for the firm. </w:t>
      </w:r>
      <w:r w:rsidRPr="00D12ED1">
        <w:rPr>
          <w:rFonts w:ascii="Times New Roman" w:hAnsi="Times New Roman" w:cs="Times New Roman"/>
          <w:i/>
          <w:iCs/>
          <w:noProof/>
          <w:sz w:val="24"/>
          <w:szCs w:val="24"/>
          <w:lang w:val="en-US"/>
        </w:rPr>
        <w:t>Journal of Workplace Learning</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15</w:t>
      </w:r>
      <w:r w:rsidRPr="00D12ED1">
        <w:rPr>
          <w:rFonts w:ascii="Times New Roman" w:hAnsi="Times New Roman" w:cs="Times New Roman"/>
          <w:noProof/>
          <w:sz w:val="24"/>
          <w:szCs w:val="24"/>
          <w:lang w:val="en-US"/>
        </w:rPr>
        <w:t>(6), 248–258. https://doi.org/10.1108/13665620310488548</w:t>
      </w:r>
    </w:p>
    <w:p w14:paraId="0673C298" w14:textId="77777777" w:rsidR="00E51658" w:rsidRPr="00D12ED1" w:rsidRDefault="00E51658" w:rsidP="00E51658">
      <w:pPr>
        <w:widowControl w:val="0"/>
        <w:autoSpaceDE w:val="0"/>
        <w:autoSpaceDN w:val="0"/>
        <w:adjustRightInd w:val="0"/>
        <w:spacing w:after="0" w:line="360" w:lineRule="auto"/>
        <w:ind w:left="480" w:hanging="480"/>
        <w:rPr>
          <w:rFonts w:ascii="Times New Roman" w:hAnsi="Times New Roman" w:cs="Times New Roman"/>
          <w:noProof/>
          <w:sz w:val="24"/>
          <w:lang w:val="en-US"/>
        </w:rPr>
      </w:pPr>
      <w:r w:rsidRPr="00D12ED1">
        <w:rPr>
          <w:rFonts w:ascii="Times New Roman" w:hAnsi="Times New Roman" w:cs="Times New Roman"/>
          <w:noProof/>
          <w:sz w:val="24"/>
          <w:szCs w:val="24"/>
          <w:lang w:val="en-US"/>
        </w:rPr>
        <w:t xml:space="preserve">Waterman, R. W., &amp; Meier, K. J. (1998). Principal-Agent Models : An Expansion? </w:t>
      </w:r>
      <w:r w:rsidRPr="00D12ED1">
        <w:rPr>
          <w:rFonts w:ascii="Times New Roman" w:hAnsi="Times New Roman" w:cs="Times New Roman"/>
          <w:i/>
          <w:iCs/>
          <w:noProof/>
          <w:sz w:val="24"/>
          <w:szCs w:val="24"/>
          <w:lang w:val="en-US"/>
        </w:rPr>
        <w:t>Journal of Public Administration Research and Theory</w:t>
      </w:r>
      <w:r w:rsidRPr="00D12ED1">
        <w:rPr>
          <w:rFonts w:ascii="Times New Roman" w:hAnsi="Times New Roman" w:cs="Times New Roman"/>
          <w:noProof/>
          <w:sz w:val="24"/>
          <w:szCs w:val="24"/>
          <w:lang w:val="en-US"/>
        </w:rPr>
        <w:t xml:space="preserve">, </w:t>
      </w:r>
      <w:r w:rsidRPr="00D12ED1">
        <w:rPr>
          <w:rFonts w:ascii="Times New Roman" w:hAnsi="Times New Roman" w:cs="Times New Roman"/>
          <w:i/>
          <w:iCs/>
          <w:noProof/>
          <w:sz w:val="24"/>
          <w:szCs w:val="24"/>
          <w:lang w:val="en-US"/>
        </w:rPr>
        <w:t>8</w:t>
      </w:r>
      <w:r w:rsidRPr="00D12ED1">
        <w:rPr>
          <w:rFonts w:ascii="Times New Roman" w:hAnsi="Times New Roman" w:cs="Times New Roman"/>
          <w:noProof/>
          <w:sz w:val="24"/>
          <w:szCs w:val="24"/>
          <w:lang w:val="en-US"/>
        </w:rPr>
        <w:t>, 173–202.</w:t>
      </w:r>
    </w:p>
    <w:p w14:paraId="6436BF28" w14:textId="65813BED" w:rsidR="00DE57D7" w:rsidRPr="009F74FB" w:rsidRDefault="009F74FB" w:rsidP="00521889">
      <w:pPr>
        <w:spacing w:after="0" w:line="360" w:lineRule="auto"/>
        <w:ind w:left="709" w:firstLine="567"/>
        <w:jc w:val="both"/>
        <w:rPr>
          <w:rFonts w:ascii="Times New Roman" w:hAnsi="Times New Roman" w:cs="Times New Roman"/>
          <w:color w:val="000000" w:themeColor="text1"/>
          <w:sz w:val="24"/>
          <w:szCs w:val="24"/>
          <w:lang w:val="en-US"/>
        </w:rPr>
      </w:pPr>
      <w:r w:rsidRPr="009F74FB">
        <w:rPr>
          <w:rFonts w:ascii="Times New Roman" w:hAnsi="Times New Roman" w:cs="Times New Roman"/>
          <w:color w:val="000000" w:themeColor="text1"/>
          <w:sz w:val="24"/>
          <w:szCs w:val="24"/>
          <w:lang w:val="en-US"/>
        </w:rPr>
        <w:fldChar w:fldCharType="end"/>
      </w:r>
    </w:p>
    <w:p w14:paraId="26E385AE" w14:textId="0BF518D6" w:rsidR="009F74FB" w:rsidRDefault="009F74FB" w:rsidP="0051471C">
      <w:pPr>
        <w:spacing w:after="0" w:line="360" w:lineRule="auto"/>
        <w:contextualSpacing/>
        <w:jc w:val="both"/>
        <w:rPr>
          <w:rFonts w:ascii="Times New Roman" w:hAnsi="Times New Roman" w:cs="Times New Roman"/>
          <w:b/>
          <w:bCs/>
          <w:color w:val="000000" w:themeColor="text1"/>
          <w:sz w:val="24"/>
          <w:szCs w:val="24"/>
          <w:lang w:val="en-US"/>
        </w:rPr>
      </w:pPr>
      <w:r w:rsidRPr="009F74FB">
        <w:rPr>
          <w:rFonts w:ascii="Times New Roman" w:hAnsi="Times New Roman" w:cs="Times New Roman"/>
          <w:b/>
          <w:bCs/>
          <w:color w:val="000000" w:themeColor="text1"/>
          <w:sz w:val="24"/>
          <w:szCs w:val="24"/>
          <w:lang w:val="en-US"/>
        </w:rPr>
        <w:t>Ap</w:t>
      </w:r>
      <w:r>
        <w:rPr>
          <w:rFonts w:ascii="Times New Roman" w:hAnsi="Times New Roman" w:cs="Times New Roman"/>
          <w:b/>
          <w:bCs/>
          <w:color w:val="000000" w:themeColor="text1"/>
          <w:sz w:val="24"/>
          <w:szCs w:val="24"/>
          <w:lang w:val="en-US"/>
        </w:rPr>
        <w:t>endix</w:t>
      </w:r>
      <w:r w:rsidRPr="009F74FB">
        <w:rPr>
          <w:rFonts w:ascii="Times New Roman" w:hAnsi="Times New Roman" w:cs="Times New Roman"/>
          <w:b/>
          <w:bCs/>
          <w:color w:val="000000" w:themeColor="text1"/>
          <w:sz w:val="24"/>
          <w:szCs w:val="24"/>
          <w:lang w:val="en-US"/>
        </w:rPr>
        <w:t>:</w:t>
      </w:r>
    </w:p>
    <w:p w14:paraId="54C672A7" w14:textId="77777777" w:rsidR="009F74FB" w:rsidRPr="009F74FB" w:rsidRDefault="009F74FB" w:rsidP="009F74FB">
      <w:pPr>
        <w:spacing w:after="0" w:line="360" w:lineRule="auto"/>
        <w:ind w:left="1068"/>
        <w:contextualSpacing/>
        <w:jc w:val="both"/>
        <w:rPr>
          <w:rFonts w:ascii="Times New Roman" w:hAnsi="Times New Roman" w:cs="Times New Roman"/>
          <w:b/>
          <w:bCs/>
          <w:color w:val="000000" w:themeColor="text1"/>
          <w:sz w:val="24"/>
          <w:szCs w:val="24"/>
          <w:lang w:val="en-US"/>
        </w:rPr>
      </w:pPr>
    </w:p>
    <w:p w14:paraId="7C36B855" w14:textId="59DE009A" w:rsidR="0051471C" w:rsidRDefault="00BE323B" w:rsidP="00BE323B">
      <w:pPr>
        <w:widowControl w:val="0"/>
        <w:autoSpaceDE w:val="0"/>
        <w:autoSpaceDN w:val="0"/>
        <w:spacing w:after="0" w:line="360" w:lineRule="auto"/>
        <w:ind w:firstLine="709"/>
        <w:jc w:val="both"/>
        <w:rPr>
          <w:rFonts w:ascii="Times New Roman" w:eastAsia="Times New Roman" w:hAnsi="Times New Roman" w:cs="Times New Roman"/>
          <w:bCs/>
          <w:color w:val="000000" w:themeColor="text1"/>
          <w:sz w:val="24"/>
          <w:szCs w:val="24"/>
          <w:lang w:val="en-US" w:eastAsia="pt-BR" w:bidi="en-US"/>
        </w:rPr>
      </w:pPr>
      <w:r w:rsidRPr="00BE323B">
        <w:rPr>
          <w:rFonts w:ascii="Times New Roman" w:eastAsia="Times New Roman" w:hAnsi="Times New Roman" w:cs="Times New Roman"/>
          <w:bCs/>
          <w:color w:val="000000" w:themeColor="text1"/>
          <w:sz w:val="24"/>
          <w:szCs w:val="24"/>
          <w:lang w:val="en-US" w:eastAsia="pt-BR" w:bidi="en-US"/>
        </w:rPr>
        <w:t>Event studies present cues of parallelism of trends for the treatment and control groups when the difference-in-differences placebo point estimates in the pre-intervention are statistically insignificant, having their confidence interval crossed by zero (CUNNINGHAM, 2021). As shown in figure 2 to 16, among the per capita outlays analyzed, only the items: “Outsourced Services to Individuals” and “Amortization” (figures 2 and 3) deviate from this pattern, presenting a U shaped trajectory in which several placebo coefficients do not have their confidence interval cut by the zero. Rejecting in these two cases, the parallel trend hypothesis.</w:t>
      </w:r>
      <w:r w:rsidR="002943E0" w:rsidRPr="002943E0">
        <w:rPr>
          <w:rFonts w:ascii="Times New Roman" w:eastAsia="Times New Roman" w:hAnsi="Times New Roman" w:cs="Times New Roman"/>
          <w:bCs/>
          <w:color w:val="000000" w:themeColor="text1"/>
          <w:sz w:val="24"/>
          <w:szCs w:val="24"/>
          <w:lang w:val="en-US" w:eastAsia="pt-BR" w:bidi="en-US"/>
        </w:rPr>
        <w:t xml:space="preserve">The black point estimates are built </w:t>
      </w:r>
      <w:r w:rsidR="002943E0" w:rsidRPr="002943E0">
        <w:rPr>
          <w:rFonts w:ascii="Times New Roman" w:eastAsia="Times New Roman" w:hAnsi="Times New Roman" w:cs="Times New Roman"/>
          <w:bCs/>
          <w:color w:val="000000" w:themeColor="text1"/>
          <w:sz w:val="24"/>
          <w:szCs w:val="24"/>
          <w:lang w:val="en-US" w:eastAsia="pt-BR" w:bidi="en-US"/>
        </w:rPr>
        <w:lastRenderedPageBreak/>
        <w:t>with the "TWFE-event study specification model", while the red ones use the Sun and Abraham (2021) approach. </w:t>
      </w:r>
    </w:p>
    <w:p w14:paraId="4C8802FA" w14:textId="77777777" w:rsidR="00521889" w:rsidRPr="009F74FB" w:rsidRDefault="00521889" w:rsidP="00BE323B">
      <w:pPr>
        <w:widowControl w:val="0"/>
        <w:autoSpaceDE w:val="0"/>
        <w:autoSpaceDN w:val="0"/>
        <w:spacing w:after="0" w:line="360" w:lineRule="auto"/>
        <w:ind w:firstLine="709"/>
        <w:jc w:val="both"/>
        <w:rPr>
          <w:rFonts w:ascii="Times New Roman" w:eastAsia="Times New Roman" w:hAnsi="Times New Roman" w:cs="Times New Roman"/>
          <w:bCs/>
          <w:color w:val="000000" w:themeColor="text1"/>
          <w:sz w:val="24"/>
          <w:szCs w:val="24"/>
          <w:lang w:val="en-US" w:eastAsia="pt-BR" w:bidi="en-US"/>
        </w:rPr>
      </w:pPr>
    </w:p>
    <w:p w14:paraId="1A2FA3FB" w14:textId="1EFAD737"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asciiTheme="majorHAnsi" w:eastAsiaTheme="minorEastAsia" w:hAnsiTheme="majorHAnsi" w:cstheme="majorHAnsi"/>
          <w:color w:val="000000" w:themeColor="text1"/>
          <w:lang w:val="en-US"/>
        </w:rPr>
        <w:t xml:space="preserve">             </w:t>
      </w:r>
      <w:r w:rsidR="00DE57D7" w:rsidRPr="00DE57D7">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2-</w:t>
      </w:r>
      <w:r w:rsidR="00BA3CDB">
        <w:rPr>
          <w:rFonts w:eastAsiaTheme="minorEastAsia"/>
          <w:b/>
          <w:bCs/>
          <w:color w:val="000000" w:themeColor="text1"/>
          <w:sz w:val="20"/>
          <w:szCs w:val="20"/>
          <w:lang w:val="en-US"/>
        </w:rPr>
        <w:t xml:space="preserve"> Event Study</w:t>
      </w:r>
      <w:r w:rsidRPr="009F74FB">
        <w:rPr>
          <w:rFonts w:eastAsiaTheme="minorEastAsia"/>
          <w:b/>
          <w:bCs/>
          <w:color w:val="000000" w:themeColor="text1"/>
          <w:sz w:val="20"/>
          <w:szCs w:val="20"/>
          <w:lang w:val="en-US"/>
        </w:rPr>
        <w:t xml:space="preserve"> </w:t>
      </w:r>
      <w:r w:rsidR="00BA3CDB">
        <w:rPr>
          <w:rFonts w:eastAsiaTheme="minorEastAsia"/>
          <w:b/>
          <w:bCs/>
          <w:color w:val="000000" w:themeColor="text1"/>
          <w:sz w:val="20"/>
          <w:szCs w:val="20"/>
          <w:lang w:val="en-US"/>
        </w:rPr>
        <w:t xml:space="preserve"> - </w:t>
      </w:r>
      <w:r w:rsidR="00DE57D7" w:rsidRPr="00DE57D7">
        <w:rPr>
          <w:rFonts w:eastAsiaTheme="minorEastAsia"/>
          <w:b/>
          <w:bCs/>
          <w:color w:val="000000" w:themeColor="text1"/>
          <w:sz w:val="20"/>
          <w:szCs w:val="20"/>
          <w:lang w:val="en-US"/>
        </w:rPr>
        <w:t>Outsource</w:t>
      </w:r>
      <w:r w:rsidR="00BA3CDB">
        <w:rPr>
          <w:rFonts w:eastAsiaTheme="minorEastAsia"/>
          <w:b/>
          <w:bCs/>
          <w:color w:val="000000" w:themeColor="text1"/>
          <w:sz w:val="20"/>
          <w:szCs w:val="20"/>
          <w:lang w:val="en-US"/>
        </w:rPr>
        <w:t>d</w:t>
      </w:r>
      <w:r w:rsidR="00DE57D7" w:rsidRPr="00DE57D7">
        <w:rPr>
          <w:rFonts w:eastAsiaTheme="minorEastAsia"/>
          <w:b/>
          <w:bCs/>
          <w:color w:val="000000" w:themeColor="text1"/>
          <w:sz w:val="20"/>
          <w:szCs w:val="20"/>
          <w:lang w:val="en-US"/>
        </w:rPr>
        <w:t xml:space="preserve"> Services to I</w:t>
      </w:r>
      <w:r w:rsidR="00DE57D7">
        <w:rPr>
          <w:rFonts w:eastAsiaTheme="minorEastAsia"/>
          <w:b/>
          <w:bCs/>
          <w:color w:val="000000" w:themeColor="text1"/>
          <w:sz w:val="20"/>
          <w:szCs w:val="20"/>
          <w:lang w:val="en-US"/>
        </w:rPr>
        <w:t>ndividuals</w:t>
      </w:r>
    </w:p>
    <w:p w14:paraId="29AEB90E" w14:textId="57A5A07B" w:rsidR="00DE57D7" w:rsidRDefault="009F74FB" w:rsidP="00521889">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04242940" wp14:editId="7D13E288">
            <wp:extent cx="5881700" cy="3683479"/>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
                      <a:extLst>
                        <a:ext uri="{28A0092B-C50C-407E-A947-70E740481C1C}">
                          <a14:useLocalDpi xmlns:a14="http://schemas.microsoft.com/office/drawing/2010/main" val="0"/>
                        </a:ext>
                      </a:extLst>
                    </a:blip>
                    <a:srcRect t="15396" r="3402" b="4066"/>
                    <a:stretch/>
                  </pic:blipFill>
                  <pic:spPr bwMode="auto">
                    <a:xfrm>
                      <a:off x="0" y="0"/>
                      <a:ext cx="5887730" cy="3687255"/>
                    </a:xfrm>
                    <a:prstGeom prst="rect">
                      <a:avLst/>
                    </a:prstGeom>
                    <a:noFill/>
                    <a:ln>
                      <a:noFill/>
                    </a:ln>
                    <a:extLst>
                      <a:ext uri="{53640926-AAD7-44D8-BBD7-CCE9431645EC}">
                        <a14:shadowObscured xmlns:a14="http://schemas.microsoft.com/office/drawing/2010/main"/>
                      </a:ext>
                    </a:extLst>
                  </pic:spPr>
                </pic:pic>
              </a:graphicData>
            </a:graphic>
          </wp:inline>
        </w:drawing>
      </w:r>
    </w:p>
    <w:p w14:paraId="657715FA" w14:textId="77777777" w:rsidR="00DE57D7" w:rsidRDefault="00DE57D7" w:rsidP="009F74FB">
      <w:pPr>
        <w:spacing w:after="0" w:line="360" w:lineRule="auto"/>
        <w:ind w:left="709" w:firstLine="567"/>
        <w:jc w:val="both"/>
        <w:rPr>
          <w:rFonts w:eastAsiaTheme="minorEastAsia"/>
          <w:b/>
          <w:bCs/>
          <w:color w:val="000000" w:themeColor="text1"/>
          <w:sz w:val="20"/>
          <w:szCs w:val="20"/>
        </w:rPr>
      </w:pPr>
    </w:p>
    <w:p w14:paraId="5C660B18" w14:textId="181F1C45"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b/>
          <w:bCs/>
          <w:color w:val="000000" w:themeColor="text1"/>
          <w:sz w:val="20"/>
          <w:szCs w:val="20"/>
          <w:lang w:val="en-US"/>
        </w:rPr>
        <w:t xml:space="preserve">  </w:t>
      </w:r>
      <w:r w:rsidR="00DE57D7" w:rsidRPr="00BA3CDB">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3 –</w:t>
      </w:r>
      <w:r w:rsidR="00BA3CDB" w:rsidRPr="00BA3CDB">
        <w:rPr>
          <w:rFonts w:eastAsiaTheme="minorEastAsia"/>
          <w:b/>
          <w:bCs/>
          <w:color w:val="000000" w:themeColor="text1"/>
          <w:sz w:val="20"/>
          <w:szCs w:val="20"/>
          <w:lang w:val="en-US"/>
        </w:rPr>
        <w:t xml:space="preserve"> Event Study - </w:t>
      </w:r>
      <w:r w:rsidRPr="009F74FB">
        <w:rPr>
          <w:rFonts w:eastAsiaTheme="minorEastAsia"/>
          <w:b/>
          <w:bCs/>
          <w:color w:val="000000" w:themeColor="text1"/>
          <w:sz w:val="20"/>
          <w:szCs w:val="20"/>
          <w:lang w:val="en-US"/>
        </w:rPr>
        <w:t>Amortiza</w:t>
      </w:r>
      <w:r w:rsidR="00DE57D7" w:rsidRPr="00BA3CDB">
        <w:rPr>
          <w:rFonts w:eastAsiaTheme="minorEastAsia"/>
          <w:b/>
          <w:bCs/>
          <w:color w:val="000000" w:themeColor="text1"/>
          <w:sz w:val="20"/>
          <w:szCs w:val="20"/>
          <w:lang w:val="en-US"/>
        </w:rPr>
        <w:t>tion</w:t>
      </w:r>
    </w:p>
    <w:p w14:paraId="51C48710" w14:textId="77777777" w:rsidR="009F74FB" w:rsidRPr="009F74FB" w:rsidRDefault="009F74FB" w:rsidP="00DE57D7">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4B3460C0" wp14:editId="1B4A82A8">
            <wp:extent cx="5900420" cy="3847381"/>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0">
                      <a:extLst>
                        <a:ext uri="{28A0092B-C50C-407E-A947-70E740481C1C}">
                          <a14:useLocalDpi xmlns:a14="http://schemas.microsoft.com/office/drawing/2010/main" val="0"/>
                        </a:ext>
                      </a:extLst>
                    </a:blip>
                    <a:srcRect t="14805" r="3114" b="3178"/>
                    <a:stretch/>
                  </pic:blipFill>
                  <pic:spPr bwMode="auto">
                    <a:xfrm>
                      <a:off x="0" y="0"/>
                      <a:ext cx="5924184" cy="3862876"/>
                    </a:xfrm>
                    <a:prstGeom prst="rect">
                      <a:avLst/>
                    </a:prstGeom>
                    <a:noFill/>
                    <a:ln>
                      <a:noFill/>
                    </a:ln>
                    <a:extLst>
                      <a:ext uri="{53640926-AAD7-44D8-BBD7-CCE9431645EC}">
                        <a14:shadowObscured xmlns:a14="http://schemas.microsoft.com/office/drawing/2010/main"/>
                      </a:ext>
                    </a:extLst>
                  </pic:spPr>
                </pic:pic>
              </a:graphicData>
            </a:graphic>
          </wp:inline>
        </w:drawing>
      </w:r>
    </w:p>
    <w:p w14:paraId="6DAA6F79" w14:textId="77777777" w:rsidR="00DE57D7" w:rsidRPr="009F74FB" w:rsidRDefault="00DE57D7" w:rsidP="009F74FB">
      <w:pPr>
        <w:spacing w:after="0" w:line="360" w:lineRule="auto"/>
        <w:jc w:val="both"/>
        <w:rPr>
          <w:rFonts w:eastAsiaTheme="minorEastAsia"/>
          <w:color w:val="000000" w:themeColor="text1"/>
        </w:rPr>
      </w:pPr>
    </w:p>
    <w:p w14:paraId="67261596" w14:textId="080A630E" w:rsidR="009F74FB" w:rsidRDefault="009F74FB" w:rsidP="009F74FB">
      <w:pPr>
        <w:spacing w:after="0" w:line="360" w:lineRule="auto"/>
        <w:jc w:val="both"/>
        <w:rPr>
          <w:rFonts w:eastAsiaTheme="minorEastAsia"/>
          <w:color w:val="000000" w:themeColor="text1"/>
        </w:rPr>
      </w:pPr>
    </w:p>
    <w:p w14:paraId="1186D7CC" w14:textId="77777777" w:rsidR="00521889" w:rsidRPr="009F74FB" w:rsidRDefault="00521889" w:rsidP="009F74FB">
      <w:pPr>
        <w:spacing w:after="0" w:line="360" w:lineRule="auto"/>
        <w:jc w:val="both"/>
        <w:rPr>
          <w:rFonts w:eastAsiaTheme="minorEastAsia"/>
          <w:color w:val="000000" w:themeColor="text1"/>
        </w:rPr>
      </w:pPr>
    </w:p>
    <w:p w14:paraId="3B170059" w14:textId="55CCF6D4"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color w:val="000000" w:themeColor="text1"/>
          <w:lang w:val="en-US"/>
        </w:rPr>
        <w:t xml:space="preserve">                 </w:t>
      </w:r>
      <w:r w:rsidR="00DE57D7" w:rsidRPr="00BA3CDB">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4 – </w:t>
      </w:r>
      <w:r w:rsidR="00BA3CDB" w:rsidRPr="00BA3CDB">
        <w:rPr>
          <w:rFonts w:eastAsiaTheme="minorEastAsia"/>
          <w:b/>
          <w:bCs/>
          <w:color w:val="000000" w:themeColor="text1"/>
          <w:sz w:val="20"/>
          <w:szCs w:val="20"/>
          <w:lang w:val="en-US"/>
        </w:rPr>
        <w:t xml:space="preserve">Event study </w:t>
      </w:r>
      <w:r w:rsidR="00BA3CDB">
        <w:rPr>
          <w:rFonts w:eastAsiaTheme="minorEastAsia"/>
          <w:b/>
          <w:bCs/>
          <w:color w:val="000000" w:themeColor="text1"/>
          <w:sz w:val="20"/>
          <w:szCs w:val="20"/>
          <w:lang w:val="en-US"/>
        </w:rPr>
        <w:t>–</w:t>
      </w:r>
      <w:r w:rsidR="00BA3CDB" w:rsidRPr="00BA3CDB">
        <w:rPr>
          <w:rFonts w:eastAsiaTheme="minorEastAsia"/>
          <w:b/>
          <w:bCs/>
          <w:color w:val="000000" w:themeColor="text1"/>
          <w:sz w:val="20"/>
          <w:szCs w:val="20"/>
          <w:lang w:val="en-US"/>
        </w:rPr>
        <w:t xml:space="preserve"> </w:t>
      </w:r>
      <w:r w:rsidR="00BA3CDB">
        <w:rPr>
          <w:rFonts w:eastAsiaTheme="minorEastAsia"/>
          <w:b/>
          <w:bCs/>
          <w:color w:val="000000" w:themeColor="text1"/>
          <w:sz w:val="20"/>
          <w:szCs w:val="20"/>
          <w:lang w:val="en-US"/>
        </w:rPr>
        <w:t>Total outlays.</w:t>
      </w:r>
      <w:r w:rsidRPr="009F74FB">
        <w:rPr>
          <w:rFonts w:eastAsiaTheme="minorEastAsia"/>
          <w:b/>
          <w:bCs/>
          <w:color w:val="000000" w:themeColor="text1"/>
          <w:sz w:val="20"/>
          <w:szCs w:val="20"/>
          <w:lang w:val="en-US"/>
        </w:rPr>
        <w:t xml:space="preserve">          </w:t>
      </w:r>
    </w:p>
    <w:p w14:paraId="7C751C89" w14:textId="77777777" w:rsidR="009F74FB" w:rsidRPr="009F74FB" w:rsidRDefault="009F74FB" w:rsidP="009F74FB">
      <w:pPr>
        <w:spacing w:after="0" w:line="360" w:lineRule="auto"/>
        <w:ind w:firstLine="567"/>
        <w:rPr>
          <w:rFonts w:eastAsiaTheme="minorEastAsia"/>
          <w:b/>
          <w:bCs/>
          <w:color w:val="000000" w:themeColor="text1"/>
          <w:sz w:val="20"/>
          <w:szCs w:val="20"/>
        </w:rPr>
      </w:pPr>
      <w:r w:rsidRPr="009F74FB">
        <w:rPr>
          <w:noProof/>
        </w:rPr>
        <w:drawing>
          <wp:inline distT="0" distB="0" distL="0" distR="0" wp14:anchorId="7E5FCF93" wp14:editId="1F6642C4">
            <wp:extent cx="5900468" cy="341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299" t="14832" r="3408" b="4355"/>
                    <a:stretch/>
                  </pic:blipFill>
                  <pic:spPr bwMode="auto">
                    <a:xfrm>
                      <a:off x="0" y="0"/>
                      <a:ext cx="5913593" cy="3423263"/>
                    </a:xfrm>
                    <a:prstGeom prst="rect">
                      <a:avLst/>
                    </a:prstGeom>
                    <a:noFill/>
                    <a:ln>
                      <a:noFill/>
                    </a:ln>
                    <a:extLst>
                      <a:ext uri="{53640926-AAD7-44D8-BBD7-CCE9431645EC}">
                        <a14:shadowObscured xmlns:a14="http://schemas.microsoft.com/office/drawing/2010/main"/>
                      </a:ext>
                    </a:extLst>
                  </pic:spPr>
                </pic:pic>
              </a:graphicData>
            </a:graphic>
          </wp:inline>
        </w:drawing>
      </w:r>
    </w:p>
    <w:p w14:paraId="33D4BB8A" w14:textId="77777777" w:rsidR="009F74FB" w:rsidRPr="009F74FB" w:rsidRDefault="009F74FB" w:rsidP="009F74FB">
      <w:pPr>
        <w:spacing w:after="0" w:line="360" w:lineRule="auto"/>
        <w:ind w:firstLine="567"/>
        <w:rPr>
          <w:rFonts w:eastAsiaTheme="minorEastAsia"/>
          <w:b/>
          <w:bCs/>
          <w:color w:val="000000" w:themeColor="text1"/>
          <w:sz w:val="20"/>
          <w:szCs w:val="20"/>
        </w:rPr>
      </w:pPr>
    </w:p>
    <w:p w14:paraId="032B7C12" w14:textId="77777777" w:rsidR="009F74FB" w:rsidRPr="009F74FB" w:rsidRDefault="009F74FB" w:rsidP="009F74FB">
      <w:pPr>
        <w:spacing w:after="0" w:line="360" w:lineRule="auto"/>
        <w:ind w:firstLine="567"/>
        <w:rPr>
          <w:rFonts w:eastAsiaTheme="minorEastAsia"/>
          <w:b/>
          <w:bCs/>
          <w:color w:val="000000" w:themeColor="text1"/>
          <w:sz w:val="20"/>
          <w:szCs w:val="20"/>
        </w:rPr>
      </w:pPr>
    </w:p>
    <w:p w14:paraId="332075C2" w14:textId="1DB9176B" w:rsidR="00DE57D7" w:rsidRDefault="009F74FB" w:rsidP="00521889">
      <w:pPr>
        <w:spacing w:after="0" w:line="360" w:lineRule="auto"/>
        <w:ind w:left="709" w:firstLine="567"/>
        <w:jc w:val="both"/>
        <w:rPr>
          <w:rFonts w:eastAsiaTheme="minorEastAsia"/>
          <w:b/>
          <w:bCs/>
          <w:color w:val="000000" w:themeColor="text1"/>
          <w:sz w:val="20"/>
          <w:szCs w:val="20"/>
        </w:rPr>
      </w:pPr>
      <w:r w:rsidRPr="009F74FB">
        <w:rPr>
          <w:rFonts w:eastAsiaTheme="minorEastAsia"/>
          <w:b/>
          <w:bCs/>
          <w:color w:val="000000" w:themeColor="text1"/>
          <w:sz w:val="20"/>
          <w:szCs w:val="20"/>
        </w:rPr>
        <w:t xml:space="preserve"> </w:t>
      </w:r>
    </w:p>
    <w:p w14:paraId="36437756" w14:textId="4E6A2E4F"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b/>
          <w:bCs/>
          <w:color w:val="000000" w:themeColor="text1"/>
          <w:sz w:val="20"/>
          <w:szCs w:val="20"/>
          <w:lang w:val="en-US"/>
        </w:rPr>
        <w:t xml:space="preserve"> </w:t>
      </w:r>
      <w:r w:rsidR="00DE57D7" w:rsidRPr="00BA3CDB">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5 – </w:t>
      </w:r>
      <w:r w:rsidR="00BA3CDB" w:rsidRPr="00BA3CDB">
        <w:rPr>
          <w:rFonts w:eastAsiaTheme="minorEastAsia"/>
          <w:b/>
          <w:bCs/>
          <w:color w:val="000000" w:themeColor="text1"/>
          <w:sz w:val="20"/>
          <w:szCs w:val="20"/>
          <w:lang w:val="en-US"/>
        </w:rPr>
        <w:t xml:space="preserve">Event study </w:t>
      </w:r>
      <w:r w:rsidR="00BA3CDB">
        <w:rPr>
          <w:rFonts w:eastAsiaTheme="minorEastAsia"/>
          <w:b/>
          <w:bCs/>
          <w:color w:val="000000" w:themeColor="text1"/>
          <w:sz w:val="20"/>
          <w:szCs w:val="20"/>
          <w:lang w:val="en-US"/>
        </w:rPr>
        <w:t>–</w:t>
      </w:r>
      <w:r w:rsidR="00BA3CDB" w:rsidRPr="00BA3CDB">
        <w:rPr>
          <w:rFonts w:eastAsiaTheme="minorEastAsia"/>
          <w:b/>
          <w:bCs/>
          <w:color w:val="000000" w:themeColor="text1"/>
          <w:sz w:val="20"/>
          <w:szCs w:val="20"/>
          <w:lang w:val="en-US"/>
        </w:rPr>
        <w:t xml:space="preserve"> Current </w:t>
      </w:r>
      <w:r w:rsidR="00BA3CDB">
        <w:rPr>
          <w:rFonts w:eastAsiaTheme="minorEastAsia"/>
          <w:b/>
          <w:bCs/>
          <w:color w:val="000000" w:themeColor="text1"/>
          <w:sz w:val="20"/>
          <w:szCs w:val="20"/>
          <w:lang w:val="en-US"/>
        </w:rPr>
        <w:t>Outlays</w:t>
      </w:r>
    </w:p>
    <w:p w14:paraId="5545EBF2" w14:textId="77777777" w:rsidR="009F74FB" w:rsidRPr="009F74FB" w:rsidRDefault="009F74FB" w:rsidP="009F74FB">
      <w:pPr>
        <w:spacing w:after="0" w:line="360" w:lineRule="auto"/>
        <w:ind w:firstLine="567"/>
        <w:jc w:val="both"/>
        <w:rPr>
          <w:rFonts w:ascii="Times New Roman" w:hAnsi="Times New Roman" w:cs="Times New Roman"/>
          <w:b/>
          <w:bCs/>
          <w:color w:val="000000" w:themeColor="text1"/>
          <w:sz w:val="24"/>
          <w:szCs w:val="24"/>
        </w:rPr>
      </w:pPr>
      <w:r w:rsidRPr="009F74FB">
        <w:rPr>
          <w:noProof/>
        </w:rPr>
        <w:drawing>
          <wp:inline distT="0" distB="0" distL="0" distR="0" wp14:anchorId="10391AF4" wp14:editId="104F3966">
            <wp:extent cx="5873717" cy="36576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t="13916" r="3258" b="3770"/>
                    <a:stretch/>
                  </pic:blipFill>
                  <pic:spPr bwMode="auto">
                    <a:xfrm>
                      <a:off x="0" y="0"/>
                      <a:ext cx="5881616" cy="3662519"/>
                    </a:xfrm>
                    <a:prstGeom prst="rect">
                      <a:avLst/>
                    </a:prstGeom>
                    <a:noFill/>
                    <a:ln>
                      <a:noFill/>
                    </a:ln>
                    <a:extLst>
                      <a:ext uri="{53640926-AAD7-44D8-BBD7-CCE9431645EC}">
                        <a14:shadowObscured xmlns:a14="http://schemas.microsoft.com/office/drawing/2010/main"/>
                      </a:ext>
                    </a:extLst>
                  </pic:spPr>
                </pic:pic>
              </a:graphicData>
            </a:graphic>
          </wp:inline>
        </w:drawing>
      </w:r>
    </w:p>
    <w:p w14:paraId="76797B40" w14:textId="77777777" w:rsidR="009F74FB" w:rsidRPr="009F74FB" w:rsidRDefault="009F74FB" w:rsidP="009F74FB">
      <w:pPr>
        <w:spacing w:after="0" w:line="360" w:lineRule="auto"/>
        <w:ind w:left="709" w:firstLine="567"/>
        <w:jc w:val="both"/>
        <w:rPr>
          <w:noProof/>
          <w:lang w:val="en-US"/>
        </w:rPr>
      </w:pPr>
    </w:p>
    <w:p w14:paraId="47D0B7BF" w14:textId="77777777" w:rsidR="009F74FB" w:rsidRPr="009F74FB" w:rsidRDefault="009F74FB" w:rsidP="00E75F5D">
      <w:pPr>
        <w:spacing w:after="0" w:line="360" w:lineRule="auto"/>
        <w:jc w:val="both"/>
        <w:rPr>
          <w:noProof/>
          <w:lang w:val="en-US"/>
        </w:rPr>
      </w:pPr>
    </w:p>
    <w:p w14:paraId="2350CFAB" w14:textId="77777777" w:rsidR="009F74FB" w:rsidRPr="009F74FB" w:rsidRDefault="009F74FB" w:rsidP="009F74FB">
      <w:pPr>
        <w:spacing w:after="0" w:line="360" w:lineRule="auto"/>
        <w:ind w:left="709" w:firstLine="567"/>
        <w:jc w:val="both"/>
        <w:rPr>
          <w:rFonts w:ascii="Times New Roman" w:hAnsi="Times New Roman" w:cs="Times New Roman"/>
          <w:b/>
          <w:bCs/>
          <w:color w:val="000000" w:themeColor="text1"/>
          <w:sz w:val="24"/>
          <w:szCs w:val="24"/>
        </w:rPr>
      </w:pPr>
    </w:p>
    <w:p w14:paraId="6E3B95F4" w14:textId="2ABBFCAB"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color w:val="000000" w:themeColor="text1"/>
          <w:sz w:val="20"/>
          <w:szCs w:val="20"/>
          <w:lang w:val="en-US"/>
        </w:rPr>
        <w:t xml:space="preserve">                   </w:t>
      </w:r>
      <w:r w:rsidR="00DE57D7" w:rsidRPr="00AB340F">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6 – </w:t>
      </w:r>
      <w:r w:rsidR="00AB340F" w:rsidRPr="00BA3CDB">
        <w:rPr>
          <w:rFonts w:eastAsiaTheme="minorEastAsia"/>
          <w:b/>
          <w:bCs/>
          <w:color w:val="000000" w:themeColor="text1"/>
          <w:sz w:val="20"/>
          <w:szCs w:val="20"/>
          <w:lang w:val="en-US"/>
        </w:rPr>
        <w:t>Event study</w:t>
      </w:r>
      <w:r w:rsidR="00AB340F" w:rsidRPr="00AB340F">
        <w:rPr>
          <w:rFonts w:eastAsiaTheme="minorEastAsia"/>
          <w:b/>
          <w:bCs/>
          <w:color w:val="000000" w:themeColor="text1"/>
          <w:sz w:val="20"/>
          <w:szCs w:val="20"/>
          <w:lang w:val="en-US"/>
        </w:rPr>
        <w:t xml:space="preserve"> –</w:t>
      </w:r>
      <w:r w:rsidR="00E65A6F">
        <w:rPr>
          <w:rFonts w:eastAsiaTheme="minorEastAsia"/>
          <w:b/>
          <w:bCs/>
          <w:color w:val="000000" w:themeColor="text1"/>
          <w:sz w:val="20"/>
          <w:szCs w:val="20"/>
          <w:lang w:val="en-US"/>
        </w:rPr>
        <w:t xml:space="preserve"> </w:t>
      </w:r>
      <w:r w:rsidR="00AB340F">
        <w:rPr>
          <w:rFonts w:eastAsiaTheme="minorEastAsia"/>
          <w:b/>
          <w:bCs/>
          <w:color w:val="000000" w:themeColor="text1"/>
          <w:sz w:val="20"/>
          <w:szCs w:val="20"/>
          <w:lang w:val="en-US"/>
        </w:rPr>
        <w:t>Interest</w:t>
      </w:r>
    </w:p>
    <w:p w14:paraId="7EF4B2BD" w14:textId="77777777" w:rsidR="009F74FB" w:rsidRPr="009F74FB" w:rsidRDefault="009F74FB" w:rsidP="009F74FB">
      <w:pPr>
        <w:spacing w:after="0" w:line="360" w:lineRule="auto"/>
        <w:jc w:val="both"/>
        <w:rPr>
          <w:rFonts w:eastAsiaTheme="minorEastAsia"/>
          <w:color w:val="000000" w:themeColor="text1"/>
          <w:sz w:val="20"/>
          <w:szCs w:val="20"/>
        </w:rPr>
      </w:pPr>
      <w:r w:rsidRPr="009F74FB">
        <w:rPr>
          <w:noProof/>
        </w:rPr>
        <w:drawing>
          <wp:inline distT="0" distB="0" distL="0" distR="0" wp14:anchorId="1A7D6763" wp14:editId="35423204">
            <wp:extent cx="6383380" cy="326898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t="14509" r="2971" b="3474"/>
                    <a:stretch/>
                  </pic:blipFill>
                  <pic:spPr bwMode="auto">
                    <a:xfrm>
                      <a:off x="0" y="0"/>
                      <a:ext cx="6387135" cy="3270903"/>
                    </a:xfrm>
                    <a:prstGeom prst="rect">
                      <a:avLst/>
                    </a:prstGeom>
                    <a:noFill/>
                    <a:ln>
                      <a:noFill/>
                    </a:ln>
                    <a:extLst>
                      <a:ext uri="{53640926-AAD7-44D8-BBD7-CCE9431645EC}">
                        <a14:shadowObscured xmlns:a14="http://schemas.microsoft.com/office/drawing/2010/main"/>
                      </a:ext>
                    </a:extLst>
                  </pic:spPr>
                </pic:pic>
              </a:graphicData>
            </a:graphic>
          </wp:inline>
        </w:drawing>
      </w:r>
    </w:p>
    <w:p w14:paraId="0C79FBAB" w14:textId="77777777" w:rsidR="009F74FB" w:rsidRPr="009F74FB" w:rsidRDefault="009F74FB" w:rsidP="009F74FB">
      <w:pPr>
        <w:spacing w:after="0" w:line="360" w:lineRule="auto"/>
        <w:ind w:left="709" w:firstLine="567"/>
        <w:jc w:val="both"/>
        <w:rPr>
          <w:rFonts w:eastAsiaTheme="minorEastAsia"/>
          <w:color w:val="000000" w:themeColor="text1"/>
          <w:sz w:val="20"/>
          <w:szCs w:val="20"/>
        </w:rPr>
      </w:pPr>
    </w:p>
    <w:p w14:paraId="1E904A0A" w14:textId="77777777" w:rsidR="00DE57D7" w:rsidRDefault="009F74FB" w:rsidP="009F74FB">
      <w:pPr>
        <w:spacing w:after="0" w:line="360" w:lineRule="auto"/>
        <w:ind w:left="709" w:firstLine="567"/>
        <w:jc w:val="both"/>
        <w:rPr>
          <w:rFonts w:eastAsiaTheme="minorEastAsia"/>
          <w:color w:val="000000" w:themeColor="text1"/>
          <w:sz w:val="20"/>
          <w:szCs w:val="20"/>
        </w:rPr>
      </w:pPr>
      <w:r w:rsidRPr="009F74FB">
        <w:rPr>
          <w:rFonts w:eastAsiaTheme="minorEastAsia"/>
          <w:color w:val="000000" w:themeColor="text1"/>
          <w:sz w:val="20"/>
          <w:szCs w:val="20"/>
        </w:rPr>
        <w:t xml:space="preserve">                         </w:t>
      </w:r>
    </w:p>
    <w:p w14:paraId="47C5D8B0" w14:textId="77777777" w:rsidR="00DE57D7" w:rsidRDefault="00DE57D7" w:rsidP="009F74FB">
      <w:pPr>
        <w:spacing w:after="0" w:line="360" w:lineRule="auto"/>
        <w:ind w:left="709" w:firstLine="567"/>
        <w:jc w:val="both"/>
        <w:rPr>
          <w:rFonts w:eastAsiaTheme="minorEastAsia"/>
          <w:color w:val="000000" w:themeColor="text1"/>
          <w:sz w:val="20"/>
          <w:szCs w:val="20"/>
        </w:rPr>
      </w:pPr>
    </w:p>
    <w:p w14:paraId="3EB87E1A" w14:textId="08D8FCAC"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color w:val="000000" w:themeColor="text1"/>
          <w:sz w:val="20"/>
          <w:szCs w:val="20"/>
          <w:lang w:val="en-US"/>
        </w:rPr>
        <w:t xml:space="preserve">   </w:t>
      </w:r>
      <w:r w:rsidR="00DE57D7" w:rsidRPr="00AB340F">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7– </w:t>
      </w:r>
      <w:r w:rsidR="00AB340F" w:rsidRPr="00AB340F">
        <w:rPr>
          <w:rFonts w:eastAsiaTheme="minorEastAsia"/>
          <w:b/>
          <w:bCs/>
          <w:color w:val="000000" w:themeColor="text1"/>
          <w:sz w:val="20"/>
          <w:szCs w:val="20"/>
          <w:lang w:val="en-US"/>
        </w:rPr>
        <w:t>Event study –P</w:t>
      </w:r>
      <w:r w:rsidR="00AB340F">
        <w:rPr>
          <w:rFonts w:eastAsiaTheme="minorEastAsia"/>
          <w:b/>
          <w:bCs/>
          <w:color w:val="000000" w:themeColor="text1"/>
          <w:sz w:val="20"/>
          <w:szCs w:val="20"/>
          <w:lang w:val="en-US"/>
        </w:rPr>
        <w:t>ersonell</w:t>
      </w:r>
    </w:p>
    <w:p w14:paraId="46CA8103"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477F077F" wp14:editId="0E4540B7">
            <wp:extent cx="5822315" cy="3890513"/>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a:extLst>
                        <a:ext uri="{28A0092B-C50C-407E-A947-70E740481C1C}">
                          <a14:useLocalDpi xmlns:a14="http://schemas.microsoft.com/office/drawing/2010/main" val="0"/>
                        </a:ext>
                      </a:extLst>
                    </a:blip>
                    <a:srcRect t="14508" r="2971" b="2882"/>
                    <a:stretch/>
                  </pic:blipFill>
                  <pic:spPr bwMode="auto">
                    <a:xfrm>
                      <a:off x="0" y="0"/>
                      <a:ext cx="5825668" cy="3892753"/>
                    </a:xfrm>
                    <a:prstGeom prst="rect">
                      <a:avLst/>
                    </a:prstGeom>
                    <a:noFill/>
                    <a:ln>
                      <a:noFill/>
                    </a:ln>
                    <a:extLst>
                      <a:ext uri="{53640926-AAD7-44D8-BBD7-CCE9431645EC}">
                        <a14:shadowObscured xmlns:a14="http://schemas.microsoft.com/office/drawing/2010/main"/>
                      </a:ext>
                    </a:extLst>
                  </pic:spPr>
                </pic:pic>
              </a:graphicData>
            </a:graphic>
          </wp:inline>
        </w:drawing>
      </w:r>
    </w:p>
    <w:p w14:paraId="7B700277" w14:textId="77777777" w:rsidR="009F74FB" w:rsidRPr="009F74FB" w:rsidRDefault="009F74FB" w:rsidP="009F74FB">
      <w:pPr>
        <w:spacing w:after="0" w:line="360" w:lineRule="auto"/>
        <w:ind w:left="1276" w:firstLine="567"/>
        <w:jc w:val="both"/>
        <w:rPr>
          <w:rFonts w:ascii="Times New Roman" w:hAnsi="Times New Roman" w:cs="Times New Roman"/>
          <w:color w:val="000000" w:themeColor="text1"/>
          <w:sz w:val="24"/>
          <w:szCs w:val="24"/>
        </w:rPr>
      </w:pPr>
    </w:p>
    <w:p w14:paraId="131B8A44" w14:textId="60C4243C" w:rsidR="009F74FB" w:rsidRDefault="009F74FB" w:rsidP="009F74FB">
      <w:pPr>
        <w:spacing w:after="0" w:line="360" w:lineRule="auto"/>
        <w:jc w:val="both"/>
        <w:rPr>
          <w:rFonts w:ascii="Times New Roman" w:hAnsi="Times New Roman" w:cs="Times New Roman"/>
          <w:color w:val="000000" w:themeColor="text1"/>
          <w:sz w:val="24"/>
          <w:szCs w:val="24"/>
        </w:rPr>
      </w:pPr>
    </w:p>
    <w:p w14:paraId="5FAEECC2" w14:textId="77777777" w:rsidR="00521889" w:rsidRPr="009F74FB" w:rsidRDefault="00521889" w:rsidP="009F74FB">
      <w:pPr>
        <w:spacing w:after="0" w:line="360" w:lineRule="auto"/>
        <w:jc w:val="both"/>
        <w:rPr>
          <w:rFonts w:ascii="Times New Roman" w:hAnsi="Times New Roman" w:cs="Times New Roman"/>
          <w:color w:val="000000" w:themeColor="text1"/>
          <w:sz w:val="24"/>
          <w:szCs w:val="24"/>
        </w:rPr>
      </w:pPr>
    </w:p>
    <w:p w14:paraId="22941012" w14:textId="609D6A1D"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color w:val="000000" w:themeColor="text1"/>
          <w:sz w:val="20"/>
          <w:szCs w:val="20"/>
          <w:lang w:val="en-US"/>
        </w:rPr>
        <w:t xml:space="preserve">               </w:t>
      </w:r>
      <w:r w:rsidR="00DE57D7" w:rsidRPr="00AB340F">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8 – </w:t>
      </w:r>
      <w:r w:rsidR="00AB340F" w:rsidRPr="00AB340F">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w:t>
      </w:r>
      <w:r w:rsidR="00AB340F" w:rsidRPr="00AB340F">
        <w:rPr>
          <w:rFonts w:eastAsiaTheme="minorEastAsia"/>
          <w:b/>
          <w:bCs/>
          <w:color w:val="000000" w:themeColor="text1"/>
          <w:sz w:val="20"/>
          <w:szCs w:val="20"/>
          <w:lang w:val="en-US"/>
        </w:rPr>
        <w:t>O</w:t>
      </w:r>
      <w:r w:rsidR="00AB340F">
        <w:rPr>
          <w:rFonts w:eastAsiaTheme="minorEastAsia"/>
          <w:b/>
          <w:bCs/>
          <w:color w:val="000000" w:themeColor="text1"/>
          <w:sz w:val="20"/>
          <w:szCs w:val="20"/>
          <w:lang w:val="en-US"/>
        </w:rPr>
        <w:t>ther Current Expenses</w:t>
      </w:r>
    </w:p>
    <w:p w14:paraId="25395350"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536B17A2" wp14:editId="4B2A6FD9">
            <wp:extent cx="5882640" cy="3588589"/>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a:extLst>
                        <a:ext uri="{28A0092B-C50C-407E-A947-70E740481C1C}">
                          <a14:useLocalDpi xmlns:a14="http://schemas.microsoft.com/office/drawing/2010/main" val="0"/>
                        </a:ext>
                      </a:extLst>
                    </a:blip>
                    <a:srcRect t="13916" r="2971" b="3178"/>
                    <a:stretch/>
                  </pic:blipFill>
                  <pic:spPr bwMode="auto">
                    <a:xfrm>
                      <a:off x="0" y="0"/>
                      <a:ext cx="5889371" cy="3592695"/>
                    </a:xfrm>
                    <a:prstGeom prst="rect">
                      <a:avLst/>
                    </a:prstGeom>
                    <a:noFill/>
                    <a:ln>
                      <a:noFill/>
                    </a:ln>
                    <a:extLst>
                      <a:ext uri="{53640926-AAD7-44D8-BBD7-CCE9431645EC}">
                        <a14:shadowObscured xmlns:a14="http://schemas.microsoft.com/office/drawing/2010/main"/>
                      </a:ext>
                    </a:extLst>
                  </pic:spPr>
                </pic:pic>
              </a:graphicData>
            </a:graphic>
          </wp:inline>
        </w:drawing>
      </w:r>
    </w:p>
    <w:p w14:paraId="233DF690" w14:textId="77777777" w:rsidR="009F74FB" w:rsidRPr="009F74FB" w:rsidRDefault="009F74FB" w:rsidP="009F74FB">
      <w:pPr>
        <w:spacing w:after="0" w:line="360" w:lineRule="auto"/>
        <w:jc w:val="both"/>
        <w:rPr>
          <w:rFonts w:eastAsiaTheme="minorEastAsia"/>
          <w:color w:val="000000" w:themeColor="text1"/>
          <w:sz w:val="20"/>
          <w:szCs w:val="20"/>
        </w:rPr>
      </w:pPr>
    </w:p>
    <w:p w14:paraId="1B28A544" w14:textId="77777777" w:rsidR="009F74FB" w:rsidRPr="009F74FB" w:rsidRDefault="009F74FB" w:rsidP="009F74FB">
      <w:pPr>
        <w:spacing w:after="0" w:line="360" w:lineRule="auto"/>
        <w:jc w:val="both"/>
        <w:rPr>
          <w:rFonts w:eastAsiaTheme="minorEastAsia"/>
          <w:color w:val="000000" w:themeColor="text1"/>
          <w:sz w:val="20"/>
          <w:szCs w:val="20"/>
        </w:rPr>
      </w:pPr>
    </w:p>
    <w:p w14:paraId="0158E8F7" w14:textId="2B15C535"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color w:val="000000" w:themeColor="text1"/>
          <w:sz w:val="20"/>
          <w:szCs w:val="20"/>
          <w:lang w:val="en-US"/>
        </w:rPr>
        <w:t xml:space="preserve">                </w:t>
      </w:r>
      <w:bookmarkStart w:id="7" w:name="_Hlk86408215"/>
      <w:r w:rsidR="00DE57D7" w:rsidRPr="00AB340F">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9 - </w:t>
      </w:r>
      <w:r w:rsidR="00AB340F" w:rsidRPr="00AB340F">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w:t>
      </w:r>
      <w:r w:rsidR="00AB340F" w:rsidRPr="00AB340F">
        <w:rPr>
          <w:rFonts w:eastAsiaTheme="minorEastAsia"/>
          <w:b/>
          <w:bCs/>
          <w:color w:val="000000" w:themeColor="text1"/>
          <w:sz w:val="20"/>
          <w:szCs w:val="20"/>
          <w:lang w:val="en-US"/>
        </w:rPr>
        <w:t>C</w:t>
      </w:r>
      <w:r w:rsidR="00AB340F">
        <w:rPr>
          <w:rFonts w:eastAsiaTheme="minorEastAsia"/>
          <w:b/>
          <w:bCs/>
          <w:color w:val="000000" w:themeColor="text1"/>
          <w:sz w:val="20"/>
          <w:szCs w:val="20"/>
          <w:lang w:val="en-US"/>
        </w:rPr>
        <w:t>onsumption of Materials</w:t>
      </w:r>
    </w:p>
    <w:p w14:paraId="4AEDF53E"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31D30E37" wp14:editId="431796D0">
            <wp:extent cx="5865962" cy="344805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6">
                      <a:extLst>
                        <a:ext uri="{28A0092B-C50C-407E-A947-70E740481C1C}">
                          <a14:useLocalDpi xmlns:a14="http://schemas.microsoft.com/office/drawing/2010/main" val="0"/>
                        </a:ext>
                      </a:extLst>
                    </a:blip>
                    <a:srcRect t="14508" r="3114" b="2882"/>
                    <a:stretch/>
                  </pic:blipFill>
                  <pic:spPr bwMode="auto">
                    <a:xfrm>
                      <a:off x="0" y="0"/>
                      <a:ext cx="5869232" cy="3449972"/>
                    </a:xfrm>
                    <a:prstGeom prst="rect">
                      <a:avLst/>
                    </a:prstGeom>
                    <a:noFill/>
                    <a:ln>
                      <a:noFill/>
                    </a:ln>
                    <a:extLst>
                      <a:ext uri="{53640926-AAD7-44D8-BBD7-CCE9431645EC}">
                        <a14:shadowObscured xmlns:a14="http://schemas.microsoft.com/office/drawing/2010/main"/>
                      </a:ext>
                    </a:extLst>
                  </pic:spPr>
                </pic:pic>
              </a:graphicData>
            </a:graphic>
          </wp:inline>
        </w:drawing>
      </w:r>
    </w:p>
    <w:bookmarkEnd w:id="7"/>
    <w:p w14:paraId="5BF5C0E1" w14:textId="013243FB" w:rsidR="009F74FB" w:rsidRPr="002F51B5" w:rsidRDefault="009F74FB" w:rsidP="00BE3117">
      <w:pPr>
        <w:spacing w:after="0" w:line="360" w:lineRule="auto"/>
        <w:jc w:val="both"/>
        <w:rPr>
          <w:rFonts w:eastAsiaTheme="minorEastAsia"/>
          <w:color w:val="000000" w:themeColor="text1"/>
          <w:sz w:val="20"/>
          <w:szCs w:val="20"/>
          <w:lang w:val="en-US"/>
        </w:rPr>
      </w:pPr>
    </w:p>
    <w:p w14:paraId="7DF56129" w14:textId="77777777" w:rsidR="009F74FB" w:rsidRPr="002F51B5" w:rsidRDefault="009F74FB" w:rsidP="009F74FB">
      <w:pPr>
        <w:spacing w:after="0" w:line="360" w:lineRule="auto"/>
        <w:ind w:left="709" w:firstLine="567"/>
        <w:jc w:val="both"/>
        <w:rPr>
          <w:rFonts w:eastAsiaTheme="minorEastAsia"/>
          <w:color w:val="000000" w:themeColor="text1"/>
          <w:sz w:val="20"/>
          <w:szCs w:val="20"/>
          <w:lang w:val="en-US"/>
        </w:rPr>
      </w:pPr>
    </w:p>
    <w:p w14:paraId="499D518A" w14:textId="3CC647E1"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color w:val="000000" w:themeColor="text1"/>
          <w:sz w:val="20"/>
          <w:szCs w:val="20"/>
          <w:lang w:val="en-US"/>
        </w:rPr>
        <w:t xml:space="preserve">             </w:t>
      </w:r>
      <w:r w:rsidR="00BE3117">
        <w:rPr>
          <w:rFonts w:eastAsiaTheme="minorEastAsia"/>
          <w:color w:val="000000" w:themeColor="text1"/>
          <w:sz w:val="20"/>
          <w:szCs w:val="20"/>
          <w:lang w:val="en-US"/>
        </w:rPr>
        <w:t xml:space="preserve"> </w:t>
      </w:r>
      <w:r w:rsidRPr="009F74FB">
        <w:rPr>
          <w:rFonts w:eastAsiaTheme="minorEastAsia"/>
          <w:color w:val="000000" w:themeColor="text1"/>
          <w:sz w:val="20"/>
          <w:szCs w:val="20"/>
          <w:lang w:val="en-US"/>
        </w:rPr>
        <w:t xml:space="preserve"> </w:t>
      </w:r>
      <w:r w:rsidR="00DE57D7" w:rsidRPr="00F752D3">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10 - </w:t>
      </w:r>
      <w:r w:rsidR="00F752D3" w:rsidRPr="00F752D3">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w:t>
      </w:r>
      <w:r w:rsidR="00F752D3" w:rsidRPr="00F752D3">
        <w:rPr>
          <w:rFonts w:eastAsiaTheme="minorEastAsia"/>
          <w:b/>
          <w:bCs/>
          <w:color w:val="000000" w:themeColor="text1"/>
          <w:sz w:val="20"/>
          <w:szCs w:val="20"/>
          <w:lang w:val="en-US"/>
        </w:rPr>
        <w:t>F</w:t>
      </w:r>
      <w:r w:rsidR="00F752D3">
        <w:rPr>
          <w:rFonts w:eastAsiaTheme="minorEastAsia"/>
          <w:b/>
          <w:bCs/>
          <w:color w:val="000000" w:themeColor="text1"/>
          <w:sz w:val="20"/>
          <w:szCs w:val="20"/>
          <w:lang w:val="en-US"/>
        </w:rPr>
        <w:t>reely Distributed Materials.</w:t>
      </w:r>
    </w:p>
    <w:p w14:paraId="334DE77C"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755162B3" wp14:editId="29F6D51A">
            <wp:extent cx="5848709" cy="3619181"/>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7">
                      <a:extLst>
                        <a:ext uri="{28A0092B-C50C-407E-A947-70E740481C1C}">
                          <a14:useLocalDpi xmlns:a14="http://schemas.microsoft.com/office/drawing/2010/main" val="0"/>
                        </a:ext>
                      </a:extLst>
                    </a:blip>
                    <a:srcRect t="13324" r="2828" b="2882"/>
                    <a:stretch/>
                  </pic:blipFill>
                  <pic:spPr bwMode="auto">
                    <a:xfrm>
                      <a:off x="0" y="0"/>
                      <a:ext cx="5851830" cy="3621112"/>
                    </a:xfrm>
                    <a:prstGeom prst="rect">
                      <a:avLst/>
                    </a:prstGeom>
                    <a:noFill/>
                    <a:ln>
                      <a:noFill/>
                    </a:ln>
                    <a:extLst>
                      <a:ext uri="{53640926-AAD7-44D8-BBD7-CCE9431645EC}">
                        <a14:shadowObscured xmlns:a14="http://schemas.microsoft.com/office/drawing/2010/main"/>
                      </a:ext>
                    </a:extLst>
                  </pic:spPr>
                </pic:pic>
              </a:graphicData>
            </a:graphic>
          </wp:inline>
        </w:drawing>
      </w:r>
    </w:p>
    <w:p w14:paraId="4EB65D68" w14:textId="77777777" w:rsidR="009F74FB" w:rsidRPr="009F74FB" w:rsidRDefault="009F74FB" w:rsidP="009F74FB">
      <w:pPr>
        <w:spacing w:after="0" w:line="360" w:lineRule="auto"/>
        <w:jc w:val="both"/>
        <w:rPr>
          <w:rFonts w:eastAsiaTheme="minorEastAsia"/>
          <w:b/>
          <w:bCs/>
          <w:color w:val="000000" w:themeColor="text1"/>
          <w:sz w:val="20"/>
          <w:szCs w:val="20"/>
        </w:rPr>
      </w:pPr>
    </w:p>
    <w:p w14:paraId="452A450F" w14:textId="77777777" w:rsidR="009F74FB" w:rsidRPr="009F74FB" w:rsidRDefault="009F74FB" w:rsidP="009F74FB">
      <w:pPr>
        <w:spacing w:after="0" w:line="360" w:lineRule="auto"/>
        <w:jc w:val="both"/>
        <w:rPr>
          <w:rFonts w:eastAsiaTheme="minorEastAsia"/>
          <w:b/>
          <w:bCs/>
          <w:color w:val="000000" w:themeColor="text1"/>
          <w:sz w:val="20"/>
          <w:szCs w:val="20"/>
        </w:rPr>
      </w:pPr>
    </w:p>
    <w:p w14:paraId="01A827F8" w14:textId="589E139B"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b/>
          <w:bCs/>
          <w:color w:val="000000" w:themeColor="text1"/>
          <w:sz w:val="20"/>
          <w:szCs w:val="20"/>
          <w:lang w:val="en-US"/>
        </w:rPr>
        <w:t xml:space="preserve">               </w:t>
      </w:r>
      <w:r w:rsidR="00DE57D7" w:rsidRPr="00EB4165">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11 - </w:t>
      </w:r>
      <w:r w:rsidR="00BE5D7D" w:rsidRPr="00EB4165">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w:t>
      </w:r>
      <w:r w:rsidR="00EB4165" w:rsidRPr="00EB4165">
        <w:rPr>
          <w:rFonts w:eastAsiaTheme="minorEastAsia"/>
          <w:b/>
          <w:bCs/>
          <w:color w:val="000000" w:themeColor="text1"/>
          <w:sz w:val="20"/>
          <w:szCs w:val="20"/>
          <w:lang w:val="en-US"/>
        </w:rPr>
        <w:t>O</w:t>
      </w:r>
      <w:r w:rsidR="00EB4165">
        <w:rPr>
          <w:rFonts w:eastAsiaTheme="minorEastAsia"/>
          <w:b/>
          <w:bCs/>
          <w:color w:val="000000" w:themeColor="text1"/>
          <w:sz w:val="20"/>
          <w:szCs w:val="20"/>
          <w:lang w:val="en-US"/>
        </w:rPr>
        <w:t>utsourced Services to Legal Entities</w:t>
      </w:r>
    </w:p>
    <w:p w14:paraId="2B120E91"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30D1D12F" wp14:editId="67DF9995">
            <wp:extent cx="5934132" cy="3700732"/>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8">
                      <a:extLst>
                        <a:ext uri="{28A0092B-C50C-407E-A947-70E740481C1C}">
                          <a14:useLocalDpi xmlns:a14="http://schemas.microsoft.com/office/drawing/2010/main" val="0"/>
                        </a:ext>
                      </a:extLst>
                    </a:blip>
                    <a:srcRect t="14805" r="2971"/>
                    <a:stretch/>
                  </pic:blipFill>
                  <pic:spPr bwMode="auto">
                    <a:xfrm>
                      <a:off x="0" y="0"/>
                      <a:ext cx="5940638" cy="3704790"/>
                    </a:xfrm>
                    <a:prstGeom prst="rect">
                      <a:avLst/>
                    </a:prstGeom>
                    <a:noFill/>
                    <a:ln>
                      <a:noFill/>
                    </a:ln>
                    <a:extLst>
                      <a:ext uri="{53640926-AAD7-44D8-BBD7-CCE9431645EC}">
                        <a14:shadowObscured xmlns:a14="http://schemas.microsoft.com/office/drawing/2010/main"/>
                      </a:ext>
                    </a:extLst>
                  </pic:spPr>
                </pic:pic>
              </a:graphicData>
            </a:graphic>
          </wp:inline>
        </w:drawing>
      </w:r>
    </w:p>
    <w:p w14:paraId="6EC5905D" w14:textId="54BDBBF2" w:rsidR="009F74FB" w:rsidRDefault="009F74FB" w:rsidP="009F74FB">
      <w:pPr>
        <w:spacing w:after="0" w:line="360" w:lineRule="auto"/>
        <w:ind w:left="709" w:firstLine="567"/>
        <w:jc w:val="both"/>
        <w:rPr>
          <w:rFonts w:eastAsiaTheme="minorEastAsia"/>
          <w:b/>
          <w:bCs/>
          <w:color w:val="000000" w:themeColor="text1"/>
          <w:sz w:val="20"/>
          <w:szCs w:val="20"/>
        </w:rPr>
      </w:pPr>
    </w:p>
    <w:p w14:paraId="0DE01B38" w14:textId="6980E0D3" w:rsidR="00521889" w:rsidRDefault="00521889" w:rsidP="009F74FB">
      <w:pPr>
        <w:spacing w:after="0" w:line="360" w:lineRule="auto"/>
        <w:ind w:left="709" w:firstLine="567"/>
        <w:jc w:val="both"/>
        <w:rPr>
          <w:rFonts w:eastAsiaTheme="minorEastAsia"/>
          <w:b/>
          <w:bCs/>
          <w:color w:val="000000" w:themeColor="text1"/>
          <w:sz w:val="20"/>
          <w:szCs w:val="20"/>
        </w:rPr>
      </w:pPr>
    </w:p>
    <w:p w14:paraId="103DE24F" w14:textId="77777777" w:rsidR="00521889" w:rsidRPr="009F74FB" w:rsidRDefault="00521889" w:rsidP="009F74FB">
      <w:pPr>
        <w:spacing w:after="0" w:line="360" w:lineRule="auto"/>
        <w:ind w:left="709" w:firstLine="567"/>
        <w:jc w:val="both"/>
        <w:rPr>
          <w:rFonts w:eastAsiaTheme="minorEastAsia"/>
          <w:b/>
          <w:bCs/>
          <w:color w:val="000000" w:themeColor="text1"/>
          <w:sz w:val="20"/>
          <w:szCs w:val="20"/>
        </w:rPr>
      </w:pPr>
    </w:p>
    <w:p w14:paraId="2C403443" w14:textId="49F013F5"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b/>
          <w:bCs/>
          <w:color w:val="000000" w:themeColor="text1"/>
          <w:sz w:val="20"/>
          <w:szCs w:val="20"/>
          <w:lang w:val="en-US"/>
        </w:rPr>
        <w:t xml:space="preserve">                </w:t>
      </w:r>
      <w:r w:rsidR="00DE57D7" w:rsidRPr="004066D5">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12 - </w:t>
      </w:r>
      <w:r w:rsidR="004066D5" w:rsidRPr="004066D5">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w:t>
      </w:r>
      <w:r w:rsidR="004066D5" w:rsidRPr="004066D5">
        <w:rPr>
          <w:rFonts w:eastAsiaTheme="minorEastAsia"/>
          <w:b/>
          <w:bCs/>
          <w:color w:val="000000" w:themeColor="text1"/>
          <w:sz w:val="20"/>
          <w:szCs w:val="20"/>
          <w:lang w:val="en-US"/>
        </w:rPr>
        <w:t>P</w:t>
      </w:r>
      <w:r w:rsidR="004066D5">
        <w:rPr>
          <w:rFonts w:eastAsiaTheme="minorEastAsia"/>
          <w:b/>
          <w:bCs/>
          <w:color w:val="000000" w:themeColor="text1"/>
          <w:sz w:val="20"/>
          <w:szCs w:val="20"/>
          <w:lang w:val="en-US"/>
        </w:rPr>
        <w:t>er diem</w:t>
      </w:r>
    </w:p>
    <w:p w14:paraId="3621C2EF" w14:textId="77777777" w:rsidR="009F74FB" w:rsidRPr="009F74FB" w:rsidRDefault="009F74FB" w:rsidP="009F74FB">
      <w:pPr>
        <w:spacing w:after="0" w:line="360" w:lineRule="auto"/>
        <w:jc w:val="both"/>
        <w:rPr>
          <w:rFonts w:eastAsiaTheme="minorEastAsia"/>
          <w:b/>
          <w:bCs/>
          <w:color w:val="000000" w:themeColor="text1"/>
          <w:sz w:val="20"/>
          <w:szCs w:val="20"/>
        </w:rPr>
      </w:pPr>
      <w:r w:rsidRPr="009F74FB">
        <w:rPr>
          <w:noProof/>
        </w:rPr>
        <w:drawing>
          <wp:inline distT="0" distB="0" distL="0" distR="0" wp14:anchorId="0E2C8820" wp14:editId="09FE82A8">
            <wp:extent cx="6228272" cy="3762375"/>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9">
                      <a:extLst>
                        <a:ext uri="{28A0092B-C50C-407E-A947-70E740481C1C}">
                          <a14:useLocalDpi xmlns:a14="http://schemas.microsoft.com/office/drawing/2010/main" val="0"/>
                        </a:ext>
                      </a:extLst>
                    </a:blip>
                    <a:srcRect t="14508" r="3258" b="3770"/>
                    <a:stretch/>
                  </pic:blipFill>
                  <pic:spPr bwMode="auto">
                    <a:xfrm>
                      <a:off x="0" y="0"/>
                      <a:ext cx="6231450" cy="3764295"/>
                    </a:xfrm>
                    <a:prstGeom prst="rect">
                      <a:avLst/>
                    </a:prstGeom>
                    <a:noFill/>
                    <a:ln>
                      <a:noFill/>
                    </a:ln>
                    <a:extLst>
                      <a:ext uri="{53640926-AAD7-44D8-BBD7-CCE9431645EC}">
                        <a14:shadowObscured xmlns:a14="http://schemas.microsoft.com/office/drawing/2010/main"/>
                      </a:ext>
                    </a:extLst>
                  </pic:spPr>
                </pic:pic>
              </a:graphicData>
            </a:graphic>
          </wp:inline>
        </w:drawing>
      </w:r>
    </w:p>
    <w:p w14:paraId="4840276F" w14:textId="77777777" w:rsidR="009F74FB" w:rsidRPr="009F74FB" w:rsidRDefault="009F74FB" w:rsidP="009F74FB">
      <w:pPr>
        <w:spacing w:after="0" w:line="360" w:lineRule="auto"/>
        <w:ind w:left="709" w:firstLine="567"/>
        <w:jc w:val="both"/>
        <w:rPr>
          <w:rFonts w:eastAsiaTheme="minorEastAsia"/>
          <w:b/>
          <w:bCs/>
          <w:color w:val="000000" w:themeColor="text1"/>
          <w:sz w:val="20"/>
          <w:szCs w:val="20"/>
        </w:rPr>
      </w:pPr>
      <w:r w:rsidRPr="009F74FB">
        <w:rPr>
          <w:rFonts w:eastAsiaTheme="minorEastAsia"/>
          <w:b/>
          <w:bCs/>
          <w:color w:val="000000" w:themeColor="text1"/>
          <w:sz w:val="20"/>
          <w:szCs w:val="20"/>
        </w:rPr>
        <w:t xml:space="preserve">           </w:t>
      </w:r>
    </w:p>
    <w:p w14:paraId="3B409506" w14:textId="1DC04D4B" w:rsidR="008A2E3B" w:rsidRPr="009F74FB" w:rsidRDefault="009F74FB" w:rsidP="00BE3117">
      <w:pPr>
        <w:spacing w:after="0" w:line="360" w:lineRule="auto"/>
        <w:ind w:left="709" w:firstLine="567"/>
        <w:jc w:val="both"/>
        <w:rPr>
          <w:rFonts w:eastAsiaTheme="minorEastAsia"/>
          <w:b/>
          <w:bCs/>
          <w:color w:val="000000" w:themeColor="text1"/>
          <w:sz w:val="20"/>
          <w:szCs w:val="20"/>
        </w:rPr>
      </w:pPr>
      <w:r w:rsidRPr="009F74FB">
        <w:rPr>
          <w:rFonts w:eastAsiaTheme="minorEastAsia"/>
          <w:b/>
          <w:bCs/>
          <w:color w:val="000000" w:themeColor="text1"/>
          <w:sz w:val="20"/>
          <w:szCs w:val="20"/>
        </w:rPr>
        <w:t xml:space="preserve">             </w:t>
      </w:r>
    </w:p>
    <w:p w14:paraId="0846264F" w14:textId="4DFDC332" w:rsidR="009F74FB" w:rsidRPr="009F74FB" w:rsidRDefault="009F74FB" w:rsidP="009F74FB">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b/>
          <w:bCs/>
          <w:color w:val="000000" w:themeColor="text1"/>
          <w:sz w:val="20"/>
          <w:szCs w:val="20"/>
          <w:lang w:val="en-US"/>
        </w:rPr>
        <w:t xml:space="preserve">                          </w:t>
      </w:r>
      <w:r w:rsidR="00DE57D7" w:rsidRPr="004066D5">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13 - </w:t>
      </w:r>
      <w:bookmarkStart w:id="8" w:name="_Hlk93470892"/>
      <w:r w:rsidR="00E65A6F">
        <w:rPr>
          <w:rFonts w:eastAsiaTheme="minorEastAsia"/>
          <w:b/>
          <w:bCs/>
          <w:color w:val="000000" w:themeColor="text1"/>
          <w:sz w:val="20"/>
          <w:szCs w:val="20"/>
          <w:lang w:val="en-US"/>
        </w:rPr>
        <w:t xml:space="preserve"> </w:t>
      </w:r>
      <w:r w:rsidR="004066D5">
        <w:rPr>
          <w:rFonts w:eastAsiaTheme="minorEastAsia"/>
          <w:b/>
          <w:bCs/>
          <w:color w:val="000000" w:themeColor="text1"/>
          <w:sz w:val="20"/>
          <w:szCs w:val="20"/>
          <w:lang w:val="en-US"/>
        </w:rPr>
        <w:t>Capital</w:t>
      </w:r>
      <w:r w:rsidR="004066D5" w:rsidRPr="004066D5">
        <w:rPr>
          <w:rFonts w:eastAsiaTheme="minorEastAsia"/>
          <w:b/>
          <w:bCs/>
          <w:color w:val="000000" w:themeColor="text1"/>
          <w:sz w:val="20"/>
          <w:szCs w:val="20"/>
          <w:lang w:val="en-US"/>
        </w:rPr>
        <w:t xml:space="preserve"> outlays</w:t>
      </w:r>
    </w:p>
    <w:bookmarkEnd w:id="8"/>
    <w:p w14:paraId="06385A6D"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0453CEB9" wp14:editId="129F7F47">
            <wp:extent cx="5969000" cy="387326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0">
                      <a:extLst>
                        <a:ext uri="{28A0092B-C50C-407E-A947-70E740481C1C}">
                          <a14:useLocalDpi xmlns:a14="http://schemas.microsoft.com/office/drawing/2010/main" val="0"/>
                        </a:ext>
                      </a:extLst>
                    </a:blip>
                    <a:srcRect t="13548" r="3114" b="2881"/>
                    <a:stretch/>
                  </pic:blipFill>
                  <pic:spPr bwMode="auto">
                    <a:xfrm>
                      <a:off x="0" y="0"/>
                      <a:ext cx="5973046" cy="3875885"/>
                    </a:xfrm>
                    <a:prstGeom prst="rect">
                      <a:avLst/>
                    </a:prstGeom>
                    <a:noFill/>
                    <a:ln>
                      <a:noFill/>
                    </a:ln>
                    <a:extLst>
                      <a:ext uri="{53640926-AAD7-44D8-BBD7-CCE9431645EC}">
                        <a14:shadowObscured xmlns:a14="http://schemas.microsoft.com/office/drawing/2010/main"/>
                      </a:ext>
                    </a:extLst>
                  </pic:spPr>
                </pic:pic>
              </a:graphicData>
            </a:graphic>
          </wp:inline>
        </w:drawing>
      </w:r>
    </w:p>
    <w:p w14:paraId="3AF1C424" w14:textId="77777777" w:rsidR="009F74FB" w:rsidRPr="009F74FB" w:rsidRDefault="009F74FB" w:rsidP="009F74FB">
      <w:pPr>
        <w:spacing w:after="0" w:line="360" w:lineRule="auto"/>
        <w:jc w:val="both"/>
        <w:rPr>
          <w:rFonts w:eastAsiaTheme="minorEastAsia"/>
          <w:b/>
          <w:bCs/>
          <w:color w:val="000000" w:themeColor="text1"/>
          <w:sz w:val="20"/>
          <w:szCs w:val="20"/>
        </w:rPr>
      </w:pPr>
    </w:p>
    <w:p w14:paraId="67FE69EC" w14:textId="77777777" w:rsidR="009F74FB" w:rsidRPr="009F74FB" w:rsidRDefault="009F74FB" w:rsidP="009F74FB">
      <w:pPr>
        <w:spacing w:after="0" w:line="360" w:lineRule="auto"/>
        <w:ind w:left="709" w:firstLine="567"/>
        <w:jc w:val="both"/>
        <w:rPr>
          <w:rFonts w:eastAsiaTheme="minorEastAsia"/>
          <w:b/>
          <w:bCs/>
          <w:color w:val="000000" w:themeColor="text1"/>
          <w:sz w:val="20"/>
          <w:szCs w:val="20"/>
        </w:rPr>
      </w:pPr>
      <w:r w:rsidRPr="009F74FB">
        <w:rPr>
          <w:rFonts w:eastAsiaTheme="minorEastAsia"/>
          <w:b/>
          <w:bCs/>
          <w:color w:val="000000" w:themeColor="text1"/>
          <w:sz w:val="20"/>
          <w:szCs w:val="20"/>
        </w:rPr>
        <w:lastRenderedPageBreak/>
        <w:t xml:space="preserve">       </w:t>
      </w:r>
    </w:p>
    <w:p w14:paraId="14F6926F" w14:textId="08880D1C" w:rsidR="004066D5" w:rsidRPr="009F74FB" w:rsidRDefault="009F74FB" w:rsidP="004066D5">
      <w:pPr>
        <w:spacing w:after="0" w:line="360" w:lineRule="auto"/>
        <w:ind w:left="709" w:firstLine="567"/>
        <w:jc w:val="both"/>
        <w:rPr>
          <w:rFonts w:eastAsiaTheme="minorEastAsia"/>
          <w:b/>
          <w:bCs/>
          <w:color w:val="000000" w:themeColor="text1"/>
          <w:sz w:val="20"/>
          <w:szCs w:val="20"/>
          <w:lang w:val="en-US"/>
        </w:rPr>
      </w:pPr>
      <w:r w:rsidRPr="009F74FB">
        <w:rPr>
          <w:rFonts w:eastAsiaTheme="minorEastAsia"/>
          <w:b/>
          <w:bCs/>
          <w:color w:val="000000" w:themeColor="text1"/>
          <w:sz w:val="20"/>
          <w:szCs w:val="20"/>
          <w:lang w:val="en-US"/>
        </w:rPr>
        <w:t xml:space="preserve">                </w:t>
      </w:r>
      <w:r w:rsidR="00DE57D7" w:rsidRPr="004066D5">
        <w:rPr>
          <w:rFonts w:eastAsiaTheme="minorEastAsia"/>
          <w:b/>
          <w:bCs/>
          <w:color w:val="000000" w:themeColor="text1"/>
          <w:sz w:val="20"/>
          <w:szCs w:val="20"/>
          <w:lang w:val="en-US"/>
        </w:rPr>
        <w:t>Figure</w:t>
      </w:r>
      <w:r w:rsidRPr="009F74FB">
        <w:rPr>
          <w:rFonts w:eastAsiaTheme="minorEastAsia"/>
          <w:b/>
          <w:bCs/>
          <w:color w:val="000000" w:themeColor="text1"/>
          <w:sz w:val="20"/>
          <w:szCs w:val="20"/>
          <w:lang w:val="en-US"/>
        </w:rPr>
        <w:t xml:space="preserve"> 14 - </w:t>
      </w:r>
      <w:r w:rsidR="004066D5" w:rsidRPr="004066D5">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w:t>
      </w:r>
      <w:r w:rsidR="004066D5">
        <w:rPr>
          <w:rFonts w:eastAsiaTheme="minorEastAsia"/>
          <w:b/>
          <w:bCs/>
          <w:color w:val="000000" w:themeColor="text1"/>
          <w:sz w:val="20"/>
          <w:szCs w:val="20"/>
          <w:lang w:val="en-US"/>
        </w:rPr>
        <w:t>Investiments</w:t>
      </w:r>
    </w:p>
    <w:p w14:paraId="7AC7A381" w14:textId="525C5B4E" w:rsidR="009F74FB" w:rsidRPr="009F74FB" w:rsidRDefault="009F74FB" w:rsidP="00E75F5D">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6F090D85" wp14:editId="6FA97ACE">
            <wp:extent cx="6055201" cy="3639353"/>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1">
                      <a:extLst>
                        <a:ext uri="{28A0092B-C50C-407E-A947-70E740481C1C}">
                          <a14:useLocalDpi xmlns:a14="http://schemas.microsoft.com/office/drawing/2010/main" val="0"/>
                        </a:ext>
                      </a:extLst>
                    </a:blip>
                    <a:srcRect t="13324" r="3114" b="3474"/>
                    <a:stretch/>
                  </pic:blipFill>
                  <pic:spPr bwMode="auto">
                    <a:xfrm>
                      <a:off x="0" y="0"/>
                      <a:ext cx="6067067" cy="3646485"/>
                    </a:xfrm>
                    <a:prstGeom prst="rect">
                      <a:avLst/>
                    </a:prstGeom>
                    <a:noFill/>
                    <a:ln>
                      <a:noFill/>
                    </a:ln>
                    <a:extLst>
                      <a:ext uri="{53640926-AAD7-44D8-BBD7-CCE9431645EC}">
                        <a14:shadowObscured xmlns:a14="http://schemas.microsoft.com/office/drawing/2010/main"/>
                      </a:ext>
                    </a:extLst>
                  </pic:spPr>
                </pic:pic>
              </a:graphicData>
            </a:graphic>
          </wp:inline>
        </w:drawing>
      </w:r>
    </w:p>
    <w:p w14:paraId="02548967" w14:textId="311FBA81" w:rsidR="008A2E3B" w:rsidRPr="002F51B5" w:rsidRDefault="009F74FB" w:rsidP="00521889">
      <w:pPr>
        <w:spacing w:after="0" w:line="360" w:lineRule="auto"/>
        <w:ind w:left="709" w:firstLine="567"/>
        <w:jc w:val="both"/>
        <w:rPr>
          <w:rFonts w:eastAsiaTheme="minorEastAsia"/>
          <w:b/>
          <w:bCs/>
          <w:color w:val="000000" w:themeColor="text1"/>
          <w:sz w:val="20"/>
          <w:szCs w:val="20"/>
          <w:lang w:val="en-US"/>
        </w:rPr>
      </w:pPr>
      <w:r w:rsidRPr="002F51B5">
        <w:rPr>
          <w:rFonts w:eastAsiaTheme="minorEastAsia"/>
          <w:b/>
          <w:bCs/>
          <w:color w:val="000000" w:themeColor="text1"/>
          <w:sz w:val="20"/>
          <w:szCs w:val="20"/>
          <w:lang w:val="en-US"/>
        </w:rPr>
        <w:t xml:space="preserve">                   </w:t>
      </w:r>
    </w:p>
    <w:p w14:paraId="26C7B947" w14:textId="4581BF0C" w:rsidR="009F74FB" w:rsidRPr="009F74FB" w:rsidRDefault="004066D5" w:rsidP="004066D5">
      <w:pPr>
        <w:spacing w:after="0" w:line="360" w:lineRule="auto"/>
        <w:ind w:left="709" w:firstLine="567"/>
        <w:jc w:val="both"/>
        <w:rPr>
          <w:rFonts w:eastAsiaTheme="minorEastAsia"/>
          <w:b/>
          <w:bCs/>
          <w:color w:val="000000" w:themeColor="text1"/>
          <w:sz w:val="20"/>
          <w:szCs w:val="20"/>
          <w:lang w:val="en-US"/>
        </w:rPr>
      </w:pPr>
      <w:r>
        <w:rPr>
          <w:rFonts w:eastAsiaTheme="minorEastAsia"/>
          <w:b/>
          <w:bCs/>
          <w:color w:val="000000" w:themeColor="text1"/>
          <w:sz w:val="20"/>
          <w:szCs w:val="20"/>
          <w:lang w:val="en-US"/>
        </w:rPr>
        <w:t xml:space="preserve">  </w:t>
      </w:r>
      <w:r w:rsidR="00DE57D7" w:rsidRPr="004066D5">
        <w:rPr>
          <w:rFonts w:eastAsiaTheme="minorEastAsia"/>
          <w:b/>
          <w:bCs/>
          <w:color w:val="000000" w:themeColor="text1"/>
          <w:sz w:val="20"/>
          <w:szCs w:val="20"/>
          <w:lang w:val="en-US"/>
        </w:rPr>
        <w:t>Figure</w:t>
      </w:r>
      <w:r w:rsidR="009F74FB" w:rsidRPr="009F74FB">
        <w:rPr>
          <w:rFonts w:eastAsiaTheme="minorEastAsia"/>
          <w:b/>
          <w:bCs/>
          <w:color w:val="000000" w:themeColor="text1"/>
          <w:sz w:val="20"/>
          <w:szCs w:val="20"/>
          <w:lang w:val="en-US"/>
        </w:rPr>
        <w:t xml:space="preserve"> 15 - </w:t>
      </w:r>
      <w:r w:rsidRPr="004066D5">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investiments in  “</w:t>
      </w:r>
      <w:r w:rsidR="009F74FB" w:rsidRPr="009F74FB">
        <w:rPr>
          <w:rFonts w:eastAsiaTheme="minorEastAsia"/>
          <w:b/>
          <w:bCs/>
          <w:color w:val="000000" w:themeColor="text1"/>
          <w:sz w:val="20"/>
          <w:szCs w:val="20"/>
          <w:lang w:val="en-US"/>
        </w:rPr>
        <w:t xml:space="preserve">Equipament </w:t>
      </w:r>
      <w:r w:rsidRPr="004066D5">
        <w:rPr>
          <w:rFonts w:eastAsiaTheme="minorEastAsia"/>
          <w:b/>
          <w:bCs/>
          <w:color w:val="000000" w:themeColor="text1"/>
          <w:sz w:val="20"/>
          <w:szCs w:val="20"/>
          <w:lang w:val="en-US"/>
        </w:rPr>
        <w:t xml:space="preserve">and </w:t>
      </w:r>
      <w:r>
        <w:rPr>
          <w:rFonts w:eastAsiaTheme="minorEastAsia"/>
          <w:b/>
          <w:bCs/>
          <w:color w:val="000000" w:themeColor="text1"/>
          <w:sz w:val="20"/>
          <w:szCs w:val="20"/>
          <w:lang w:val="en-US"/>
        </w:rPr>
        <w:t>Permanent Material</w:t>
      </w:r>
      <w:r w:rsidR="00E65A6F">
        <w:rPr>
          <w:rFonts w:eastAsiaTheme="minorEastAsia"/>
          <w:b/>
          <w:bCs/>
          <w:color w:val="000000" w:themeColor="text1"/>
          <w:sz w:val="20"/>
          <w:szCs w:val="20"/>
          <w:lang w:val="en-US"/>
        </w:rPr>
        <w:t>”</w:t>
      </w:r>
      <w:r w:rsidR="009F74FB" w:rsidRPr="009F74FB">
        <w:rPr>
          <w:rFonts w:eastAsiaTheme="minorEastAsia"/>
          <w:b/>
          <w:bCs/>
          <w:color w:val="000000" w:themeColor="text1"/>
          <w:sz w:val="20"/>
          <w:szCs w:val="20"/>
          <w:lang w:val="en-US"/>
        </w:rPr>
        <w:t xml:space="preserve"> </w:t>
      </w:r>
    </w:p>
    <w:p w14:paraId="571B8FCA"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6856341D" wp14:editId="6F98F995">
            <wp:extent cx="5900468" cy="3667125"/>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2">
                      <a:extLst>
                        <a:ext uri="{28A0092B-C50C-407E-A947-70E740481C1C}">
                          <a14:useLocalDpi xmlns:a14="http://schemas.microsoft.com/office/drawing/2010/main" val="0"/>
                        </a:ext>
                      </a:extLst>
                    </a:blip>
                    <a:srcRect t="15101" r="3258" b="3474"/>
                    <a:stretch/>
                  </pic:blipFill>
                  <pic:spPr bwMode="auto">
                    <a:xfrm>
                      <a:off x="0" y="0"/>
                      <a:ext cx="5901905" cy="3668018"/>
                    </a:xfrm>
                    <a:prstGeom prst="rect">
                      <a:avLst/>
                    </a:prstGeom>
                    <a:noFill/>
                    <a:ln>
                      <a:noFill/>
                    </a:ln>
                    <a:extLst>
                      <a:ext uri="{53640926-AAD7-44D8-BBD7-CCE9431645EC}">
                        <a14:shadowObscured xmlns:a14="http://schemas.microsoft.com/office/drawing/2010/main"/>
                      </a:ext>
                    </a:extLst>
                  </pic:spPr>
                </pic:pic>
              </a:graphicData>
            </a:graphic>
          </wp:inline>
        </w:drawing>
      </w:r>
    </w:p>
    <w:p w14:paraId="57681EA9" w14:textId="77777777" w:rsidR="009F74FB" w:rsidRPr="009F74FB" w:rsidRDefault="009F74FB" w:rsidP="009F74FB">
      <w:pPr>
        <w:spacing w:after="0" w:line="360" w:lineRule="auto"/>
        <w:ind w:left="709" w:firstLine="567"/>
        <w:jc w:val="both"/>
        <w:rPr>
          <w:rFonts w:eastAsiaTheme="minorEastAsia"/>
          <w:b/>
          <w:bCs/>
          <w:color w:val="000000" w:themeColor="text1"/>
          <w:sz w:val="20"/>
          <w:szCs w:val="20"/>
        </w:rPr>
      </w:pPr>
    </w:p>
    <w:p w14:paraId="506D10E9" w14:textId="77777777" w:rsidR="009F74FB" w:rsidRPr="002F51B5" w:rsidRDefault="009F74FB" w:rsidP="009F74FB">
      <w:pPr>
        <w:spacing w:after="0" w:line="360" w:lineRule="auto"/>
        <w:ind w:left="709" w:firstLine="567"/>
        <w:jc w:val="both"/>
        <w:rPr>
          <w:rFonts w:eastAsiaTheme="minorEastAsia"/>
          <w:b/>
          <w:bCs/>
          <w:color w:val="000000" w:themeColor="text1"/>
          <w:sz w:val="20"/>
          <w:szCs w:val="20"/>
          <w:lang w:val="en-US"/>
        </w:rPr>
      </w:pPr>
      <w:r w:rsidRPr="002F51B5">
        <w:rPr>
          <w:rFonts w:eastAsiaTheme="minorEastAsia"/>
          <w:b/>
          <w:bCs/>
          <w:color w:val="000000" w:themeColor="text1"/>
          <w:sz w:val="20"/>
          <w:szCs w:val="20"/>
          <w:lang w:val="en-US"/>
        </w:rPr>
        <w:t xml:space="preserve">   </w:t>
      </w:r>
    </w:p>
    <w:p w14:paraId="032E9A7B" w14:textId="77777777" w:rsidR="009F74FB" w:rsidRPr="002F51B5" w:rsidRDefault="009F74FB" w:rsidP="009F74FB">
      <w:pPr>
        <w:spacing w:after="0" w:line="360" w:lineRule="auto"/>
        <w:ind w:left="709" w:firstLine="567"/>
        <w:jc w:val="both"/>
        <w:rPr>
          <w:rFonts w:eastAsiaTheme="minorEastAsia"/>
          <w:b/>
          <w:bCs/>
          <w:color w:val="000000" w:themeColor="text1"/>
          <w:sz w:val="20"/>
          <w:szCs w:val="20"/>
          <w:lang w:val="en-US"/>
        </w:rPr>
      </w:pPr>
    </w:p>
    <w:p w14:paraId="2DE92060" w14:textId="4D4AEEE6" w:rsidR="009F74FB" w:rsidRPr="009F74FB" w:rsidRDefault="00DE57D7" w:rsidP="004066D5">
      <w:pPr>
        <w:spacing w:after="0" w:line="360" w:lineRule="auto"/>
        <w:ind w:left="709" w:firstLine="567"/>
        <w:jc w:val="both"/>
        <w:rPr>
          <w:rFonts w:eastAsiaTheme="minorEastAsia"/>
          <w:b/>
          <w:bCs/>
          <w:color w:val="000000" w:themeColor="text1"/>
          <w:sz w:val="20"/>
          <w:szCs w:val="20"/>
          <w:lang w:val="en-US"/>
        </w:rPr>
      </w:pPr>
      <w:r w:rsidRPr="004066D5">
        <w:rPr>
          <w:rFonts w:eastAsiaTheme="minorEastAsia"/>
          <w:b/>
          <w:bCs/>
          <w:color w:val="000000" w:themeColor="text1"/>
          <w:sz w:val="20"/>
          <w:szCs w:val="20"/>
          <w:lang w:val="en-US"/>
        </w:rPr>
        <w:lastRenderedPageBreak/>
        <w:t>Figure</w:t>
      </w:r>
      <w:r w:rsidR="009F74FB" w:rsidRPr="009F74FB">
        <w:rPr>
          <w:rFonts w:eastAsiaTheme="minorEastAsia"/>
          <w:b/>
          <w:bCs/>
          <w:color w:val="000000" w:themeColor="text1"/>
          <w:sz w:val="20"/>
          <w:szCs w:val="20"/>
          <w:lang w:val="en-US"/>
        </w:rPr>
        <w:t xml:space="preserve"> 16 - </w:t>
      </w:r>
      <w:r w:rsidR="004066D5" w:rsidRPr="004066D5">
        <w:rPr>
          <w:rFonts w:eastAsiaTheme="minorEastAsia"/>
          <w:b/>
          <w:bCs/>
          <w:color w:val="000000" w:themeColor="text1"/>
          <w:sz w:val="20"/>
          <w:szCs w:val="20"/>
          <w:lang w:val="en-US"/>
        </w:rPr>
        <w:t>Event study –</w:t>
      </w:r>
      <w:r w:rsidR="00E65A6F">
        <w:rPr>
          <w:rFonts w:eastAsiaTheme="minorEastAsia"/>
          <w:b/>
          <w:bCs/>
          <w:color w:val="000000" w:themeColor="text1"/>
          <w:sz w:val="20"/>
          <w:szCs w:val="20"/>
          <w:lang w:val="en-US"/>
        </w:rPr>
        <w:t xml:space="preserve"> investiments in “</w:t>
      </w:r>
      <w:r w:rsidR="004066D5" w:rsidRPr="004066D5">
        <w:rPr>
          <w:rFonts w:eastAsiaTheme="minorEastAsia"/>
          <w:b/>
          <w:bCs/>
          <w:color w:val="000000" w:themeColor="text1"/>
          <w:sz w:val="20"/>
          <w:szCs w:val="20"/>
          <w:lang w:val="en-US"/>
        </w:rPr>
        <w:t>C</w:t>
      </w:r>
      <w:r w:rsidR="004066D5">
        <w:rPr>
          <w:rFonts w:eastAsiaTheme="minorEastAsia"/>
          <w:b/>
          <w:bCs/>
          <w:color w:val="000000" w:themeColor="text1"/>
          <w:sz w:val="20"/>
          <w:szCs w:val="20"/>
          <w:lang w:val="en-US"/>
        </w:rPr>
        <w:t>onstruction and Instalations</w:t>
      </w:r>
      <w:r w:rsidR="00E65A6F">
        <w:rPr>
          <w:rFonts w:eastAsiaTheme="minorEastAsia"/>
          <w:b/>
          <w:bCs/>
          <w:color w:val="000000" w:themeColor="text1"/>
          <w:sz w:val="20"/>
          <w:szCs w:val="20"/>
          <w:lang w:val="en-US"/>
        </w:rPr>
        <w:t>”</w:t>
      </w:r>
    </w:p>
    <w:p w14:paraId="638BC57D" w14:textId="77777777" w:rsidR="009F74FB" w:rsidRPr="009F74FB" w:rsidRDefault="009F74FB" w:rsidP="009F74FB">
      <w:pPr>
        <w:spacing w:after="0" w:line="360" w:lineRule="auto"/>
        <w:ind w:firstLine="567"/>
        <w:jc w:val="both"/>
        <w:rPr>
          <w:rFonts w:eastAsiaTheme="minorEastAsia"/>
          <w:b/>
          <w:bCs/>
          <w:color w:val="000000" w:themeColor="text1"/>
          <w:sz w:val="20"/>
          <w:szCs w:val="20"/>
        </w:rPr>
      </w:pPr>
      <w:r w:rsidRPr="009F74FB">
        <w:rPr>
          <w:noProof/>
        </w:rPr>
        <w:drawing>
          <wp:inline distT="0" distB="0" distL="0" distR="0" wp14:anchorId="5DCFE4E5" wp14:editId="61E21F8B">
            <wp:extent cx="5925436" cy="3209026"/>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3">
                      <a:extLst>
                        <a:ext uri="{28A0092B-C50C-407E-A947-70E740481C1C}">
                          <a14:useLocalDpi xmlns:a14="http://schemas.microsoft.com/office/drawing/2010/main" val="0"/>
                        </a:ext>
                      </a:extLst>
                    </a:blip>
                    <a:srcRect t="14713" r="2542" b="3491"/>
                    <a:stretch/>
                  </pic:blipFill>
                  <pic:spPr bwMode="auto">
                    <a:xfrm>
                      <a:off x="0" y="0"/>
                      <a:ext cx="5933608" cy="3213452"/>
                    </a:xfrm>
                    <a:prstGeom prst="rect">
                      <a:avLst/>
                    </a:prstGeom>
                    <a:noFill/>
                    <a:ln>
                      <a:noFill/>
                    </a:ln>
                    <a:extLst>
                      <a:ext uri="{53640926-AAD7-44D8-BBD7-CCE9431645EC}">
                        <a14:shadowObscured xmlns:a14="http://schemas.microsoft.com/office/drawing/2010/main"/>
                      </a:ext>
                    </a:extLst>
                  </pic:spPr>
                </pic:pic>
              </a:graphicData>
            </a:graphic>
          </wp:inline>
        </w:drawing>
      </w:r>
    </w:p>
    <w:p w14:paraId="4F3349BE" w14:textId="77777777" w:rsidR="009F74FB" w:rsidRPr="00A648CF" w:rsidRDefault="009F74FB" w:rsidP="00AC3885">
      <w:pPr>
        <w:pStyle w:val="PargrafodaLista"/>
        <w:spacing w:after="0" w:line="360" w:lineRule="auto"/>
        <w:ind w:left="0" w:firstLine="624"/>
        <w:jc w:val="both"/>
        <w:rPr>
          <w:rFonts w:ascii="Times New Roman" w:hAnsi="Times New Roman" w:cs="Times New Roman"/>
          <w:sz w:val="24"/>
          <w:szCs w:val="24"/>
          <w:lang w:val="en-US"/>
        </w:rPr>
      </w:pPr>
    </w:p>
    <w:sectPr w:rsidR="009F74FB" w:rsidRPr="00A648CF" w:rsidSect="00E75CCA">
      <w:footerReference w:type="default" r:id="rId24"/>
      <w:footnotePr>
        <w:numFmt w:val="chicago"/>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0B9D" w14:textId="77777777" w:rsidR="00F369B4" w:rsidRDefault="00F369B4">
      <w:pPr>
        <w:spacing w:after="0" w:line="240" w:lineRule="auto"/>
      </w:pPr>
      <w:r>
        <w:separator/>
      </w:r>
    </w:p>
  </w:endnote>
  <w:endnote w:type="continuationSeparator" w:id="0">
    <w:p w14:paraId="3075669F" w14:textId="77777777" w:rsidR="00F369B4" w:rsidRDefault="00F3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605678"/>
      <w:docPartObj>
        <w:docPartGallery w:val="Page Numbers (Bottom of Page)"/>
        <w:docPartUnique/>
      </w:docPartObj>
    </w:sdtPr>
    <w:sdtEndPr/>
    <w:sdtContent>
      <w:p w14:paraId="59EAB86D" w14:textId="3E519553" w:rsidR="00BB16E6" w:rsidRDefault="004D034A">
        <w:pPr>
          <w:pStyle w:val="Rodap"/>
          <w:jc w:val="right"/>
        </w:pPr>
        <w:r>
          <w:fldChar w:fldCharType="begin"/>
        </w:r>
        <w:r>
          <w:instrText>PAGE   \* MERGEFORMAT</w:instrText>
        </w:r>
        <w:r>
          <w:fldChar w:fldCharType="separate"/>
        </w:r>
        <w:r w:rsidR="008F4935">
          <w:rPr>
            <w:noProof/>
          </w:rPr>
          <w:t>1</w:t>
        </w:r>
        <w:r>
          <w:fldChar w:fldCharType="end"/>
        </w:r>
      </w:p>
    </w:sdtContent>
  </w:sdt>
  <w:p w14:paraId="35988135" w14:textId="77777777" w:rsidR="00BB16E6" w:rsidRDefault="00BB16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F8A8" w14:textId="77777777" w:rsidR="00F369B4" w:rsidRDefault="00F369B4">
      <w:pPr>
        <w:spacing w:after="0" w:line="240" w:lineRule="auto"/>
      </w:pPr>
      <w:r>
        <w:separator/>
      </w:r>
    </w:p>
  </w:footnote>
  <w:footnote w:type="continuationSeparator" w:id="0">
    <w:p w14:paraId="29EB1127" w14:textId="77777777" w:rsidR="00F369B4" w:rsidRDefault="00F369B4">
      <w:pPr>
        <w:spacing w:after="0" w:line="240" w:lineRule="auto"/>
      </w:pPr>
      <w:r>
        <w:continuationSeparator/>
      </w:r>
    </w:p>
  </w:footnote>
  <w:footnote w:id="1">
    <w:p w14:paraId="57341CE0" w14:textId="514F6C9A" w:rsidR="000B5855" w:rsidRPr="000B5855" w:rsidRDefault="000B5855">
      <w:pPr>
        <w:pStyle w:val="Textodenotaderodap"/>
      </w:pPr>
      <w:r>
        <w:rPr>
          <w:rStyle w:val="Refdenotaderodap"/>
        </w:rPr>
        <w:footnoteRef/>
      </w:r>
      <w:r>
        <w:t xml:space="preserve"> </w:t>
      </w:r>
      <w:r w:rsidRPr="000B5855">
        <w:rPr>
          <w:rFonts w:ascii="Arial" w:hAnsi="Arial" w:cs="Arial"/>
          <w:color w:val="222222"/>
          <w:shd w:val="clear" w:color="auto" w:fill="FFFFFF"/>
        </w:rPr>
        <w:t>This study was financed in part by the Coordenação de Aperfeiçoamento de Pessoal de Nível Superior - Bra</w:t>
      </w:r>
      <w:r w:rsidR="00DB0BC6">
        <w:rPr>
          <w:rFonts w:ascii="Arial" w:hAnsi="Arial" w:cs="Arial"/>
          <w:color w:val="222222"/>
          <w:shd w:val="clear" w:color="auto" w:fill="FFFFFF"/>
        </w:rPr>
        <w:t>s</w:t>
      </w:r>
      <w:r w:rsidRPr="000B5855">
        <w:rPr>
          <w:rFonts w:ascii="Arial" w:hAnsi="Arial" w:cs="Arial"/>
          <w:color w:val="222222"/>
          <w:shd w:val="clear" w:color="auto" w:fill="FFFFFF"/>
        </w:rPr>
        <w:t>il (</w:t>
      </w:r>
      <w:r w:rsidRPr="000B5855">
        <w:rPr>
          <w:rStyle w:val="il"/>
          <w:rFonts w:ascii="Arial" w:hAnsi="Arial" w:cs="Arial"/>
          <w:color w:val="222222"/>
          <w:shd w:val="clear" w:color="auto" w:fill="FFFFFF"/>
        </w:rPr>
        <w:t>CAPES</w:t>
      </w:r>
      <w:r w:rsidRPr="000B5855">
        <w:rPr>
          <w:rFonts w:ascii="Arial" w:hAnsi="Arial" w:cs="Arial"/>
          <w:color w:val="222222"/>
          <w:shd w:val="clear" w:color="auto" w:fill="FFFFFF"/>
        </w:rPr>
        <w:t>) - Finance Code 001</w:t>
      </w:r>
      <w:r w:rsidR="00EC1626">
        <w:rPr>
          <w:rFonts w:ascii="Arial" w:hAnsi="Arial" w:cs="Arial"/>
          <w:color w:val="22222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736F6"/>
    <w:multiLevelType w:val="multilevel"/>
    <w:tmpl w:val="0416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775E13FD"/>
    <w:multiLevelType w:val="hybridMultilevel"/>
    <w:tmpl w:val="056445B6"/>
    <w:lvl w:ilvl="0" w:tplc="D4F0B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4507"/>
    <w:rsid w:val="00022DB7"/>
    <w:rsid w:val="000256BD"/>
    <w:rsid w:val="0002653E"/>
    <w:rsid w:val="00033A6A"/>
    <w:rsid w:val="00037D08"/>
    <w:rsid w:val="00046746"/>
    <w:rsid w:val="00054A9C"/>
    <w:rsid w:val="00055650"/>
    <w:rsid w:val="00061449"/>
    <w:rsid w:val="00062376"/>
    <w:rsid w:val="000758DA"/>
    <w:rsid w:val="00080EDB"/>
    <w:rsid w:val="000811AB"/>
    <w:rsid w:val="0009092C"/>
    <w:rsid w:val="000928B1"/>
    <w:rsid w:val="00094B7A"/>
    <w:rsid w:val="00095EFB"/>
    <w:rsid w:val="00097C00"/>
    <w:rsid w:val="000B5855"/>
    <w:rsid w:val="000D00C7"/>
    <w:rsid w:val="000D0431"/>
    <w:rsid w:val="000E1ECC"/>
    <w:rsid w:val="000E4507"/>
    <w:rsid w:val="000E6494"/>
    <w:rsid w:val="000F5732"/>
    <w:rsid w:val="0010243D"/>
    <w:rsid w:val="00115714"/>
    <w:rsid w:val="00115FFB"/>
    <w:rsid w:val="00116588"/>
    <w:rsid w:val="001179E8"/>
    <w:rsid w:val="001218EE"/>
    <w:rsid w:val="00127C8F"/>
    <w:rsid w:val="00140EFD"/>
    <w:rsid w:val="0014367B"/>
    <w:rsid w:val="00150F56"/>
    <w:rsid w:val="0015251A"/>
    <w:rsid w:val="00152555"/>
    <w:rsid w:val="001540A2"/>
    <w:rsid w:val="00154906"/>
    <w:rsid w:val="00155516"/>
    <w:rsid w:val="00165A20"/>
    <w:rsid w:val="001660E5"/>
    <w:rsid w:val="00166B62"/>
    <w:rsid w:val="00167842"/>
    <w:rsid w:val="001708AC"/>
    <w:rsid w:val="0017250A"/>
    <w:rsid w:val="00173539"/>
    <w:rsid w:val="00174AED"/>
    <w:rsid w:val="00180F52"/>
    <w:rsid w:val="00184A1A"/>
    <w:rsid w:val="00185DED"/>
    <w:rsid w:val="001A456A"/>
    <w:rsid w:val="001C423F"/>
    <w:rsid w:val="001C68FE"/>
    <w:rsid w:val="001C7BF7"/>
    <w:rsid w:val="001D4D62"/>
    <w:rsid w:val="001E1CED"/>
    <w:rsid w:val="001F716D"/>
    <w:rsid w:val="002029AD"/>
    <w:rsid w:val="00204086"/>
    <w:rsid w:val="00206C23"/>
    <w:rsid w:val="00206D53"/>
    <w:rsid w:val="00224641"/>
    <w:rsid w:val="0022636E"/>
    <w:rsid w:val="0022712F"/>
    <w:rsid w:val="00233422"/>
    <w:rsid w:val="00250322"/>
    <w:rsid w:val="00253E22"/>
    <w:rsid w:val="00256EDB"/>
    <w:rsid w:val="00257F3C"/>
    <w:rsid w:val="002647AC"/>
    <w:rsid w:val="00265325"/>
    <w:rsid w:val="00270B0B"/>
    <w:rsid w:val="0028586D"/>
    <w:rsid w:val="002943E0"/>
    <w:rsid w:val="002965DD"/>
    <w:rsid w:val="0029769D"/>
    <w:rsid w:val="002A7AFF"/>
    <w:rsid w:val="002B1440"/>
    <w:rsid w:val="002B5A4E"/>
    <w:rsid w:val="002C0AD3"/>
    <w:rsid w:val="002D0911"/>
    <w:rsid w:val="002D2103"/>
    <w:rsid w:val="002D4EC7"/>
    <w:rsid w:val="002E109E"/>
    <w:rsid w:val="002E777A"/>
    <w:rsid w:val="002E7FE8"/>
    <w:rsid w:val="002F51B5"/>
    <w:rsid w:val="0031004A"/>
    <w:rsid w:val="0031083A"/>
    <w:rsid w:val="00315344"/>
    <w:rsid w:val="003157DB"/>
    <w:rsid w:val="00336197"/>
    <w:rsid w:val="00337A39"/>
    <w:rsid w:val="00350FE8"/>
    <w:rsid w:val="00352D7D"/>
    <w:rsid w:val="00355EA9"/>
    <w:rsid w:val="00357E86"/>
    <w:rsid w:val="00361209"/>
    <w:rsid w:val="00367AB6"/>
    <w:rsid w:val="00370AC4"/>
    <w:rsid w:val="00372C04"/>
    <w:rsid w:val="00372F7E"/>
    <w:rsid w:val="00373014"/>
    <w:rsid w:val="00375D08"/>
    <w:rsid w:val="00380B5D"/>
    <w:rsid w:val="00381805"/>
    <w:rsid w:val="00385CB1"/>
    <w:rsid w:val="00387680"/>
    <w:rsid w:val="00392906"/>
    <w:rsid w:val="003950F3"/>
    <w:rsid w:val="00395E5A"/>
    <w:rsid w:val="003A5661"/>
    <w:rsid w:val="003B27B4"/>
    <w:rsid w:val="003C05A6"/>
    <w:rsid w:val="003D054B"/>
    <w:rsid w:val="003D0699"/>
    <w:rsid w:val="003E5BA6"/>
    <w:rsid w:val="003E67F2"/>
    <w:rsid w:val="003F13D6"/>
    <w:rsid w:val="003F5A80"/>
    <w:rsid w:val="003F7560"/>
    <w:rsid w:val="004035FA"/>
    <w:rsid w:val="00403D60"/>
    <w:rsid w:val="00404D68"/>
    <w:rsid w:val="004066D5"/>
    <w:rsid w:val="00422020"/>
    <w:rsid w:val="0042219E"/>
    <w:rsid w:val="00423D7B"/>
    <w:rsid w:val="00424568"/>
    <w:rsid w:val="00425B3F"/>
    <w:rsid w:val="00426453"/>
    <w:rsid w:val="00426CAD"/>
    <w:rsid w:val="00431911"/>
    <w:rsid w:val="00436004"/>
    <w:rsid w:val="00446EFE"/>
    <w:rsid w:val="00453C59"/>
    <w:rsid w:val="00454AC4"/>
    <w:rsid w:val="00470BB5"/>
    <w:rsid w:val="0047335C"/>
    <w:rsid w:val="004778AC"/>
    <w:rsid w:val="00481D26"/>
    <w:rsid w:val="00492FA1"/>
    <w:rsid w:val="004A54D2"/>
    <w:rsid w:val="004B6B3D"/>
    <w:rsid w:val="004C74F0"/>
    <w:rsid w:val="004D034A"/>
    <w:rsid w:val="004D17A1"/>
    <w:rsid w:val="004E15FE"/>
    <w:rsid w:val="004F1481"/>
    <w:rsid w:val="004F24F2"/>
    <w:rsid w:val="004F2994"/>
    <w:rsid w:val="004F4609"/>
    <w:rsid w:val="00502953"/>
    <w:rsid w:val="00502ECE"/>
    <w:rsid w:val="00510864"/>
    <w:rsid w:val="0051471C"/>
    <w:rsid w:val="005209B8"/>
    <w:rsid w:val="00521889"/>
    <w:rsid w:val="00525080"/>
    <w:rsid w:val="00526111"/>
    <w:rsid w:val="00527A5D"/>
    <w:rsid w:val="00534F1D"/>
    <w:rsid w:val="0053748B"/>
    <w:rsid w:val="00544756"/>
    <w:rsid w:val="005468C8"/>
    <w:rsid w:val="0055051E"/>
    <w:rsid w:val="00551098"/>
    <w:rsid w:val="00551BFF"/>
    <w:rsid w:val="005623D6"/>
    <w:rsid w:val="00567203"/>
    <w:rsid w:val="00567270"/>
    <w:rsid w:val="00575CD5"/>
    <w:rsid w:val="00581D84"/>
    <w:rsid w:val="00587714"/>
    <w:rsid w:val="005A1480"/>
    <w:rsid w:val="005A38BF"/>
    <w:rsid w:val="005B200C"/>
    <w:rsid w:val="005C025E"/>
    <w:rsid w:val="005C58A2"/>
    <w:rsid w:val="005D1279"/>
    <w:rsid w:val="005D14AC"/>
    <w:rsid w:val="005D2725"/>
    <w:rsid w:val="005D2AFE"/>
    <w:rsid w:val="005D5B6C"/>
    <w:rsid w:val="005E36C5"/>
    <w:rsid w:val="005E5202"/>
    <w:rsid w:val="005E67D2"/>
    <w:rsid w:val="005F2052"/>
    <w:rsid w:val="00601EC6"/>
    <w:rsid w:val="006251B8"/>
    <w:rsid w:val="00625A15"/>
    <w:rsid w:val="00625FB3"/>
    <w:rsid w:val="00626D24"/>
    <w:rsid w:val="00627D36"/>
    <w:rsid w:val="00627E5E"/>
    <w:rsid w:val="006311DE"/>
    <w:rsid w:val="00634276"/>
    <w:rsid w:val="00643F37"/>
    <w:rsid w:val="00650BA2"/>
    <w:rsid w:val="00655534"/>
    <w:rsid w:val="006572A3"/>
    <w:rsid w:val="00662425"/>
    <w:rsid w:val="00675F5D"/>
    <w:rsid w:val="00677DD9"/>
    <w:rsid w:val="00682CDE"/>
    <w:rsid w:val="006857DD"/>
    <w:rsid w:val="0068597A"/>
    <w:rsid w:val="006A143A"/>
    <w:rsid w:val="006A7590"/>
    <w:rsid w:val="006B46DD"/>
    <w:rsid w:val="006B591D"/>
    <w:rsid w:val="006B7556"/>
    <w:rsid w:val="006E3AC7"/>
    <w:rsid w:val="006F392F"/>
    <w:rsid w:val="006F4B10"/>
    <w:rsid w:val="006F7CD6"/>
    <w:rsid w:val="00702D8B"/>
    <w:rsid w:val="00720228"/>
    <w:rsid w:val="00721145"/>
    <w:rsid w:val="007317BC"/>
    <w:rsid w:val="00732C3C"/>
    <w:rsid w:val="007375A3"/>
    <w:rsid w:val="00745070"/>
    <w:rsid w:val="007749CC"/>
    <w:rsid w:val="007767A7"/>
    <w:rsid w:val="00785121"/>
    <w:rsid w:val="00793B03"/>
    <w:rsid w:val="00794362"/>
    <w:rsid w:val="0079514F"/>
    <w:rsid w:val="00795F19"/>
    <w:rsid w:val="007A2768"/>
    <w:rsid w:val="007B0D89"/>
    <w:rsid w:val="007C2010"/>
    <w:rsid w:val="007C30FF"/>
    <w:rsid w:val="007C616A"/>
    <w:rsid w:val="007C7F6C"/>
    <w:rsid w:val="007D5EAF"/>
    <w:rsid w:val="007E10EF"/>
    <w:rsid w:val="007E629B"/>
    <w:rsid w:val="008072D4"/>
    <w:rsid w:val="00823CBA"/>
    <w:rsid w:val="0083205B"/>
    <w:rsid w:val="00833F9C"/>
    <w:rsid w:val="00843BAB"/>
    <w:rsid w:val="0085048B"/>
    <w:rsid w:val="00850FF8"/>
    <w:rsid w:val="00853105"/>
    <w:rsid w:val="00864CAE"/>
    <w:rsid w:val="00865BFF"/>
    <w:rsid w:val="008670BE"/>
    <w:rsid w:val="00867865"/>
    <w:rsid w:val="0087713F"/>
    <w:rsid w:val="0088076F"/>
    <w:rsid w:val="0088489D"/>
    <w:rsid w:val="0089070C"/>
    <w:rsid w:val="00890E0F"/>
    <w:rsid w:val="008919A9"/>
    <w:rsid w:val="008A05EA"/>
    <w:rsid w:val="008A2E3B"/>
    <w:rsid w:val="008B3833"/>
    <w:rsid w:val="008B45F9"/>
    <w:rsid w:val="008C1ECE"/>
    <w:rsid w:val="008C3E4E"/>
    <w:rsid w:val="008C5284"/>
    <w:rsid w:val="008C6A24"/>
    <w:rsid w:val="008D12BE"/>
    <w:rsid w:val="008D2034"/>
    <w:rsid w:val="008D3B3B"/>
    <w:rsid w:val="008D7288"/>
    <w:rsid w:val="008E12B7"/>
    <w:rsid w:val="008E49B2"/>
    <w:rsid w:val="008F0A9B"/>
    <w:rsid w:val="008F3180"/>
    <w:rsid w:val="008F4935"/>
    <w:rsid w:val="008F613A"/>
    <w:rsid w:val="0090098C"/>
    <w:rsid w:val="009019D9"/>
    <w:rsid w:val="00910AEB"/>
    <w:rsid w:val="00933354"/>
    <w:rsid w:val="00934F5C"/>
    <w:rsid w:val="009413BB"/>
    <w:rsid w:val="009436A6"/>
    <w:rsid w:val="0094689F"/>
    <w:rsid w:val="009628C7"/>
    <w:rsid w:val="009718DF"/>
    <w:rsid w:val="00971D53"/>
    <w:rsid w:val="00974DD0"/>
    <w:rsid w:val="009774A0"/>
    <w:rsid w:val="00994D47"/>
    <w:rsid w:val="0099550B"/>
    <w:rsid w:val="0099770F"/>
    <w:rsid w:val="009A3CFD"/>
    <w:rsid w:val="009A7612"/>
    <w:rsid w:val="009B29BE"/>
    <w:rsid w:val="009B30E7"/>
    <w:rsid w:val="009B686D"/>
    <w:rsid w:val="009B7F1E"/>
    <w:rsid w:val="009C41D2"/>
    <w:rsid w:val="009C5719"/>
    <w:rsid w:val="009C6289"/>
    <w:rsid w:val="009D09F1"/>
    <w:rsid w:val="009D57C1"/>
    <w:rsid w:val="009D7980"/>
    <w:rsid w:val="009E0DD6"/>
    <w:rsid w:val="009E1392"/>
    <w:rsid w:val="009E2D3A"/>
    <w:rsid w:val="009E383F"/>
    <w:rsid w:val="009E4B36"/>
    <w:rsid w:val="009F74FB"/>
    <w:rsid w:val="00A0324C"/>
    <w:rsid w:val="00A03AC2"/>
    <w:rsid w:val="00A13DA6"/>
    <w:rsid w:val="00A16239"/>
    <w:rsid w:val="00A1767D"/>
    <w:rsid w:val="00A21CBD"/>
    <w:rsid w:val="00A2473D"/>
    <w:rsid w:val="00A252CA"/>
    <w:rsid w:val="00A314AD"/>
    <w:rsid w:val="00A32EBD"/>
    <w:rsid w:val="00A34225"/>
    <w:rsid w:val="00A36BB1"/>
    <w:rsid w:val="00A44A19"/>
    <w:rsid w:val="00A548EE"/>
    <w:rsid w:val="00A60774"/>
    <w:rsid w:val="00A62CF3"/>
    <w:rsid w:val="00A63FE3"/>
    <w:rsid w:val="00A648CF"/>
    <w:rsid w:val="00A70398"/>
    <w:rsid w:val="00A7064E"/>
    <w:rsid w:val="00A75E75"/>
    <w:rsid w:val="00A80335"/>
    <w:rsid w:val="00A9156E"/>
    <w:rsid w:val="00A97791"/>
    <w:rsid w:val="00AA256B"/>
    <w:rsid w:val="00AA2BB0"/>
    <w:rsid w:val="00AA502B"/>
    <w:rsid w:val="00AA6BE5"/>
    <w:rsid w:val="00AA7D24"/>
    <w:rsid w:val="00AB340F"/>
    <w:rsid w:val="00AB4F45"/>
    <w:rsid w:val="00AC3885"/>
    <w:rsid w:val="00AC3CDE"/>
    <w:rsid w:val="00AC45BB"/>
    <w:rsid w:val="00AD6835"/>
    <w:rsid w:val="00AD7536"/>
    <w:rsid w:val="00AE7915"/>
    <w:rsid w:val="00AF02A9"/>
    <w:rsid w:val="00AF1079"/>
    <w:rsid w:val="00AF3D93"/>
    <w:rsid w:val="00AF4F00"/>
    <w:rsid w:val="00B01882"/>
    <w:rsid w:val="00B0375F"/>
    <w:rsid w:val="00B061FF"/>
    <w:rsid w:val="00B2108D"/>
    <w:rsid w:val="00B24398"/>
    <w:rsid w:val="00B249EA"/>
    <w:rsid w:val="00B250C0"/>
    <w:rsid w:val="00B306EF"/>
    <w:rsid w:val="00B33B92"/>
    <w:rsid w:val="00B34A13"/>
    <w:rsid w:val="00B40D99"/>
    <w:rsid w:val="00B42333"/>
    <w:rsid w:val="00B43A23"/>
    <w:rsid w:val="00B44AC0"/>
    <w:rsid w:val="00B47AF9"/>
    <w:rsid w:val="00B47EFA"/>
    <w:rsid w:val="00B55A41"/>
    <w:rsid w:val="00B569BD"/>
    <w:rsid w:val="00B73691"/>
    <w:rsid w:val="00B755BC"/>
    <w:rsid w:val="00B770D9"/>
    <w:rsid w:val="00BA2972"/>
    <w:rsid w:val="00BA3CDB"/>
    <w:rsid w:val="00BA59B0"/>
    <w:rsid w:val="00BB16E6"/>
    <w:rsid w:val="00BD19DB"/>
    <w:rsid w:val="00BE066B"/>
    <w:rsid w:val="00BE0B5C"/>
    <w:rsid w:val="00BE1C9F"/>
    <w:rsid w:val="00BE3117"/>
    <w:rsid w:val="00BE323B"/>
    <w:rsid w:val="00BE49AB"/>
    <w:rsid w:val="00BE5D7D"/>
    <w:rsid w:val="00BF08C5"/>
    <w:rsid w:val="00BF2A66"/>
    <w:rsid w:val="00C028FF"/>
    <w:rsid w:val="00C048AF"/>
    <w:rsid w:val="00C0728D"/>
    <w:rsid w:val="00C12111"/>
    <w:rsid w:val="00C12F51"/>
    <w:rsid w:val="00C12FEF"/>
    <w:rsid w:val="00C140A1"/>
    <w:rsid w:val="00C250C2"/>
    <w:rsid w:val="00C426DB"/>
    <w:rsid w:val="00C60C28"/>
    <w:rsid w:val="00C61055"/>
    <w:rsid w:val="00C65C66"/>
    <w:rsid w:val="00C760DA"/>
    <w:rsid w:val="00C7743D"/>
    <w:rsid w:val="00C85EB4"/>
    <w:rsid w:val="00C8745B"/>
    <w:rsid w:val="00C87526"/>
    <w:rsid w:val="00C92427"/>
    <w:rsid w:val="00C97148"/>
    <w:rsid w:val="00CA3C74"/>
    <w:rsid w:val="00CB65BE"/>
    <w:rsid w:val="00CB734F"/>
    <w:rsid w:val="00CC30AE"/>
    <w:rsid w:val="00CD0E68"/>
    <w:rsid w:val="00CD2183"/>
    <w:rsid w:val="00CD4498"/>
    <w:rsid w:val="00CE567A"/>
    <w:rsid w:val="00CF5782"/>
    <w:rsid w:val="00D01C9C"/>
    <w:rsid w:val="00D02EFA"/>
    <w:rsid w:val="00D05748"/>
    <w:rsid w:val="00D05DAA"/>
    <w:rsid w:val="00D06371"/>
    <w:rsid w:val="00D10D0F"/>
    <w:rsid w:val="00D12D5E"/>
    <w:rsid w:val="00D12ED1"/>
    <w:rsid w:val="00D20E45"/>
    <w:rsid w:val="00D26E0B"/>
    <w:rsid w:val="00D354C5"/>
    <w:rsid w:val="00D3783C"/>
    <w:rsid w:val="00D44681"/>
    <w:rsid w:val="00D450BA"/>
    <w:rsid w:val="00D51C03"/>
    <w:rsid w:val="00D52328"/>
    <w:rsid w:val="00D57A37"/>
    <w:rsid w:val="00D658DF"/>
    <w:rsid w:val="00D76D93"/>
    <w:rsid w:val="00D77618"/>
    <w:rsid w:val="00D80474"/>
    <w:rsid w:val="00D84247"/>
    <w:rsid w:val="00D87A37"/>
    <w:rsid w:val="00DA7AA6"/>
    <w:rsid w:val="00DB09A0"/>
    <w:rsid w:val="00DB0BC6"/>
    <w:rsid w:val="00DB1189"/>
    <w:rsid w:val="00DB32B6"/>
    <w:rsid w:val="00DC663C"/>
    <w:rsid w:val="00DD0A99"/>
    <w:rsid w:val="00DD2870"/>
    <w:rsid w:val="00DE0F82"/>
    <w:rsid w:val="00DE57D7"/>
    <w:rsid w:val="00DF0B19"/>
    <w:rsid w:val="00DF125D"/>
    <w:rsid w:val="00E067A9"/>
    <w:rsid w:val="00E106A7"/>
    <w:rsid w:val="00E17D2B"/>
    <w:rsid w:val="00E235EF"/>
    <w:rsid w:val="00E26045"/>
    <w:rsid w:val="00E27665"/>
    <w:rsid w:val="00E27924"/>
    <w:rsid w:val="00E30608"/>
    <w:rsid w:val="00E31B71"/>
    <w:rsid w:val="00E3289A"/>
    <w:rsid w:val="00E36FB6"/>
    <w:rsid w:val="00E50129"/>
    <w:rsid w:val="00E51658"/>
    <w:rsid w:val="00E54E31"/>
    <w:rsid w:val="00E55E79"/>
    <w:rsid w:val="00E65078"/>
    <w:rsid w:val="00E65A6F"/>
    <w:rsid w:val="00E66175"/>
    <w:rsid w:val="00E75CCA"/>
    <w:rsid w:val="00E75F5D"/>
    <w:rsid w:val="00E815A8"/>
    <w:rsid w:val="00E8576D"/>
    <w:rsid w:val="00E85ACC"/>
    <w:rsid w:val="00E90CB2"/>
    <w:rsid w:val="00E912AD"/>
    <w:rsid w:val="00E92D45"/>
    <w:rsid w:val="00E93211"/>
    <w:rsid w:val="00EA37BF"/>
    <w:rsid w:val="00EB4165"/>
    <w:rsid w:val="00EC1626"/>
    <w:rsid w:val="00EC1742"/>
    <w:rsid w:val="00EC2B22"/>
    <w:rsid w:val="00EC488D"/>
    <w:rsid w:val="00EC57DF"/>
    <w:rsid w:val="00ED3EC5"/>
    <w:rsid w:val="00ED6B83"/>
    <w:rsid w:val="00ED7FE5"/>
    <w:rsid w:val="00EE6C79"/>
    <w:rsid w:val="00EE6DC2"/>
    <w:rsid w:val="00EF0101"/>
    <w:rsid w:val="00EF4741"/>
    <w:rsid w:val="00EF5A0B"/>
    <w:rsid w:val="00F1032C"/>
    <w:rsid w:val="00F12189"/>
    <w:rsid w:val="00F16CD7"/>
    <w:rsid w:val="00F17495"/>
    <w:rsid w:val="00F23A80"/>
    <w:rsid w:val="00F26C0E"/>
    <w:rsid w:val="00F31054"/>
    <w:rsid w:val="00F369B4"/>
    <w:rsid w:val="00F40079"/>
    <w:rsid w:val="00F40D49"/>
    <w:rsid w:val="00F50E27"/>
    <w:rsid w:val="00F629A3"/>
    <w:rsid w:val="00F62AB9"/>
    <w:rsid w:val="00F63709"/>
    <w:rsid w:val="00F66E09"/>
    <w:rsid w:val="00F74A6C"/>
    <w:rsid w:val="00F752D3"/>
    <w:rsid w:val="00F80EDF"/>
    <w:rsid w:val="00F84EC3"/>
    <w:rsid w:val="00F85DCC"/>
    <w:rsid w:val="00F912E3"/>
    <w:rsid w:val="00F91C71"/>
    <w:rsid w:val="00F931A6"/>
    <w:rsid w:val="00F9401D"/>
    <w:rsid w:val="00F94245"/>
    <w:rsid w:val="00F9490C"/>
    <w:rsid w:val="00FA111E"/>
    <w:rsid w:val="00FA16DD"/>
    <w:rsid w:val="00FA2153"/>
    <w:rsid w:val="00FA49C9"/>
    <w:rsid w:val="00FA5A5A"/>
    <w:rsid w:val="00FA6ED1"/>
    <w:rsid w:val="00FB75DC"/>
    <w:rsid w:val="00FC10C3"/>
    <w:rsid w:val="00FC7369"/>
    <w:rsid w:val="00FD0C4E"/>
    <w:rsid w:val="00FD34A5"/>
    <w:rsid w:val="00FD36F5"/>
    <w:rsid w:val="00FD776B"/>
    <w:rsid w:val="00FE18AF"/>
    <w:rsid w:val="00FF7E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CA1"/>
  <w15:docId w15:val="{E90195FA-D8FD-404B-97E9-DA5CF8E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0BA"/>
  </w:style>
  <w:style w:type="paragraph" w:styleId="Ttulo1">
    <w:name w:val="heading 1"/>
    <w:basedOn w:val="Normal"/>
    <w:next w:val="Normal"/>
    <w:link w:val="Ttulo1Char"/>
    <w:uiPriority w:val="9"/>
    <w:qFormat/>
    <w:rsid w:val="009D09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16E6"/>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BB16E6"/>
  </w:style>
  <w:style w:type="paragraph" w:styleId="Rodap">
    <w:name w:val="footer"/>
    <w:basedOn w:val="Normal"/>
    <w:link w:val="RodapChar"/>
    <w:uiPriority w:val="99"/>
    <w:unhideWhenUsed/>
    <w:rsid w:val="00BB16E6"/>
    <w:pPr>
      <w:tabs>
        <w:tab w:val="center" w:pos="4419"/>
        <w:tab w:val="right" w:pos="8838"/>
      </w:tabs>
      <w:spacing w:after="0" w:line="240" w:lineRule="auto"/>
    </w:pPr>
  </w:style>
  <w:style w:type="character" w:customStyle="1" w:styleId="RodapChar">
    <w:name w:val="Rodapé Char"/>
    <w:basedOn w:val="Fontepargpadro"/>
    <w:link w:val="Rodap"/>
    <w:uiPriority w:val="99"/>
    <w:rsid w:val="00BB16E6"/>
  </w:style>
  <w:style w:type="paragraph" w:styleId="PargrafodaLista">
    <w:name w:val="List Paragraph"/>
    <w:basedOn w:val="Normal"/>
    <w:uiPriority w:val="34"/>
    <w:qFormat/>
    <w:rsid w:val="00B34A13"/>
    <w:pPr>
      <w:ind w:left="720"/>
      <w:contextualSpacing/>
    </w:pPr>
  </w:style>
  <w:style w:type="paragraph" w:styleId="NormalWeb">
    <w:name w:val="Normal (Web)"/>
    <w:basedOn w:val="Normal"/>
    <w:uiPriority w:val="99"/>
    <w:unhideWhenUsed/>
    <w:rsid w:val="00F40D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notaderodap">
    <w:name w:val="footnote text"/>
    <w:basedOn w:val="Normal"/>
    <w:link w:val="TextodenotaderodapChar"/>
    <w:uiPriority w:val="99"/>
    <w:semiHidden/>
    <w:unhideWhenUsed/>
    <w:rsid w:val="00D57A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7A37"/>
    <w:rPr>
      <w:sz w:val="20"/>
      <w:szCs w:val="20"/>
    </w:rPr>
  </w:style>
  <w:style w:type="character" w:styleId="Refdenotaderodap">
    <w:name w:val="footnote reference"/>
    <w:basedOn w:val="Fontepargpadro"/>
    <w:uiPriority w:val="99"/>
    <w:semiHidden/>
    <w:unhideWhenUsed/>
    <w:rsid w:val="00D57A37"/>
    <w:rPr>
      <w:vertAlign w:val="superscript"/>
    </w:rPr>
  </w:style>
  <w:style w:type="character" w:customStyle="1" w:styleId="veryhardreadability">
    <w:name w:val="veryhardreadability"/>
    <w:basedOn w:val="Fontepargpadro"/>
    <w:rsid w:val="00551098"/>
  </w:style>
  <w:style w:type="character" w:customStyle="1" w:styleId="adverb">
    <w:name w:val="adverb"/>
    <w:basedOn w:val="Fontepargpadro"/>
    <w:rsid w:val="00551098"/>
  </w:style>
  <w:style w:type="character" w:customStyle="1" w:styleId="passivevoice">
    <w:name w:val="passivevoice"/>
    <w:basedOn w:val="Fontepargpadro"/>
    <w:rsid w:val="00551098"/>
  </w:style>
  <w:style w:type="character" w:styleId="Forte">
    <w:name w:val="Strong"/>
    <w:basedOn w:val="Fontepargpadro"/>
    <w:uiPriority w:val="22"/>
    <w:qFormat/>
    <w:rsid w:val="002C0AD3"/>
    <w:rPr>
      <w:b/>
      <w:bCs/>
    </w:rPr>
  </w:style>
  <w:style w:type="paragraph" w:styleId="Pr-formataoHTML">
    <w:name w:val="HTML Preformatted"/>
    <w:basedOn w:val="Normal"/>
    <w:link w:val="Pr-formataoHTMLChar"/>
    <w:uiPriority w:val="99"/>
    <w:semiHidden/>
    <w:unhideWhenUsed/>
    <w:rsid w:val="00AC45B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AC45BB"/>
    <w:rPr>
      <w:rFonts w:ascii="Consolas" w:hAnsi="Consolas"/>
      <w:sz w:val="20"/>
      <w:szCs w:val="20"/>
    </w:rPr>
  </w:style>
  <w:style w:type="character" w:customStyle="1" w:styleId="Ttulo1Char">
    <w:name w:val="Título 1 Char"/>
    <w:basedOn w:val="Fontepargpadro"/>
    <w:link w:val="Ttulo1"/>
    <w:uiPriority w:val="9"/>
    <w:rsid w:val="009D09F1"/>
    <w:rPr>
      <w:rFonts w:asciiTheme="majorHAnsi" w:eastAsiaTheme="majorEastAsia" w:hAnsiTheme="majorHAnsi" w:cstheme="majorBidi"/>
      <w:color w:val="2F5496" w:themeColor="accent1" w:themeShade="BF"/>
      <w:sz w:val="32"/>
      <w:szCs w:val="32"/>
    </w:rPr>
  </w:style>
  <w:style w:type="character" w:customStyle="1" w:styleId="il">
    <w:name w:val="il"/>
    <w:basedOn w:val="Fontepargpadro"/>
    <w:rsid w:val="00E8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08">
      <w:bodyDiv w:val="1"/>
      <w:marLeft w:val="0"/>
      <w:marRight w:val="0"/>
      <w:marTop w:val="0"/>
      <w:marBottom w:val="0"/>
      <w:divBdr>
        <w:top w:val="none" w:sz="0" w:space="0" w:color="auto"/>
        <w:left w:val="none" w:sz="0" w:space="0" w:color="auto"/>
        <w:bottom w:val="none" w:sz="0" w:space="0" w:color="auto"/>
        <w:right w:val="none" w:sz="0" w:space="0" w:color="auto"/>
      </w:divBdr>
    </w:div>
    <w:div w:id="36518146">
      <w:bodyDiv w:val="1"/>
      <w:marLeft w:val="0"/>
      <w:marRight w:val="0"/>
      <w:marTop w:val="0"/>
      <w:marBottom w:val="0"/>
      <w:divBdr>
        <w:top w:val="none" w:sz="0" w:space="0" w:color="auto"/>
        <w:left w:val="none" w:sz="0" w:space="0" w:color="auto"/>
        <w:bottom w:val="none" w:sz="0" w:space="0" w:color="auto"/>
        <w:right w:val="none" w:sz="0" w:space="0" w:color="auto"/>
      </w:divBdr>
    </w:div>
    <w:div w:id="48653253">
      <w:bodyDiv w:val="1"/>
      <w:marLeft w:val="0"/>
      <w:marRight w:val="0"/>
      <w:marTop w:val="0"/>
      <w:marBottom w:val="0"/>
      <w:divBdr>
        <w:top w:val="none" w:sz="0" w:space="0" w:color="auto"/>
        <w:left w:val="none" w:sz="0" w:space="0" w:color="auto"/>
        <w:bottom w:val="none" w:sz="0" w:space="0" w:color="auto"/>
        <w:right w:val="none" w:sz="0" w:space="0" w:color="auto"/>
      </w:divBdr>
    </w:div>
    <w:div w:id="113913894">
      <w:bodyDiv w:val="1"/>
      <w:marLeft w:val="0"/>
      <w:marRight w:val="0"/>
      <w:marTop w:val="0"/>
      <w:marBottom w:val="0"/>
      <w:divBdr>
        <w:top w:val="none" w:sz="0" w:space="0" w:color="auto"/>
        <w:left w:val="none" w:sz="0" w:space="0" w:color="auto"/>
        <w:bottom w:val="none" w:sz="0" w:space="0" w:color="auto"/>
        <w:right w:val="none" w:sz="0" w:space="0" w:color="auto"/>
      </w:divBdr>
    </w:div>
    <w:div w:id="115418765">
      <w:bodyDiv w:val="1"/>
      <w:marLeft w:val="0"/>
      <w:marRight w:val="0"/>
      <w:marTop w:val="0"/>
      <w:marBottom w:val="0"/>
      <w:divBdr>
        <w:top w:val="none" w:sz="0" w:space="0" w:color="auto"/>
        <w:left w:val="none" w:sz="0" w:space="0" w:color="auto"/>
        <w:bottom w:val="none" w:sz="0" w:space="0" w:color="auto"/>
        <w:right w:val="none" w:sz="0" w:space="0" w:color="auto"/>
      </w:divBdr>
    </w:div>
    <w:div w:id="116340335">
      <w:bodyDiv w:val="1"/>
      <w:marLeft w:val="0"/>
      <w:marRight w:val="0"/>
      <w:marTop w:val="0"/>
      <w:marBottom w:val="0"/>
      <w:divBdr>
        <w:top w:val="none" w:sz="0" w:space="0" w:color="auto"/>
        <w:left w:val="none" w:sz="0" w:space="0" w:color="auto"/>
        <w:bottom w:val="none" w:sz="0" w:space="0" w:color="auto"/>
        <w:right w:val="none" w:sz="0" w:space="0" w:color="auto"/>
      </w:divBdr>
    </w:div>
    <w:div w:id="294943985">
      <w:bodyDiv w:val="1"/>
      <w:marLeft w:val="0"/>
      <w:marRight w:val="0"/>
      <w:marTop w:val="0"/>
      <w:marBottom w:val="0"/>
      <w:divBdr>
        <w:top w:val="none" w:sz="0" w:space="0" w:color="auto"/>
        <w:left w:val="none" w:sz="0" w:space="0" w:color="auto"/>
        <w:bottom w:val="none" w:sz="0" w:space="0" w:color="auto"/>
        <w:right w:val="none" w:sz="0" w:space="0" w:color="auto"/>
      </w:divBdr>
    </w:div>
    <w:div w:id="298611129">
      <w:bodyDiv w:val="1"/>
      <w:marLeft w:val="0"/>
      <w:marRight w:val="0"/>
      <w:marTop w:val="0"/>
      <w:marBottom w:val="0"/>
      <w:divBdr>
        <w:top w:val="none" w:sz="0" w:space="0" w:color="auto"/>
        <w:left w:val="none" w:sz="0" w:space="0" w:color="auto"/>
        <w:bottom w:val="none" w:sz="0" w:space="0" w:color="auto"/>
        <w:right w:val="none" w:sz="0" w:space="0" w:color="auto"/>
      </w:divBdr>
    </w:div>
    <w:div w:id="315964242">
      <w:bodyDiv w:val="1"/>
      <w:marLeft w:val="0"/>
      <w:marRight w:val="0"/>
      <w:marTop w:val="0"/>
      <w:marBottom w:val="0"/>
      <w:divBdr>
        <w:top w:val="none" w:sz="0" w:space="0" w:color="auto"/>
        <w:left w:val="none" w:sz="0" w:space="0" w:color="auto"/>
        <w:bottom w:val="none" w:sz="0" w:space="0" w:color="auto"/>
        <w:right w:val="none" w:sz="0" w:space="0" w:color="auto"/>
      </w:divBdr>
    </w:div>
    <w:div w:id="321275848">
      <w:bodyDiv w:val="1"/>
      <w:marLeft w:val="0"/>
      <w:marRight w:val="0"/>
      <w:marTop w:val="0"/>
      <w:marBottom w:val="0"/>
      <w:divBdr>
        <w:top w:val="none" w:sz="0" w:space="0" w:color="auto"/>
        <w:left w:val="none" w:sz="0" w:space="0" w:color="auto"/>
        <w:bottom w:val="none" w:sz="0" w:space="0" w:color="auto"/>
        <w:right w:val="none" w:sz="0" w:space="0" w:color="auto"/>
      </w:divBdr>
    </w:div>
    <w:div w:id="351339524">
      <w:bodyDiv w:val="1"/>
      <w:marLeft w:val="0"/>
      <w:marRight w:val="0"/>
      <w:marTop w:val="0"/>
      <w:marBottom w:val="0"/>
      <w:divBdr>
        <w:top w:val="none" w:sz="0" w:space="0" w:color="auto"/>
        <w:left w:val="none" w:sz="0" w:space="0" w:color="auto"/>
        <w:bottom w:val="none" w:sz="0" w:space="0" w:color="auto"/>
        <w:right w:val="none" w:sz="0" w:space="0" w:color="auto"/>
      </w:divBdr>
    </w:div>
    <w:div w:id="412705656">
      <w:bodyDiv w:val="1"/>
      <w:marLeft w:val="0"/>
      <w:marRight w:val="0"/>
      <w:marTop w:val="0"/>
      <w:marBottom w:val="0"/>
      <w:divBdr>
        <w:top w:val="none" w:sz="0" w:space="0" w:color="auto"/>
        <w:left w:val="none" w:sz="0" w:space="0" w:color="auto"/>
        <w:bottom w:val="none" w:sz="0" w:space="0" w:color="auto"/>
        <w:right w:val="none" w:sz="0" w:space="0" w:color="auto"/>
      </w:divBdr>
      <w:divsChild>
        <w:div w:id="602887074">
          <w:marLeft w:val="0"/>
          <w:marRight w:val="0"/>
          <w:marTop w:val="0"/>
          <w:marBottom w:val="0"/>
          <w:divBdr>
            <w:top w:val="none" w:sz="0" w:space="0" w:color="auto"/>
            <w:left w:val="none" w:sz="0" w:space="0" w:color="auto"/>
            <w:bottom w:val="none" w:sz="0" w:space="0" w:color="auto"/>
            <w:right w:val="none" w:sz="0" w:space="0" w:color="auto"/>
          </w:divBdr>
        </w:div>
      </w:divsChild>
    </w:div>
    <w:div w:id="419838152">
      <w:bodyDiv w:val="1"/>
      <w:marLeft w:val="0"/>
      <w:marRight w:val="0"/>
      <w:marTop w:val="0"/>
      <w:marBottom w:val="0"/>
      <w:divBdr>
        <w:top w:val="none" w:sz="0" w:space="0" w:color="auto"/>
        <w:left w:val="none" w:sz="0" w:space="0" w:color="auto"/>
        <w:bottom w:val="none" w:sz="0" w:space="0" w:color="auto"/>
        <w:right w:val="none" w:sz="0" w:space="0" w:color="auto"/>
      </w:divBdr>
    </w:div>
    <w:div w:id="438069856">
      <w:bodyDiv w:val="1"/>
      <w:marLeft w:val="0"/>
      <w:marRight w:val="0"/>
      <w:marTop w:val="0"/>
      <w:marBottom w:val="0"/>
      <w:divBdr>
        <w:top w:val="none" w:sz="0" w:space="0" w:color="auto"/>
        <w:left w:val="none" w:sz="0" w:space="0" w:color="auto"/>
        <w:bottom w:val="none" w:sz="0" w:space="0" w:color="auto"/>
        <w:right w:val="none" w:sz="0" w:space="0" w:color="auto"/>
      </w:divBdr>
    </w:div>
    <w:div w:id="462771130">
      <w:bodyDiv w:val="1"/>
      <w:marLeft w:val="0"/>
      <w:marRight w:val="0"/>
      <w:marTop w:val="0"/>
      <w:marBottom w:val="0"/>
      <w:divBdr>
        <w:top w:val="none" w:sz="0" w:space="0" w:color="auto"/>
        <w:left w:val="none" w:sz="0" w:space="0" w:color="auto"/>
        <w:bottom w:val="none" w:sz="0" w:space="0" w:color="auto"/>
        <w:right w:val="none" w:sz="0" w:space="0" w:color="auto"/>
      </w:divBdr>
    </w:div>
    <w:div w:id="537670175">
      <w:bodyDiv w:val="1"/>
      <w:marLeft w:val="0"/>
      <w:marRight w:val="0"/>
      <w:marTop w:val="0"/>
      <w:marBottom w:val="0"/>
      <w:divBdr>
        <w:top w:val="none" w:sz="0" w:space="0" w:color="auto"/>
        <w:left w:val="none" w:sz="0" w:space="0" w:color="auto"/>
        <w:bottom w:val="none" w:sz="0" w:space="0" w:color="auto"/>
        <w:right w:val="none" w:sz="0" w:space="0" w:color="auto"/>
      </w:divBdr>
    </w:div>
    <w:div w:id="600604073">
      <w:bodyDiv w:val="1"/>
      <w:marLeft w:val="0"/>
      <w:marRight w:val="0"/>
      <w:marTop w:val="0"/>
      <w:marBottom w:val="0"/>
      <w:divBdr>
        <w:top w:val="none" w:sz="0" w:space="0" w:color="auto"/>
        <w:left w:val="none" w:sz="0" w:space="0" w:color="auto"/>
        <w:bottom w:val="none" w:sz="0" w:space="0" w:color="auto"/>
        <w:right w:val="none" w:sz="0" w:space="0" w:color="auto"/>
      </w:divBdr>
    </w:div>
    <w:div w:id="685331355">
      <w:bodyDiv w:val="1"/>
      <w:marLeft w:val="0"/>
      <w:marRight w:val="0"/>
      <w:marTop w:val="0"/>
      <w:marBottom w:val="0"/>
      <w:divBdr>
        <w:top w:val="none" w:sz="0" w:space="0" w:color="auto"/>
        <w:left w:val="none" w:sz="0" w:space="0" w:color="auto"/>
        <w:bottom w:val="none" w:sz="0" w:space="0" w:color="auto"/>
        <w:right w:val="none" w:sz="0" w:space="0" w:color="auto"/>
      </w:divBdr>
    </w:div>
    <w:div w:id="710766488">
      <w:bodyDiv w:val="1"/>
      <w:marLeft w:val="0"/>
      <w:marRight w:val="0"/>
      <w:marTop w:val="0"/>
      <w:marBottom w:val="0"/>
      <w:divBdr>
        <w:top w:val="none" w:sz="0" w:space="0" w:color="auto"/>
        <w:left w:val="none" w:sz="0" w:space="0" w:color="auto"/>
        <w:bottom w:val="none" w:sz="0" w:space="0" w:color="auto"/>
        <w:right w:val="none" w:sz="0" w:space="0" w:color="auto"/>
      </w:divBdr>
    </w:div>
    <w:div w:id="728915998">
      <w:bodyDiv w:val="1"/>
      <w:marLeft w:val="0"/>
      <w:marRight w:val="0"/>
      <w:marTop w:val="0"/>
      <w:marBottom w:val="0"/>
      <w:divBdr>
        <w:top w:val="none" w:sz="0" w:space="0" w:color="auto"/>
        <w:left w:val="none" w:sz="0" w:space="0" w:color="auto"/>
        <w:bottom w:val="none" w:sz="0" w:space="0" w:color="auto"/>
        <w:right w:val="none" w:sz="0" w:space="0" w:color="auto"/>
      </w:divBdr>
    </w:div>
    <w:div w:id="744717178">
      <w:bodyDiv w:val="1"/>
      <w:marLeft w:val="0"/>
      <w:marRight w:val="0"/>
      <w:marTop w:val="0"/>
      <w:marBottom w:val="0"/>
      <w:divBdr>
        <w:top w:val="none" w:sz="0" w:space="0" w:color="auto"/>
        <w:left w:val="none" w:sz="0" w:space="0" w:color="auto"/>
        <w:bottom w:val="none" w:sz="0" w:space="0" w:color="auto"/>
        <w:right w:val="none" w:sz="0" w:space="0" w:color="auto"/>
      </w:divBdr>
    </w:div>
    <w:div w:id="760490499">
      <w:bodyDiv w:val="1"/>
      <w:marLeft w:val="0"/>
      <w:marRight w:val="0"/>
      <w:marTop w:val="0"/>
      <w:marBottom w:val="0"/>
      <w:divBdr>
        <w:top w:val="none" w:sz="0" w:space="0" w:color="auto"/>
        <w:left w:val="none" w:sz="0" w:space="0" w:color="auto"/>
        <w:bottom w:val="none" w:sz="0" w:space="0" w:color="auto"/>
        <w:right w:val="none" w:sz="0" w:space="0" w:color="auto"/>
      </w:divBdr>
    </w:div>
    <w:div w:id="785272510">
      <w:bodyDiv w:val="1"/>
      <w:marLeft w:val="0"/>
      <w:marRight w:val="0"/>
      <w:marTop w:val="0"/>
      <w:marBottom w:val="0"/>
      <w:divBdr>
        <w:top w:val="none" w:sz="0" w:space="0" w:color="auto"/>
        <w:left w:val="none" w:sz="0" w:space="0" w:color="auto"/>
        <w:bottom w:val="none" w:sz="0" w:space="0" w:color="auto"/>
        <w:right w:val="none" w:sz="0" w:space="0" w:color="auto"/>
      </w:divBdr>
    </w:div>
    <w:div w:id="831608001">
      <w:bodyDiv w:val="1"/>
      <w:marLeft w:val="0"/>
      <w:marRight w:val="0"/>
      <w:marTop w:val="0"/>
      <w:marBottom w:val="0"/>
      <w:divBdr>
        <w:top w:val="none" w:sz="0" w:space="0" w:color="auto"/>
        <w:left w:val="none" w:sz="0" w:space="0" w:color="auto"/>
        <w:bottom w:val="none" w:sz="0" w:space="0" w:color="auto"/>
        <w:right w:val="none" w:sz="0" w:space="0" w:color="auto"/>
      </w:divBdr>
    </w:div>
    <w:div w:id="850415678">
      <w:bodyDiv w:val="1"/>
      <w:marLeft w:val="0"/>
      <w:marRight w:val="0"/>
      <w:marTop w:val="0"/>
      <w:marBottom w:val="0"/>
      <w:divBdr>
        <w:top w:val="none" w:sz="0" w:space="0" w:color="auto"/>
        <w:left w:val="none" w:sz="0" w:space="0" w:color="auto"/>
        <w:bottom w:val="none" w:sz="0" w:space="0" w:color="auto"/>
        <w:right w:val="none" w:sz="0" w:space="0" w:color="auto"/>
      </w:divBdr>
    </w:div>
    <w:div w:id="953680033">
      <w:bodyDiv w:val="1"/>
      <w:marLeft w:val="0"/>
      <w:marRight w:val="0"/>
      <w:marTop w:val="0"/>
      <w:marBottom w:val="0"/>
      <w:divBdr>
        <w:top w:val="none" w:sz="0" w:space="0" w:color="auto"/>
        <w:left w:val="none" w:sz="0" w:space="0" w:color="auto"/>
        <w:bottom w:val="none" w:sz="0" w:space="0" w:color="auto"/>
        <w:right w:val="none" w:sz="0" w:space="0" w:color="auto"/>
      </w:divBdr>
    </w:div>
    <w:div w:id="973799646">
      <w:bodyDiv w:val="1"/>
      <w:marLeft w:val="0"/>
      <w:marRight w:val="0"/>
      <w:marTop w:val="0"/>
      <w:marBottom w:val="0"/>
      <w:divBdr>
        <w:top w:val="none" w:sz="0" w:space="0" w:color="auto"/>
        <w:left w:val="none" w:sz="0" w:space="0" w:color="auto"/>
        <w:bottom w:val="none" w:sz="0" w:space="0" w:color="auto"/>
        <w:right w:val="none" w:sz="0" w:space="0" w:color="auto"/>
      </w:divBdr>
    </w:div>
    <w:div w:id="974675131">
      <w:bodyDiv w:val="1"/>
      <w:marLeft w:val="0"/>
      <w:marRight w:val="0"/>
      <w:marTop w:val="0"/>
      <w:marBottom w:val="0"/>
      <w:divBdr>
        <w:top w:val="none" w:sz="0" w:space="0" w:color="auto"/>
        <w:left w:val="none" w:sz="0" w:space="0" w:color="auto"/>
        <w:bottom w:val="none" w:sz="0" w:space="0" w:color="auto"/>
        <w:right w:val="none" w:sz="0" w:space="0" w:color="auto"/>
      </w:divBdr>
    </w:div>
    <w:div w:id="981809286">
      <w:bodyDiv w:val="1"/>
      <w:marLeft w:val="0"/>
      <w:marRight w:val="0"/>
      <w:marTop w:val="0"/>
      <w:marBottom w:val="0"/>
      <w:divBdr>
        <w:top w:val="none" w:sz="0" w:space="0" w:color="auto"/>
        <w:left w:val="none" w:sz="0" w:space="0" w:color="auto"/>
        <w:bottom w:val="none" w:sz="0" w:space="0" w:color="auto"/>
        <w:right w:val="none" w:sz="0" w:space="0" w:color="auto"/>
      </w:divBdr>
    </w:div>
    <w:div w:id="986860313">
      <w:bodyDiv w:val="1"/>
      <w:marLeft w:val="0"/>
      <w:marRight w:val="0"/>
      <w:marTop w:val="0"/>
      <w:marBottom w:val="0"/>
      <w:divBdr>
        <w:top w:val="none" w:sz="0" w:space="0" w:color="auto"/>
        <w:left w:val="none" w:sz="0" w:space="0" w:color="auto"/>
        <w:bottom w:val="none" w:sz="0" w:space="0" w:color="auto"/>
        <w:right w:val="none" w:sz="0" w:space="0" w:color="auto"/>
      </w:divBdr>
    </w:div>
    <w:div w:id="989938801">
      <w:bodyDiv w:val="1"/>
      <w:marLeft w:val="0"/>
      <w:marRight w:val="0"/>
      <w:marTop w:val="0"/>
      <w:marBottom w:val="0"/>
      <w:divBdr>
        <w:top w:val="none" w:sz="0" w:space="0" w:color="auto"/>
        <w:left w:val="none" w:sz="0" w:space="0" w:color="auto"/>
        <w:bottom w:val="none" w:sz="0" w:space="0" w:color="auto"/>
        <w:right w:val="none" w:sz="0" w:space="0" w:color="auto"/>
      </w:divBdr>
      <w:divsChild>
        <w:div w:id="679702344">
          <w:marLeft w:val="0"/>
          <w:marRight w:val="0"/>
          <w:marTop w:val="0"/>
          <w:marBottom w:val="0"/>
          <w:divBdr>
            <w:top w:val="none" w:sz="0" w:space="0" w:color="auto"/>
            <w:left w:val="none" w:sz="0" w:space="0" w:color="auto"/>
            <w:bottom w:val="none" w:sz="0" w:space="0" w:color="auto"/>
            <w:right w:val="none" w:sz="0" w:space="0" w:color="auto"/>
          </w:divBdr>
        </w:div>
      </w:divsChild>
    </w:div>
    <w:div w:id="1016880603">
      <w:bodyDiv w:val="1"/>
      <w:marLeft w:val="0"/>
      <w:marRight w:val="0"/>
      <w:marTop w:val="0"/>
      <w:marBottom w:val="0"/>
      <w:divBdr>
        <w:top w:val="none" w:sz="0" w:space="0" w:color="auto"/>
        <w:left w:val="none" w:sz="0" w:space="0" w:color="auto"/>
        <w:bottom w:val="none" w:sz="0" w:space="0" w:color="auto"/>
        <w:right w:val="none" w:sz="0" w:space="0" w:color="auto"/>
      </w:divBdr>
    </w:div>
    <w:div w:id="1065228399">
      <w:bodyDiv w:val="1"/>
      <w:marLeft w:val="0"/>
      <w:marRight w:val="0"/>
      <w:marTop w:val="0"/>
      <w:marBottom w:val="0"/>
      <w:divBdr>
        <w:top w:val="none" w:sz="0" w:space="0" w:color="auto"/>
        <w:left w:val="none" w:sz="0" w:space="0" w:color="auto"/>
        <w:bottom w:val="none" w:sz="0" w:space="0" w:color="auto"/>
        <w:right w:val="none" w:sz="0" w:space="0" w:color="auto"/>
      </w:divBdr>
    </w:div>
    <w:div w:id="1099640027">
      <w:bodyDiv w:val="1"/>
      <w:marLeft w:val="0"/>
      <w:marRight w:val="0"/>
      <w:marTop w:val="0"/>
      <w:marBottom w:val="0"/>
      <w:divBdr>
        <w:top w:val="none" w:sz="0" w:space="0" w:color="auto"/>
        <w:left w:val="none" w:sz="0" w:space="0" w:color="auto"/>
        <w:bottom w:val="none" w:sz="0" w:space="0" w:color="auto"/>
        <w:right w:val="none" w:sz="0" w:space="0" w:color="auto"/>
      </w:divBdr>
    </w:div>
    <w:div w:id="1111363486">
      <w:bodyDiv w:val="1"/>
      <w:marLeft w:val="0"/>
      <w:marRight w:val="0"/>
      <w:marTop w:val="0"/>
      <w:marBottom w:val="0"/>
      <w:divBdr>
        <w:top w:val="none" w:sz="0" w:space="0" w:color="auto"/>
        <w:left w:val="none" w:sz="0" w:space="0" w:color="auto"/>
        <w:bottom w:val="none" w:sz="0" w:space="0" w:color="auto"/>
        <w:right w:val="none" w:sz="0" w:space="0" w:color="auto"/>
      </w:divBdr>
    </w:div>
    <w:div w:id="1135413209">
      <w:bodyDiv w:val="1"/>
      <w:marLeft w:val="0"/>
      <w:marRight w:val="0"/>
      <w:marTop w:val="0"/>
      <w:marBottom w:val="0"/>
      <w:divBdr>
        <w:top w:val="none" w:sz="0" w:space="0" w:color="auto"/>
        <w:left w:val="none" w:sz="0" w:space="0" w:color="auto"/>
        <w:bottom w:val="none" w:sz="0" w:space="0" w:color="auto"/>
        <w:right w:val="none" w:sz="0" w:space="0" w:color="auto"/>
      </w:divBdr>
      <w:divsChild>
        <w:div w:id="1754156954">
          <w:marLeft w:val="0"/>
          <w:marRight w:val="0"/>
          <w:marTop w:val="0"/>
          <w:marBottom w:val="0"/>
          <w:divBdr>
            <w:top w:val="none" w:sz="0" w:space="0" w:color="auto"/>
            <w:left w:val="none" w:sz="0" w:space="0" w:color="auto"/>
            <w:bottom w:val="none" w:sz="0" w:space="0" w:color="auto"/>
            <w:right w:val="none" w:sz="0" w:space="0" w:color="auto"/>
          </w:divBdr>
        </w:div>
      </w:divsChild>
    </w:div>
    <w:div w:id="1167401308">
      <w:bodyDiv w:val="1"/>
      <w:marLeft w:val="0"/>
      <w:marRight w:val="0"/>
      <w:marTop w:val="0"/>
      <w:marBottom w:val="0"/>
      <w:divBdr>
        <w:top w:val="none" w:sz="0" w:space="0" w:color="auto"/>
        <w:left w:val="none" w:sz="0" w:space="0" w:color="auto"/>
        <w:bottom w:val="none" w:sz="0" w:space="0" w:color="auto"/>
        <w:right w:val="none" w:sz="0" w:space="0" w:color="auto"/>
      </w:divBdr>
    </w:div>
    <w:div w:id="1212688431">
      <w:bodyDiv w:val="1"/>
      <w:marLeft w:val="0"/>
      <w:marRight w:val="0"/>
      <w:marTop w:val="0"/>
      <w:marBottom w:val="0"/>
      <w:divBdr>
        <w:top w:val="none" w:sz="0" w:space="0" w:color="auto"/>
        <w:left w:val="none" w:sz="0" w:space="0" w:color="auto"/>
        <w:bottom w:val="none" w:sz="0" w:space="0" w:color="auto"/>
        <w:right w:val="none" w:sz="0" w:space="0" w:color="auto"/>
      </w:divBdr>
    </w:div>
    <w:div w:id="1226334817">
      <w:bodyDiv w:val="1"/>
      <w:marLeft w:val="0"/>
      <w:marRight w:val="0"/>
      <w:marTop w:val="0"/>
      <w:marBottom w:val="0"/>
      <w:divBdr>
        <w:top w:val="none" w:sz="0" w:space="0" w:color="auto"/>
        <w:left w:val="none" w:sz="0" w:space="0" w:color="auto"/>
        <w:bottom w:val="none" w:sz="0" w:space="0" w:color="auto"/>
        <w:right w:val="none" w:sz="0" w:space="0" w:color="auto"/>
      </w:divBdr>
    </w:div>
    <w:div w:id="1258634329">
      <w:bodyDiv w:val="1"/>
      <w:marLeft w:val="0"/>
      <w:marRight w:val="0"/>
      <w:marTop w:val="0"/>
      <w:marBottom w:val="0"/>
      <w:divBdr>
        <w:top w:val="none" w:sz="0" w:space="0" w:color="auto"/>
        <w:left w:val="none" w:sz="0" w:space="0" w:color="auto"/>
        <w:bottom w:val="none" w:sz="0" w:space="0" w:color="auto"/>
        <w:right w:val="none" w:sz="0" w:space="0" w:color="auto"/>
      </w:divBdr>
    </w:div>
    <w:div w:id="1304579587">
      <w:bodyDiv w:val="1"/>
      <w:marLeft w:val="0"/>
      <w:marRight w:val="0"/>
      <w:marTop w:val="0"/>
      <w:marBottom w:val="0"/>
      <w:divBdr>
        <w:top w:val="none" w:sz="0" w:space="0" w:color="auto"/>
        <w:left w:val="none" w:sz="0" w:space="0" w:color="auto"/>
        <w:bottom w:val="none" w:sz="0" w:space="0" w:color="auto"/>
        <w:right w:val="none" w:sz="0" w:space="0" w:color="auto"/>
      </w:divBdr>
    </w:div>
    <w:div w:id="1362822145">
      <w:bodyDiv w:val="1"/>
      <w:marLeft w:val="0"/>
      <w:marRight w:val="0"/>
      <w:marTop w:val="0"/>
      <w:marBottom w:val="0"/>
      <w:divBdr>
        <w:top w:val="none" w:sz="0" w:space="0" w:color="auto"/>
        <w:left w:val="none" w:sz="0" w:space="0" w:color="auto"/>
        <w:bottom w:val="none" w:sz="0" w:space="0" w:color="auto"/>
        <w:right w:val="none" w:sz="0" w:space="0" w:color="auto"/>
      </w:divBdr>
    </w:div>
    <w:div w:id="1428161288">
      <w:bodyDiv w:val="1"/>
      <w:marLeft w:val="0"/>
      <w:marRight w:val="0"/>
      <w:marTop w:val="0"/>
      <w:marBottom w:val="0"/>
      <w:divBdr>
        <w:top w:val="none" w:sz="0" w:space="0" w:color="auto"/>
        <w:left w:val="none" w:sz="0" w:space="0" w:color="auto"/>
        <w:bottom w:val="none" w:sz="0" w:space="0" w:color="auto"/>
        <w:right w:val="none" w:sz="0" w:space="0" w:color="auto"/>
      </w:divBdr>
    </w:div>
    <w:div w:id="1511749549">
      <w:bodyDiv w:val="1"/>
      <w:marLeft w:val="0"/>
      <w:marRight w:val="0"/>
      <w:marTop w:val="0"/>
      <w:marBottom w:val="0"/>
      <w:divBdr>
        <w:top w:val="none" w:sz="0" w:space="0" w:color="auto"/>
        <w:left w:val="none" w:sz="0" w:space="0" w:color="auto"/>
        <w:bottom w:val="none" w:sz="0" w:space="0" w:color="auto"/>
        <w:right w:val="none" w:sz="0" w:space="0" w:color="auto"/>
      </w:divBdr>
    </w:div>
    <w:div w:id="1558204252">
      <w:bodyDiv w:val="1"/>
      <w:marLeft w:val="0"/>
      <w:marRight w:val="0"/>
      <w:marTop w:val="0"/>
      <w:marBottom w:val="0"/>
      <w:divBdr>
        <w:top w:val="none" w:sz="0" w:space="0" w:color="auto"/>
        <w:left w:val="none" w:sz="0" w:space="0" w:color="auto"/>
        <w:bottom w:val="none" w:sz="0" w:space="0" w:color="auto"/>
        <w:right w:val="none" w:sz="0" w:space="0" w:color="auto"/>
      </w:divBdr>
    </w:div>
    <w:div w:id="1567716201">
      <w:bodyDiv w:val="1"/>
      <w:marLeft w:val="0"/>
      <w:marRight w:val="0"/>
      <w:marTop w:val="0"/>
      <w:marBottom w:val="0"/>
      <w:divBdr>
        <w:top w:val="none" w:sz="0" w:space="0" w:color="auto"/>
        <w:left w:val="none" w:sz="0" w:space="0" w:color="auto"/>
        <w:bottom w:val="none" w:sz="0" w:space="0" w:color="auto"/>
        <w:right w:val="none" w:sz="0" w:space="0" w:color="auto"/>
      </w:divBdr>
    </w:div>
    <w:div w:id="1602294557">
      <w:bodyDiv w:val="1"/>
      <w:marLeft w:val="0"/>
      <w:marRight w:val="0"/>
      <w:marTop w:val="0"/>
      <w:marBottom w:val="0"/>
      <w:divBdr>
        <w:top w:val="none" w:sz="0" w:space="0" w:color="auto"/>
        <w:left w:val="none" w:sz="0" w:space="0" w:color="auto"/>
        <w:bottom w:val="none" w:sz="0" w:space="0" w:color="auto"/>
        <w:right w:val="none" w:sz="0" w:space="0" w:color="auto"/>
      </w:divBdr>
    </w:div>
    <w:div w:id="1615207053">
      <w:bodyDiv w:val="1"/>
      <w:marLeft w:val="0"/>
      <w:marRight w:val="0"/>
      <w:marTop w:val="0"/>
      <w:marBottom w:val="0"/>
      <w:divBdr>
        <w:top w:val="none" w:sz="0" w:space="0" w:color="auto"/>
        <w:left w:val="none" w:sz="0" w:space="0" w:color="auto"/>
        <w:bottom w:val="none" w:sz="0" w:space="0" w:color="auto"/>
        <w:right w:val="none" w:sz="0" w:space="0" w:color="auto"/>
      </w:divBdr>
    </w:div>
    <w:div w:id="1616138373">
      <w:bodyDiv w:val="1"/>
      <w:marLeft w:val="0"/>
      <w:marRight w:val="0"/>
      <w:marTop w:val="0"/>
      <w:marBottom w:val="0"/>
      <w:divBdr>
        <w:top w:val="none" w:sz="0" w:space="0" w:color="auto"/>
        <w:left w:val="none" w:sz="0" w:space="0" w:color="auto"/>
        <w:bottom w:val="none" w:sz="0" w:space="0" w:color="auto"/>
        <w:right w:val="none" w:sz="0" w:space="0" w:color="auto"/>
      </w:divBdr>
    </w:div>
    <w:div w:id="1636519791">
      <w:bodyDiv w:val="1"/>
      <w:marLeft w:val="0"/>
      <w:marRight w:val="0"/>
      <w:marTop w:val="0"/>
      <w:marBottom w:val="0"/>
      <w:divBdr>
        <w:top w:val="none" w:sz="0" w:space="0" w:color="auto"/>
        <w:left w:val="none" w:sz="0" w:space="0" w:color="auto"/>
        <w:bottom w:val="none" w:sz="0" w:space="0" w:color="auto"/>
        <w:right w:val="none" w:sz="0" w:space="0" w:color="auto"/>
      </w:divBdr>
    </w:div>
    <w:div w:id="1654599801">
      <w:bodyDiv w:val="1"/>
      <w:marLeft w:val="0"/>
      <w:marRight w:val="0"/>
      <w:marTop w:val="0"/>
      <w:marBottom w:val="0"/>
      <w:divBdr>
        <w:top w:val="none" w:sz="0" w:space="0" w:color="auto"/>
        <w:left w:val="none" w:sz="0" w:space="0" w:color="auto"/>
        <w:bottom w:val="none" w:sz="0" w:space="0" w:color="auto"/>
        <w:right w:val="none" w:sz="0" w:space="0" w:color="auto"/>
      </w:divBdr>
    </w:div>
    <w:div w:id="1716657589">
      <w:bodyDiv w:val="1"/>
      <w:marLeft w:val="0"/>
      <w:marRight w:val="0"/>
      <w:marTop w:val="0"/>
      <w:marBottom w:val="0"/>
      <w:divBdr>
        <w:top w:val="none" w:sz="0" w:space="0" w:color="auto"/>
        <w:left w:val="none" w:sz="0" w:space="0" w:color="auto"/>
        <w:bottom w:val="none" w:sz="0" w:space="0" w:color="auto"/>
        <w:right w:val="none" w:sz="0" w:space="0" w:color="auto"/>
      </w:divBdr>
    </w:div>
    <w:div w:id="1758015755">
      <w:bodyDiv w:val="1"/>
      <w:marLeft w:val="0"/>
      <w:marRight w:val="0"/>
      <w:marTop w:val="0"/>
      <w:marBottom w:val="0"/>
      <w:divBdr>
        <w:top w:val="none" w:sz="0" w:space="0" w:color="auto"/>
        <w:left w:val="none" w:sz="0" w:space="0" w:color="auto"/>
        <w:bottom w:val="none" w:sz="0" w:space="0" w:color="auto"/>
        <w:right w:val="none" w:sz="0" w:space="0" w:color="auto"/>
      </w:divBdr>
    </w:div>
    <w:div w:id="1802842252">
      <w:bodyDiv w:val="1"/>
      <w:marLeft w:val="0"/>
      <w:marRight w:val="0"/>
      <w:marTop w:val="0"/>
      <w:marBottom w:val="0"/>
      <w:divBdr>
        <w:top w:val="none" w:sz="0" w:space="0" w:color="auto"/>
        <w:left w:val="none" w:sz="0" w:space="0" w:color="auto"/>
        <w:bottom w:val="none" w:sz="0" w:space="0" w:color="auto"/>
        <w:right w:val="none" w:sz="0" w:space="0" w:color="auto"/>
      </w:divBdr>
    </w:div>
    <w:div w:id="1811240969">
      <w:bodyDiv w:val="1"/>
      <w:marLeft w:val="0"/>
      <w:marRight w:val="0"/>
      <w:marTop w:val="0"/>
      <w:marBottom w:val="0"/>
      <w:divBdr>
        <w:top w:val="none" w:sz="0" w:space="0" w:color="auto"/>
        <w:left w:val="none" w:sz="0" w:space="0" w:color="auto"/>
        <w:bottom w:val="none" w:sz="0" w:space="0" w:color="auto"/>
        <w:right w:val="none" w:sz="0" w:space="0" w:color="auto"/>
      </w:divBdr>
    </w:div>
    <w:div w:id="1842885702">
      <w:bodyDiv w:val="1"/>
      <w:marLeft w:val="0"/>
      <w:marRight w:val="0"/>
      <w:marTop w:val="0"/>
      <w:marBottom w:val="0"/>
      <w:divBdr>
        <w:top w:val="none" w:sz="0" w:space="0" w:color="auto"/>
        <w:left w:val="none" w:sz="0" w:space="0" w:color="auto"/>
        <w:bottom w:val="none" w:sz="0" w:space="0" w:color="auto"/>
        <w:right w:val="none" w:sz="0" w:space="0" w:color="auto"/>
      </w:divBdr>
    </w:div>
    <w:div w:id="1878658114">
      <w:bodyDiv w:val="1"/>
      <w:marLeft w:val="0"/>
      <w:marRight w:val="0"/>
      <w:marTop w:val="0"/>
      <w:marBottom w:val="0"/>
      <w:divBdr>
        <w:top w:val="none" w:sz="0" w:space="0" w:color="auto"/>
        <w:left w:val="none" w:sz="0" w:space="0" w:color="auto"/>
        <w:bottom w:val="none" w:sz="0" w:space="0" w:color="auto"/>
        <w:right w:val="none" w:sz="0" w:space="0" w:color="auto"/>
      </w:divBdr>
    </w:div>
    <w:div w:id="1892883831">
      <w:bodyDiv w:val="1"/>
      <w:marLeft w:val="0"/>
      <w:marRight w:val="0"/>
      <w:marTop w:val="0"/>
      <w:marBottom w:val="0"/>
      <w:divBdr>
        <w:top w:val="none" w:sz="0" w:space="0" w:color="auto"/>
        <w:left w:val="none" w:sz="0" w:space="0" w:color="auto"/>
        <w:bottom w:val="none" w:sz="0" w:space="0" w:color="auto"/>
        <w:right w:val="none" w:sz="0" w:space="0" w:color="auto"/>
      </w:divBdr>
    </w:div>
    <w:div w:id="1927955053">
      <w:bodyDiv w:val="1"/>
      <w:marLeft w:val="0"/>
      <w:marRight w:val="0"/>
      <w:marTop w:val="0"/>
      <w:marBottom w:val="0"/>
      <w:divBdr>
        <w:top w:val="none" w:sz="0" w:space="0" w:color="auto"/>
        <w:left w:val="none" w:sz="0" w:space="0" w:color="auto"/>
        <w:bottom w:val="none" w:sz="0" w:space="0" w:color="auto"/>
        <w:right w:val="none" w:sz="0" w:space="0" w:color="auto"/>
      </w:divBdr>
    </w:div>
    <w:div w:id="2005085980">
      <w:bodyDiv w:val="1"/>
      <w:marLeft w:val="0"/>
      <w:marRight w:val="0"/>
      <w:marTop w:val="0"/>
      <w:marBottom w:val="0"/>
      <w:divBdr>
        <w:top w:val="none" w:sz="0" w:space="0" w:color="auto"/>
        <w:left w:val="none" w:sz="0" w:space="0" w:color="auto"/>
        <w:bottom w:val="none" w:sz="0" w:space="0" w:color="auto"/>
        <w:right w:val="none" w:sz="0" w:space="0" w:color="auto"/>
      </w:divBdr>
    </w:div>
    <w:div w:id="2008822820">
      <w:bodyDiv w:val="1"/>
      <w:marLeft w:val="0"/>
      <w:marRight w:val="0"/>
      <w:marTop w:val="0"/>
      <w:marBottom w:val="0"/>
      <w:divBdr>
        <w:top w:val="none" w:sz="0" w:space="0" w:color="auto"/>
        <w:left w:val="none" w:sz="0" w:space="0" w:color="auto"/>
        <w:bottom w:val="none" w:sz="0" w:space="0" w:color="auto"/>
        <w:right w:val="none" w:sz="0" w:space="0" w:color="auto"/>
      </w:divBdr>
    </w:div>
    <w:div w:id="2015447970">
      <w:bodyDiv w:val="1"/>
      <w:marLeft w:val="0"/>
      <w:marRight w:val="0"/>
      <w:marTop w:val="0"/>
      <w:marBottom w:val="0"/>
      <w:divBdr>
        <w:top w:val="none" w:sz="0" w:space="0" w:color="auto"/>
        <w:left w:val="none" w:sz="0" w:space="0" w:color="auto"/>
        <w:bottom w:val="none" w:sz="0" w:space="0" w:color="auto"/>
        <w:right w:val="none" w:sz="0" w:space="0" w:color="auto"/>
      </w:divBdr>
    </w:div>
    <w:div w:id="2061052647">
      <w:bodyDiv w:val="1"/>
      <w:marLeft w:val="0"/>
      <w:marRight w:val="0"/>
      <w:marTop w:val="0"/>
      <w:marBottom w:val="0"/>
      <w:divBdr>
        <w:top w:val="none" w:sz="0" w:space="0" w:color="auto"/>
        <w:left w:val="none" w:sz="0" w:space="0" w:color="auto"/>
        <w:bottom w:val="none" w:sz="0" w:space="0" w:color="auto"/>
        <w:right w:val="none" w:sz="0" w:space="0" w:color="auto"/>
      </w:divBdr>
    </w:div>
    <w:div w:id="2064595093">
      <w:bodyDiv w:val="1"/>
      <w:marLeft w:val="0"/>
      <w:marRight w:val="0"/>
      <w:marTop w:val="0"/>
      <w:marBottom w:val="0"/>
      <w:divBdr>
        <w:top w:val="none" w:sz="0" w:space="0" w:color="auto"/>
        <w:left w:val="none" w:sz="0" w:space="0" w:color="auto"/>
        <w:bottom w:val="none" w:sz="0" w:space="0" w:color="auto"/>
        <w:right w:val="none" w:sz="0" w:space="0" w:color="auto"/>
      </w:divBdr>
    </w:div>
    <w:div w:id="2095517390">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39254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649571229756618E-2"/>
          <c:y val="3.8852080922460203E-2"/>
          <c:w val="0.9429739636975758"/>
          <c:h val="0.60021208730788456"/>
        </c:manualLayout>
      </c:layout>
      <c:bar3DChart>
        <c:barDir val="col"/>
        <c:grouping val="clustered"/>
        <c:varyColors val="0"/>
        <c:ser>
          <c:idx val="0"/>
          <c:order val="0"/>
          <c:tx>
            <c:strRef>
              <c:f>Planilha1!$D$1</c:f>
              <c:strCache>
                <c:ptCount val="1"/>
                <c:pt idx="0">
                  <c:v>Negative</c:v>
                </c:pt>
              </c:strCache>
            </c:strRef>
          </c:tx>
          <c:spPr>
            <a:solidFill>
              <a:srgbClr val="00B05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Planilha1!$A$2:$C$12</c:f>
              <c:multiLvlStrCache>
                <c:ptCount val="11"/>
                <c:lvl>
                  <c:pt idx="0">
                    <c:v>RO</c:v>
                  </c:pt>
                  <c:pt idx="1">
                    <c:v>MT</c:v>
                  </c:pt>
                  <c:pt idx="2">
                    <c:v>MS</c:v>
                  </c:pt>
                  <c:pt idx="3">
                    <c:v>BA</c:v>
                  </c:pt>
                  <c:pt idx="4">
                    <c:v>PI</c:v>
                  </c:pt>
                  <c:pt idx="5">
                    <c:v>MG</c:v>
                  </c:pt>
                  <c:pt idx="6">
                    <c:v>RJ</c:v>
                  </c:pt>
                  <c:pt idx="7">
                    <c:v>SP</c:v>
                  </c:pt>
                  <c:pt idx="8">
                    <c:v>PR</c:v>
                  </c:pt>
                  <c:pt idx="9">
                    <c:v>RS</c:v>
                  </c:pt>
                  <c:pt idx="10">
                    <c:v>SC</c:v>
                  </c:pt>
                </c:lvl>
                <c:lvl>
                  <c:pt idx="0">
                    <c:v>North</c:v>
                  </c:pt>
                  <c:pt idx="1">
                    <c:v>Midwest</c:v>
                  </c:pt>
                  <c:pt idx="2">
                    <c:v>Midwest</c:v>
                  </c:pt>
                  <c:pt idx="3">
                    <c:v>Northeast</c:v>
                  </c:pt>
                  <c:pt idx="4">
                    <c:v>Northeast</c:v>
                  </c:pt>
                  <c:pt idx="5">
                    <c:v>Southeast</c:v>
                  </c:pt>
                  <c:pt idx="6">
                    <c:v>Southeast</c:v>
                  </c:pt>
                  <c:pt idx="7">
                    <c:v>Southeast</c:v>
                  </c:pt>
                  <c:pt idx="8">
                    <c:v>South</c:v>
                  </c:pt>
                  <c:pt idx="9">
                    <c:v>South</c:v>
                  </c:pt>
                  <c:pt idx="10">
                    <c:v>South</c:v>
                  </c:pt>
                </c:lvl>
                <c:lvl>
                  <c:pt idx="0">
                    <c:v>1       Observ.</c:v>
                  </c:pt>
                  <c:pt idx="1">
                    <c:v>3        Observ.</c:v>
                  </c:pt>
                  <c:pt idx="2">
                    <c:v>1        Observ.</c:v>
                  </c:pt>
                  <c:pt idx="3">
                    <c:v>6       Observ.</c:v>
                  </c:pt>
                  <c:pt idx="4">
                    <c:v>1       Observ.</c:v>
                  </c:pt>
                  <c:pt idx="5">
                    <c:v>6       Observ.</c:v>
                  </c:pt>
                  <c:pt idx="6">
                    <c:v>6       Observ.</c:v>
                  </c:pt>
                  <c:pt idx="7">
                    <c:v>18 Observ. </c:v>
                  </c:pt>
                  <c:pt idx="8">
                    <c:v>37 Observ.</c:v>
                  </c:pt>
                  <c:pt idx="9">
                    <c:v>14 Observ.</c:v>
                  </c:pt>
                  <c:pt idx="10">
                    <c:v>26 Observ. </c:v>
                  </c:pt>
                </c:lvl>
              </c:multiLvlStrCache>
            </c:multiLvlStrRef>
          </c:cat>
          <c:val>
            <c:numRef>
              <c:f>Planilha1!$D$2:$D$12</c:f>
              <c:numCache>
                <c:formatCode>General</c:formatCode>
                <c:ptCount val="11"/>
                <c:pt idx="0">
                  <c:v>6</c:v>
                </c:pt>
                <c:pt idx="1">
                  <c:v>1</c:v>
                </c:pt>
                <c:pt idx="2">
                  <c:v>5</c:v>
                </c:pt>
                <c:pt idx="3">
                  <c:v>2</c:v>
                </c:pt>
                <c:pt idx="4">
                  <c:v>3</c:v>
                </c:pt>
                <c:pt idx="5">
                  <c:v>1</c:v>
                </c:pt>
                <c:pt idx="6">
                  <c:v>1</c:v>
                </c:pt>
                <c:pt idx="7">
                  <c:v>2</c:v>
                </c:pt>
                <c:pt idx="8">
                  <c:v>3</c:v>
                </c:pt>
                <c:pt idx="9">
                  <c:v>5</c:v>
                </c:pt>
                <c:pt idx="10">
                  <c:v>9</c:v>
                </c:pt>
              </c:numCache>
            </c:numRef>
          </c:val>
          <c:extLst>
            <c:ext xmlns:c16="http://schemas.microsoft.com/office/drawing/2014/chart" uri="{C3380CC4-5D6E-409C-BE32-E72D297353CC}">
              <c16:uniqueId val="{00000000-8B5D-4520-9BE0-19D08BF21655}"/>
            </c:ext>
          </c:extLst>
        </c:ser>
        <c:ser>
          <c:idx val="1"/>
          <c:order val="1"/>
          <c:tx>
            <c:strRef>
              <c:f>Planilha1!$E$1</c:f>
              <c:strCache>
                <c:ptCount val="1"/>
                <c:pt idx="0">
                  <c:v>Positive</c:v>
                </c:pt>
              </c:strCache>
            </c:strRef>
          </c:tx>
          <c:spPr>
            <a:solidFill>
              <a:srgbClr val="FF000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Planilha1!$A$2:$C$12</c:f>
              <c:multiLvlStrCache>
                <c:ptCount val="11"/>
                <c:lvl>
                  <c:pt idx="0">
                    <c:v>RO</c:v>
                  </c:pt>
                  <c:pt idx="1">
                    <c:v>MT</c:v>
                  </c:pt>
                  <c:pt idx="2">
                    <c:v>MS</c:v>
                  </c:pt>
                  <c:pt idx="3">
                    <c:v>BA</c:v>
                  </c:pt>
                  <c:pt idx="4">
                    <c:v>PI</c:v>
                  </c:pt>
                  <c:pt idx="5">
                    <c:v>MG</c:v>
                  </c:pt>
                  <c:pt idx="6">
                    <c:v>RJ</c:v>
                  </c:pt>
                  <c:pt idx="7">
                    <c:v>SP</c:v>
                  </c:pt>
                  <c:pt idx="8">
                    <c:v>PR</c:v>
                  </c:pt>
                  <c:pt idx="9">
                    <c:v>RS</c:v>
                  </c:pt>
                  <c:pt idx="10">
                    <c:v>SC</c:v>
                  </c:pt>
                </c:lvl>
                <c:lvl>
                  <c:pt idx="0">
                    <c:v>North</c:v>
                  </c:pt>
                  <c:pt idx="1">
                    <c:v>Midwest</c:v>
                  </c:pt>
                  <c:pt idx="2">
                    <c:v>Midwest</c:v>
                  </c:pt>
                  <c:pt idx="3">
                    <c:v>Northeast</c:v>
                  </c:pt>
                  <c:pt idx="4">
                    <c:v>Northeast</c:v>
                  </c:pt>
                  <c:pt idx="5">
                    <c:v>Southeast</c:v>
                  </c:pt>
                  <c:pt idx="6">
                    <c:v>Southeast</c:v>
                  </c:pt>
                  <c:pt idx="7">
                    <c:v>Southeast</c:v>
                  </c:pt>
                  <c:pt idx="8">
                    <c:v>South</c:v>
                  </c:pt>
                  <c:pt idx="9">
                    <c:v>South</c:v>
                  </c:pt>
                  <c:pt idx="10">
                    <c:v>South</c:v>
                  </c:pt>
                </c:lvl>
                <c:lvl>
                  <c:pt idx="0">
                    <c:v>1       Observ.</c:v>
                  </c:pt>
                  <c:pt idx="1">
                    <c:v>3        Observ.</c:v>
                  </c:pt>
                  <c:pt idx="2">
                    <c:v>1        Observ.</c:v>
                  </c:pt>
                  <c:pt idx="3">
                    <c:v>6       Observ.</c:v>
                  </c:pt>
                  <c:pt idx="4">
                    <c:v>1       Observ.</c:v>
                  </c:pt>
                  <c:pt idx="5">
                    <c:v>6       Observ.</c:v>
                  </c:pt>
                  <c:pt idx="6">
                    <c:v>6       Observ.</c:v>
                  </c:pt>
                  <c:pt idx="7">
                    <c:v>18 Observ. </c:v>
                  </c:pt>
                  <c:pt idx="8">
                    <c:v>37 Observ.</c:v>
                  </c:pt>
                  <c:pt idx="9">
                    <c:v>14 Observ.</c:v>
                  </c:pt>
                  <c:pt idx="10">
                    <c:v>26 Observ. </c:v>
                  </c:pt>
                </c:lvl>
              </c:multiLvlStrCache>
            </c:multiLvlStrRef>
          </c:cat>
          <c:val>
            <c:numRef>
              <c:f>Planilha1!$E$2:$E$12</c:f>
              <c:numCache>
                <c:formatCode>General</c:formatCode>
                <c:ptCount val="11"/>
                <c:pt idx="0">
                  <c:v>1</c:v>
                </c:pt>
                <c:pt idx="1">
                  <c:v>0</c:v>
                </c:pt>
                <c:pt idx="2">
                  <c:v>2</c:v>
                </c:pt>
                <c:pt idx="3">
                  <c:v>2</c:v>
                </c:pt>
                <c:pt idx="4">
                  <c:v>9</c:v>
                </c:pt>
                <c:pt idx="5">
                  <c:v>0</c:v>
                </c:pt>
                <c:pt idx="6">
                  <c:v>1</c:v>
                </c:pt>
                <c:pt idx="7">
                  <c:v>0</c:v>
                </c:pt>
                <c:pt idx="8">
                  <c:v>0</c:v>
                </c:pt>
                <c:pt idx="9">
                  <c:v>0</c:v>
                </c:pt>
                <c:pt idx="10">
                  <c:v>0</c:v>
                </c:pt>
              </c:numCache>
            </c:numRef>
          </c:val>
          <c:extLst>
            <c:ext xmlns:c16="http://schemas.microsoft.com/office/drawing/2014/chart" uri="{C3380CC4-5D6E-409C-BE32-E72D297353CC}">
              <c16:uniqueId val="{00000001-8B5D-4520-9BE0-19D08BF21655}"/>
            </c:ext>
          </c:extLst>
        </c:ser>
        <c:dLbls>
          <c:showLegendKey val="0"/>
          <c:showVal val="1"/>
          <c:showCatName val="0"/>
          <c:showSerName val="0"/>
          <c:showPercent val="0"/>
          <c:showBubbleSize val="0"/>
        </c:dLbls>
        <c:gapWidth val="150"/>
        <c:shape val="box"/>
        <c:axId val="74054960"/>
        <c:axId val="74051216"/>
        <c:axId val="0"/>
      </c:bar3DChart>
      <c:catAx>
        <c:axId val="74054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51216"/>
        <c:crosses val="autoZero"/>
        <c:auto val="1"/>
        <c:lblAlgn val="ctr"/>
        <c:lblOffset val="100"/>
        <c:noMultiLvlLbl val="0"/>
      </c:catAx>
      <c:valAx>
        <c:axId val="7405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5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innerShdw blurRad="63500" dist="50800" dir="18900000">
        <a:prstClr val="black">
          <a:alpha val="50000"/>
        </a:prstClr>
      </a:inn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1496-5980-4AFB-B493-A6D80B1E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9063</TotalTime>
  <Pages>40</Pages>
  <Words>29904</Words>
  <Characters>170458</Characters>
  <Application>Microsoft Office Word</Application>
  <DocSecurity>0</DocSecurity>
  <Lines>1420</Lines>
  <Paragraphs>399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Krakowiak; Renato Seixas</dc:creator>
  <cp:keywords/>
  <dc:description/>
  <cp:lastModifiedBy>Sergio Krakowiak</cp:lastModifiedBy>
  <cp:revision>142</cp:revision>
  <dcterms:created xsi:type="dcterms:W3CDTF">2022-01-15T07:21:00Z</dcterms:created>
  <dcterms:modified xsi:type="dcterms:W3CDTF">2022-01-29T21:26:00Z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http://www.zotero.org/styles/universidade-federal-do-espirito-santo-abnt-initials</vt:lpwstr>
  </property>
  <property fmtid="{D5CDD505-2E9C-101B-9397-08002B2CF9AE}" pid="21" name="Mendeley Recent Style Name 9_1">
    <vt:lpwstr>Universidade Federal do Espírito Santo - ABNT (autoria abreviada) (Portuguese - Brazil)</vt:lpwstr>
  </property>
  <property fmtid="{D5CDD505-2E9C-101B-9397-08002B2CF9AE}" pid="22" name="Mendeley Document_1">
    <vt:lpwstr>True</vt:lpwstr>
  </property>
  <property fmtid="{D5CDD505-2E9C-101B-9397-08002B2CF9AE}" pid="23" name="Mendeley Unique User Id_1">
    <vt:lpwstr>75496b17-c697-3dae-b2f2-b399d7c24450</vt:lpwstr>
  </property>
  <property fmtid="{D5CDD505-2E9C-101B-9397-08002B2CF9AE}" pid="24" name="Mendeley Citation Style_1">
    <vt:lpwstr>http://www.zotero.org/styles/apa</vt:lpwstr>
  </property>
</Properties>
</file>