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5C22" w14:textId="77777777" w:rsidR="00990D74" w:rsidRPr="004C0D35" w:rsidRDefault="00607233" w:rsidP="00990D74">
      <w:pPr>
        <w:jc w:val="center"/>
        <w:rPr>
          <w:rFonts w:ascii="Times New Roman" w:hAnsi="Times New Roman" w:cs="Times New Roman"/>
          <w:color w:val="000000"/>
          <w:sz w:val="32"/>
          <w:szCs w:val="32"/>
          <w:shd w:val="clear" w:color="auto" w:fill="FFFFFF"/>
        </w:rPr>
      </w:pPr>
      <w:r w:rsidRPr="004C0D35">
        <w:rPr>
          <w:rFonts w:ascii="Times New Roman" w:hAnsi="Times New Roman" w:cs="Times New Roman"/>
          <w:color w:val="000000"/>
          <w:sz w:val="32"/>
          <w:szCs w:val="32"/>
          <w:shd w:val="clear" w:color="auto" w:fill="FFFFFF"/>
        </w:rPr>
        <w:t>The Statut</w:t>
      </w:r>
      <w:r w:rsidR="004624AC" w:rsidRPr="004C0D35">
        <w:rPr>
          <w:rFonts w:ascii="Times New Roman" w:hAnsi="Times New Roman" w:cs="Times New Roman"/>
          <w:color w:val="000000"/>
          <w:sz w:val="32"/>
          <w:szCs w:val="32"/>
          <w:shd w:val="clear" w:color="auto" w:fill="FFFFFF"/>
        </w:rPr>
        <w:t>ory Liberalization of Trust Law</w:t>
      </w:r>
      <w:r w:rsidRPr="004C0D35">
        <w:rPr>
          <w:rFonts w:ascii="Times New Roman" w:hAnsi="Times New Roman" w:cs="Times New Roman"/>
          <w:color w:val="000000"/>
          <w:sz w:val="32"/>
          <w:szCs w:val="32"/>
          <w:shd w:val="clear" w:color="auto" w:fill="FFFFFF"/>
        </w:rPr>
        <w:t xml:space="preserve"> </w:t>
      </w:r>
      <w:r w:rsidR="004624AC" w:rsidRPr="004C0D35">
        <w:rPr>
          <w:rFonts w:ascii="Times New Roman" w:hAnsi="Times New Roman" w:cs="Times New Roman"/>
          <w:color w:val="000000"/>
          <w:sz w:val="32"/>
          <w:szCs w:val="32"/>
          <w:shd w:val="clear" w:color="auto" w:fill="FFFFFF"/>
        </w:rPr>
        <w:t>a</w:t>
      </w:r>
      <w:r w:rsidRPr="004C0D35">
        <w:rPr>
          <w:rFonts w:ascii="Times New Roman" w:hAnsi="Times New Roman" w:cs="Times New Roman"/>
          <w:color w:val="000000"/>
          <w:sz w:val="32"/>
          <w:szCs w:val="32"/>
          <w:shd w:val="clear" w:color="auto" w:fill="FFFFFF"/>
        </w:rPr>
        <w:t>cross 15</w:t>
      </w:r>
      <w:r w:rsidR="00285FAF" w:rsidRPr="004C0D35">
        <w:rPr>
          <w:rFonts w:ascii="Times New Roman" w:hAnsi="Times New Roman" w:cs="Times New Roman"/>
          <w:color w:val="000000"/>
          <w:sz w:val="32"/>
          <w:szCs w:val="32"/>
          <w:shd w:val="clear" w:color="auto" w:fill="FFFFFF"/>
        </w:rPr>
        <w:t>2</w:t>
      </w:r>
      <w:r w:rsidRPr="004C0D35">
        <w:rPr>
          <w:rFonts w:ascii="Times New Roman" w:hAnsi="Times New Roman" w:cs="Times New Roman"/>
          <w:color w:val="000000"/>
          <w:sz w:val="32"/>
          <w:szCs w:val="32"/>
          <w:shd w:val="clear" w:color="auto" w:fill="FFFFFF"/>
        </w:rPr>
        <w:t xml:space="preserve"> Jurisdictions</w:t>
      </w:r>
      <w:r w:rsidR="004624AC" w:rsidRPr="004C0D35">
        <w:rPr>
          <w:rFonts w:ascii="Times New Roman" w:hAnsi="Times New Roman" w:cs="Times New Roman"/>
          <w:color w:val="000000"/>
          <w:sz w:val="32"/>
          <w:szCs w:val="32"/>
          <w:shd w:val="clear" w:color="auto" w:fill="FFFFFF"/>
        </w:rPr>
        <w:t>:</w:t>
      </w:r>
    </w:p>
    <w:p w14:paraId="6B787125" w14:textId="77777777" w:rsidR="00607233" w:rsidRPr="004C0D35" w:rsidRDefault="004624AC" w:rsidP="006F7E70">
      <w:pPr>
        <w:jc w:val="center"/>
        <w:rPr>
          <w:rFonts w:ascii="Times New Roman" w:hAnsi="Times New Roman" w:cs="Times New Roman"/>
          <w:color w:val="000000"/>
          <w:sz w:val="32"/>
          <w:szCs w:val="32"/>
          <w:shd w:val="clear" w:color="auto" w:fill="FFFFFF"/>
        </w:rPr>
      </w:pPr>
      <w:r w:rsidRPr="004C0D35">
        <w:rPr>
          <w:rFonts w:ascii="Times New Roman" w:hAnsi="Times New Roman" w:cs="Times New Roman"/>
          <w:color w:val="000000"/>
          <w:sz w:val="32"/>
          <w:szCs w:val="32"/>
          <w:shd w:val="clear" w:color="auto" w:fill="FFFFFF"/>
        </w:rPr>
        <w:t xml:space="preserve"> </w:t>
      </w:r>
      <w:r w:rsidR="00990D74" w:rsidRPr="004C0D35">
        <w:rPr>
          <w:rFonts w:ascii="Times New Roman" w:hAnsi="Times New Roman" w:cs="Times New Roman"/>
          <w:color w:val="000000"/>
          <w:sz w:val="32"/>
          <w:szCs w:val="32"/>
          <w:shd w:val="clear" w:color="auto" w:fill="FFFFFF"/>
        </w:rPr>
        <w:t xml:space="preserve">Leaders, Laggards and </w:t>
      </w:r>
      <w:r w:rsidR="00AE19C8" w:rsidRPr="004C0D35">
        <w:rPr>
          <w:rFonts w:ascii="Times New Roman" w:hAnsi="Times New Roman" w:cs="Times New Roman"/>
          <w:color w:val="000000"/>
          <w:sz w:val="32"/>
          <w:szCs w:val="32"/>
          <w:shd w:val="clear" w:color="auto" w:fill="FFFFFF"/>
        </w:rPr>
        <w:t xml:space="preserve">the </w:t>
      </w:r>
      <w:r w:rsidR="006F7E70" w:rsidRPr="004C0D35">
        <w:rPr>
          <w:rFonts w:ascii="Times New Roman" w:hAnsi="Times New Roman" w:cs="Times New Roman"/>
          <w:color w:val="000000"/>
          <w:sz w:val="32"/>
          <w:szCs w:val="32"/>
          <w:shd w:val="clear" w:color="auto" w:fill="FFFFFF"/>
        </w:rPr>
        <w:t>Market</w:t>
      </w:r>
      <w:r w:rsidR="00990D74" w:rsidRPr="004C0D35">
        <w:rPr>
          <w:rFonts w:ascii="Times New Roman" w:hAnsi="Times New Roman" w:cs="Times New Roman"/>
          <w:color w:val="000000"/>
          <w:sz w:val="32"/>
          <w:szCs w:val="32"/>
          <w:shd w:val="clear" w:color="auto" w:fill="FFFFFF"/>
        </w:rPr>
        <w:t xml:space="preserve"> </w:t>
      </w:r>
      <w:r w:rsidR="006F7E70" w:rsidRPr="004C0D35">
        <w:rPr>
          <w:rFonts w:ascii="Times New Roman" w:hAnsi="Times New Roman" w:cs="Times New Roman"/>
          <w:color w:val="000000"/>
          <w:sz w:val="32"/>
          <w:szCs w:val="32"/>
          <w:shd w:val="clear" w:color="auto" w:fill="FFFFFF"/>
        </w:rPr>
        <w:t>in</w:t>
      </w:r>
      <w:r w:rsidR="00990D74" w:rsidRPr="004C0D35">
        <w:rPr>
          <w:rFonts w:ascii="Times New Roman" w:hAnsi="Times New Roman" w:cs="Times New Roman"/>
          <w:color w:val="000000"/>
          <w:sz w:val="32"/>
          <w:szCs w:val="32"/>
          <w:shd w:val="clear" w:color="auto" w:fill="FFFFFF"/>
        </w:rPr>
        <w:t xml:space="preserve"> Fiduciary Services</w:t>
      </w:r>
    </w:p>
    <w:p w14:paraId="06998EC2" w14:textId="77777777" w:rsidR="004A4267" w:rsidRPr="004C0D35" w:rsidRDefault="00607233" w:rsidP="002C4739">
      <w:pPr>
        <w:jc w:val="center"/>
        <w:rPr>
          <w:rFonts w:ascii="Times New Roman" w:hAnsi="Times New Roman" w:cs="Times New Roman"/>
          <w:sz w:val="24"/>
          <w:szCs w:val="24"/>
        </w:rPr>
      </w:pPr>
      <w:r w:rsidRPr="004C0D35">
        <w:rPr>
          <w:rFonts w:ascii="Times New Roman" w:hAnsi="Times New Roman" w:cs="Times New Roman"/>
          <w:smallCaps/>
          <w:sz w:val="24"/>
          <w:szCs w:val="24"/>
        </w:rPr>
        <w:t>Adam Hofri-Winogradow</w:t>
      </w:r>
      <w:r w:rsidR="00A705E1" w:rsidRPr="004C0D35">
        <w:rPr>
          <w:rStyle w:val="FootnoteReference"/>
          <w:rFonts w:ascii="Times New Roman" w:hAnsi="Times New Roman" w:cs="Times New Roman"/>
          <w:sz w:val="24"/>
          <w:szCs w:val="24"/>
        </w:rPr>
        <w:footnoteReference w:customMarkFollows="1" w:id="1"/>
        <w:sym w:font="Symbol" w:char="F02A"/>
      </w:r>
    </w:p>
    <w:p w14:paraId="4C0654C2" w14:textId="2282712A" w:rsidR="002F34B2" w:rsidRPr="00487FF0" w:rsidRDefault="00024517" w:rsidP="00F2538A">
      <w:pPr>
        <w:spacing w:after="0"/>
        <w:jc w:val="both"/>
        <w:rPr>
          <w:rFonts w:ascii="Times New Roman" w:hAnsi="Times New Roman" w:cs="Times New Roman"/>
          <w:i/>
          <w:iCs/>
          <w:color w:val="000000"/>
          <w:shd w:val="clear" w:color="auto" w:fill="FFFFFF"/>
        </w:rPr>
      </w:pPr>
      <w:r w:rsidRPr="00487FF0">
        <w:rPr>
          <w:rFonts w:ascii="Times New Roman" w:hAnsi="Times New Roman" w:cs="Times New Roman"/>
          <w:i/>
          <w:iCs/>
          <w:color w:val="000000"/>
          <w:shd w:val="clear" w:color="auto" w:fill="FFFFFF"/>
        </w:rPr>
        <w:t>This article reports the findings of</w:t>
      </w:r>
      <w:r w:rsidR="002F34B2" w:rsidRPr="00487FF0">
        <w:rPr>
          <w:rFonts w:ascii="Times New Roman" w:hAnsi="Times New Roman" w:cs="Times New Roman"/>
          <w:i/>
          <w:iCs/>
          <w:color w:val="000000"/>
          <w:shd w:val="clear" w:color="auto" w:fill="FFFFFF"/>
        </w:rPr>
        <w:t xml:space="preserve"> the first systematic overview of the statutory liberalization of trust law worldwide. Using a groundbreaking, manually collected, </w:t>
      </w:r>
      <w:r w:rsidR="006778B9" w:rsidRPr="00487FF0">
        <w:rPr>
          <w:rFonts w:ascii="Times New Roman" w:hAnsi="Times New Roman" w:cs="Times New Roman"/>
          <w:i/>
          <w:iCs/>
          <w:color w:val="000000"/>
          <w:shd w:val="clear" w:color="auto" w:fill="FFFFFF"/>
        </w:rPr>
        <w:t>database</w:t>
      </w:r>
      <w:r w:rsidR="002F34B2" w:rsidRPr="00487FF0">
        <w:rPr>
          <w:rFonts w:ascii="Times New Roman" w:hAnsi="Times New Roman" w:cs="Times New Roman"/>
          <w:i/>
          <w:iCs/>
          <w:color w:val="000000"/>
          <w:shd w:val="clear" w:color="auto" w:fill="FFFFFF"/>
        </w:rPr>
        <w:t xml:space="preserve"> of the trust legislation of every jurisdiction which has a trust regime respecting </w:t>
      </w:r>
      <w:r w:rsidR="00B14082">
        <w:rPr>
          <w:rFonts w:ascii="Times New Roman" w:hAnsi="Times New Roman" w:cs="Times New Roman"/>
          <w:i/>
          <w:iCs/>
          <w:color w:val="000000"/>
          <w:shd w:val="clear" w:color="auto" w:fill="FFFFFF"/>
        </w:rPr>
        <w:t>twenty-two</w:t>
      </w:r>
      <w:r w:rsidR="00B14082" w:rsidRPr="00487FF0">
        <w:rPr>
          <w:rFonts w:ascii="Times New Roman" w:hAnsi="Times New Roman" w:cs="Times New Roman"/>
          <w:i/>
          <w:iCs/>
          <w:color w:val="000000"/>
          <w:shd w:val="clear" w:color="auto" w:fill="FFFFFF"/>
        </w:rPr>
        <w:t xml:space="preserve"> </w:t>
      </w:r>
      <w:r w:rsidR="002F34B2" w:rsidRPr="00487FF0">
        <w:rPr>
          <w:rFonts w:ascii="Times New Roman" w:hAnsi="Times New Roman" w:cs="Times New Roman"/>
          <w:i/>
          <w:iCs/>
          <w:color w:val="000000"/>
          <w:shd w:val="clear" w:color="auto" w:fill="FFFFFF"/>
        </w:rPr>
        <w:t xml:space="preserve">trust law </w:t>
      </w:r>
      <w:r w:rsidR="00B77EFC" w:rsidRPr="00487FF0">
        <w:rPr>
          <w:rFonts w:ascii="Times New Roman" w:hAnsi="Times New Roman" w:cs="Times New Roman"/>
          <w:i/>
          <w:iCs/>
          <w:color w:val="000000"/>
          <w:shd w:val="clear" w:color="auto" w:fill="FFFFFF"/>
        </w:rPr>
        <w:t>variable</w:t>
      </w:r>
      <w:r w:rsidR="002F34B2" w:rsidRPr="00487FF0">
        <w:rPr>
          <w:rFonts w:ascii="Times New Roman" w:hAnsi="Times New Roman" w:cs="Times New Roman"/>
          <w:i/>
          <w:iCs/>
          <w:color w:val="000000"/>
          <w:shd w:val="clear" w:color="auto" w:fill="FFFFFF"/>
        </w:rPr>
        <w:t xml:space="preserve">s, I hand coded each jurisdiction’s treatments of each </w:t>
      </w:r>
      <w:r w:rsidR="00B77EFC" w:rsidRPr="00487FF0">
        <w:rPr>
          <w:rFonts w:ascii="Times New Roman" w:hAnsi="Times New Roman" w:cs="Times New Roman"/>
          <w:i/>
          <w:iCs/>
          <w:color w:val="000000"/>
          <w:shd w:val="clear" w:color="auto" w:fill="FFFFFF"/>
        </w:rPr>
        <w:t>variable</w:t>
      </w:r>
      <w:r w:rsidR="002F34B2" w:rsidRPr="00487FF0">
        <w:rPr>
          <w:rFonts w:ascii="Times New Roman" w:hAnsi="Times New Roman" w:cs="Times New Roman"/>
          <w:i/>
          <w:iCs/>
          <w:color w:val="000000"/>
          <w:shd w:val="clear" w:color="auto" w:fill="FFFFFF"/>
        </w:rPr>
        <w:t xml:space="preserve"> since 1925</w:t>
      </w:r>
      <w:r w:rsidR="00406E69" w:rsidRPr="00487FF0">
        <w:rPr>
          <w:rFonts w:ascii="Times New Roman" w:hAnsi="Times New Roman" w:cs="Times New Roman"/>
          <w:i/>
          <w:iCs/>
          <w:color w:val="000000"/>
          <w:shd w:val="clear" w:color="auto" w:fill="FFFFFF"/>
        </w:rPr>
        <w:t xml:space="preserve"> for their relative liberality</w:t>
      </w:r>
      <w:r w:rsidR="002F34B2" w:rsidRPr="00487FF0">
        <w:rPr>
          <w:rFonts w:ascii="Times New Roman" w:hAnsi="Times New Roman" w:cs="Times New Roman"/>
          <w:i/>
          <w:iCs/>
          <w:color w:val="000000"/>
          <w:shd w:val="clear" w:color="auto" w:fill="FFFFFF"/>
        </w:rPr>
        <w:t xml:space="preserve">. Aggregating all jurisdictions’ scores regarding </w:t>
      </w:r>
      <w:r w:rsidR="00406E69" w:rsidRPr="00487FF0">
        <w:rPr>
          <w:rFonts w:ascii="Times New Roman" w:hAnsi="Times New Roman" w:cs="Times New Roman"/>
          <w:i/>
          <w:iCs/>
          <w:color w:val="000000"/>
          <w:shd w:val="clear" w:color="auto" w:fill="FFFFFF"/>
        </w:rPr>
        <w:t>all</w:t>
      </w:r>
      <w:r w:rsidR="002F34B2" w:rsidRPr="00487FF0">
        <w:rPr>
          <w:rFonts w:ascii="Times New Roman" w:hAnsi="Times New Roman" w:cs="Times New Roman"/>
          <w:i/>
          <w:iCs/>
          <w:color w:val="000000"/>
          <w:shd w:val="clear" w:color="auto" w:fill="FFFFFF"/>
        </w:rPr>
        <w:t xml:space="preserve"> </w:t>
      </w:r>
      <w:r w:rsidR="00B77EFC" w:rsidRPr="00487FF0">
        <w:rPr>
          <w:rFonts w:ascii="Times New Roman" w:hAnsi="Times New Roman" w:cs="Times New Roman"/>
          <w:i/>
          <w:iCs/>
          <w:color w:val="000000"/>
          <w:shd w:val="clear" w:color="auto" w:fill="FFFFFF"/>
        </w:rPr>
        <w:t>variable</w:t>
      </w:r>
      <w:r w:rsidR="00406E69" w:rsidRPr="00487FF0">
        <w:rPr>
          <w:rFonts w:ascii="Times New Roman" w:hAnsi="Times New Roman" w:cs="Times New Roman"/>
          <w:i/>
          <w:iCs/>
          <w:color w:val="000000"/>
          <w:shd w:val="clear" w:color="auto" w:fill="FFFFFF"/>
        </w:rPr>
        <w:t>s</w:t>
      </w:r>
      <w:r w:rsidR="002F34B2" w:rsidRPr="00487FF0">
        <w:rPr>
          <w:rFonts w:ascii="Times New Roman" w:hAnsi="Times New Roman" w:cs="Times New Roman"/>
          <w:i/>
          <w:iCs/>
          <w:color w:val="000000"/>
          <w:shd w:val="clear" w:color="auto" w:fill="FFFFFF"/>
        </w:rPr>
        <w:t xml:space="preserve">, I produced a “trust </w:t>
      </w:r>
      <w:r w:rsidR="00F2538A" w:rsidRPr="00487FF0">
        <w:rPr>
          <w:rFonts w:ascii="Times New Roman" w:hAnsi="Times New Roman" w:cs="Times New Roman"/>
          <w:i/>
          <w:iCs/>
          <w:color w:val="000000"/>
          <w:shd w:val="clear" w:color="auto" w:fill="FFFFFF"/>
        </w:rPr>
        <w:t>liberality</w:t>
      </w:r>
      <w:r w:rsidR="002F34B2" w:rsidRPr="00487FF0">
        <w:rPr>
          <w:rFonts w:ascii="Times New Roman" w:hAnsi="Times New Roman" w:cs="Times New Roman"/>
          <w:i/>
          <w:iCs/>
          <w:color w:val="000000"/>
          <w:shd w:val="clear" w:color="auto" w:fill="FFFFFF"/>
        </w:rPr>
        <w:t xml:space="preserve"> </w:t>
      </w:r>
      <w:r w:rsidR="002E26DB" w:rsidRPr="00487FF0">
        <w:rPr>
          <w:rFonts w:ascii="Times New Roman" w:hAnsi="Times New Roman" w:cs="Times New Roman"/>
          <w:i/>
          <w:iCs/>
          <w:color w:val="000000"/>
          <w:shd w:val="clear" w:color="auto" w:fill="FFFFFF"/>
        </w:rPr>
        <w:t>score</w:t>
      </w:r>
      <w:r w:rsidR="002F34B2" w:rsidRPr="00487FF0">
        <w:rPr>
          <w:rFonts w:ascii="Times New Roman" w:hAnsi="Times New Roman" w:cs="Times New Roman"/>
          <w:i/>
          <w:iCs/>
          <w:color w:val="000000"/>
          <w:shd w:val="clear" w:color="auto" w:fill="FFFFFF"/>
        </w:rPr>
        <w:t>” for each jurisdiction</w:t>
      </w:r>
      <w:r w:rsidR="002E26DB" w:rsidRPr="00487FF0">
        <w:rPr>
          <w:rFonts w:ascii="Times New Roman" w:hAnsi="Times New Roman" w:cs="Times New Roman"/>
          <w:i/>
          <w:iCs/>
          <w:color w:val="000000"/>
          <w:shd w:val="clear" w:color="auto" w:fill="FFFFFF"/>
        </w:rPr>
        <w:t>/</w:t>
      </w:r>
      <w:r w:rsidR="002F34B2" w:rsidRPr="00487FF0">
        <w:rPr>
          <w:rFonts w:ascii="Times New Roman" w:hAnsi="Times New Roman" w:cs="Times New Roman"/>
          <w:i/>
          <w:iCs/>
          <w:color w:val="000000"/>
          <w:shd w:val="clear" w:color="auto" w:fill="FFFFFF"/>
        </w:rPr>
        <w:t xml:space="preserve">year, expressing the extent to which trust law has been liberalized by </w:t>
      </w:r>
      <w:r w:rsidR="00A27422" w:rsidRPr="00487FF0">
        <w:rPr>
          <w:rFonts w:ascii="Times New Roman" w:hAnsi="Times New Roman" w:cs="Times New Roman"/>
          <w:i/>
          <w:iCs/>
          <w:color w:val="000000"/>
          <w:shd w:val="clear" w:color="auto" w:fill="FFFFFF"/>
        </w:rPr>
        <w:t>each</w:t>
      </w:r>
      <w:r w:rsidR="00AF11E7" w:rsidRPr="00487FF0">
        <w:rPr>
          <w:rFonts w:ascii="Times New Roman" w:hAnsi="Times New Roman" w:cs="Times New Roman"/>
          <w:i/>
          <w:iCs/>
          <w:color w:val="000000"/>
          <w:shd w:val="clear" w:color="auto" w:fill="FFFFFF"/>
        </w:rPr>
        <w:t xml:space="preserve"> jurisdiction by</w:t>
      </w:r>
      <w:r w:rsidR="002F34B2" w:rsidRPr="00487FF0">
        <w:rPr>
          <w:rFonts w:ascii="Times New Roman" w:hAnsi="Times New Roman" w:cs="Times New Roman"/>
          <w:i/>
          <w:iCs/>
          <w:color w:val="000000"/>
          <w:shd w:val="clear" w:color="auto" w:fill="FFFFFF"/>
        </w:rPr>
        <w:t xml:space="preserve"> </w:t>
      </w:r>
      <w:r w:rsidR="002E26DB" w:rsidRPr="00487FF0">
        <w:rPr>
          <w:rFonts w:ascii="Times New Roman" w:hAnsi="Times New Roman" w:cs="Times New Roman"/>
          <w:i/>
          <w:iCs/>
          <w:color w:val="000000"/>
          <w:shd w:val="clear" w:color="auto" w:fill="FFFFFF"/>
        </w:rPr>
        <w:t>each year</w:t>
      </w:r>
      <w:r w:rsidR="00A27422" w:rsidRPr="00487FF0">
        <w:rPr>
          <w:rFonts w:ascii="Times New Roman" w:hAnsi="Times New Roman" w:cs="Times New Roman"/>
          <w:i/>
          <w:iCs/>
          <w:color w:val="000000"/>
          <w:shd w:val="clear" w:color="auto" w:fill="FFFFFF"/>
        </w:rPr>
        <w:t xml:space="preserve">. </w:t>
      </w:r>
    </w:p>
    <w:p w14:paraId="29EE7DBB" w14:textId="4C0AE413" w:rsidR="003A581B" w:rsidRPr="00487FF0" w:rsidRDefault="002F34B2" w:rsidP="001B5B82">
      <w:pPr>
        <w:spacing w:after="0"/>
        <w:jc w:val="both"/>
        <w:rPr>
          <w:rFonts w:ascii="Times New Roman" w:hAnsi="Times New Roman" w:cs="Times New Roman"/>
          <w:i/>
          <w:iCs/>
          <w:color w:val="000000"/>
          <w:shd w:val="clear" w:color="auto" w:fill="FFFFFF"/>
        </w:rPr>
      </w:pPr>
      <w:r w:rsidRPr="00487FF0">
        <w:rPr>
          <w:rFonts w:ascii="Times New Roman" w:hAnsi="Times New Roman" w:cs="Times New Roman"/>
          <w:i/>
          <w:iCs/>
          <w:color w:val="000000"/>
          <w:shd w:val="clear" w:color="auto" w:fill="FFFFFF"/>
        </w:rPr>
        <w:tab/>
      </w:r>
      <w:r w:rsidR="002E26DB" w:rsidRPr="00487FF0">
        <w:rPr>
          <w:rFonts w:ascii="Times New Roman" w:hAnsi="Times New Roman" w:cs="Times New Roman"/>
          <w:i/>
          <w:iCs/>
          <w:color w:val="000000"/>
          <w:shd w:val="clear" w:color="auto" w:fill="FFFFFF"/>
        </w:rPr>
        <w:t>R</w:t>
      </w:r>
      <w:r w:rsidR="00035ED0" w:rsidRPr="00487FF0">
        <w:rPr>
          <w:rFonts w:ascii="Times New Roman" w:hAnsi="Times New Roman" w:cs="Times New Roman"/>
          <w:i/>
          <w:iCs/>
          <w:color w:val="000000"/>
          <w:shd w:val="clear" w:color="auto" w:fill="FFFFFF"/>
        </w:rPr>
        <w:t xml:space="preserve">esults show the United States </w:t>
      </w:r>
      <w:r w:rsidR="00AF11E7" w:rsidRPr="00487FF0">
        <w:rPr>
          <w:rFonts w:ascii="Times New Roman" w:hAnsi="Times New Roman" w:cs="Times New Roman"/>
          <w:i/>
          <w:iCs/>
          <w:color w:val="000000"/>
          <w:shd w:val="clear" w:color="auto" w:fill="FFFFFF"/>
        </w:rPr>
        <w:t>to be</w:t>
      </w:r>
      <w:r w:rsidR="00223E4D" w:rsidRPr="00487FF0">
        <w:rPr>
          <w:rFonts w:ascii="Times New Roman" w:hAnsi="Times New Roman" w:cs="Times New Roman"/>
          <w:i/>
          <w:iCs/>
          <w:color w:val="000000"/>
          <w:shd w:val="clear" w:color="auto" w:fill="FFFFFF"/>
        </w:rPr>
        <w:t xml:space="preserve"> the global leader in trust</w:t>
      </w:r>
      <w:r w:rsidR="00EA3401" w:rsidRPr="00487FF0">
        <w:rPr>
          <w:rFonts w:ascii="Times New Roman" w:hAnsi="Times New Roman" w:cs="Times New Roman"/>
          <w:i/>
          <w:iCs/>
          <w:color w:val="000000"/>
          <w:shd w:val="clear" w:color="auto" w:fill="FFFFFF"/>
        </w:rPr>
        <w:t xml:space="preserve"> law liberalit</w:t>
      </w:r>
      <w:r w:rsidR="00353D78" w:rsidRPr="00487FF0">
        <w:rPr>
          <w:rFonts w:ascii="Times New Roman" w:hAnsi="Times New Roman" w:cs="Times New Roman"/>
          <w:i/>
          <w:iCs/>
          <w:color w:val="000000"/>
          <w:shd w:val="clear" w:color="auto" w:fill="FFFFFF"/>
        </w:rPr>
        <w:t>y</w:t>
      </w:r>
      <w:r w:rsidR="002A6469" w:rsidRPr="00487FF0">
        <w:rPr>
          <w:rFonts w:ascii="Times New Roman" w:hAnsi="Times New Roman" w:cs="Times New Roman"/>
          <w:i/>
          <w:iCs/>
          <w:color w:val="000000"/>
          <w:shd w:val="clear" w:color="auto" w:fill="FFFFFF"/>
        </w:rPr>
        <w:t xml:space="preserve">: </w:t>
      </w:r>
      <w:r w:rsidR="00B14082">
        <w:rPr>
          <w:rFonts w:ascii="Times New Roman" w:hAnsi="Times New Roman" w:cs="Times New Roman"/>
          <w:i/>
          <w:iCs/>
          <w:color w:val="000000"/>
          <w:shd w:val="clear" w:color="auto" w:fill="FFFFFF"/>
        </w:rPr>
        <w:t>seventeen</w:t>
      </w:r>
      <w:r w:rsidR="00B14082" w:rsidRPr="00487FF0">
        <w:rPr>
          <w:rFonts w:ascii="Times New Roman" w:hAnsi="Times New Roman" w:cs="Times New Roman"/>
          <w:i/>
          <w:iCs/>
          <w:color w:val="000000"/>
          <w:shd w:val="clear" w:color="auto" w:fill="FFFFFF"/>
        </w:rPr>
        <w:t xml:space="preserve"> </w:t>
      </w:r>
      <w:r w:rsidR="00035ED0" w:rsidRPr="00487FF0">
        <w:rPr>
          <w:rFonts w:ascii="Times New Roman" w:hAnsi="Times New Roman" w:cs="Times New Roman"/>
          <w:i/>
          <w:iCs/>
          <w:color w:val="000000"/>
          <w:shd w:val="clear" w:color="auto" w:fill="FFFFFF"/>
        </w:rPr>
        <w:t xml:space="preserve">of the </w:t>
      </w:r>
      <w:r w:rsidR="00B14082">
        <w:rPr>
          <w:rFonts w:ascii="Times New Roman" w:hAnsi="Times New Roman" w:cs="Times New Roman"/>
          <w:i/>
          <w:iCs/>
          <w:color w:val="000000"/>
          <w:shd w:val="clear" w:color="auto" w:fill="FFFFFF"/>
        </w:rPr>
        <w:t>twenty</w:t>
      </w:r>
      <w:r w:rsidR="00B14082" w:rsidRPr="00487FF0">
        <w:rPr>
          <w:rFonts w:ascii="Times New Roman" w:hAnsi="Times New Roman" w:cs="Times New Roman"/>
          <w:i/>
          <w:iCs/>
          <w:color w:val="000000"/>
          <w:shd w:val="clear" w:color="auto" w:fill="FFFFFF"/>
        </w:rPr>
        <w:t xml:space="preserve"> </w:t>
      </w:r>
      <w:r w:rsidR="00035ED0" w:rsidRPr="00487FF0">
        <w:rPr>
          <w:rFonts w:ascii="Times New Roman" w:hAnsi="Times New Roman" w:cs="Times New Roman"/>
          <w:i/>
          <w:iCs/>
          <w:color w:val="000000"/>
          <w:shd w:val="clear" w:color="auto" w:fill="FFFFFF"/>
        </w:rPr>
        <w:t xml:space="preserve">jurisdictions </w:t>
      </w:r>
      <w:r w:rsidR="00070203" w:rsidRPr="00487FF0">
        <w:rPr>
          <w:rFonts w:ascii="Times New Roman" w:hAnsi="Times New Roman" w:cs="Times New Roman"/>
          <w:i/>
          <w:iCs/>
          <w:color w:val="000000"/>
          <w:shd w:val="clear" w:color="auto" w:fill="FFFFFF"/>
        </w:rPr>
        <w:t>which have the most liberal trust law</w:t>
      </w:r>
      <w:r w:rsidR="00E663D6" w:rsidRPr="00487FF0">
        <w:rPr>
          <w:rFonts w:ascii="Times New Roman" w:hAnsi="Times New Roman" w:cs="Times New Roman"/>
          <w:i/>
          <w:iCs/>
          <w:color w:val="000000"/>
          <w:shd w:val="clear" w:color="auto" w:fill="FFFFFF"/>
        </w:rPr>
        <w:t>s</w:t>
      </w:r>
      <w:r w:rsidR="00070203" w:rsidRPr="00487FF0">
        <w:rPr>
          <w:rFonts w:ascii="Times New Roman" w:hAnsi="Times New Roman" w:cs="Times New Roman"/>
          <w:i/>
          <w:iCs/>
          <w:color w:val="000000"/>
          <w:shd w:val="clear" w:color="auto" w:fill="FFFFFF"/>
        </w:rPr>
        <w:t xml:space="preserve"> </w:t>
      </w:r>
      <w:r w:rsidR="0061104F" w:rsidRPr="00487FF0">
        <w:rPr>
          <w:rFonts w:ascii="Times New Roman" w:hAnsi="Times New Roman" w:cs="Times New Roman"/>
          <w:i/>
          <w:iCs/>
          <w:color w:val="000000"/>
          <w:shd w:val="clear" w:color="auto" w:fill="FFFFFF"/>
        </w:rPr>
        <w:t>are American states. Trust law</w:t>
      </w:r>
      <w:r w:rsidR="00035ED0" w:rsidRPr="00487FF0">
        <w:rPr>
          <w:rFonts w:ascii="Times New Roman" w:hAnsi="Times New Roman" w:cs="Times New Roman"/>
          <w:i/>
          <w:iCs/>
          <w:color w:val="000000"/>
          <w:shd w:val="clear" w:color="auto" w:fill="FFFFFF"/>
        </w:rPr>
        <w:t xml:space="preserve"> liberalization in the U.S. is a result of the widespread adoption of the Uniform Trust Code, which </w:t>
      </w:r>
      <w:r w:rsidR="00AF11E7" w:rsidRPr="00487FF0">
        <w:rPr>
          <w:rFonts w:ascii="Times New Roman" w:hAnsi="Times New Roman" w:cs="Times New Roman"/>
          <w:i/>
          <w:iCs/>
          <w:color w:val="000000"/>
          <w:shd w:val="clear" w:color="auto" w:fill="FFFFFF"/>
        </w:rPr>
        <w:t>includes many highly liberal</w:t>
      </w:r>
      <w:r w:rsidR="00035ED0" w:rsidRPr="00487FF0">
        <w:rPr>
          <w:rFonts w:ascii="Times New Roman" w:hAnsi="Times New Roman" w:cs="Times New Roman"/>
          <w:i/>
          <w:iCs/>
          <w:color w:val="000000"/>
          <w:shd w:val="clear" w:color="auto" w:fill="FFFFFF"/>
        </w:rPr>
        <w:t xml:space="preserve"> positions, among the states, as well as of many states having followed an offshore dynamic in adopting highly permissive positions in order to draw users from out of state to </w:t>
      </w:r>
      <w:r w:rsidR="00AF11E7" w:rsidRPr="00487FF0">
        <w:rPr>
          <w:rFonts w:ascii="Times New Roman" w:hAnsi="Times New Roman" w:cs="Times New Roman"/>
          <w:i/>
          <w:iCs/>
          <w:color w:val="000000"/>
          <w:shd w:val="clear" w:color="auto" w:fill="FFFFFF"/>
        </w:rPr>
        <w:t>resident service providers</w:t>
      </w:r>
      <w:r w:rsidR="00035ED0" w:rsidRPr="00487FF0">
        <w:rPr>
          <w:rFonts w:ascii="Times New Roman" w:hAnsi="Times New Roman" w:cs="Times New Roman"/>
          <w:i/>
          <w:iCs/>
          <w:color w:val="000000"/>
          <w:shd w:val="clear" w:color="auto" w:fill="FFFFFF"/>
        </w:rPr>
        <w:t xml:space="preserve">. The trust laws of </w:t>
      </w:r>
      <w:r w:rsidR="00AF11E7" w:rsidRPr="00487FF0">
        <w:rPr>
          <w:rFonts w:ascii="Times New Roman" w:hAnsi="Times New Roman" w:cs="Times New Roman"/>
          <w:i/>
          <w:iCs/>
          <w:color w:val="000000"/>
          <w:shd w:val="clear" w:color="auto" w:fill="FFFFFF"/>
        </w:rPr>
        <w:t>many</w:t>
      </w:r>
      <w:r w:rsidR="00035ED0" w:rsidRPr="00487FF0">
        <w:rPr>
          <w:rFonts w:ascii="Times New Roman" w:hAnsi="Times New Roman" w:cs="Times New Roman"/>
          <w:i/>
          <w:iCs/>
          <w:color w:val="000000"/>
          <w:shd w:val="clear" w:color="auto" w:fill="FFFFFF"/>
        </w:rPr>
        <w:t xml:space="preserve"> American states are </w:t>
      </w:r>
      <w:r w:rsidR="00EA3401" w:rsidRPr="00487FF0">
        <w:rPr>
          <w:rFonts w:ascii="Times New Roman" w:hAnsi="Times New Roman" w:cs="Times New Roman"/>
          <w:i/>
          <w:iCs/>
          <w:color w:val="000000"/>
          <w:shd w:val="clear" w:color="auto" w:fill="FFFFFF"/>
        </w:rPr>
        <w:t>more</w:t>
      </w:r>
      <w:r w:rsidR="00035ED0" w:rsidRPr="00487FF0">
        <w:rPr>
          <w:rFonts w:ascii="Times New Roman" w:hAnsi="Times New Roman" w:cs="Times New Roman"/>
          <w:i/>
          <w:iCs/>
          <w:color w:val="000000"/>
          <w:shd w:val="clear" w:color="auto" w:fill="FFFFFF"/>
        </w:rPr>
        <w:t xml:space="preserve"> liberal </w:t>
      </w:r>
      <w:r w:rsidR="00EA3401" w:rsidRPr="00487FF0">
        <w:rPr>
          <w:rFonts w:ascii="Times New Roman" w:hAnsi="Times New Roman" w:cs="Times New Roman"/>
          <w:i/>
          <w:iCs/>
          <w:color w:val="000000"/>
          <w:shd w:val="clear" w:color="auto" w:fill="FFFFFF"/>
        </w:rPr>
        <w:t>than</w:t>
      </w:r>
      <w:r w:rsidR="00035ED0" w:rsidRPr="00487FF0">
        <w:rPr>
          <w:rFonts w:ascii="Times New Roman" w:hAnsi="Times New Roman" w:cs="Times New Roman"/>
          <w:i/>
          <w:iCs/>
          <w:color w:val="000000"/>
          <w:shd w:val="clear" w:color="auto" w:fill="FFFFFF"/>
        </w:rPr>
        <w:t xml:space="preserve"> those of</w:t>
      </w:r>
      <w:r w:rsidR="000F009B">
        <w:rPr>
          <w:rFonts w:ascii="Times New Roman" w:hAnsi="Times New Roman" w:cs="Times New Roman"/>
          <w:i/>
          <w:iCs/>
          <w:color w:val="000000"/>
          <w:shd w:val="clear" w:color="auto" w:fill="FFFFFF"/>
        </w:rPr>
        <w:t xml:space="preserve"> most</w:t>
      </w:r>
      <w:r w:rsidR="00035ED0" w:rsidRPr="00487FF0">
        <w:rPr>
          <w:rFonts w:ascii="Times New Roman" w:hAnsi="Times New Roman" w:cs="Times New Roman"/>
          <w:i/>
          <w:iCs/>
          <w:color w:val="000000"/>
          <w:shd w:val="clear" w:color="auto" w:fill="FFFFFF"/>
        </w:rPr>
        <w:t xml:space="preserve"> small offshore island jurisdictions. Even the laws of such relatively conservative American states</w:t>
      </w:r>
      <w:r w:rsidR="00017358" w:rsidRPr="00487FF0">
        <w:rPr>
          <w:rFonts w:ascii="Times New Roman" w:hAnsi="Times New Roman" w:cs="Times New Roman"/>
          <w:i/>
          <w:iCs/>
          <w:color w:val="000000"/>
          <w:shd w:val="clear" w:color="auto" w:fill="FFFFFF"/>
        </w:rPr>
        <w:t>, on trust matters,</w:t>
      </w:r>
      <w:r w:rsidR="00035ED0" w:rsidRPr="00487FF0">
        <w:rPr>
          <w:rFonts w:ascii="Times New Roman" w:hAnsi="Times New Roman" w:cs="Times New Roman"/>
          <w:i/>
          <w:iCs/>
          <w:color w:val="000000"/>
          <w:shd w:val="clear" w:color="auto" w:fill="FFFFFF"/>
        </w:rPr>
        <w:t xml:space="preserve"> as New York and California are quite liberal by global standards. </w:t>
      </w:r>
      <w:r w:rsidR="00E76A75" w:rsidRPr="00487FF0">
        <w:rPr>
          <w:rFonts w:ascii="Times New Roman" w:hAnsi="Times New Roman" w:cs="Times New Roman"/>
          <w:i/>
          <w:iCs/>
          <w:color w:val="000000"/>
          <w:shd w:val="clear" w:color="auto" w:fill="FFFFFF"/>
        </w:rPr>
        <w:t>Much</w:t>
      </w:r>
      <w:r w:rsidR="00035ED0" w:rsidRPr="00487FF0">
        <w:rPr>
          <w:rFonts w:ascii="Times New Roman" w:hAnsi="Times New Roman" w:cs="Times New Roman"/>
          <w:i/>
          <w:iCs/>
          <w:color w:val="000000"/>
          <w:shd w:val="clear" w:color="auto" w:fill="FFFFFF"/>
        </w:rPr>
        <w:t xml:space="preserve"> of the </w:t>
      </w:r>
      <w:r w:rsidR="00E76A75" w:rsidRPr="00487FF0">
        <w:rPr>
          <w:rFonts w:ascii="Times New Roman" w:hAnsi="Times New Roman" w:cs="Times New Roman"/>
          <w:i/>
          <w:iCs/>
          <w:color w:val="000000"/>
          <w:shd w:val="clear" w:color="auto" w:fill="FFFFFF"/>
        </w:rPr>
        <w:t xml:space="preserve">recent </w:t>
      </w:r>
      <w:r w:rsidR="00035ED0" w:rsidRPr="00487FF0">
        <w:rPr>
          <w:rFonts w:ascii="Times New Roman" w:hAnsi="Times New Roman" w:cs="Times New Roman"/>
          <w:i/>
          <w:iCs/>
          <w:color w:val="000000"/>
          <w:shd w:val="clear" w:color="auto" w:fill="FFFFFF"/>
        </w:rPr>
        <w:t>global increase in trust law liberali</w:t>
      </w:r>
      <w:r w:rsidR="00E76A75" w:rsidRPr="00487FF0">
        <w:rPr>
          <w:rFonts w:ascii="Times New Roman" w:hAnsi="Times New Roman" w:cs="Times New Roman"/>
          <w:i/>
          <w:iCs/>
          <w:color w:val="000000"/>
          <w:shd w:val="clear" w:color="auto" w:fill="FFFFFF"/>
        </w:rPr>
        <w:t xml:space="preserve">ty </w:t>
      </w:r>
      <w:r w:rsidR="00507977" w:rsidRPr="00487FF0">
        <w:rPr>
          <w:rFonts w:ascii="Times New Roman" w:hAnsi="Times New Roman" w:cs="Times New Roman"/>
          <w:i/>
          <w:iCs/>
          <w:color w:val="000000"/>
          <w:shd w:val="clear" w:color="auto" w:fill="FFFFFF"/>
        </w:rPr>
        <w:t xml:space="preserve">occurred between </w:t>
      </w:r>
      <w:r w:rsidR="00233731" w:rsidRPr="00487FF0">
        <w:rPr>
          <w:rFonts w:ascii="Times New Roman" w:hAnsi="Times New Roman" w:cs="Times New Roman"/>
          <w:i/>
          <w:iCs/>
          <w:color w:val="000000"/>
          <w:shd w:val="clear" w:color="auto" w:fill="FFFFFF"/>
        </w:rPr>
        <w:t>1988</w:t>
      </w:r>
      <w:r w:rsidR="007A714F" w:rsidRPr="00487FF0">
        <w:rPr>
          <w:rFonts w:ascii="Times New Roman" w:hAnsi="Times New Roman" w:cs="Times New Roman"/>
          <w:i/>
          <w:iCs/>
          <w:color w:val="000000"/>
          <w:shd w:val="clear" w:color="auto" w:fill="FFFFFF"/>
        </w:rPr>
        <w:t>-20</w:t>
      </w:r>
      <w:r w:rsidR="00233731" w:rsidRPr="00487FF0">
        <w:rPr>
          <w:rFonts w:ascii="Times New Roman" w:hAnsi="Times New Roman" w:cs="Times New Roman"/>
          <w:i/>
          <w:iCs/>
          <w:color w:val="000000"/>
          <w:shd w:val="clear" w:color="auto" w:fill="FFFFFF"/>
        </w:rPr>
        <w:t>1</w:t>
      </w:r>
      <w:r w:rsidR="004A115C" w:rsidRPr="00487FF0">
        <w:rPr>
          <w:rFonts w:ascii="Times New Roman" w:hAnsi="Times New Roman" w:cs="Times New Roman"/>
          <w:i/>
          <w:iCs/>
          <w:color w:val="000000"/>
          <w:shd w:val="clear" w:color="auto" w:fill="FFFFFF"/>
        </w:rPr>
        <w:t>6</w:t>
      </w:r>
      <w:r w:rsidR="002E26DB" w:rsidRPr="00487FF0">
        <w:rPr>
          <w:rFonts w:ascii="Times New Roman" w:hAnsi="Times New Roman" w:cs="Times New Roman"/>
          <w:i/>
          <w:iCs/>
          <w:color w:val="000000"/>
          <w:shd w:val="clear" w:color="auto" w:fill="FFFFFF"/>
        </w:rPr>
        <w:t xml:space="preserve">. </w:t>
      </w:r>
    </w:p>
    <w:p w14:paraId="3D5A2DF3" w14:textId="01254C83" w:rsidR="000C61D3" w:rsidRDefault="000C61D3" w:rsidP="000F009B">
      <w:pPr>
        <w:spacing w:after="0"/>
        <w:ind w:firstLine="720"/>
        <w:jc w:val="both"/>
        <w:rPr>
          <w:rFonts w:ascii="Times New Roman" w:hAnsi="Times New Roman" w:cs="Times New Roman"/>
          <w:i/>
          <w:iCs/>
          <w:color w:val="000000"/>
          <w:shd w:val="clear" w:color="auto" w:fill="FFFFFF"/>
        </w:rPr>
      </w:pPr>
      <w:r w:rsidRPr="000C61D3">
        <w:rPr>
          <w:rFonts w:ascii="Times New Roman" w:hAnsi="Times New Roman" w:cs="Times New Roman"/>
          <w:i/>
          <w:iCs/>
          <w:color w:val="000000"/>
          <w:shd w:val="clear" w:color="auto" w:fill="FFFFFF"/>
        </w:rPr>
        <w:t>Multivariate regression analysis of U.S. data shows that the statutory liberalization of trust law has had no effect on several indicia for the success of service provision to trusts as a commercial enterprise. It is especially clear that reforms seen as pandering</w:t>
      </w:r>
      <w:r w:rsidR="000F009B">
        <w:rPr>
          <w:rFonts w:ascii="Times New Roman" w:hAnsi="Times New Roman" w:cs="Times New Roman"/>
          <w:i/>
          <w:iCs/>
          <w:color w:val="000000"/>
          <w:shd w:val="clear" w:color="auto" w:fill="FFFFFF"/>
        </w:rPr>
        <w:t>,</w:t>
      </w:r>
      <w:r w:rsidRPr="000C61D3">
        <w:rPr>
          <w:rFonts w:ascii="Times New Roman" w:hAnsi="Times New Roman" w:cs="Times New Roman"/>
          <w:i/>
          <w:iCs/>
          <w:color w:val="000000"/>
          <w:shd w:val="clear" w:color="auto" w:fill="FFFFFF"/>
        </w:rPr>
        <w:t xml:space="preserve"> </w:t>
      </w:r>
      <w:r w:rsidR="000F009B" w:rsidRPr="000C61D3">
        <w:rPr>
          <w:rFonts w:ascii="Times New Roman" w:hAnsi="Times New Roman" w:cs="Times New Roman"/>
          <w:i/>
          <w:iCs/>
          <w:color w:val="000000"/>
          <w:shd w:val="clear" w:color="auto" w:fill="FFFFFF"/>
        </w:rPr>
        <w:t>at great social cost</w:t>
      </w:r>
      <w:r w:rsidR="000F009B">
        <w:rPr>
          <w:rFonts w:ascii="Times New Roman" w:hAnsi="Times New Roman" w:cs="Times New Roman"/>
          <w:i/>
          <w:iCs/>
          <w:color w:val="000000"/>
          <w:shd w:val="clear" w:color="auto" w:fill="FFFFFF"/>
        </w:rPr>
        <w:t>,</w:t>
      </w:r>
      <w:r w:rsidR="000F009B" w:rsidRPr="00B071FF">
        <w:rPr>
          <w:rFonts w:ascii="Times New Roman" w:hAnsi="Times New Roman" w:cs="Times New Roman"/>
          <w:i/>
          <w:iCs/>
          <w:color w:val="000000"/>
          <w:shd w:val="clear" w:color="auto" w:fill="FFFFFF"/>
        </w:rPr>
        <w:t xml:space="preserve"> </w:t>
      </w:r>
      <w:r w:rsidRPr="000C61D3">
        <w:rPr>
          <w:rFonts w:ascii="Times New Roman" w:hAnsi="Times New Roman" w:cs="Times New Roman"/>
          <w:i/>
          <w:iCs/>
          <w:color w:val="000000"/>
          <w:shd w:val="clear" w:color="auto" w:fill="FFFFFF"/>
        </w:rPr>
        <w:t xml:space="preserve">to trust users’ </w:t>
      </w:r>
      <w:r w:rsidR="00B43C08">
        <w:rPr>
          <w:rFonts w:ascii="Times New Roman" w:hAnsi="Times New Roman" w:cs="Times New Roman"/>
          <w:i/>
          <w:iCs/>
          <w:color w:val="000000"/>
          <w:shd w:val="clear" w:color="auto" w:fill="FFFFFF"/>
        </w:rPr>
        <w:t>interests</w:t>
      </w:r>
      <w:r w:rsidRPr="000C61D3">
        <w:rPr>
          <w:rFonts w:ascii="Times New Roman" w:hAnsi="Times New Roman" w:cs="Times New Roman"/>
          <w:i/>
          <w:iCs/>
          <w:color w:val="000000"/>
          <w:shd w:val="clear" w:color="auto" w:fill="FFFFFF"/>
        </w:rPr>
        <w:t xml:space="preserve"> </w:t>
      </w:r>
      <w:r w:rsidR="00B071FF" w:rsidRPr="000C61D3">
        <w:rPr>
          <w:rFonts w:ascii="Times New Roman" w:hAnsi="Times New Roman" w:cs="Times New Roman"/>
          <w:i/>
          <w:iCs/>
          <w:color w:val="000000"/>
          <w:shd w:val="clear" w:color="auto" w:fill="FFFFFF"/>
        </w:rPr>
        <w:t>in order to create or sustain demand for professional services in the trust context</w:t>
      </w:r>
      <w:r w:rsidRPr="000C61D3">
        <w:rPr>
          <w:rFonts w:ascii="Times New Roman" w:hAnsi="Times New Roman" w:cs="Times New Roman"/>
          <w:i/>
          <w:iCs/>
          <w:color w:val="000000"/>
          <w:shd w:val="clear" w:color="auto" w:fill="FFFFFF"/>
        </w:rPr>
        <w:t>, such as self-settled spendthrift trusts and perpetual trusts, have had no impact on any of these indicia. As an exception to the general finding of a null result, some findings with marginal statistical significance show that law reforms which reduced trustees’ exposure to liability and entrenched their entitlement to remuneration led to a decline in their earnings per trust. Those reforms are also</w:t>
      </w:r>
      <w:r w:rsidR="00814473">
        <w:rPr>
          <w:rFonts w:ascii="Times New Roman" w:hAnsi="Times New Roman" w:cs="Times New Roman"/>
          <w:i/>
          <w:iCs/>
          <w:color w:val="000000"/>
          <w:shd w:val="clear" w:color="auto" w:fill="FFFFFF"/>
        </w:rPr>
        <w:t xml:space="preserve"> weakly</w:t>
      </w:r>
      <w:r w:rsidRPr="000C61D3">
        <w:rPr>
          <w:rFonts w:ascii="Times New Roman" w:hAnsi="Times New Roman" w:cs="Times New Roman"/>
          <w:i/>
          <w:iCs/>
          <w:color w:val="000000"/>
          <w:shd w:val="clear" w:color="auto" w:fill="FFFFFF"/>
        </w:rPr>
        <w:t xml:space="preserve"> associated with an increase in trust income. It is therefore possible that reforms widely seen as preferring trustees over their clients have resulted in trustees providing a better service at lower cost.</w:t>
      </w:r>
    </w:p>
    <w:p w14:paraId="47A193E6" w14:textId="77777777" w:rsidR="002C06C0" w:rsidRDefault="002C06C0" w:rsidP="000C61D3">
      <w:pPr>
        <w:spacing w:after="0"/>
        <w:jc w:val="both"/>
        <w:rPr>
          <w:rFonts w:ascii="Times New Roman" w:hAnsi="Times New Roman" w:cs="Times New Roman"/>
          <w:i/>
          <w:iCs/>
          <w:color w:val="000000"/>
          <w:shd w:val="clear" w:color="auto" w:fill="FFFFFF"/>
        </w:rPr>
      </w:pPr>
    </w:p>
    <w:p w14:paraId="1CB3C97B" w14:textId="77777777" w:rsidR="000C61D3" w:rsidRDefault="000C61D3" w:rsidP="000C61D3">
      <w:pPr>
        <w:spacing w:after="0"/>
        <w:jc w:val="both"/>
        <w:rPr>
          <w:rFonts w:ascii="Times New Roman" w:hAnsi="Times New Roman" w:cs="Times New Roman"/>
          <w:i/>
          <w:iCs/>
          <w:color w:val="000000"/>
          <w:shd w:val="clear" w:color="auto" w:fill="FFFFFF"/>
        </w:rPr>
      </w:pPr>
    </w:p>
    <w:p w14:paraId="38452EE1" w14:textId="77777777" w:rsidR="000C61D3" w:rsidRPr="004C0D35" w:rsidRDefault="000C61D3" w:rsidP="000C61D3">
      <w:pPr>
        <w:spacing w:after="0"/>
        <w:jc w:val="both"/>
        <w:rPr>
          <w:rFonts w:ascii="Times New Roman" w:hAnsi="Times New Roman" w:cs="Times New Roman"/>
          <w:i/>
          <w:iCs/>
          <w:color w:val="000000"/>
          <w:sz w:val="24"/>
          <w:szCs w:val="24"/>
          <w:shd w:val="clear" w:color="auto" w:fill="FFFFFF"/>
        </w:rPr>
      </w:pPr>
    </w:p>
    <w:p w14:paraId="5124343F" w14:textId="77777777" w:rsidR="00AE32DB" w:rsidRPr="004C0D35" w:rsidRDefault="00AE32DB" w:rsidP="00FD072C">
      <w:pPr>
        <w:jc w:val="center"/>
        <w:rPr>
          <w:rFonts w:ascii="Times New Roman" w:hAnsi="Times New Roman" w:cs="Times New Roman"/>
          <w:smallCaps/>
          <w:sz w:val="24"/>
          <w:szCs w:val="24"/>
        </w:rPr>
      </w:pPr>
      <w:r w:rsidRPr="004C0D35">
        <w:rPr>
          <w:rFonts w:ascii="Times New Roman" w:hAnsi="Times New Roman" w:cs="Times New Roman"/>
          <w:smallCaps/>
          <w:sz w:val="24"/>
          <w:szCs w:val="24"/>
        </w:rPr>
        <w:lastRenderedPageBreak/>
        <w:t>Introduction</w:t>
      </w:r>
    </w:p>
    <w:p w14:paraId="74F52BCD" w14:textId="2C599261" w:rsidR="001D6CAA" w:rsidRPr="004C0D35" w:rsidRDefault="001D6CAA" w:rsidP="002231A9">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 xml:space="preserve">This </w:t>
      </w:r>
      <w:r w:rsidR="00024517" w:rsidRPr="004C0D35">
        <w:rPr>
          <w:rFonts w:ascii="Times New Roman" w:hAnsi="Times New Roman" w:cs="Times New Roman"/>
          <w:color w:val="000000"/>
          <w:sz w:val="24"/>
          <w:szCs w:val="24"/>
          <w:shd w:val="clear" w:color="auto" w:fill="FFFFFF"/>
        </w:rPr>
        <w:t xml:space="preserve">article reports the findings of </w:t>
      </w:r>
      <w:r w:rsidRPr="004C0D35">
        <w:rPr>
          <w:rFonts w:ascii="Times New Roman" w:hAnsi="Times New Roman" w:cs="Times New Roman"/>
          <w:color w:val="000000"/>
          <w:sz w:val="24"/>
          <w:szCs w:val="24"/>
          <w:shd w:val="clear" w:color="auto" w:fill="FFFFFF"/>
        </w:rPr>
        <w:t>the first systematic overview of the statutory liberalization of trust law worldwide. Trust law used to be restrictive, with much of it unavailable in statutory form.</w:t>
      </w:r>
      <w:r w:rsidR="00184F41">
        <w:rPr>
          <w:rStyle w:val="FootnoteReference"/>
          <w:rFonts w:ascii="Times New Roman" w:hAnsi="Times New Roman" w:cs="Times New Roman"/>
          <w:color w:val="000000"/>
          <w:sz w:val="24"/>
          <w:szCs w:val="24"/>
          <w:shd w:val="clear" w:color="auto" w:fill="FFFFFF"/>
        </w:rPr>
        <w:footnoteReference w:id="2"/>
      </w:r>
      <w:r w:rsidRPr="004C0D35">
        <w:rPr>
          <w:rFonts w:ascii="Times New Roman" w:hAnsi="Times New Roman" w:cs="Times New Roman"/>
          <w:color w:val="000000"/>
          <w:sz w:val="24"/>
          <w:szCs w:val="24"/>
          <w:shd w:val="clear" w:color="auto" w:fill="FFFFFF"/>
        </w:rPr>
        <w:t xml:space="preserve"> Recently, however, it has become both more permissive and largely statutory.</w:t>
      </w:r>
      <w:r w:rsidR="003657D7">
        <w:rPr>
          <w:rStyle w:val="FootnoteReference"/>
          <w:rFonts w:ascii="Times New Roman" w:hAnsi="Times New Roman" w:cs="Times New Roman"/>
          <w:color w:val="000000"/>
          <w:sz w:val="24"/>
          <w:szCs w:val="24"/>
          <w:shd w:val="clear" w:color="auto" w:fill="FFFFFF"/>
        </w:rPr>
        <w:footnoteReference w:id="3"/>
      </w:r>
      <w:r w:rsidRPr="004C0D35">
        <w:rPr>
          <w:rFonts w:ascii="Times New Roman" w:hAnsi="Times New Roman" w:cs="Times New Roman"/>
          <w:color w:val="000000"/>
          <w:sz w:val="24"/>
          <w:szCs w:val="24"/>
          <w:shd w:val="clear" w:color="auto" w:fill="FFFFFF"/>
        </w:rPr>
        <w:t xml:space="preserve"> While some jurisdictions have been statutorily liberalizing their law of trusts since the 19th century, such liberalization has accelerated noticeably in recent decades</w:t>
      </w:r>
      <w:r w:rsidR="00F14744">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 xml:space="preserve"> as well as spreading to many more jurisdictions.</w:t>
      </w:r>
      <w:r w:rsidR="00F14744">
        <w:rPr>
          <w:rStyle w:val="FootnoteReference"/>
          <w:rFonts w:ascii="Times New Roman" w:hAnsi="Times New Roman" w:cs="Times New Roman"/>
          <w:color w:val="000000"/>
          <w:sz w:val="24"/>
          <w:szCs w:val="24"/>
          <w:shd w:val="clear" w:color="auto" w:fill="FFFFFF"/>
        </w:rPr>
        <w:footnoteReference w:id="4"/>
      </w:r>
      <w:r w:rsidRPr="004C0D35">
        <w:rPr>
          <w:rFonts w:ascii="Times New Roman" w:hAnsi="Times New Roman" w:cs="Times New Roman"/>
          <w:color w:val="000000"/>
          <w:sz w:val="24"/>
          <w:szCs w:val="24"/>
          <w:shd w:val="clear" w:color="auto" w:fill="FFFFFF"/>
        </w:rPr>
        <w:t xml:space="preserve"> Using a groundbreaking, manually collected, database of the trust legislation of every jurisdiction which has a trust regime</w:t>
      </w:r>
      <w:r w:rsidR="002231A9" w:rsidRPr="004C0D35">
        <w:rPr>
          <w:rFonts w:ascii="Times New Roman" w:hAnsi="Times New Roman" w:cs="Times New Roman"/>
          <w:color w:val="000000"/>
          <w:sz w:val="24"/>
          <w:szCs w:val="24"/>
          <w:shd w:val="clear" w:color="auto" w:fill="FFFFFF"/>
        </w:rPr>
        <w:t>, 152 jurisdictions in all,</w:t>
      </w:r>
      <w:r w:rsidRPr="004C0D35">
        <w:rPr>
          <w:rFonts w:ascii="Times New Roman" w:hAnsi="Times New Roman" w:cs="Times New Roman"/>
          <w:color w:val="000000"/>
          <w:sz w:val="24"/>
          <w:szCs w:val="24"/>
          <w:shd w:val="clear" w:color="auto" w:fill="FFFFFF"/>
        </w:rPr>
        <w:t xml:space="preserve"> respecting </w:t>
      </w:r>
      <w:r w:rsidR="00B979C4">
        <w:rPr>
          <w:rFonts w:ascii="Times New Roman" w:hAnsi="Times New Roman" w:cs="Times New Roman"/>
          <w:color w:val="000000"/>
          <w:sz w:val="24"/>
          <w:szCs w:val="24"/>
          <w:shd w:val="clear" w:color="auto" w:fill="FFFFFF"/>
        </w:rPr>
        <w:t>twenty-two</w:t>
      </w:r>
      <w:r w:rsidR="00B979C4" w:rsidRPr="004C0D35">
        <w:rPr>
          <w:rFonts w:ascii="Times New Roman" w:hAnsi="Times New Roman" w:cs="Times New Roman"/>
          <w:color w:val="000000"/>
          <w:sz w:val="24"/>
          <w:szCs w:val="24"/>
          <w:shd w:val="clear" w:color="auto" w:fill="FFFFFF"/>
        </w:rPr>
        <w:t xml:space="preserve"> </w:t>
      </w:r>
      <w:r w:rsidR="00453AA3" w:rsidRPr="004C0D35">
        <w:rPr>
          <w:rFonts w:ascii="Times New Roman" w:hAnsi="Times New Roman" w:cs="Times New Roman"/>
          <w:color w:val="000000"/>
          <w:sz w:val="24"/>
          <w:szCs w:val="24"/>
          <w:shd w:val="clear" w:color="auto" w:fill="FFFFFF"/>
        </w:rPr>
        <w:t xml:space="preserve">doctrinal </w:t>
      </w:r>
      <w:r w:rsidRPr="004C0D35">
        <w:rPr>
          <w:rFonts w:ascii="Times New Roman" w:hAnsi="Times New Roman" w:cs="Times New Roman"/>
          <w:color w:val="000000"/>
          <w:sz w:val="24"/>
          <w:szCs w:val="24"/>
          <w:shd w:val="clear" w:color="auto" w:fill="FFFFFF"/>
        </w:rPr>
        <w:t xml:space="preserve">trust law </w:t>
      </w:r>
      <w:r w:rsidR="00B77EFC" w:rsidRPr="004C0D35">
        <w:rPr>
          <w:rFonts w:ascii="Times New Roman" w:hAnsi="Times New Roman" w:cs="Times New Roman"/>
          <w:color w:val="000000"/>
          <w:sz w:val="24"/>
          <w:szCs w:val="24"/>
          <w:shd w:val="clear" w:color="auto" w:fill="FFFFFF"/>
        </w:rPr>
        <w:t>variables</w:t>
      </w:r>
      <w:r w:rsidRPr="004C0D35">
        <w:rPr>
          <w:rFonts w:ascii="Times New Roman" w:hAnsi="Times New Roman" w:cs="Times New Roman"/>
          <w:color w:val="000000"/>
          <w:sz w:val="24"/>
          <w:szCs w:val="24"/>
          <w:shd w:val="clear" w:color="auto" w:fill="FFFFFF"/>
        </w:rPr>
        <w:t xml:space="preserve">, I hand coded each jurisdiction’s treatments of each </w:t>
      </w:r>
      <w:r w:rsidR="00B77EFC" w:rsidRPr="004C0D35">
        <w:rPr>
          <w:rFonts w:ascii="Times New Roman" w:hAnsi="Times New Roman" w:cs="Times New Roman"/>
          <w:color w:val="000000"/>
          <w:sz w:val="24"/>
          <w:szCs w:val="24"/>
          <w:shd w:val="clear" w:color="auto" w:fill="FFFFFF"/>
        </w:rPr>
        <w:t>variable</w:t>
      </w:r>
      <w:r w:rsidRPr="004C0D35">
        <w:rPr>
          <w:rFonts w:ascii="Times New Roman" w:hAnsi="Times New Roman" w:cs="Times New Roman"/>
          <w:color w:val="000000"/>
          <w:sz w:val="24"/>
          <w:szCs w:val="24"/>
          <w:shd w:val="clear" w:color="auto" w:fill="FFFFFF"/>
        </w:rPr>
        <w:t xml:space="preserve"> since 1925</w:t>
      </w:r>
      <w:r w:rsidR="0061104F" w:rsidRPr="004C0D35">
        <w:rPr>
          <w:rFonts w:ascii="Times New Roman" w:hAnsi="Times New Roman" w:cs="Times New Roman"/>
          <w:color w:val="000000"/>
          <w:sz w:val="24"/>
          <w:szCs w:val="24"/>
          <w:shd w:val="clear" w:color="auto" w:fill="FFFFFF"/>
        </w:rPr>
        <w:t xml:space="preserve"> for their relative liberality</w:t>
      </w:r>
      <w:r w:rsidRPr="004C0D35">
        <w:rPr>
          <w:rFonts w:ascii="Times New Roman" w:hAnsi="Times New Roman" w:cs="Times New Roman"/>
          <w:color w:val="000000"/>
          <w:sz w:val="24"/>
          <w:szCs w:val="24"/>
          <w:shd w:val="clear" w:color="auto" w:fill="FFFFFF"/>
        </w:rPr>
        <w:t xml:space="preserve">. Most of the material was </w:t>
      </w:r>
      <w:r w:rsidR="00A27422" w:rsidRPr="004C0D35">
        <w:rPr>
          <w:rFonts w:ascii="Times New Roman" w:hAnsi="Times New Roman" w:cs="Times New Roman"/>
          <w:color w:val="000000"/>
          <w:sz w:val="24"/>
          <w:szCs w:val="24"/>
          <w:shd w:val="clear" w:color="auto" w:fill="FFFFFF"/>
        </w:rPr>
        <w:t>c</w:t>
      </w:r>
      <w:r w:rsidRPr="004C0D35">
        <w:rPr>
          <w:rFonts w:ascii="Times New Roman" w:hAnsi="Times New Roman" w:cs="Times New Roman"/>
          <w:color w:val="000000"/>
          <w:sz w:val="24"/>
          <w:szCs w:val="24"/>
          <w:shd w:val="clear" w:color="auto" w:fill="FFFFFF"/>
        </w:rPr>
        <w:t>oded twice, by ind</w:t>
      </w:r>
      <w:r w:rsidR="00FA4B36" w:rsidRPr="004C0D35">
        <w:rPr>
          <w:rFonts w:ascii="Times New Roman" w:hAnsi="Times New Roman" w:cs="Times New Roman"/>
          <w:color w:val="000000"/>
          <w:sz w:val="24"/>
          <w:szCs w:val="24"/>
          <w:shd w:val="clear" w:color="auto" w:fill="FFFFFF"/>
        </w:rPr>
        <w:t>ependent coders. Aggregating each jurisdiction’s</w:t>
      </w:r>
      <w:r w:rsidRPr="004C0D35">
        <w:rPr>
          <w:rFonts w:ascii="Times New Roman" w:hAnsi="Times New Roman" w:cs="Times New Roman"/>
          <w:color w:val="000000"/>
          <w:sz w:val="24"/>
          <w:szCs w:val="24"/>
          <w:shd w:val="clear" w:color="auto" w:fill="FFFFFF"/>
        </w:rPr>
        <w:t xml:space="preserve"> scores regarding </w:t>
      </w:r>
      <w:r w:rsidR="0061104F" w:rsidRPr="004C0D35">
        <w:rPr>
          <w:rFonts w:ascii="Times New Roman" w:hAnsi="Times New Roman" w:cs="Times New Roman"/>
          <w:color w:val="000000"/>
          <w:sz w:val="24"/>
          <w:szCs w:val="24"/>
          <w:shd w:val="clear" w:color="auto" w:fill="FFFFFF"/>
        </w:rPr>
        <w:t>all</w:t>
      </w:r>
      <w:r w:rsidRPr="004C0D35">
        <w:rPr>
          <w:rFonts w:ascii="Times New Roman" w:hAnsi="Times New Roman" w:cs="Times New Roman"/>
          <w:color w:val="000000"/>
          <w:sz w:val="24"/>
          <w:szCs w:val="24"/>
          <w:shd w:val="clear" w:color="auto" w:fill="FFFFFF"/>
        </w:rPr>
        <w:t xml:space="preserve"> </w:t>
      </w:r>
      <w:r w:rsidR="00B77EFC" w:rsidRPr="004C0D35">
        <w:rPr>
          <w:rFonts w:ascii="Times New Roman" w:hAnsi="Times New Roman" w:cs="Times New Roman"/>
          <w:color w:val="000000"/>
          <w:sz w:val="24"/>
          <w:szCs w:val="24"/>
          <w:shd w:val="clear" w:color="auto" w:fill="FFFFFF"/>
        </w:rPr>
        <w:t>variable</w:t>
      </w:r>
      <w:r w:rsidR="0061104F" w:rsidRPr="004C0D35">
        <w:rPr>
          <w:rFonts w:ascii="Times New Roman" w:hAnsi="Times New Roman" w:cs="Times New Roman"/>
          <w:color w:val="000000"/>
          <w:sz w:val="24"/>
          <w:szCs w:val="24"/>
          <w:shd w:val="clear" w:color="auto" w:fill="FFFFFF"/>
        </w:rPr>
        <w:t>s</w:t>
      </w:r>
      <w:r w:rsidRPr="004C0D35">
        <w:rPr>
          <w:rFonts w:ascii="Times New Roman" w:hAnsi="Times New Roman" w:cs="Times New Roman"/>
          <w:color w:val="000000"/>
          <w:sz w:val="24"/>
          <w:szCs w:val="24"/>
          <w:shd w:val="clear" w:color="auto" w:fill="FFFFFF"/>
        </w:rPr>
        <w:t xml:space="preserve">, I produced a “trust </w:t>
      </w:r>
      <w:r w:rsidR="00F2538A" w:rsidRPr="004C0D35">
        <w:rPr>
          <w:rFonts w:ascii="Times New Roman" w:hAnsi="Times New Roman" w:cs="Times New Roman"/>
          <w:color w:val="000000"/>
          <w:sz w:val="24"/>
          <w:szCs w:val="24"/>
          <w:shd w:val="clear" w:color="auto" w:fill="FFFFFF"/>
        </w:rPr>
        <w:t>liberality</w:t>
      </w:r>
      <w:r w:rsidRPr="004C0D35">
        <w:rPr>
          <w:rFonts w:ascii="Times New Roman" w:hAnsi="Times New Roman" w:cs="Times New Roman"/>
          <w:color w:val="000000"/>
          <w:sz w:val="24"/>
          <w:szCs w:val="24"/>
          <w:shd w:val="clear" w:color="auto" w:fill="FFFFFF"/>
        </w:rPr>
        <w:t xml:space="preserve"> </w:t>
      </w:r>
      <w:r w:rsidR="00A27422" w:rsidRPr="004C0D35">
        <w:rPr>
          <w:rFonts w:ascii="Times New Roman" w:hAnsi="Times New Roman" w:cs="Times New Roman"/>
          <w:color w:val="000000"/>
          <w:sz w:val="24"/>
          <w:szCs w:val="24"/>
          <w:shd w:val="clear" w:color="auto" w:fill="FFFFFF"/>
        </w:rPr>
        <w:t>score</w:t>
      </w:r>
      <w:r w:rsidRPr="004C0D35">
        <w:rPr>
          <w:rFonts w:ascii="Times New Roman" w:hAnsi="Times New Roman" w:cs="Times New Roman"/>
          <w:color w:val="000000"/>
          <w:sz w:val="24"/>
          <w:szCs w:val="24"/>
          <w:shd w:val="clear" w:color="auto" w:fill="FFFFFF"/>
        </w:rPr>
        <w:t>” for each jurisdiction</w:t>
      </w:r>
      <w:r w:rsidR="00A27422" w:rsidRPr="004C0D35">
        <w:rPr>
          <w:rFonts w:ascii="Times New Roman" w:hAnsi="Times New Roman" w:cs="Times New Roman"/>
          <w:color w:val="000000"/>
          <w:sz w:val="24"/>
          <w:szCs w:val="24"/>
          <w:shd w:val="clear" w:color="auto" w:fill="FFFFFF"/>
        </w:rPr>
        <w:t>/y</w:t>
      </w:r>
      <w:r w:rsidRPr="004C0D35">
        <w:rPr>
          <w:rFonts w:ascii="Times New Roman" w:hAnsi="Times New Roman" w:cs="Times New Roman"/>
          <w:color w:val="000000"/>
          <w:sz w:val="24"/>
          <w:szCs w:val="24"/>
          <w:shd w:val="clear" w:color="auto" w:fill="FFFFFF"/>
        </w:rPr>
        <w:t xml:space="preserve">ear, expressing the extent to which </w:t>
      </w:r>
      <w:r w:rsidR="00FA4B36" w:rsidRPr="004C0D35">
        <w:rPr>
          <w:rFonts w:ascii="Times New Roman" w:hAnsi="Times New Roman" w:cs="Times New Roman"/>
          <w:color w:val="000000"/>
          <w:sz w:val="24"/>
          <w:szCs w:val="24"/>
          <w:shd w:val="clear" w:color="auto" w:fill="FFFFFF"/>
        </w:rPr>
        <w:t xml:space="preserve">each jurisdiction has liberalized its </w:t>
      </w:r>
      <w:r w:rsidRPr="004C0D35">
        <w:rPr>
          <w:rFonts w:ascii="Times New Roman" w:hAnsi="Times New Roman" w:cs="Times New Roman"/>
          <w:color w:val="000000"/>
          <w:sz w:val="24"/>
          <w:szCs w:val="24"/>
          <w:shd w:val="clear" w:color="auto" w:fill="FFFFFF"/>
        </w:rPr>
        <w:t xml:space="preserve">trust law </w:t>
      </w:r>
      <w:r w:rsidR="0061104F" w:rsidRPr="004C0D35">
        <w:rPr>
          <w:rFonts w:ascii="Times New Roman" w:hAnsi="Times New Roman" w:cs="Times New Roman"/>
          <w:color w:val="000000"/>
          <w:sz w:val="24"/>
          <w:szCs w:val="24"/>
          <w:shd w:val="clear" w:color="auto" w:fill="FFFFFF"/>
        </w:rPr>
        <w:t>by</w:t>
      </w:r>
      <w:r w:rsidR="00A27422" w:rsidRPr="004C0D35">
        <w:rPr>
          <w:rFonts w:ascii="Times New Roman" w:hAnsi="Times New Roman" w:cs="Times New Roman"/>
          <w:color w:val="000000"/>
          <w:sz w:val="24"/>
          <w:szCs w:val="24"/>
          <w:shd w:val="clear" w:color="auto" w:fill="FFFFFF"/>
        </w:rPr>
        <w:t xml:space="preserve"> each </w:t>
      </w:r>
      <w:r w:rsidRPr="004C0D35">
        <w:rPr>
          <w:rFonts w:ascii="Times New Roman" w:hAnsi="Times New Roman" w:cs="Times New Roman"/>
          <w:color w:val="000000"/>
          <w:sz w:val="24"/>
          <w:szCs w:val="24"/>
          <w:shd w:val="clear" w:color="auto" w:fill="FFFFFF"/>
        </w:rPr>
        <w:t>year</w:t>
      </w:r>
      <w:r w:rsidR="002231A9" w:rsidRPr="004C0D35">
        <w:rPr>
          <w:rFonts w:ascii="Times New Roman" w:hAnsi="Times New Roman" w:cs="Times New Roman"/>
          <w:color w:val="000000"/>
          <w:sz w:val="24"/>
          <w:szCs w:val="24"/>
          <w:shd w:val="clear" w:color="auto" w:fill="FFFFFF"/>
        </w:rPr>
        <w:t xml:space="preserve">. I also produced </w:t>
      </w:r>
      <w:r w:rsidR="00A27422" w:rsidRPr="004C0D35">
        <w:rPr>
          <w:rFonts w:ascii="Times New Roman" w:hAnsi="Times New Roman" w:cs="Times New Roman"/>
          <w:color w:val="000000"/>
          <w:sz w:val="24"/>
          <w:szCs w:val="24"/>
          <w:shd w:val="clear" w:color="auto" w:fill="FFFFFF"/>
        </w:rPr>
        <w:t xml:space="preserve">an average trust </w:t>
      </w:r>
      <w:r w:rsidR="00F2538A" w:rsidRPr="004C0D35">
        <w:rPr>
          <w:rFonts w:ascii="Times New Roman" w:hAnsi="Times New Roman" w:cs="Times New Roman"/>
          <w:color w:val="000000"/>
          <w:sz w:val="24"/>
          <w:szCs w:val="24"/>
          <w:shd w:val="clear" w:color="auto" w:fill="FFFFFF"/>
        </w:rPr>
        <w:t>liberality</w:t>
      </w:r>
      <w:r w:rsidR="002231A9" w:rsidRPr="004C0D35">
        <w:rPr>
          <w:rFonts w:ascii="Times New Roman" w:hAnsi="Times New Roman" w:cs="Times New Roman"/>
          <w:color w:val="000000"/>
          <w:sz w:val="24"/>
          <w:szCs w:val="24"/>
          <w:shd w:val="clear" w:color="auto" w:fill="FFFFFF"/>
        </w:rPr>
        <w:t xml:space="preserve"> score for each year, expressing the average extent to which all jurisdictions covered have liberalized their trust laws by that year.</w:t>
      </w:r>
    </w:p>
    <w:p w14:paraId="7C9E4C48" w14:textId="34DC6465" w:rsidR="000E062A" w:rsidRPr="004C0D35" w:rsidRDefault="001D6CAA" w:rsidP="00FA4B36">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r>
      <w:r w:rsidR="00017358" w:rsidRPr="004C0D35">
        <w:rPr>
          <w:rFonts w:ascii="Times New Roman" w:hAnsi="Times New Roman" w:cs="Times New Roman"/>
          <w:color w:val="000000"/>
          <w:sz w:val="24"/>
          <w:szCs w:val="24"/>
          <w:shd w:val="clear" w:color="auto" w:fill="FFFFFF"/>
        </w:rPr>
        <w:t>R</w:t>
      </w:r>
      <w:r w:rsidR="005557BF" w:rsidRPr="004C0D35">
        <w:rPr>
          <w:rFonts w:ascii="Times New Roman" w:hAnsi="Times New Roman" w:cs="Times New Roman"/>
          <w:color w:val="000000"/>
          <w:sz w:val="24"/>
          <w:szCs w:val="24"/>
          <w:shd w:val="clear" w:color="auto" w:fill="FFFFFF"/>
        </w:rPr>
        <w:t>esults</w:t>
      </w:r>
      <w:r w:rsidR="00017358" w:rsidRPr="004C0D35">
        <w:rPr>
          <w:rFonts w:ascii="Times New Roman" w:hAnsi="Times New Roman" w:cs="Times New Roman"/>
          <w:color w:val="000000"/>
          <w:sz w:val="24"/>
          <w:szCs w:val="24"/>
          <w:shd w:val="clear" w:color="auto" w:fill="FFFFFF"/>
        </w:rPr>
        <w:t xml:space="preserve"> </w:t>
      </w:r>
      <w:r w:rsidR="005557BF" w:rsidRPr="004C0D35">
        <w:rPr>
          <w:rFonts w:ascii="Times New Roman" w:hAnsi="Times New Roman" w:cs="Times New Roman"/>
          <w:color w:val="000000"/>
          <w:sz w:val="24"/>
          <w:szCs w:val="24"/>
          <w:shd w:val="clear" w:color="auto" w:fill="FFFFFF"/>
        </w:rPr>
        <w:t xml:space="preserve">show that the United States is the global leader </w:t>
      </w:r>
      <w:r w:rsidR="00D97B51" w:rsidRPr="004C0D35">
        <w:rPr>
          <w:rFonts w:ascii="Times New Roman" w:hAnsi="Times New Roman" w:cs="Times New Roman"/>
          <w:color w:val="000000"/>
          <w:sz w:val="24"/>
          <w:szCs w:val="24"/>
          <w:shd w:val="clear" w:color="auto" w:fill="FFFFFF"/>
        </w:rPr>
        <w:t>in trust</w:t>
      </w:r>
      <w:r w:rsidR="00353D78" w:rsidRPr="004C0D35">
        <w:rPr>
          <w:rFonts w:ascii="Times New Roman" w:hAnsi="Times New Roman" w:cs="Times New Roman"/>
          <w:color w:val="000000"/>
          <w:sz w:val="24"/>
          <w:szCs w:val="24"/>
          <w:shd w:val="clear" w:color="auto" w:fill="FFFFFF"/>
        </w:rPr>
        <w:t xml:space="preserve"> law liberality</w:t>
      </w:r>
      <w:r w:rsidR="00FA4B36" w:rsidRPr="004C0D35">
        <w:rPr>
          <w:rFonts w:ascii="Times New Roman" w:hAnsi="Times New Roman" w:cs="Times New Roman"/>
          <w:color w:val="000000"/>
          <w:sz w:val="24"/>
          <w:szCs w:val="24"/>
          <w:shd w:val="clear" w:color="auto" w:fill="FFFFFF"/>
        </w:rPr>
        <w:t xml:space="preserve">: </w:t>
      </w:r>
      <w:r w:rsidR="00B14082">
        <w:rPr>
          <w:rFonts w:ascii="Times New Roman" w:hAnsi="Times New Roman" w:cs="Times New Roman"/>
          <w:color w:val="000000"/>
          <w:sz w:val="24"/>
          <w:szCs w:val="24"/>
          <w:shd w:val="clear" w:color="auto" w:fill="FFFFFF"/>
        </w:rPr>
        <w:t>seventeen</w:t>
      </w:r>
      <w:r w:rsidR="00B14082" w:rsidRPr="004C0D35">
        <w:rPr>
          <w:rFonts w:ascii="Times New Roman" w:hAnsi="Times New Roman" w:cs="Times New Roman"/>
          <w:color w:val="000000"/>
          <w:sz w:val="24"/>
          <w:szCs w:val="24"/>
          <w:shd w:val="clear" w:color="auto" w:fill="FFFFFF"/>
        </w:rPr>
        <w:t xml:space="preserve"> </w:t>
      </w:r>
      <w:r w:rsidR="005557BF" w:rsidRPr="004C0D35">
        <w:rPr>
          <w:rFonts w:ascii="Times New Roman" w:hAnsi="Times New Roman" w:cs="Times New Roman"/>
          <w:color w:val="000000"/>
          <w:sz w:val="24"/>
          <w:szCs w:val="24"/>
          <w:shd w:val="clear" w:color="auto" w:fill="FFFFFF"/>
        </w:rPr>
        <w:t xml:space="preserve">of the </w:t>
      </w:r>
      <w:r w:rsidR="00B14082">
        <w:rPr>
          <w:rFonts w:ascii="Times New Roman" w:hAnsi="Times New Roman" w:cs="Times New Roman"/>
          <w:color w:val="000000"/>
          <w:sz w:val="24"/>
          <w:szCs w:val="24"/>
          <w:shd w:val="clear" w:color="auto" w:fill="FFFFFF"/>
        </w:rPr>
        <w:t>twenty</w:t>
      </w:r>
      <w:r w:rsidR="00B14082" w:rsidRPr="004C0D35">
        <w:rPr>
          <w:rFonts w:ascii="Times New Roman" w:hAnsi="Times New Roman" w:cs="Times New Roman"/>
          <w:color w:val="000000"/>
          <w:sz w:val="24"/>
          <w:szCs w:val="24"/>
          <w:shd w:val="clear" w:color="auto" w:fill="FFFFFF"/>
        </w:rPr>
        <w:t xml:space="preserve"> </w:t>
      </w:r>
      <w:r w:rsidR="005557BF" w:rsidRPr="004C0D35">
        <w:rPr>
          <w:rFonts w:ascii="Times New Roman" w:hAnsi="Times New Roman" w:cs="Times New Roman"/>
          <w:color w:val="000000"/>
          <w:sz w:val="24"/>
          <w:szCs w:val="24"/>
          <w:shd w:val="clear" w:color="auto" w:fill="FFFFFF"/>
        </w:rPr>
        <w:t xml:space="preserve">jurisdictions </w:t>
      </w:r>
      <w:r w:rsidR="00070203" w:rsidRPr="004C0D35">
        <w:rPr>
          <w:rFonts w:ascii="Times New Roman" w:hAnsi="Times New Roman" w:cs="Times New Roman"/>
          <w:color w:val="000000"/>
          <w:sz w:val="24"/>
          <w:szCs w:val="24"/>
          <w:shd w:val="clear" w:color="auto" w:fill="FFFFFF"/>
        </w:rPr>
        <w:t>which have the most liberal trust law</w:t>
      </w:r>
      <w:r w:rsidR="00E663D6" w:rsidRPr="004C0D35">
        <w:rPr>
          <w:rFonts w:ascii="Times New Roman" w:hAnsi="Times New Roman" w:cs="Times New Roman"/>
          <w:color w:val="000000"/>
          <w:sz w:val="24"/>
          <w:szCs w:val="24"/>
          <w:shd w:val="clear" w:color="auto" w:fill="FFFFFF"/>
        </w:rPr>
        <w:t>s</w:t>
      </w:r>
      <w:r w:rsidR="00070203" w:rsidRPr="004C0D35">
        <w:rPr>
          <w:rFonts w:ascii="Times New Roman" w:hAnsi="Times New Roman" w:cs="Times New Roman"/>
          <w:color w:val="000000"/>
          <w:sz w:val="24"/>
          <w:szCs w:val="24"/>
          <w:shd w:val="clear" w:color="auto" w:fill="FFFFFF"/>
        </w:rPr>
        <w:t xml:space="preserve"> </w:t>
      </w:r>
      <w:r w:rsidR="0061104F" w:rsidRPr="004C0D35">
        <w:rPr>
          <w:rFonts w:ascii="Times New Roman" w:hAnsi="Times New Roman" w:cs="Times New Roman"/>
          <w:color w:val="000000"/>
          <w:sz w:val="24"/>
          <w:szCs w:val="24"/>
          <w:shd w:val="clear" w:color="auto" w:fill="FFFFFF"/>
        </w:rPr>
        <w:t>are American states.</w:t>
      </w:r>
      <w:r w:rsidR="00C92261">
        <w:rPr>
          <w:rStyle w:val="FootnoteReference"/>
          <w:rFonts w:ascii="Times New Roman" w:hAnsi="Times New Roman" w:cs="Times New Roman"/>
          <w:color w:val="000000"/>
          <w:sz w:val="24"/>
          <w:szCs w:val="24"/>
          <w:shd w:val="clear" w:color="auto" w:fill="FFFFFF"/>
        </w:rPr>
        <w:footnoteReference w:id="5"/>
      </w:r>
      <w:r w:rsidR="0061104F" w:rsidRPr="004C0D35">
        <w:rPr>
          <w:rFonts w:ascii="Times New Roman" w:hAnsi="Times New Roman" w:cs="Times New Roman"/>
          <w:color w:val="000000"/>
          <w:sz w:val="24"/>
          <w:szCs w:val="24"/>
          <w:shd w:val="clear" w:color="auto" w:fill="FFFFFF"/>
        </w:rPr>
        <w:t xml:space="preserve"> Trust law</w:t>
      </w:r>
      <w:r w:rsidR="005557BF" w:rsidRPr="004C0D35">
        <w:rPr>
          <w:rFonts w:ascii="Times New Roman" w:hAnsi="Times New Roman" w:cs="Times New Roman"/>
          <w:color w:val="000000"/>
          <w:sz w:val="24"/>
          <w:szCs w:val="24"/>
          <w:shd w:val="clear" w:color="auto" w:fill="FFFFFF"/>
        </w:rPr>
        <w:t xml:space="preserve"> liberalization in the U.S. is a result of the widespread adoption of the Uniform Trust Code, which includes many highly liberal positions, among the states, as well as of many states having followed an offshore dynamic in adopting highly permissive positions in order to draw users from out of state to </w:t>
      </w:r>
      <w:r w:rsidR="0028429F" w:rsidRPr="004C0D35">
        <w:rPr>
          <w:rFonts w:ascii="Times New Roman" w:hAnsi="Times New Roman" w:cs="Times New Roman"/>
          <w:color w:val="000000"/>
          <w:sz w:val="24"/>
          <w:szCs w:val="24"/>
          <w:shd w:val="clear" w:color="auto" w:fill="FFFFFF"/>
        </w:rPr>
        <w:t>resident service providers and keep users from leaving.</w:t>
      </w:r>
      <w:r w:rsidR="004B1526">
        <w:rPr>
          <w:rStyle w:val="FootnoteReference"/>
          <w:rFonts w:ascii="Times New Roman" w:hAnsi="Times New Roman" w:cs="Times New Roman"/>
          <w:color w:val="000000"/>
          <w:sz w:val="24"/>
          <w:szCs w:val="24"/>
          <w:shd w:val="clear" w:color="auto" w:fill="FFFFFF"/>
        </w:rPr>
        <w:footnoteReference w:id="6"/>
      </w:r>
      <w:r w:rsidR="0028429F" w:rsidRPr="004C0D35">
        <w:rPr>
          <w:rFonts w:ascii="Times New Roman" w:hAnsi="Times New Roman" w:cs="Times New Roman"/>
          <w:color w:val="000000"/>
          <w:sz w:val="24"/>
          <w:szCs w:val="24"/>
          <w:shd w:val="clear" w:color="auto" w:fill="FFFFFF"/>
        </w:rPr>
        <w:t xml:space="preserve"> The trust laws of many</w:t>
      </w:r>
      <w:r w:rsidR="005557BF" w:rsidRPr="004C0D35">
        <w:rPr>
          <w:rFonts w:ascii="Times New Roman" w:hAnsi="Times New Roman" w:cs="Times New Roman"/>
          <w:color w:val="000000"/>
          <w:sz w:val="24"/>
          <w:szCs w:val="24"/>
          <w:shd w:val="clear" w:color="auto" w:fill="FFFFFF"/>
        </w:rPr>
        <w:t xml:space="preserve"> American states are </w:t>
      </w:r>
      <w:r w:rsidR="00EA3401" w:rsidRPr="004C0D35">
        <w:rPr>
          <w:rFonts w:ascii="Times New Roman" w:hAnsi="Times New Roman" w:cs="Times New Roman"/>
          <w:color w:val="000000"/>
          <w:sz w:val="24"/>
          <w:szCs w:val="24"/>
          <w:shd w:val="clear" w:color="auto" w:fill="FFFFFF"/>
        </w:rPr>
        <w:t>more</w:t>
      </w:r>
      <w:r w:rsidR="005557BF" w:rsidRPr="004C0D35">
        <w:rPr>
          <w:rFonts w:ascii="Times New Roman" w:hAnsi="Times New Roman" w:cs="Times New Roman"/>
          <w:color w:val="000000"/>
          <w:sz w:val="24"/>
          <w:szCs w:val="24"/>
          <w:shd w:val="clear" w:color="auto" w:fill="FFFFFF"/>
        </w:rPr>
        <w:t xml:space="preserve"> liberal </w:t>
      </w:r>
      <w:r w:rsidR="00EA3401" w:rsidRPr="004C0D35">
        <w:rPr>
          <w:rFonts w:ascii="Times New Roman" w:hAnsi="Times New Roman" w:cs="Times New Roman"/>
          <w:color w:val="000000"/>
          <w:sz w:val="24"/>
          <w:szCs w:val="24"/>
          <w:shd w:val="clear" w:color="auto" w:fill="FFFFFF"/>
        </w:rPr>
        <w:t>than</w:t>
      </w:r>
      <w:r w:rsidR="005557BF" w:rsidRPr="004C0D35">
        <w:rPr>
          <w:rFonts w:ascii="Times New Roman" w:hAnsi="Times New Roman" w:cs="Times New Roman"/>
          <w:color w:val="000000"/>
          <w:sz w:val="24"/>
          <w:szCs w:val="24"/>
          <w:shd w:val="clear" w:color="auto" w:fill="FFFFFF"/>
        </w:rPr>
        <w:t xml:space="preserve"> those of </w:t>
      </w:r>
      <w:r w:rsidR="00FA4B36" w:rsidRPr="004C0D35">
        <w:rPr>
          <w:rFonts w:ascii="Times New Roman" w:hAnsi="Times New Roman" w:cs="Times New Roman"/>
          <w:color w:val="000000"/>
          <w:sz w:val="24"/>
          <w:szCs w:val="24"/>
          <w:shd w:val="clear" w:color="auto" w:fill="FFFFFF"/>
        </w:rPr>
        <w:t>most</w:t>
      </w:r>
      <w:r w:rsidR="005557BF" w:rsidRPr="004C0D35">
        <w:rPr>
          <w:rFonts w:ascii="Times New Roman" w:hAnsi="Times New Roman" w:cs="Times New Roman"/>
          <w:color w:val="000000"/>
          <w:sz w:val="24"/>
          <w:szCs w:val="24"/>
          <w:shd w:val="clear" w:color="auto" w:fill="FFFFFF"/>
        </w:rPr>
        <w:t xml:space="preserve"> offshore island jurisdictions.</w:t>
      </w:r>
      <w:r w:rsidR="004B1D04">
        <w:rPr>
          <w:rStyle w:val="FootnoteReference"/>
          <w:rFonts w:ascii="Times New Roman" w:hAnsi="Times New Roman" w:cs="Times New Roman"/>
          <w:color w:val="000000"/>
          <w:sz w:val="24"/>
          <w:szCs w:val="24"/>
          <w:shd w:val="clear" w:color="auto" w:fill="FFFFFF"/>
        </w:rPr>
        <w:footnoteReference w:id="7"/>
      </w:r>
      <w:r w:rsidR="005557BF" w:rsidRPr="004C0D35">
        <w:rPr>
          <w:rFonts w:ascii="Times New Roman" w:hAnsi="Times New Roman" w:cs="Times New Roman"/>
          <w:color w:val="000000"/>
          <w:sz w:val="24"/>
          <w:szCs w:val="24"/>
          <w:shd w:val="clear" w:color="auto" w:fill="FFFFFF"/>
        </w:rPr>
        <w:t xml:space="preserve"> Even the laws of such relatively conservative American states</w:t>
      </w:r>
      <w:r w:rsidR="00E55579">
        <w:rPr>
          <w:rFonts w:ascii="Times New Roman" w:hAnsi="Times New Roman" w:cs="Times New Roman"/>
          <w:color w:val="000000"/>
          <w:sz w:val="24"/>
          <w:szCs w:val="24"/>
          <w:shd w:val="clear" w:color="auto" w:fill="FFFFFF"/>
        </w:rPr>
        <w:t xml:space="preserve"> - conservative</w:t>
      </w:r>
      <w:r w:rsidR="00017358" w:rsidRPr="004C0D35">
        <w:rPr>
          <w:rFonts w:ascii="Times New Roman" w:hAnsi="Times New Roman" w:cs="Times New Roman"/>
          <w:color w:val="000000"/>
          <w:sz w:val="24"/>
          <w:szCs w:val="24"/>
          <w:shd w:val="clear" w:color="auto" w:fill="FFFFFF"/>
        </w:rPr>
        <w:t xml:space="preserve"> on trust matters</w:t>
      </w:r>
      <w:r w:rsidR="00E55579">
        <w:rPr>
          <w:rFonts w:ascii="Times New Roman" w:hAnsi="Times New Roman" w:cs="Times New Roman"/>
          <w:color w:val="000000"/>
          <w:sz w:val="24"/>
          <w:szCs w:val="24"/>
          <w:shd w:val="clear" w:color="auto" w:fill="FFFFFF"/>
        </w:rPr>
        <w:t xml:space="preserve"> -</w:t>
      </w:r>
      <w:r w:rsidR="005557BF" w:rsidRPr="004C0D35">
        <w:rPr>
          <w:rFonts w:ascii="Times New Roman" w:hAnsi="Times New Roman" w:cs="Times New Roman"/>
          <w:color w:val="000000"/>
          <w:sz w:val="24"/>
          <w:szCs w:val="24"/>
          <w:shd w:val="clear" w:color="auto" w:fill="FFFFFF"/>
        </w:rPr>
        <w:t xml:space="preserve"> as New York and California </w:t>
      </w:r>
      <w:r w:rsidR="00035ED0" w:rsidRPr="004C0D35">
        <w:rPr>
          <w:rFonts w:ascii="Times New Roman" w:hAnsi="Times New Roman" w:cs="Times New Roman"/>
          <w:color w:val="000000"/>
          <w:sz w:val="24"/>
          <w:szCs w:val="24"/>
          <w:shd w:val="clear" w:color="auto" w:fill="FFFFFF"/>
        </w:rPr>
        <w:t>are quite liberal by global standards.</w:t>
      </w:r>
      <w:r w:rsidR="00E55579">
        <w:rPr>
          <w:rStyle w:val="FootnoteReference"/>
          <w:rFonts w:ascii="Times New Roman" w:hAnsi="Times New Roman" w:cs="Times New Roman"/>
          <w:color w:val="000000"/>
          <w:sz w:val="24"/>
          <w:szCs w:val="24"/>
          <w:shd w:val="clear" w:color="auto" w:fill="FFFFFF"/>
        </w:rPr>
        <w:footnoteReference w:id="8"/>
      </w:r>
      <w:r w:rsidR="00035ED0" w:rsidRPr="004C0D35">
        <w:rPr>
          <w:rFonts w:ascii="Times New Roman" w:hAnsi="Times New Roman" w:cs="Times New Roman"/>
          <w:color w:val="000000"/>
          <w:sz w:val="24"/>
          <w:szCs w:val="24"/>
          <w:shd w:val="clear" w:color="auto" w:fill="FFFFFF"/>
        </w:rPr>
        <w:t xml:space="preserve"> </w:t>
      </w:r>
      <w:r w:rsidR="0028429F" w:rsidRPr="004C0D35">
        <w:rPr>
          <w:rFonts w:ascii="Times New Roman" w:hAnsi="Times New Roman" w:cs="Times New Roman"/>
          <w:color w:val="000000"/>
          <w:sz w:val="24"/>
          <w:szCs w:val="24"/>
          <w:shd w:val="clear" w:color="auto" w:fill="FFFFFF"/>
        </w:rPr>
        <w:t xml:space="preserve">Much of the recent global increase in trust law liberality occurred </w:t>
      </w:r>
      <w:r w:rsidR="00FA4B36" w:rsidRPr="004C0D35">
        <w:rPr>
          <w:rFonts w:ascii="Times New Roman" w:hAnsi="Times New Roman" w:cs="Times New Roman"/>
          <w:color w:val="000000"/>
          <w:sz w:val="24"/>
          <w:szCs w:val="24"/>
          <w:shd w:val="clear" w:color="auto" w:fill="FFFFFF"/>
        </w:rPr>
        <w:t>from</w:t>
      </w:r>
      <w:r w:rsidR="005F02B7" w:rsidRPr="004C0D35">
        <w:rPr>
          <w:rFonts w:ascii="Times New Roman" w:hAnsi="Times New Roman" w:cs="Times New Roman"/>
          <w:color w:val="000000"/>
          <w:sz w:val="24"/>
          <w:szCs w:val="24"/>
          <w:shd w:val="clear" w:color="auto" w:fill="FFFFFF"/>
        </w:rPr>
        <w:t xml:space="preserve"> 1988-2016,</w:t>
      </w:r>
      <w:r w:rsidR="00A51089" w:rsidRPr="004C0D35">
        <w:rPr>
          <w:rFonts w:ascii="Times New Roman" w:hAnsi="Times New Roman" w:cs="Times New Roman"/>
          <w:color w:val="000000"/>
          <w:sz w:val="24"/>
          <w:szCs w:val="24"/>
          <w:shd w:val="clear" w:color="auto" w:fill="FFFFFF"/>
        </w:rPr>
        <w:t xml:space="preserve"> a period during</w:t>
      </w:r>
      <w:r w:rsidR="00035ED0" w:rsidRPr="004C0D35">
        <w:rPr>
          <w:rFonts w:ascii="Times New Roman" w:hAnsi="Times New Roman" w:cs="Times New Roman"/>
          <w:color w:val="000000"/>
          <w:sz w:val="24"/>
          <w:szCs w:val="24"/>
          <w:shd w:val="clear" w:color="auto" w:fill="FFFFFF"/>
        </w:rPr>
        <w:t xml:space="preserve"> which many j</w:t>
      </w:r>
      <w:r w:rsidR="0028429F" w:rsidRPr="004C0D35">
        <w:rPr>
          <w:rFonts w:ascii="Times New Roman" w:hAnsi="Times New Roman" w:cs="Times New Roman"/>
          <w:color w:val="000000"/>
          <w:sz w:val="24"/>
          <w:szCs w:val="24"/>
          <w:shd w:val="clear" w:color="auto" w:fill="FFFFFF"/>
        </w:rPr>
        <w:t>urisdictions created liberal</w:t>
      </w:r>
      <w:r w:rsidR="00035ED0" w:rsidRPr="004C0D35">
        <w:rPr>
          <w:rFonts w:ascii="Times New Roman" w:hAnsi="Times New Roman" w:cs="Times New Roman"/>
          <w:color w:val="000000"/>
          <w:sz w:val="24"/>
          <w:szCs w:val="24"/>
          <w:shd w:val="clear" w:color="auto" w:fill="FFFFFF"/>
        </w:rPr>
        <w:t xml:space="preserve"> trust regimes in order to attract non-resident users</w:t>
      </w:r>
      <w:r w:rsidR="0076643C" w:rsidRPr="004C0D35">
        <w:rPr>
          <w:rFonts w:ascii="Times New Roman" w:hAnsi="Times New Roman" w:cs="Times New Roman"/>
          <w:color w:val="000000"/>
          <w:sz w:val="24"/>
          <w:szCs w:val="24"/>
          <w:shd w:val="clear" w:color="auto" w:fill="FFFFFF"/>
        </w:rPr>
        <w:t xml:space="preserve"> to resident service providers</w:t>
      </w:r>
      <w:r w:rsidR="00035ED0" w:rsidRPr="004C0D35">
        <w:rPr>
          <w:rFonts w:ascii="Times New Roman" w:hAnsi="Times New Roman" w:cs="Times New Roman"/>
          <w:color w:val="000000"/>
          <w:sz w:val="24"/>
          <w:szCs w:val="24"/>
          <w:shd w:val="clear" w:color="auto" w:fill="FFFFFF"/>
        </w:rPr>
        <w:t>, and</w:t>
      </w:r>
      <w:r w:rsidR="0076643C" w:rsidRPr="004C0D35">
        <w:rPr>
          <w:rFonts w:ascii="Times New Roman" w:hAnsi="Times New Roman" w:cs="Times New Roman"/>
          <w:color w:val="000000"/>
          <w:sz w:val="24"/>
          <w:szCs w:val="24"/>
          <w:shd w:val="clear" w:color="auto" w:fill="FFFFFF"/>
        </w:rPr>
        <w:t>, from 2002,</w:t>
      </w:r>
      <w:r w:rsidR="00035ED0" w:rsidRPr="004C0D35">
        <w:rPr>
          <w:rFonts w:ascii="Times New Roman" w:hAnsi="Times New Roman" w:cs="Times New Roman"/>
          <w:color w:val="000000"/>
          <w:sz w:val="24"/>
          <w:szCs w:val="24"/>
          <w:shd w:val="clear" w:color="auto" w:fill="FFFFFF"/>
        </w:rPr>
        <w:t xml:space="preserve"> many U.S. states enacted versions of the Uniform Trust Code.</w:t>
      </w:r>
      <w:r w:rsidR="005B7BB7">
        <w:rPr>
          <w:rStyle w:val="FootnoteReference"/>
          <w:rFonts w:ascii="Times New Roman" w:hAnsi="Times New Roman" w:cs="Times New Roman"/>
          <w:color w:val="000000"/>
          <w:sz w:val="24"/>
          <w:szCs w:val="24"/>
          <w:shd w:val="clear" w:color="auto" w:fill="FFFFFF"/>
        </w:rPr>
        <w:footnoteReference w:id="9"/>
      </w:r>
    </w:p>
    <w:p w14:paraId="5FE16D40" w14:textId="12D58C1B" w:rsidR="003A581B" w:rsidRPr="004C0D35" w:rsidRDefault="000E062A" w:rsidP="00FD072C">
      <w:pPr>
        <w:spacing w:after="0"/>
        <w:ind w:firstLine="720"/>
        <w:jc w:val="both"/>
        <w:rPr>
          <w:rFonts w:ascii="Times New Roman" w:hAnsi="Times New Roman" w:cs="Times New Roman"/>
          <w:sz w:val="24"/>
          <w:szCs w:val="24"/>
        </w:rPr>
      </w:pPr>
      <w:r w:rsidRPr="004C0D35">
        <w:rPr>
          <w:rFonts w:ascii="Times New Roman" w:hAnsi="Times New Roman" w:cs="Times New Roman"/>
          <w:color w:val="000000"/>
          <w:sz w:val="24"/>
          <w:szCs w:val="24"/>
          <w:shd w:val="clear" w:color="auto" w:fill="FFFFFF"/>
        </w:rPr>
        <w:t>One purpose of this article is sorting jurisdictions according to the extent to which they have liberalized their trusts law at each point in time</w:t>
      </w:r>
      <w:r w:rsidR="005A2EF6" w:rsidRPr="004C0D35">
        <w:rPr>
          <w:rFonts w:ascii="Times New Roman" w:hAnsi="Times New Roman" w:cs="Times New Roman"/>
          <w:color w:val="000000"/>
          <w:sz w:val="24"/>
          <w:szCs w:val="24"/>
          <w:shd w:val="clear" w:color="auto" w:fill="FFFFFF"/>
        </w:rPr>
        <w:t>, including the present</w:t>
      </w:r>
      <w:r w:rsidRPr="004C0D35">
        <w:rPr>
          <w:rFonts w:ascii="Times New Roman" w:hAnsi="Times New Roman" w:cs="Times New Roman"/>
          <w:color w:val="000000"/>
          <w:sz w:val="24"/>
          <w:szCs w:val="24"/>
          <w:shd w:val="clear" w:color="auto" w:fill="FFFFFF"/>
        </w:rPr>
        <w:t>.</w:t>
      </w:r>
      <w:r w:rsidR="004E4FD0" w:rsidRPr="004C0D35">
        <w:rPr>
          <w:rFonts w:ascii="Times New Roman" w:hAnsi="Times New Roman" w:cs="Times New Roman"/>
          <w:color w:val="000000"/>
          <w:sz w:val="24"/>
          <w:szCs w:val="24"/>
          <w:shd w:val="clear" w:color="auto" w:fill="FFFFFF"/>
        </w:rPr>
        <w:t xml:space="preserve"> Another is portraying the global process of trust law liberalization across time, pointing out periods of acceleration and deceleration. A final purpose is testing, for the </w:t>
      </w:r>
      <w:r w:rsidR="00B14082">
        <w:rPr>
          <w:rFonts w:ascii="Times New Roman" w:hAnsi="Times New Roman" w:cs="Times New Roman"/>
          <w:color w:val="000000"/>
          <w:sz w:val="24"/>
          <w:szCs w:val="24"/>
          <w:shd w:val="clear" w:color="auto" w:fill="FFFFFF"/>
        </w:rPr>
        <w:t>twenty-two</w:t>
      </w:r>
      <w:r w:rsidR="00B14082" w:rsidRPr="004C0D35">
        <w:rPr>
          <w:rFonts w:ascii="Times New Roman" w:hAnsi="Times New Roman" w:cs="Times New Roman"/>
          <w:color w:val="000000"/>
          <w:sz w:val="24"/>
          <w:szCs w:val="24"/>
          <w:shd w:val="clear" w:color="auto" w:fill="FFFFFF"/>
        </w:rPr>
        <w:t xml:space="preserve"> </w:t>
      </w:r>
      <w:r w:rsidR="004E4FD0" w:rsidRPr="004C0D35">
        <w:rPr>
          <w:rFonts w:ascii="Times New Roman" w:hAnsi="Times New Roman" w:cs="Times New Roman"/>
          <w:color w:val="000000"/>
          <w:sz w:val="24"/>
          <w:szCs w:val="24"/>
          <w:shd w:val="clear" w:color="auto" w:fill="FFFFFF"/>
        </w:rPr>
        <w:t>variables examined here, how the m</w:t>
      </w:r>
      <w:r w:rsidR="00D97B51" w:rsidRPr="004C0D35">
        <w:rPr>
          <w:rFonts w:ascii="Times New Roman" w:hAnsi="Times New Roman" w:cs="Times New Roman"/>
          <w:color w:val="000000"/>
          <w:sz w:val="24"/>
          <w:szCs w:val="24"/>
          <w:shd w:val="clear" w:color="auto" w:fill="FFFFFF"/>
        </w:rPr>
        <w:t>arket for trust services reacted</w:t>
      </w:r>
      <w:r w:rsidR="004E4FD0" w:rsidRPr="004C0D35">
        <w:rPr>
          <w:rFonts w:ascii="Times New Roman" w:hAnsi="Times New Roman" w:cs="Times New Roman"/>
          <w:color w:val="000000"/>
          <w:sz w:val="24"/>
          <w:szCs w:val="24"/>
          <w:shd w:val="clear" w:color="auto" w:fill="FFFFFF"/>
        </w:rPr>
        <w:t xml:space="preserve"> to trust law </w:t>
      </w:r>
      <w:r w:rsidR="006E65F4" w:rsidRPr="004C0D35">
        <w:rPr>
          <w:rFonts w:ascii="Times New Roman" w:hAnsi="Times New Roman" w:cs="Times New Roman"/>
          <w:color w:val="000000"/>
          <w:sz w:val="24"/>
          <w:szCs w:val="24"/>
          <w:shd w:val="clear" w:color="auto" w:fill="FFFFFF"/>
        </w:rPr>
        <w:t xml:space="preserve">liberality and (separately) </w:t>
      </w:r>
      <w:r w:rsidR="00453AA3" w:rsidRPr="004C0D35">
        <w:rPr>
          <w:rFonts w:ascii="Times New Roman" w:hAnsi="Times New Roman" w:cs="Times New Roman"/>
          <w:color w:val="000000"/>
          <w:sz w:val="24"/>
          <w:szCs w:val="24"/>
          <w:shd w:val="clear" w:color="auto" w:fill="FFFFFF"/>
        </w:rPr>
        <w:t>liberalization. In a</w:t>
      </w:r>
      <w:r w:rsidR="004E4FD0" w:rsidRPr="004C0D35">
        <w:rPr>
          <w:rFonts w:ascii="Times New Roman" w:hAnsi="Times New Roman" w:cs="Times New Roman"/>
          <w:color w:val="000000"/>
          <w:sz w:val="24"/>
          <w:szCs w:val="24"/>
          <w:shd w:val="clear" w:color="auto" w:fill="FFFFFF"/>
        </w:rPr>
        <w:t xml:space="preserve"> 2005 article, Sitkoff and Schanzenbach showed that </w:t>
      </w:r>
      <w:r w:rsidR="004E4FD0" w:rsidRPr="004C0D35">
        <w:rPr>
          <w:rFonts w:ascii="Times New Roman" w:hAnsi="Times New Roman" w:cs="Times New Roman"/>
          <w:sz w:val="24"/>
          <w:szCs w:val="24"/>
        </w:rPr>
        <w:t>a U.S. state’s abolition of the rule against perpetuities significantly increased</w:t>
      </w:r>
      <w:r w:rsidR="00844DA1">
        <w:rPr>
          <w:rFonts w:ascii="Times New Roman" w:hAnsi="Times New Roman" w:cs="Times New Roman"/>
          <w:sz w:val="24"/>
          <w:szCs w:val="24"/>
        </w:rPr>
        <w:t>, to 2003,</w:t>
      </w:r>
      <w:r w:rsidR="004E4FD0" w:rsidRPr="004C0D35">
        <w:rPr>
          <w:rFonts w:ascii="Times New Roman" w:hAnsi="Times New Roman" w:cs="Times New Roman"/>
          <w:sz w:val="24"/>
          <w:szCs w:val="24"/>
        </w:rPr>
        <w:t xml:space="preserve"> the trust assets managed by fiduciary institutions resident in that state, so long as the state did not impose an income tax on trust funds attracted from out of state</w:t>
      </w:r>
      <w:r w:rsidR="00AB1E6F" w:rsidRPr="004C0D35">
        <w:rPr>
          <w:rFonts w:ascii="Times New Roman" w:hAnsi="Times New Roman" w:cs="Times New Roman"/>
          <w:sz w:val="24"/>
          <w:szCs w:val="24"/>
        </w:rPr>
        <w:t>.</w:t>
      </w:r>
      <w:r w:rsidR="00FD072C" w:rsidRPr="004C0D35">
        <w:rPr>
          <w:rStyle w:val="FootnoteReference"/>
          <w:rFonts w:ascii="Times New Roman" w:hAnsi="Times New Roman" w:cs="Times New Roman"/>
          <w:sz w:val="24"/>
          <w:szCs w:val="24"/>
        </w:rPr>
        <w:footnoteReference w:id="10"/>
      </w:r>
      <w:r w:rsidR="004E4FD0" w:rsidRPr="004C0D35">
        <w:rPr>
          <w:rFonts w:ascii="Times New Roman" w:hAnsi="Times New Roman" w:cs="Times New Roman"/>
          <w:color w:val="000000"/>
          <w:sz w:val="24"/>
          <w:szCs w:val="24"/>
          <w:shd w:val="clear" w:color="auto" w:fill="FFFFFF"/>
        </w:rPr>
        <w:t xml:space="preserve"> </w:t>
      </w:r>
    </w:p>
    <w:p w14:paraId="66291D45" w14:textId="0686A585" w:rsidR="00F91E69" w:rsidRDefault="00F91E69" w:rsidP="00760B20">
      <w:pPr>
        <w:spacing w:after="0"/>
        <w:ind w:firstLine="720"/>
        <w:jc w:val="both"/>
        <w:rPr>
          <w:rFonts w:ascii="Times New Roman" w:hAnsi="Times New Roman" w:cs="Times New Roman"/>
          <w:color w:val="000000"/>
          <w:sz w:val="24"/>
          <w:szCs w:val="24"/>
          <w:shd w:val="clear" w:color="auto" w:fill="FFFFFF"/>
          <w:rtl/>
        </w:rPr>
      </w:pPr>
      <w:r w:rsidRPr="004C0D35">
        <w:rPr>
          <w:rFonts w:ascii="Times New Roman" w:hAnsi="Times New Roman" w:cs="Times New Roman"/>
          <w:color w:val="000000"/>
          <w:sz w:val="24"/>
          <w:szCs w:val="24"/>
          <w:shd w:val="clear" w:color="auto" w:fill="FFFFFF"/>
        </w:rPr>
        <w:t>Multivariate regression analysis</w:t>
      </w:r>
      <w:r w:rsidR="00276963">
        <w:rPr>
          <w:rFonts w:ascii="Times New Roman" w:hAnsi="Times New Roman" w:cs="Times New Roman"/>
          <w:color w:val="000000"/>
          <w:sz w:val="24"/>
          <w:szCs w:val="24"/>
          <w:shd w:val="clear" w:color="auto" w:fill="FFFFFF"/>
        </w:rPr>
        <w:t xml:space="preserve"> I conducted</w:t>
      </w:r>
      <w:r w:rsidRPr="004C0D35">
        <w:rPr>
          <w:rFonts w:ascii="Times New Roman" w:hAnsi="Times New Roman" w:cs="Times New Roman"/>
          <w:color w:val="000000"/>
          <w:sz w:val="24"/>
          <w:szCs w:val="24"/>
          <w:shd w:val="clear" w:color="auto" w:fill="FFFFFF"/>
        </w:rPr>
        <w:t xml:space="preserve"> of U.S. data</w:t>
      </w:r>
      <w:r w:rsidR="00276963">
        <w:rPr>
          <w:rFonts w:ascii="Times New Roman" w:hAnsi="Times New Roman" w:cs="Times New Roman"/>
          <w:color w:val="000000"/>
          <w:sz w:val="24"/>
          <w:szCs w:val="24"/>
          <w:shd w:val="clear" w:color="auto" w:fill="FFFFFF"/>
        </w:rPr>
        <w:t>, reported below,</w:t>
      </w:r>
      <w:r w:rsidRPr="004C0D35">
        <w:rPr>
          <w:rFonts w:ascii="Times New Roman" w:hAnsi="Times New Roman" w:cs="Times New Roman"/>
          <w:color w:val="000000"/>
          <w:sz w:val="24"/>
          <w:szCs w:val="24"/>
          <w:shd w:val="clear" w:color="auto" w:fill="FFFFFF"/>
        </w:rPr>
        <w:t xml:space="preserve"> shows that </w:t>
      </w:r>
      <w:r>
        <w:rPr>
          <w:rFonts w:ascii="Times New Roman" w:hAnsi="Times New Roman" w:cs="Times New Roman"/>
          <w:color w:val="000000"/>
          <w:sz w:val="24"/>
          <w:szCs w:val="24"/>
          <w:shd w:val="clear" w:color="auto" w:fill="FFFFFF"/>
        </w:rPr>
        <w:t xml:space="preserve">the statutory liberalization of trust law </w:t>
      </w:r>
      <w:r w:rsidR="00276963">
        <w:rPr>
          <w:rFonts w:ascii="Times New Roman" w:hAnsi="Times New Roman" w:cs="Times New Roman"/>
          <w:color w:val="000000"/>
          <w:sz w:val="24"/>
          <w:szCs w:val="24"/>
          <w:shd w:val="clear" w:color="auto" w:fill="FFFFFF"/>
        </w:rPr>
        <w:t xml:space="preserve">has </w:t>
      </w:r>
      <w:r>
        <w:rPr>
          <w:rFonts w:ascii="Times New Roman" w:hAnsi="Times New Roman" w:cs="Times New Roman"/>
          <w:color w:val="000000"/>
          <w:sz w:val="24"/>
          <w:szCs w:val="24"/>
          <w:shd w:val="clear" w:color="auto" w:fill="FFFFFF"/>
        </w:rPr>
        <w:t>had no effect on</w:t>
      </w:r>
      <w:r w:rsidR="00276963">
        <w:rPr>
          <w:rFonts w:ascii="Times New Roman" w:hAnsi="Times New Roman" w:cs="Times New Roman"/>
          <w:color w:val="000000"/>
          <w:sz w:val="24"/>
          <w:szCs w:val="24"/>
          <w:shd w:val="clear" w:color="auto" w:fill="FFFFFF"/>
        </w:rPr>
        <w:t xml:space="preserve"> several indicia for the success of service provision to trusts as a commercial enterprise:</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trustee income per trust, attorney, </w:t>
      </w:r>
      <w:r w:rsidRPr="004C0D35">
        <w:rPr>
          <w:rFonts w:ascii="Times New Roman" w:eastAsia="Times New Roman" w:hAnsi="Times New Roman" w:cs="Times New Roman"/>
          <w:sz w:val="24"/>
          <w:szCs w:val="24"/>
        </w:rPr>
        <w:t xml:space="preserve">accountant and </w:t>
      </w:r>
      <w:r w:rsidR="00760B20">
        <w:rPr>
          <w:rFonts w:ascii="Times New Roman" w:eastAsia="Times New Roman" w:hAnsi="Times New Roman" w:cs="Times New Roman"/>
          <w:sz w:val="24"/>
          <w:szCs w:val="24"/>
        </w:rPr>
        <w:t xml:space="preserve">tax </w:t>
      </w:r>
      <w:r w:rsidRPr="004C0D35">
        <w:rPr>
          <w:rFonts w:ascii="Times New Roman" w:eastAsia="Times New Roman" w:hAnsi="Times New Roman" w:cs="Times New Roman"/>
          <w:sz w:val="24"/>
          <w:szCs w:val="24"/>
        </w:rPr>
        <w:t xml:space="preserve">return preparer </w:t>
      </w:r>
      <w:r>
        <w:rPr>
          <w:rFonts w:ascii="Times New Roman" w:eastAsia="Times New Roman" w:hAnsi="Times New Roman" w:cs="Times New Roman"/>
          <w:sz w:val="24"/>
          <w:szCs w:val="24"/>
        </w:rPr>
        <w:t>i</w:t>
      </w:r>
      <w:r w:rsidRPr="004C0D35">
        <w:rPr>
          <w:rFonts w:ascii="Times New Roman" w:eastAsia="Times New Roman" w:hAnsi="Times New Roman" w:cs="Times New Roman"/>
          <w:sz w:val="24"/>
          <w:szCs w:val="24"/>
        </w:rPr>
        <w:t xml:space="preserve">ncome </w:t>
      </w:r>
      <w:r>
        <w:rPr>
          <w:rFonts w:ascii="Times New Roman" w:eastAsia="Times New Roman" w:hAnsi="Times New Roman" w:cs="Times New Roman"/>
          <w:sz w:val="24"/>
          <w:szCs w:val="24"/>
        </w:rPr>
        <w:t xml:space="preserve">from trust-related services, </w:t>
      </w:r>
      <w:r w:rsidRPr="004C0D35">
        <w:rPr>
          <w:rFonts w:ascii="Times New Roman" w:eastAsia="Times New Roman" w:hAnsi="Times New Roman" w:cs="Times New Roman"/>
          <w:sz w:val="24"/>
          <w:szCs w:val="24"/>
        </w:rPr>
        <w:t>total trust income (less loss)</w:t>
      </w:r>
      <w:r>
        <w:rPr>
          <w:rFonts w:ascii="Times New Roman" w:hAnsi="Times New Roman" w:cs="Times New Roman"/>
          <w:sz w:val="24"/>
          <w:szCs w:val="24"/>
        </w:rPr>
        <w:t xml:space="preserve">, the amount of establishments in the </w:t>
      </w:r>
      <w:r>
        <w:rPr>
          <w:rFonts w:ascii="Times New Roman" w:hAnsi="Times New Roman" w:cs="Times New Roman"/>
          <w:sz w:val="24"/>
          <w:szCs w:val="24"/>
          <w:shd w:val="clear" w:color="auto" w:fill="FFFFFF"/>
        </w:rPr>
        <w:t>“trust fiduciary and custody” sector</w:t>
      </w:r>
      <w:r>
        <w:rPr>
          <w:rFonts w:ascii="Times New Roman" w:hAnsi="Times New Roman" w:cs="Times New Roman"/>
          <w:sz w:val="24"/>
          <w:szCs w:val="24"/>
        </w:rPr>
        <w:t xml:space="preserve">, </w:t>
      </w:r>
      <w:r w:rsidRPr="009C4B35">
        <w:rPr>
          <w:rFonts w:ascii="Times New Roman" w:hAnsi="Times New Roman" w:cs="Times New Roman"/>
          <w:sz w:val="24"/>
          <w:szCs w:val="24"/>
          <w:shd w:val="clear" w:color="auto" w:fill="FFFFFF"/>
        </w:rPr>
        <w:t xml:space="preserve">the </w:t>
      </w:r>
      <w:r w:rsidRPr="009C4B35">
        <w:rPr>
          <w:rFonts w:ascii="Times New Roman" w:hAnsi="Times New Roman" w:cs="Times New Roman"/>
          <w:sz w:val="24"/>
          <w:szCs w:val="24"/>
        </w:rPr>
        <w:t xml:space="preserve">amount of employees </w:t>
      </w:r>
      <w:r>
        <w:rPr>
          <w:rFonts w:ascii="Times New Roman" w:hAnsi="Times New Roman" w:cs="Times New Roman"/>
          <w:sz w:val="24"/>
          <w:szCs w:val="24"/>
        </w:rPr>
        <w:t>in that sector</w:t>
      </w:r>
      <w:r w:rsidRPr="009C4B35">
        <w:rPr>
          <w:rFonts w:ascii="Times New Roman" w:hAnsi="Times New Roman" w:cs="Times New Roman"/>
          <w:sz w:val="24"/>
          <w:szCs w:val="24"/>
        </w:rPr>
        <w:t xml:space="preserve"> </w:t>
      </w:r>
      <w:r w:rsidR="00276963">
        <w:rPr>
          <w:rFonts w:ascii="Times New Roman" w:hAnsi="Times New Roman" w:cs="Times New Roman"/>
          <w:sz w:val="24"/>
          <w:szCs w:val="24"/>
        </w:rPr>
        <w:t>and</w:t>
      </w:r>
      <w:r w:rsidRPr="009C4B35">
        <w:rPr>
          <w:rFonts w:ascii="Times New Roman" w:hAnsi="Times New Roman" w:cs="Times New Roman"/>
          <w:sz w:val="24"/>
          <w:szCs w:val="24"/>
        </w:rPr>
        <w:t xml:space="preserve"> annual payroll</w:t>
      </w:r>
      <w:r>
        <w:rPr>
          <w:rFonts w:ascii="Times New Roman" w:hAnsi="Times New Roman" w:cs="Times New Roman"/>
          <w:sz w:val="24"/>
          <w:szCs w:val="24"/>
        </w:rPr>
        <w:t xml:space="preserve"> in that sector.</w:t>
      </w:r>
      <w:r w:rsidR="00FB5921">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It is especially clear that </w:t>
      </w:r>
      <w:r w:rsidRPr="004C0D35">
        <w:rPr>
          <w:rFonts w:ascii="Times New Roman" w:hAnsi="Times New Roman" w:cs="Times New Roman"/>
          <w:color w:val="000000"/>
          <w:sz w:val="24"/>
          <w:szCs w:val="24"/>
          <w:shd w:val="clear" w:color="auto" w:fill="FFFFFF"/>
        </w:rPr>
        <w:t xml:space="preserve">reforms seen as pandering to trust users’ </w:t>
      </w:r>
      <w:r w:rsidR="00B43C08">
        <w:rPr>
          <w:rFonts w:ascii="Times New Roman" w:hAnsi="Times New Roman" w:cs="Times New Roman"/>
          <w:color w:val="000000"/>
          <w:sz w:val="24"/>
          <w:szCs w:val="24"/>
          <w:shd w:val="clear" w:color="auto" w:fill="FFFFFF"/>
        </w:rPr>
        <w:t>interests</w:t>
      </w:r>
      <w:r w:rsidRPr="004C0D35">
        <w:rPr>
          <w:rFonts w:ascii="Times New Roman" w:hAnsi="Times New Roman" w:cs="Times New Roman"/>
          <w:color w:val="000000"/>
          <w:sz w:val="24"/>
          <w:szCs w:val="24"/>
          <w:shd w:val="clear" w:color="auto" w:fill="FFFFFF"/>
        </w:rPr>
        <w:t xml:space="preserve"> at great social cost, </w:t>
      </w:r>
      <w:r w:rsidR="00760B20" w:rsidRPr="004C0D35">
        <w:rPr>
          <w:rFonts w:ascii="Times New Roman" w:hAnsi="Times New Roman" w:cs="Times New Roman"/>
          <w:color w:val="000000"/>
          <w:sz w:val="24"/>
          <w:szCs w:val="24"/>
          <w:shd w:val="clear" w:color="auto" w:fill="FFFFFF"/>
        </w:rPr>
        <w:t xml:space="preserve">in order to create or sustain demand for professional services in the trust context, </w:t>
      </w:r>
      <w:r w:rsidRPr="004C0D35">
        <w:rPr>
          <w:rFonts w:ascii="Times New Roman" w:hAnsi="Times New Roman" w:cs="Times New Roman"/>
          <w:color w:val="000000"/>
          <w:sz w:val="24"/>
          <w:szCs w:val="24"/>
          <w:shd w:val="clear" w:color="auto" w:fill="FFFFFF"/>
        </w:rPr>
        <w:t>such as self-settled spendthrift trusts and perpetual trusts, have</w:t>
      </w:r>
      <w:r>
        <w:rPr>
          <w:rFonts w:ascii="Times New Roman" w:hAnsi="Times New Roman" w:cs="Times New Roman"/>
          <w:color w:val="000000"/>
          <w:sz w:val="24"/>
          <w:szCs w:val="24"/>
          <w:shd w:val="clear" w:color="auto" w:fill="FFFFFF"/>
        </w:rPr>
        <w:t xml:space="preserve"> had</w:t>
      </w:r>
      <w:r w:rsidRPr="004C0D35">
        <w:rPr>
          <w:rFonts w:ascii="Times New Roman" w:hAnsi="Times New Roman" w:cs="Times New Roman"/>
          <w:color w:val="000000"/>
          <w:sz w:val="24"/>
          <w:szCs w:val="24"/>
          <w:shd w:val="clear" w:color="auto" w:fill="FFFFFF"/>
        </w:rPr>
        <w:t xml:space="preserve"> no impact</w:t>
      </w:r>
      <w:r>
        <w:rPr>
          <w:rFonts w:ascii="Times New Roman" w:hAnsi="Times New Roman" w:cs="Times New Roman"/>
          <w:color w:val="000000"/>
          <w:sz w:val="24"/>
          <w:szCs w:val="24"/>
          <w:shd w:val="clear" w:color="auto" w:fill="FFFFFF"/>
        </w:rPr>
        <w:t xml:space="preserve"> on any of these indicia.</w:t>
      </w:r>
      <w:r w:rsidR="00E519A6">
        <w:rPr>
          <w:rStyle w:val="FootnoteReference"/>
          <w:rFonts w:ascii="Times New Roman" w:hAnsi="Times New Roman" w:cs="Times New Roman"/>
          <w:color w:val="000000"/>
          <w:sz w:val="24"/>
          <w:szCs w:val="24"/>
          <w:shd w:val="clear" w:color="auto" w:fill="FFFFFF"/>
        </w:rPr>
        <w:footnoteReference w:id="12"/>
      </w:r>
      <w:r>
        <w:rPr>
          <w:rFonts w:ascii="Times New Roman" w:hAnsi="Times New Roman" w:cs="Times New Roman"/>
          <w:color w:val="000000"/>
          <w:sz w:val="24"/>
          <w:szCs w:val="24"/>
          <w:shd w:val="clear" w:color="auto" w:fill="FFFFFF"/>
        </w:rPr>
        <w:t xml:space="preserve"> </w:t>
      </w:r>
    </w:p>
    <w:p w14:paraId="5254C4EB" w14:textId="768890B1" w:rsidR="00F91E69" w:rsidRDefault="00F91E69" w:rsidP="00760B20">
      <w:pPr>
        <w:spacing w:after="0" w:line="276"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 an exception to the general finding of a null result, some findings with marginal statistical significance show that </w:t>
      </w:r>
      <w:r w:rsidRPr="004C0D35">
        <w:rPr>
          <w:rFonts w:ascii="Times New Roman" w:hAnsi="Times New Roman" w:cs="Times New Roman"/>
          <w:color w:val="000000"/>
          <w:sz w:val="24"/>
          <w:szCs w:val="24"/>
          <w:shd w:val="clear" w:color="auto" w:fill="FFFFFF"/>
        </w:rPr>
        <w:t xml:space="preserve">law reforms which reduced trustees’ exposure to liability and entrenched their entitlement to remuneration led to a decline in their earnings per trust. Those reforms are also </w:t>
      </w:r>
      <w:r w:rsidR="00814473">
        <w:rPr>
          <w:rFonts w:ascii="Times New Roman" w:hAnsi="Times New Roman" w:cs="Times New Roman"/>
          <w:color w:val="000000"/>
          <w:sz w:val="24"/>
          <w:szCs w:val="24"/>
          <w:shd w:val="clear" w:color="auto" w:fill="FFFFFF"/>
        </w:rPr>
        <w:t xml:space="preserve">weakly </w:t>
      </w:r>
      <w:r w:rsidRPr="004C0D35">
        <w:rPr>
          <w:rFonts w:ascii="Times New Roman" w:hAnsi="Times New Roman" w:cs="Times New Roman"/>
          <w:color w:val="000000"/>
          <w:sz w:val="24"/>
          <w:szCs w:val="24"/>
          <w:shd w:val="clear" w:color="auto" w:fill="FFFFFF"/>
        </w:rPr>
        <w:t xml:space="preserve">associated with an increase in trust income. It is therefore possible that reforms widely seen as preferring trustees over their clients have resulted in </w:t>
      </w:r>
      <w:r w:rsidR="00276963">
        <w:rPr>
          <w:rFonts w:ascii="Times New Roman" w:hAnsi="Times New Roman" w:cs="Times New Roman"/>
          <w:color w:val="000000"/>
          <w:sz w:val="24"/>
          <w:szCs w:val="24"/>
          <w:shd w:val="clear" w:color="auto" w:fill="FFFFFF"/>
        </w:rPr>
        <w:t>trustees providing</w:t>
      </w:r>
      <w:r w:rsidRPr="004C0D35">
        <w:rPr>
          <w:rFonts w:ascii="Times New Roman" w:hAnsi="Times New Roman" w:cs="Times New Roman"/>
          <w:color w:val="000000"/>
          <w:sz w:val="24"/>
          <w:szCs w:val="24"/>
          <w:shd w:val="clear" w:color="auto" w:fill="FFFFFF"/>
        </w:rPr>
        <w:t xml:space="preserve"> </w:t>
      </w:r>
      <w:r w:rsidR="00276963">
        <w:rPr>
          <w:rFonts w:ascii="Times New Roman" w:hAnsi="Times New Roman" w:cs="Times New Roman"/>
          <w:color w:val="000000"/>
          <w:sz w:val="24"/>
          <w:szCs w:val="24"/>
          <w:shd w:val="clear" w:color="auto" w:fill="FFFFFF"/>
        </w:rPr>
        <w:t xml:space="preserve">a </w:t>
      </w:r>
      <w:r w:rsidRPr="004C0D35">
        <w:rPr>
          <w:rFonts w:ascii="Times New Roman" w:hAnsi="Times New Roman" w:cs="Times New Roman"/>
          <w:color w:val="000000"/>
          <w:sz w:val="24"/>
          <w:szCs w:val="24"/>
          <w:shd w:val="clear" w:color="auto" w:fill="FFFFFF"/>
        </w:rPr>
        <w:t>better servic</w:t>
      </w:r>
      <w:r>
        <w:rPr>
          <w:rFonts w:ascii="Times New Roman" w:hAnsi="Times New Roman" w:cs="Times New Roman"/>
          <w:color w:val="000000"/>
          <w:sz w:val="24"/>
          <w:szCs w:val="24"/>
          <w:shd w:val="clear" w:color="auto" w:fill="FFFFFF"/>
        </w:rPr>
        <w:t>e at lower cost.</w:t>
      </w:r>
    </w:p>
    <w:p w14:paraId="191357F2" w14:textId="7E84ABB3" w:rsidR="00615E38" w:rsidRPr="004C0D35" w:rsidRDefault="00B77EFC" w:rsidP="00293D81">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eastAsia="Times New Roman" w:hAnsi="Times New Roman" w:cs="Times New Roman"/>
          <w:color w:val="222222"/>
          <w:sz w:val="24"/>
          <w:szCs w:val="24"/>
        </w:rPr>
        <w:tab/>
      </w:r>
      <w:r w:rsidRPr="004C0D35">
        <w:rPr>
          <w:rFonts w:ascii="Times New Roman" w:hAnsi="Times New Roman" w:cs="Times New Roman"/>
          <w:color w:val="000000"/>
          <w:sz w:val="24"/>
          <w:szCs w:val="24"/>
          <w:shd w:val="clear" w:color="auto" w:fill="FFFFFF"/>
        </w:rPr>
        <w:t>My database</w:t>
      </w:r>
      <w:r w:rsidR="004F3B3C" w:rsidRPr="004C0D35">
        <w:rPr>
          <w:rFonts w:ascii="Times New Roman" w:hAnsi="Times New Roman" w:cs="Times New Roman"/>
          <w:color w:val="000000"/>
          <w:sz w:val="24"/>
          <w:szCs w:val="24"/>
          <w:shd w:val="clear" w:color="auto" w:fill="FFFFFF"/>
        </w:rPr>
        <w:t>, which</w:t>
      </w:r>
      <w:r w:rsidR="00CC5F17" w:rsidRPr="004C0D35">
        <w:rPr>
          <w:rFonts w:ascii="Times New Roman" w:hAnsi="Times New Roman" w:cs="Times New Roman"/>
          <w:color w:val="000000"/>
          <w:sz w:val="24"/>
          <w:szCs w:val="24"/>
          <w:shd w:val="clear" w:color="auto" w:fill="FFFFFF"/>
        </w:rPr>
        <w:t xml:space="preserve"> runs to </w:t>
      </w:r>
      <w:r w:rsidR="00EA2D29" w:rsidRPr="004C0D35">
        <w:rPr>
          <w:rFonts w:ascii="Times New Roman" w:hAnsi="Times New Roman" w:cs="Times New Roman"/>
          <w:color w:val="000000"/>
          <w:sz w:val="24"/>
          <w:szCs w:val="24"/>
          <w:shd w:val="clear" w:color="auto" w:fill="FFFFFF"/>
        </w:rPr>
        <w:t>2,824</w:t>
      </w:r>
      <w:r w:rsidR="008E330A" w:rsidRPr="004C0D35">
        <w:rPr>
          <w:rFonts w:ascii="Times New Roman" w:hAnsi="Times New Roman" w:cs="Times New Roman"/>
          <w:color w:val="000000"/>
          <w:sz w:val="24"/>
          <w:szCs w:val="24"/>
          <w:shd w:val="clear" w:color="auto" w:fill="FFFFFF"/>
        </w:rPr>
        <w:t xml:space="preserve"> observations,</w:t>
      </w:r>
      <w:r w:rsidRPr="004C0D35">
        <w:rPr>
          <w:rFonts w:ascii="Times New Roman" w:hAnsi="Times New Roman" w:cs="Times New Roman"/>
          <w:color w:val="000000"/>
          <w:sz w:val="24"/>
          <w:szCs w:val="24"/>
          <w:shd w:val="clear" w:color="auto" w:fill="FFFFFF"/>
        </w:rPr>
        <w:t xml:space="preserve"> includes 152 jurisdictions’ statutory treatment</w:t>
      </w:r>
      <w:r w:rsidR="00ED44FF" w:rsidRPr="004C0D35">
        <w:rPr>
          <w:rFonts w:ascii="Times New Roman" w:hAnsi="Times New Roman" w:cs="Times New Roman"/>
          <w:color w:val="000000"/>
          <w:sz w:val="24"/>
          <w:szCs w:val="24"/>
          <w:shd w:val="clear" w:color="auto" w:fill="FFFFFF"/>
        </w:rPr>
        <w:t>s</w:t>
      </w:r>
      <w:r w:rsidRPr="004C0D35">
        <w:rPr>
          <w:rFonts w:ascii="Times New Roman" w:hAnsi="Times New Roman" w:cs="Times New Roman"/>
          <w:color w:val="000000"/>
          <w:sz w:val="24"/>
          <w:szCs w:val="24"/>
          <w:shd w:val="clear" w:color="auto" w:fill="FFFFFF"/>
        </w:rPr>
        <w:t xml:space="preserve"> of the 22 variables since 1925</w:t>
      </w:r>
      <w:r w:rsidR="00AB69B1" w:rsidRPr="004C0D35">
        <w:rPr>
          <w:rFonts w:ascii="Times New Roman" w:hAnsi="Times New Roman" w:cs="Times New Roman"/>
          <w:color w:val="000000"/>
          <w:sz w:val="24"/>
          <w:szCs w:val="24"/>
          <w:shd w:val="clear" w:color="auto" w:fill="FFFFFF"/>
        </w:rPr>
        <w:t>, or</w:t>
      </w:r>
      <w:r w:rsidR="008A3FA8" w:rsidRPr="004C0D35">
        <w:rPr>
          <w:rFonts w:ascii="Times New Roman" w:hAnsi="Times New Roman" w:cs="Times New Roman"/>
          <w:color w:val="000000"/>
          <w:sz w:val="24"/>
          <w:szCs w:val="24"/>
          <w:shd w:val="clear" w:color="auto" w:fill="FFFFFF"/>
        </w:rPr>
        <w:t>,</w:t>
      </w:r>
      <w:r w:rsidR="00A11751" w:rsidRPr="004C0D35">
        <w:rPr>
          <w:rFonts w:ascii="Times New Roman" w:hAnsi="Times New Roman" w:cs="Times New Roman"/>
          <w:color w:val="000000"/>
          <w:sz w:val="24"/>
          <w:szCs w:val="24"/>
          <w:shd w:val="clear" w:color="auto" w:fill="FFFFFF"/>
        </w:rPr>
        <w:t xml:space="preserve"> </w:t>
      </w:r>
      <w:r w:rsidR="008A3FA8" w:rsidRPr="004C0D35">
        <w:rPr>
          <w:rFonts w:ascii="Times New Roman" w:hAnsi="Times New Roman" w:cs="Times New Roman"/>
          <w:color w:val="000000"/>
          <w:sz w:val="24"/>
          <w:szCs w:val="24"/>
          <w:shd w:val="clear" w:color="auto" w:fill="FFFFFF"/>
        </w:rPr>
        <w:t xml:space="preserve">if later, </w:t>
      </w:r>
      <w:r w:rsidR="00A11751" w:rsidRPr="004C0D35">
        <w:rPr>
          <w:rFonts w:ascii="Times New Roman" w:hAnsi="Times New Roman" w:cs="Times New Roman"/>
          <w:color w:val="000000"/>
          <w:sz w:val="24"/>
          <w:szCs w:val="24"/>
          <w:shd w:val="clear" w:color="auto" w:fill="FFFFFF"/>
        </w:rPr>
        <w:t xml:space="preserve">since each jurisdiction’s earliest statutory treatment of each variable, and until </w:t>
      </w:r>
      <w:r w:rsidR="008A3FA8" w:rsidRPr="004C0D35">
        <w:rPr>
          <w:rFonts w:ascii="Times New Roman" w:hAnsi="Times New Roman" w:cs="Times New Roman"/>
          <w:color w:val="000000"/>
          <w:sz w:val="24"/>
          <w:szCs w:val="24"/>
          <w:shd w:val="clear" w:color="auto" w:fill="FFFFFF"/>
        </w:rPr>
        <w:t>December</w:t>
      </w:r>
      <w:r w:rsidR="00A11751" w:rsidRPr="004C0D35">
        <w:rPr>
          <w:rFonts w:ascii="Times New Roman" w:hAnsi="Times New Roman" w:cs="Times New Roman"/>
          <w:color w:val="000000"/>
          <w:sz w:val="24"/>
          <w:szCs w:val="24"/>
          <w:shd w:val="clear" w:color="auto" w:fill="FFFFFF"/>
        </w:rPr>
        <w:t xml:space="preserve"> </w:t>
      </w:r>
      <w:r w:rsidR="008A3FA8" w:rsidRPr="004C0D35">
        <w:rPr>
          <w:rFonts w:ascii="Times New Roman" w:hAnsi="Times New Roman" w:cs="Times New Roman"/>
          <w:color w:val="000000"/>
          <w:sz w:val="24"/>
          <w:szCs w:val="24"/>
          <w:shd w:val="clear" w:color="auto" w:fill="FFFFFF"/>
        </w:rPr>
        <w:t>31, 2018</w:t>
      </w:r>
      <w:r w:rsidR="00A11751" w:rsidRPr="004C0D35">
        <w:rPr>
          <w:rFonts w:ascii="Times New Roman" w:hAnsi="Times New Roman" w:cs="Times New Roman"/>
          <w:color w:val="000000"/>
          <w:sz w:val="24"/>
          <w:szCs w:val="24"/>
          <w:shd w:val="clear" w:color="auto" w:fill="FFFFFF"/>
        </w:rPr>
        <w:t xml:space="preserve">. </w:t>
      </w:r>
      <w:r w:rsidR="00E15F38" w:rsidRPr="004C0D35">
        <w:rPr>
          <w:rFonts w:ascii="Times New Roman" w:hAnsi="Times New Roman" w:cs="Times New Roman"/>
          <w:color w:val="000000"/>
          <w:sz w:val="24"/>
          <w:szCs w:val="24"/>
          <w:shd w:val="clear" w:color="auto" w:fill="FFFFFF"/>
        </w:rPr>
        <w:t>The database includes statutory materials</w:t>
      </w:r>
      <w:r w:rsidR="00AB69B1" w:rsidRPr="004C0D35">
        <w:rPr>
          <w:rFonts w:ascii="Times New Roman" w:hAnsi="Times New Roman" w:cs="Times New Roman"/>
          <w:color w:val="000000"/>
          <w:sz w:val="24"/>
          <w:szCs w:val="24"/>
          <w:shd w:val="clear" w:color="auto" w:fill="FFFFFF"/>
        </w:rPr>
        <w:t xml:space="preserve"> applicable to trusts generally.</w:t>
      </w:r>
      <w:r w:rsidR="00E15F38" w:rsidRPr="004C0D35">
        <w:rPr>
          <w:rFonts w:ascii="Times New Roman" w:hAnsi="Times New Roman" w:cs="Times New Roman"/>
          <w:color w:val="000000"/>
          <w:sz w:val="24"/>
          <w:szCs w:val="24"/>
          <w:shd w:val="clear" w:color="auto" w:fill="FFFFFF"/>
        </w:rPr>
        <w:t xml:space="preserve"> </w:t>
      </w:r>
      <w:r w:rsidR="00AB69B1" w:rsidRPr="004C0D35">
        <w:rPr>
          <w:rFonts w:ascii="Times New Roman" w:hAnsi="Times New Roman" w:cs="Times New Roman"/>
          <w:color w:val="000000"/>
          <w:sz w:val="24"/>
          <w:szCs w:val="24"/>
          <w:shd w:val="clear" w:color="auto" w:fill="FFFFFF"/>
        </w:rPr>
        <w:t>W</w:t>
      </w:r>
      <w:r w:rsidR="00E15F38" w:rsidRPr="004C0D35">
        <w:rPr>
          <w:rFonts w:ascii="Times New Roman" w:hAnsi="Times New Roman" w:cs="Times New Roman"/>
          <w:color w:val="000000"/>
          <w:sz w:val="24"/>
          <w:szCs w:val="24"/>
          <w:shd w:val="clear" w:color="auto" w:fill="FFFFFF"/>
        </w:rPr>
        <w:t>hile materials applicable only to specific trust types</w:t>
      </w:r>
      <w:r w:rsidR="00800E3B" w:rsidRPr="004C0D35">
        <w:rPr>
          <w:rFonts w:ascii="Times New Roman" w:hAnsi="Times New Roman" w:cs="Times New Roman"/>
          <w:color w:val="000000"/>
          <w:sz w:val="24"/>
          <w:szCs w:val="24"/>
          <w:shd w:val="clear" w:color="auto" w:fill="FFFFFF"/>
        </w:rPr>
        <w:t>, such as charitable trusts or revocable trusts,</w:t>
      </w:r>
      <w:r w:rsidR="00E15F38" w:rsidRPr="004C0D35">
        <w:rPr>
          <w:rFonts w:ascii="Times New Roman" w:hAnsi="Times New Roman" w:cs="Times New Roman"/>
          <w:color w:val="000000"/>
          <w:sz w:val="24"/>
          <w:szCs w:val="24"/>
          <w:shd w:val="clear" w:color="auto" w:fill="FFFFFF"/>
        </w:rPr>
        <w:t xml:space="preserve"> are present</w:t>
      </w:r>
      <w:r w:rsidR="00EC316F" w:rsidRPr="004C0D35">
        <w:rPr>
          <w:rFonts w:ascii="Times New Roman" w:hAnsi="Times New Roman" w:cs="Times New Roman"/>
          <w:color w:val="000000"/>
          <w:sz w:val="24"/>
          <w:szCs w:val="24"/>
          <w:shd w:val="clear" w:color="auto" w:fill="FFFFFF"/>
        </w:rPr>
        <w:t xml:space="preserve"> </w:t>
      </w:r>
      <w:r w:rsidR="00045977" w:rsidRPr="004C0D35">
        <w:rPr>
          <w:rFonts w:ascii="Times New Roman" w:hAnsi="Times New Roman" w:cs="Times New Roman"/>
          <w:color w:val="000000"/>
          <w:sz w:val="24"/>
          <w:szCs w:val="24"/>
          <w:shd w:val="clear" w:color="auto" w:fill="FFFFFF"/>
        </w:rPr>
        <w:t xml:space="preserve">in the database </w:t>
      </w:r>
      <w:r w:rsidR="00EC316F" w:rsidRPr="004C0D35">
        <w:rPr>
          <w:rFonts w:ascii="Times New Roman" w:hAnsi="Times New Roman" w:cs="Times New Roman"/>
          <w:color w:val="000000"/>
          <w:sz w:val="24"/>
          <w:szCs w:val="24"/>
          <w:shd w:val="clear" w:color="auto" w:fill="FFFFFF"/>
        </w:rPr>
        <w:t>where relevant to legal</w:t>
      </w:r>
      <w:r w:rsidR="00800E3B" w:rsidRPr="004C0D35">
        <w:rPr>
          <w:rFonts w:ascii="Times New Roman" w:hAnsi="Times New Roman" w:cs="Times New Roman"/>
          <w:color w:val="000000"/>
          <w:sz w:val="24"/>
          <w:szCs w:val="24"/>
          <w:shd w:val="clear" w:color="auto" w:fill="FFFFFF"/>
        </w:rPr>
        <w:t xml:space="preserve"> development respecting a tracked variable, such materials were not themselves systematically tracked. </w:t>
      </w:r>
      <w:r w:rsidR="00723231" w:rsidRPr="004C0D35">
        <w:rPr>
          <w:rFonts w:ascii="Times New Roman" w:hAnsi="Times New Roman" w:cs="Times New Roman"/>
          <w:color w:val="000000"/>
          <w:sz w:val="24"/>
          <w:szCs w:val="24"/>
          <w:shd w:val="clear" w:color="auto" w:fill="FFFFFF"/>
        </w:rPr>
        <w:t>I selected 1925 as a starting point due to the 1925 Trustee Act of England and Wales,</w:t>
      </w:r>
      <w:r w:rsidR="00DA6CEB">
        <w:rPr>
          <w:rStyle w:val="FootnoteReference"/>
          <w:rFonts w:ascii="Times New Roman" w:hAnsi="Times New Roman" w:cs="Times New Roman"/>
          <w:color w:val="000000"/>
          <w:sz w:val="24"/>
          <w:szCs w:val="24"/>
          <w:shd w:val="clear" w:color="auto" w:fill="FFFFFF"/>
        </w:rPr>
        <w:footnoteReference w:id="13"/>
      </w:r>
      <w:r w:rsidR="00723231" w:rsidRPr="004C0D35">
        <w:rPr>
          <w:rFonts w:ascii="Times New Roman" w:hAnsi="Times New Roman" w:cs="Times New Roman"/>
          <w:color w:val="000000"/>
          <w:sz w:val="24"/>
          <w:szCs w:val="24"/>
          <w:shd w:val="clear" w:color="auto" w:fill="FFFFFF"/>
        </w:rPr>
        <w:t xml:space="preserve"> </w:t>
      </w:r>
      <w:r w:rsidR="005C6D53" w:rsidRPr="004C0D35">
        <w:rPr>
          <w:rFonts w:ascii="Times New Roman" w:hAnsi="Times New Roman" w:cs="Times New Roman"/>
          <w:color w:val="000000"/>
          <w:sz w:val="24"/>
          <w:szCs w:val="24"/>
          <w:shd w:val="clear" w:color="auto" w:fill="FFFFFF"/>
        </w:rPr>
        <w:t xml:space="preserve">which was </w:t>
      </w:r>
      <w:r w:rsidR="00723231" w:rsidRPr="004C0D35">
        <w:rPr>
          <w:rFonts w:ascii="Times New Roman" w:hAnsi="Times New Roman" w:cs="Times New Roman"/>
          <w:color w:val="000000"/>
          <w:sz w:val="24"/>
          <w:szCs w:val="24"/>
          <w:shd w:val="clear" w:color="auto" w:fill="FFFFFF"/>
        </w:rPr>
        <w:t xml:space="preserve">transplanted </w:t>
      </w:r>
      <w:r w:rsidR="00DB617A" w:rsidRPr="004C0D35">
        <w:rPr>
          <w:rFonts w:ascii="Times New Roman" w:hAnsi="Times New Roman" w:cs="Times New Roman"/>
          <w:color w:val="000000"/>
          <w:sz w:val="24"/>
          <w:szCs w:val="24"/>
          <w:shd w:val="clear" w:color="auto" w:fill="FFFFFF"/>
        </w:rPr>
        <w:t>to</w:t>
      </w:r>
      <w:r w:rsidR="00723231" w:rsidRPr="004C0D35">
        <w:rPr>
          <w:rFonts w:ascii="Times New Roman" w:hAnsi="Times New Roman" w:cs="Times New Roman"/>
          <w:color w:val="000000"/>
          <w:sz w:val="24"/>
          <w:szCs w:val="24"/>
          <w:shd w:val="clear" w:color="auto" w:fill="FFFFFF"/>
        </w:rPr>
        <w:t xml:space="preserve"> many </w:t>
      </w:r>
      <w:r w:rsidR="00DB617A" w:rsidRPr="004C0D35">
        <w:rPr>
          <w:rFonts w:ascii="Times New Roman" w:hAnsi="Times New Roman" w:cs="Times New Roman"/>
          <w:color w:val="000000"/>
          <w:sz w:val="24"/>
          <w:szCs w:val="24"/>
          <w:shd w:val="clear" w:color="auto" w:fill="FFFFFF"/>
        </w:rPr>
        <w:t>ot</w:t>
      </w:r>
      <w:r w:rsidR="00723231" w:rsidRPr="004C0D35">
        <w:rPr>
          <w:rFonts w:ascii="Times New Roman" w:hAnsi="Times New Roman" w:cs="Times New Roman"/>
          <w:color w:val="000000"/>
          <w:sz w:val="24"/>
          <w:szCs w:val="24"/>
          <w:shd w:val="clear" w:color="auto" w:fill="FFFFFF"/>
        </w:rPr>
        <w:t>her parts of the then British Empire.</w:t>
      </w:r>
      <w:r w:rsidR="00DA6CEB">
        <w:rPr>
          <w:rStyle w:val="FootnoteReference"/>
          <w:rFonts w:ascii="Times New Roman" w:hAnsi="Times New Roman" w:cs="Times New Roman"/>
          <w:color w:val="000000"/>
          <w:sz w:val="24"/>
          <w:szCs w:val="24"/>
          <w:shd w:val="clear" w:color="auto" w:fill="FFFFFF"/>
        </w:rPr>
        <w:footnoteReference w:id="14"/>
      </w:r>
      <w:r w:rsidR="00723231" w:rsidRPr="004C0D35">
        <w:rPr>
          <w:rFonts w:ascii="Times New Roman" w:hAnsi="Times New Roman" w:cs="Times New Roman"/>
          <w:color w:val="000000"/>
          <w:sz w:val="24"/>
          <w:szCs w:val="24"/>
          <w:shd w:val="clear" w:color="auto" w:fill="FFFFFF"/>
        </w:rPr>
        <w:t xml:space="preserve"> The 1922 Japanese Trust Act</w:t>
      </w:r>
      <w:r w:rsidR="008916CD">
        <w:rPr>
          <w:rStyle w:val="FootnoteReference"/>
          <w:rFonts w:ascii="Times New Roman" w:hAnsi="Times New Roman" w:cs="Times New Roman"/>
          <w:color w:val="000000"/>
          <w:sz w:val="24"/>
          <w:szCs w:val="24"/>
          <w:shd w:val="clear" w:color="auto" w:fill="FFFFFF"/>
        </w:rPr>
        <w:footnoteReference w:id="15"/>
      </w:r>
      <w:r w:rsidR="00723231" w:rsidRPr="004C0D35">
        <w:rPr>
          <w:rFonts w:ascii="Times New Roman" w:hAnsi="Times New Roman" w:cs="Times New Roman"/>
          <w:color w:val="000000"/>
          <w:sz w:val="24"/>
          <w:szCs w:val="24"/>
          <w:shd w:val="clear" w:color="auto" w:fill="FFFFFF"/>
        </w:rPr>
        <w:t xml:space="preserve"> aside, pre-1925 legislation</w:t>
      </w:r>
      <w:r w:rsidR="00EC316F" w:rsidRPr="004C0D35">
        <w:rPr>
          <w:rFonts w:ascii="Times New Roman" w:hAnsi="Times New Roman" w:cs="Times New Roman"/>
          <w:color w:val="000000"/>
          <w:sz w:val="24"/>
          <w:szCs w:val="24"/>
          <w:shd w:val="clear" w:color="auto" w:fill="FFFFFF"/>
        </w:rPr>
        <w:t xml:space="preserve"> </w:t>
      </w:r>
      <w:r w:rsidR="00723231" w:rsidRPr="004C0D35">
        <w:rPr>
          <w:rFonts w:ascii="Times New Roman" w:hAnsi="Times New Roman" w:cs="Times New Roman"/>
          <w:color w:val="000000"/>
          <w:sz w:val="24"/>
          <w:szCs w:val="24"/>
          <w:shd w:val="clear" w:color="auto" w:fill="FFFFFF"/>
        </w:rPr>
        <w:t>was omitted</w:t>
      </w:r>
      <w:r w:rsidR="00897A11" w:rsidRPr="004C0D35">
        <w:rPr>
          <w:rFonts w:ascii="Times New Roman" w:hAnsi="Times New Roman" w:cs="Times New Roman"/>
          <w:color w:val="000000"/>
          <w:sz w:val="24"/>
          <w:szCs w:val="24"/>
          <w:shd w:val="clear" w:color="auto" w:fill="FFFFFF"/>
        </w:rPr>
        <w:t xml:space="preserve"> from the database</w:t>
      </w:r>
      <w:r w:rsidR="00EC316F" w:rsidRPr="004C0D35">
        <w:rPr>
          <w:rFonts w:ascii="Times New Roman" w:hAnsi="Times New Roman" w:cs="Times New Roman"/>
          <w:color w:val="000000"/>
          <w:sz w:val="24"/>
          <w:szCs w:val="24"/>
          <w:shd w:val="clear" w:color="auto" w:fill="FFFFFF"/>
        </w:rPr>
        <w:t>,</w:t>
      </w:r>
      <w:r w:rsidR="00723231" w:rsidRPr="004C0D35">
        <w:rPr>
          <w:rFonts w:ascii="Times New Roman" w:hAnsi="Times New Roman" w:cs="Times New Roman"/>
          <w:color w:val="000000"/>
          <w:sz w:val="24"/>
          <w:szCs w:val="24"/>
          <w:shd w:val="clear" w:color="auto" w:fill="FFFFFF"/>
        </w:rPr>
        <w:t xml:space="preserve"> due to the inaccessibility of much older legislation</w:t>
      </w:r>
      <w:r w:rsidR="00897A11" w:rsidRPr="004C0D35">
        <w:rPr>
          <w:rFonts w:ascii="Times New Roman" w:hAnsi="Times New Roman" w:cs="Times New Roman"/>
          <w:color w:val="000000"/>
          <w:sz w:val="24"/>
          <w:szCs w:val="24"/>
          <w:shd w:val="clear" w:color="auto" w:fill="FFFFFF"/>
        </w:rPr>
        <w:t>, rendering coverage haphazard,</w:t>
      </w:r>
      <w:r w:rsidR="00723231" w:rsidRPr="004C0D35">
        <w:rPr>
          <w:rFonts w:ascii="Times New Roman" w:hAnsi="Times New Roman" w:cs="Times New Roman"/>
          <w:color w:val="000000"/>
          <w:sz w:val="24"/>
          <w:szCs w:val="24"/>
          <w:shd w:val="clear" w:color="auto" w:fill="FFFFFF"/>
        </w:rPr>
        <w:t xml:space="preserve"> and the </w:t>
      </w:r>
      <w:r w:rsidR="00897A11" w:rsidRPr="004C0D35">
        <w:rPr>
          <w:rFonts w:ascii="Times New Roman" w:hAnsi="Times New Roman" w:cs="Times New Roman"/>
          <w:color w:val="000000"/>
          <w:sz w:val="24"/>
          <w:szCs w:val="24"/>
          <w:shd w:val="clear" w:color="auto" w:fill="FFFFFF"/>
        </w:rPr>
        <w:t>difficulty of</w:t>
      </w:r>
      <w:r w:rsidR="005C6D53" w:rsidRPr="004C0D35">
        <w:rPr>
          <w:rFonts w:ascii="Times New Roman" w:hAnsi="Times New Roman" w:cs="Times New Roman"/>
          <w:color w:val="000000"/>
          <w:sz w:val="24"/>
          <w:szCs w:val="24"/>
          <w:shd w:val="clear" w:color="auto" w:fill="FFFFFF"/>
        </w:rPr>
        <w:t xml:space="preserve"> </w:t>
      </w:r>
      <w:r w:rsidR="00897A11" w:rsidRPr="004C0D35">
        <w:rPr>
          <w:rFonts w:ascii="Times New Roman" w:hAnsi="Times New Roman" w:cs="Times New Roman"/>
          <w:color w:val="000000"/>
          <w:sz w:val="24"/>
          <w:szCs w:val="24"/>
          <w:shd w:val="clear" w:color="auto" w:fill="FFFFFF"/>
        </w:rPr>
        <w:t>interpreting such legislation.</w:t>
      </w:r>
    </w:p>
    <w:p w14:paraId="162199F6" w14:textId="4042A801" w:rsidR="00C24495" w:rsidRPr="004C0D35" w:rsidRDefault="00C24495" w:rsidP="00293D81">
      <w:pPr>
        <w:autoSpaceDE w:val="0"/>
        <w:autoSpaceDN w:val="0"/>
        <w:adjustRightInd w:val="0"/>
        <w:spacing w:after="0" w:line="276" w:lineRule="auto"/>
        <w:ind w:firstLine="72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The</w:t>
      </w:r>
      <w:r w:rsidR="00E66A35" w:rsidRPr="004C0D35">
        <w:rPr>
          <w:rFonts w:ascii="Times New Roman" w:hAnsi="Times New Roman" w:cs="Times New Roman"/>
          <w:color w:val="000000"/>
          <w:sz w:val="24"/>
          <w:szCs w:val="24"/>
          <w:shd w:val="clear" w:color="auto" w:fill="FFFFFF"/>
        </w:rPr>
        <w:t xml:space="preserve"> 22</w:t>
      </w:r>
      <w:r w:rsidRPr="004C0D35">
        <w:rPr>
          <w:rFonts w:ascii="Times New Roman" w:hAnsi="Times New Roman" w:cs="Times New Roman"/>
          <w:color w:val="000000"/>
          <w:sz w:val="24"/>
          <w:szCs w:val="24"/>
          <w:shd w:val="clear" w:color="auto" w:fill="FFFFFF"/>
        </w:rPr>
        <w:t xml:space="preserve"> variables </w:t>
      </w:r>
      <w:r w:rsidR="00E66A35" w:rsidRPr="004C0D35">
        <w:rPr>
          <w:rFonts w:ascii="Times New Roman" w:hAnsi="Times New Roman" w:cs="Times New Roman"/>
          <w:color w:val="000000"/>
          <w:sz w:val="24"/>
          <w:szCs w:val="24"/>
          <w:shd w:val="clear" w:color="auto" w:fill="FFFFFF"/>
        </w:rPr>
        <w:t>examined</w:t>
      </w:r>
      <w:r w:rsidRPr="004C0D35">
        <w:rPr>
          <w:rFonts w:ascii="Times New Roman" w:hAnsi="Times New Roman" w:cs="Times New Roman"/>
          <w:color w:val="000000"/>
          <w:sz w:val="24"/>
          <w:szCs w:val="24"/>
          <w:shd w:val="clear" w:color="auto" w:fill="FFFFFF"/>
        </w:rPr>
        <w:t xml:space="preserve"> are key foci of recent legal innova</w:t>
      </w:r>
      <w:r w:rsidR="00E66A35" w:rsidRPr="004C0D35">
        <w:rPr>
          <w:rFonts w:ascii="Times New Roman" w:hAnsi="Times New Roman" w:cs="Times New Roman"/>
          <w:color w:val="000000"/>
          <w:sz w:val="24"/>
          <w:szCs w:val="24"/>
          <w:shd w:val="clear" w:color="auto" w:fill="FFFFFF"/>
        </w:rPr>
        <w:t>tion in the law of trusts. They</w:t>
      </w:r>
      <w:r w:rsidRPr="004C0D35">
        <w:rPr>
          <w:rFonts w:ascii="Times New Roman" w:hAnsi="Times New Roman" w:cs="Times New Roman"/>
          <w:color w:val="000000"/>
          <w:sz w:val="24"/>
          <w:szCs w:val="24"/>
          <w:shd w:val="clear" w:color="auto" w:fill="FFFFFF"/>
        </w:rPr>
        <w:t xml:space="preserve"> </w:t>
      </w:r>
      <w:r w:rsidR="00E66A35" w:rsidRPr="004C0D35">
        <w:rPr>
          <w:rFonts w:ascii="Times New Roman" w:hAnsi="Times New Roman" w:cs="Times New Roman"/>
          <w:color w:val="000000"/>
          <w:sz w:val="24"/>
          <w:szCs w:val="24"/>
          <w:shd w:val="clear" w:color="auto" w:fill="FFFFFF"/>
        </w:rPr>
        <w:t>ar</w:t>
      </w:r>
      <w:r w:rsidRPr="004C0D35">
        <w:rPr>
          <w:rFonts w:ascii="Times New Roman" w:hAnsi="Times New Roman" w:cs="Times New Roman"/>
          <w:color w:val="000000"/>
          <w:sz w:val="24"/>
          <w:szCs w:val="24"/>
          <w:shd w:val="clear" w:color="auto" w:fill="FFFFFF"/>
        </w:rPr>
        <w:t xml:space="preserve">e, with each variable followed by its serial number in the database, </w:t>
      </w:r>
      <w:r w:rsidR="00293D81">
        <w:rPr>
          <w:rFonts w:ascii="Times New Roman" w:hAnsi="Times New Roman" w:cs="Times New Roman"/>
          <w:color w:val="000000"/>
          <w:sz w:val="24"/>
          <w:szCs w:val="24"/>
          <w:shd w:val="clear" w:color="auto" w:fill="FFFFFF"/>
        </w:rPr>
        <w:t xml:space="preserve">the </w:t>
      </w:r>
      <w:r w:rsidRPr="004C0D35">
        <w:rPr>
          <w:rFonts w:ascii="Times New Roman" w:hAnsi="Times New Roman" w:cs="Times New Roman"/>
          <w:color w:val="000000"/>
          <w:sz w:val="24"/>
          <w:szCs w:val="24"/>
          <w:shd w:val="clear" w:color="auto" w:fill="FFFFFF"/>
        </w:rPr>
        <w:t>powers</w:t>
      </w:r>
      <w:r w:rsidR="00293D81">
        <w:rPr>
          <w:rFonts w:ascii="Times New Roman" w:hAnsi="Times New Roman" w:cs="Times New Roman"/>
          <w:color w:val="000000"/>
          <w:sz w:val="24"/>
          <w:szCs w:val="24"/>
          <w:shd w:val="clear" w:color="auto" w:fill="FFFFFF"/>
        </w:rPr>
        <w:t xml:space="preserve"> settlors retain following trust creation</w:t>
      </w:r>
      <w:r w:rsidRPr="004C0D35">
        <w:rPr>
          <w:rFonts w:ascii="Times New Roman" w:hAnsi="Times New Roman" w:cs="Times New Roman"/>
          <w:color w:val="000000"/>
          <w:sz w:val="24"/>
          <w:szCs w:val="24"/>
          <w:shd w:val="clear" w:color="auto" w:fill="FFFFFF"/>
        </w:rPr>
        <w:t xml:space="preserve"> (1), letters of wishes (2), the exclusion of trustees’ duty to act impartially between beneficiaries (3), the exclusion of trustees’ duty of care (or prudence) and/or of their liability for harm caused by its infringement (4), the exclusion of trustees’ duty of loyalty and/or of their liability for harm caused by its infringement (5), trustees having the powers of an absolute owner over the trust pro</w:t>
      </w:r>
      <w:r w:rsidR="00045977" w:rsidRPr="004C0D35">
        <w:rPr>
          <w:rFonts w:ascii="Times New Roman" w:hAnsi="Times New Roman" w:cs="Times New Roman"/>
          <w:color w:val="000000"/>
          <w:sz w:val="24"/>
          <w:szCs w:val="24"/>
          <w:shd w:val="clear" w:color="auto" w:fill="FFFFFF"/>
        </w:rPr>
        <w:t>perty (6),</w:t>
      </w:r>
      <w:r w:rsidRPr="004C0D35">
        <w:rPr>
          <w:rFonts w:ascii="Times New Roman" w:hAnsi="Times New Roman" w:cs="Times New Roman"/>
          <w:color w:val="000000"/>
          <w:sz w:val="24"/>
          <w:szCs w:val="24"/>
          <w:shd w:val="clear" w:color="auto" w:fill="FFFFFF"/>
        </w:rPr>
        <w:t xml:space="preserve"> delegation by one of several trustees for the duration of an absence from the jurisdiction of management (7), delegation by the entire body of trustees (8), trustees’ personal exposure to debts arising from their activities as trustees (9), trustees’ right to remuneration (10), exclusion of beneficiaries’ right to information (11), holding under-diversified corporate stock on trust without trustees concerning themselves with the corporation’s management or results (12), trust protectors and the potential for neither trustees nor protectors being liable for a loss suffered</w:t>
      </w:r>
      <w:r w:rsidR="00293D81">
        <w:rPr>
          <w:rFonts w:ascii="Times New Roman" w:hAnsi="Times New Roman" w:cs="Times New Roman"/>
          <w:color w:val="000000"/>
          <w:sz w:val="24"/>
          <w:szCs w:val="24"/>
          <w:shd w:val="clear" w:color="auto" w:fill="FFFFFF"/>
        </w:rPr>
        <w:t xml:space="preserve"> by the trust fund</w:t>
      </w:r>
      <w:r w:rsidRPr="004C0D35">
        <w:rPr>
          <w:rFonts w:ascii="Times New Roman" w:hAnsi="Times New Roman" w:cs="Times New Roman"/>
          <w:color w:val="000000"/>
          <w:sz w:val="24"/>
          <w:szCs w:val="24"/>
          <w:shd w:val="clear" w:color="auto" w:fill="FFFFFF"/>
        </w:rPr>
        <w:t xml:space="preserve"> (13), non-beneficiary enforcers (14), trust fund protection from beneficiaries’ creditors (15), maximum trust duration (16), </w:t>
      </w:r>
      <w:r w:rsidR="00293D81">
        <w:rPr>
          <w:rFonts w:ascii="Times New Roman" w:hAnsi="Times New Roman" w:cs="Times New Roman"/>
          <w:color w:val="000000"/>
          <w:sz w:val="24"/>
          <w:szCs w:val="24"/>
          <w:shd w:val="clear" w:color="auto" w:fill="FFFFFF"/>
        </w:rPr>
        <w:t>the “</w:t>
      </w:r>
      <w:r w:rsidRPr="004C0D35">
        <w:rPr>
          <w:rFonts w:ascii="Times New Roman" w:hAnsi="Times New Roman" w:cs="Times New Roman"/>
          <w:color w:val="000000"/>
          <w:sz w:val="24"/>
          <w:szCs w:val="24"/>
          <w:shd w:val="clear" w:color="auto" w:fill="FFFFFF"/>
        </w:rPr>
        <w:t>decanting</w:t>
      </w:r>
      <w:r w:rsidR="00293D81">
        <w:rPr>
          <w:rFonts w:ascii="Times New Roman" w:hAnsi="Times New Roman" w:cs="Times New Roman"/>
          <w:color w:val="000000"/>
          <w:sz w:val="24"/>
          <w:szCs w:val="24"/>
          <w:shd w:val="clear" w:color="auto" w:fill="FFFFFF"/>
        </w:rPr>
        <w:t>” of one trust into another trust with different terms</w:t>
      </w:r>
      <w:r w:rsidRPr="004C0D35">
        <w:rPr>
          <w:rFonts w:ascii="Times New Roman" w:hAnsi="Times New Roman" w:cs="Times New Roman"/>
          <w:color w:val="000000"/>
          <w:sz w:val="24"/>
          <w:szCs w:val="24"/>
          <w:shd w:val="clear" w:color="auto" w:fill="FFFFFF"/>
        </w:rPr>
        <w:t xml:space="preserve"> (17), registration of trust data and trust instruments</w:t>
      </w:r>
      <w:r w:rsidR="00293D81">
        <w:rPr>
          <w:rFonts w:ascii="Times New Roman" w:hAnsi="Times New Roman" w:cs="Times New Roman"/>
          <w:color w:val="000000"/>
          <w:sz w:val="24"/>
          <w:szCs w:val="24"/>
          <w:shd w:val="clear" w:color="auto" w:fill="FFFFFF"/>
        </w:rPr>
        <w:t>, and access to the data registered</w:t>
      </w:r>
      <w:r w:rsidRPr="004C0D35">
        <w:rPr>
          <w:rFonts w:ascii="Times New Roman" w:hAnsi="Times New Roman" w:cs="Times New Roman"/>
          <w:color w:val="000000"/>
          <w:sz w:val="24"/>
          <w:szCs w:val="24"/>
          <w:shd w:val="clear" w:color="auto" w:fill="FFFFFF"/>
        </w:rPr>
        <w:t xml:space="preserve"> (18), whether trusts must be created in writing (19), blocking</w:t>
      </w:r>
      <w:r w:rsidR="00ED44FF" w:rsidRPr="004C0D35">
        <w:rPr>
          <w:rFonts w:ascii="Times New Roman" w:hAnsi="Times New Roman" w:cs="Times New Roman"/>
          <w:color w:val="000000"/>
          <w:sz w:val="24"/>
          <w:szCs w:val="24"/>
          <w:shd w:val="clear" w:color="auto" w:fill="FFFFFF"/>
        </w:rPr>
        <w:t>, in a trust context, the</w:t>
      </w:r>
      <w:r w:rsidRPr="004C0D35">
        <w:rPr>
          <w:rFonts w:ascii="Times New Roman" w:hAnsi="Times New Roman" w:cs="Times New Roman"/>
          <w:color w:val="000000"/>
          <w:sz w:val="24"/>
          <w:szCs w:val="24"/>
          <w:shd w:val="clear" w:color="auto" w:fill="FFFFFF"/>
        </w:rPr>
        <w:t xml:space="preserve"> recognition and enforcement of foreign law and/or foreign judicial decisions by local courts (20), trustee removal (21) and trust modification (22). </w:t>
      </w:r>
    </w:p>
    <w:p w14:paraId="221C2AF1" w14:textId="05C871B9" w:rsidR="00A54FA4" w:rsidRPr="004C0D35" w:rsidRDefault="00DB617A" w:rsidP="0037094B">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t>The database does not include the n</w:t>
      </w:r>
      <w:r w:rsidR="00A419F9" w:rsidRPr="004C0D35">
        <w:rPr>
          <w:rFonts w:ascii="Times New Roman" w:hAnsi="Times New Roman" w:cs="Times New Roman"/>
          <w:color w:val="000000"/>
          <w:sz w:val="24"/>
          <w:szCs w:val="24"/>
          <w:shd w:val="clear" w:color="auto" w:fill="FFFFFF"/>
        </w:rPr>
        <w:t xml:space="preserve">on-statutory part of trust law. While this omission could conceivably produce </w:t>
      </w:r>
      <w:r w:rsidR="00B14DA9" w:rsidRPr="004C0D35">
        <w:rPr>
          <w:rFonts w:ascii="Times New Roman" w:hAnsi="Times New Roman" w:cs="Times New Roman"/>
          <w:color w:val="000000"/>
          <w:sz w:val="24"/>
          <w:szCs w:val="24"/>
          <w:shd w:val="clear" w:color="auto" w:fill="FFFFFF"/>
        </w:rPr>
        <w:t>misleading</w:t>
      </w:r>
      <w:r w:rsidR="00A419F9" w:rsidRPr="004C0D35">
        <w:rPr>
          <w:rFonts w:ascii="Times New Roman" w:hAnsi="Times New Roman" w:cs="Times New Roman"/>
          <w:color w:val="000000"/>
          <w:sz w:val="24"/>
          <w:szCs w:val="24"/>
          <w:shd w:val="clear" w:color="auto" w:fill="FFFFFF"/>
        </w:rPr>
        <w:t xml:space="preserve"> estimates of the liberality of each jurisdiction’s law of trusts</w:t>
      </w:r>
      <w:r w:rsidR="008815CB" w:rsidRPr="004C0D35">
        <w:rPr>
          <w:rFonts w:ascii="Times New Roman" w:hAnsi="Times New Roman" w:cs="Times New Roman"/>
          <w:color w:val="000000"/>
          <w:sz w:val="24"/>
          <w:szCs w:val="24"/>
          <w:shd w:val="clear" w:color="auto" w:fill="FFFFFF"/>
        </w:rPr>
        <w:t xml:space="preserve"> at each point in time</w:t>
      </w:r>
      <w:r w:rsidR="00A419F9" w:rsidRPr="004C0D35">
        <w:rPr>
          <w:rFonts w:ascii="Times New Roman" w:hAnsi="Times New Roman" w:cs="Times New Roman"/>
          <w:color w:val="000000"/>
          <w:sz w:val="24"/>
          <w:szCs w:val="24"/>
          <w:shd w:val="clear" w:color="auto" w:fill="FFFFFF"/>
        </w:rPr>
        <w:t>,</w:t>
      </w:r>
      <w:r w:rsidR="00A54FA4" w:rsidRPr="004C0D35">
        <w:rPr>
          <w:rFonts w:ascii="Times New Roman" w:hAnsi="Times New Roman" w:cs="Times New Roman"/>
          <w:color w:val="000000"/>
          <w:sz w:val="24"/>
          <w:szCs w:val="24"/>
          <w:shd w:val="clear" w:color="auto" w:fill="FFFFFF"/>
        </w:rPr>
        <w:t xml:space="preserve"> </w:t>
      </w:r>
      <w:r w:rsidR="00A419F9" w:rsidRPr="004C0D35">
        <w:rPr>
          <w:rFonts w:ascii="Times New Roman" w:hAnsi="Times New Roman" w:cs="Times New Roman"/>
          <w:color w:val="000000"/>
          <w:sz w:val="24"/>
          <w:szCs w:val="24"/>
          <w:shd w:val="clear" w:color="auto" w:fill="FFFFFF"/>
        </w:rPr>
        <w:t>it is</w:t>
      </w:r>
      <w:r w:rsidR="00A54FA4" w:rsidRPr="004C0D35">
        <w:rPr>
          <w:rFonts w:ascii="Times New Roman" w:hAnsi="Times New Roman" w:cs="Times New Roman"/>
          <w:color w:val="000000"/>
          <w:sz w:val="24"/>
          <w:szCs w:val="24"/>
          <w:shd w:val="clear" w:color="auto" w:fill="FFFFFF"/>
        </w:rPr>
        <w:t xml:space="preserve"> justified by both substantive and practical considerations. Substantively, given my focus on the recent liberalization of trust regimes, a statutory focus is appropriate</w:t>
      </w:r>
      <w:r w:rsidR="00B14DA9" w:rsidRPr="004C0D35">
        <w:rPr>
          <w:rFonts w:ascii="Times New Roman" w:hAnsi="Times New Roman" w:cs="Times New Roman"/>
          <w:color w:val="000000"/>
          <w:sz w:val="24"/>
          <w:szCs w:val="24"/>
          <w:shd w:val="clear" w:color="auto" w:fill="FFFFFF"/>
        </w:rPr>
        <w:t>,</w:t>
      </w:r>
      <w:r w:rsidR="00A54FA4" w:rsidRPr="004C0D35">
        <w:rPr>
          <w:rFonts w:ascii="Times New Roman" w:hAnsi="Times New Roman" w:cs="Times New Roman"/>
          <w:color w:val="000000"/>
          <w:sz w:val="24"/>
          <w:szCs w:val="24"/>
          <w:shd w:val="clear" w:color="auto" w:fill="FFFFFF"/>
        </w:rPr>
        <w:t xml:space="preserve"> </w:t>
      </w:r>
      <w:r w:rsidR="00A419F9" w:rsidRPr="004C0D35">
        <w:rPr>
          <w:rFonts w:ascii="Times New Roman" w:hAnsi="Times New Roman" w:cs="Times New Roman"/>
          <w:color w:val="000000"/>
          <w:sz w:val="24"/>
          <w:szCs w:val="24"/>
          <w:shd w:val="clear" w:color="auto" w:fill="FFFFFF"/>
        </w:rPr>
        <w:t>since</w:t>
      </w:r>
      <w:r w:rsidR="00A54FA4" w:rsidRPr="004C0D35">
        <w:rPr>
          <w:rFonts w:ascii="Times New Roman" w:hAnsi="Times New Roman" w:cs="Times New Roman"/>
          <w:color w:val="000000"/>
          <w:sz w:val="24"/>
          <w:szCs w:val="24"/>
          <w:shd w:val="clear" w:color="auto" w:fill="FFFFFF"/>
        </w:rPr>
        <w:t xml:space="preserve"> </w:t>
      </w:r>
      <w:r w:rsidR="00A419F9" w:rsidRPr="004C0D35">
        <w:rPr>
          <w:rFonts w:ascii="Times New Roman" w:hAnsi="Times New Roman" w:cs="Times New Roman"/>
          <w:color w:val="000000"/>
          <w:sz w:val="24"/>
          <w:szCs w:val="24"/>
          <w:shd w:val="clear" w:color="auto" w:fill="FFFFFF"/>
        </w:rPr>
        <w:t>law reform in the trusts field has become increasingly statutory across most jurisdictions which have trust regimes</w:t>
      </w:r>
      <w:r w:rsidR="005D733F" w:rsidRPr="004C0D35">
        <w:rPr>
          <w:rFonts w:ascii="Times New Roman" w:hAnsi="Times New Roman" w:cs="Times New Roman"/>
          <w:color w:val="000000"/>
          <w:sz w:val="24"/>
          <w:szCs w:val="24"/>
          <w:shd w:val="clear" w:color="auto" w:fill="FFFFFF"/>
        </w:rPr>
        <w:t xml:space="preserve">. </w:t>
      </w:r>
      <w:r w:rsidR="00B14DA9" w:rsidRPr="004C0D35">
        <w:rPr>
          <w:rFonts w:ascii="Times New Roman" w:hAnsi="Times New Roman" w:cs="Times New Roman"/>
          <w:color w:val="000000"/>
          <w:sz w:val="24"/>
          <w:szCs w:val="24"/>
          <w:shd w:val="clear" w:color="auto" w:fill="FFFFFF"/>
        </w:rPr>
        <w:t>Significant</w:t>
      </w:r>
      <w:r w:rsidR="00652751" w:rsidRPr="004C0D35">
        <w:rPr>
          <w:rFonts w:ascii="Times New Roman" w:hAnsi="Times New Roman" w:cs="Times New Roman"/>
          <w:color w:val="000000"/>
          <w:sz w:val="24"/>
          <w:szCs w:val="24"/>
          <w:shd w:val="clear" w:color="auto" w:fill="FFFFFF"/>
        </w:rPr>
        <w:t xml:space="preserve"> legal change in the law of trusts is largely carried out by statute, while judicial </w:t>
      </w:r>
      <w:r w:rsidR="00A419F9" w:rsidRPr="004C0D35">
        <w:rPr>
          <w:rFonts w:ascii="Times New Roman" w:hAnsi="Times New Roman" w:cs="Times New Roman"/>
          <w:color w:val="000000"/>
          <w:sz w:val="24"/>
          <w:szCs w:val="24"/>
          <w:shd w:val="clear" w:color="auto" w:fill="FFFFFF"/>
        </w:rPr>
        <w:t xml:space="preserve">development of the </w:t>
      </w:r>
      <w:r w:rsidR="00652751" w:rsidRPr="004C0D35">
        <w:rPr>
          <w:rFonts w:ascii="Times New Roman" w:hAnsi="Times New Roman" w:cs="Times New Roman"/>
          <w:color w:val="000000"/>
          <w:sz w:val="24"/>
          <w:szCs w:val="24"/>
          <w:shd w:val="clear" w:color="auto" w:fill="FFFFFF"/>
        </w:rPr>
        <w:t xml:space="preserve">law is usually carried out within a relatively narrow </w:t>
      </w:r>
      <w:r w:rsidR="00B14DA9" w:rsidRPr="004C0D35">
        <w:rPr>
          <w:rFonts w:ascii="Times New Roman" w:hAnsi="Times New Roman" w:cs="Times New Roman"/>
          <w:color w:val="000000"/>
          <w:sz w:val="24"/>
          <w:szCs w:val="24"/>
          <w:shd w:val="clear" w:color="auto" w:fill="FFFFFF"/>
        </w:rPr>
        <w:t>compass</w:t>
      </w:r>
      <w:r w:rsidR="00652751" w:rsidRPr="004C0D35">
        <w:rPr>
          <w:rFonts w:ascii="Times New Roman" w:hAnsi="Times New Roman" w:cs="Times New Roman"/>
          <w:color w:val="000000"/>
          <w:sz w:val="24"/>
          <w:szCs w:val="24"/>
          <w:shd w:val="clear" w:color="auto" w:fill="FFFFFF"/>
        </w:rPr>
        <w:t xml:space="preserve"> of conceivable</w:t>
      </w:r>
      <w:r w:rsidR="00D009E9" w:rsidRPr="004C0D35">
        <w:rPr>
          <w:rFonts w:ascii="Times New Roman" w:hAnsi="Times New Roman" w:cs="Times New Roman"/>
          <w:color w:val="000000"/>
          <w:sz w:val="24"/>
          <w:szCs w:val="24"/>
          <w:shd w:val="clear" w:color="auto" w:fill="FFFFFF"/>
        </w:rPr>
        <w:t>, and largely traditional,</w:t>
      </w:r>
      <w:r w:rsidR="00652751" w:rsidRPr="004C0D35">
        <w:rPr>
          <w:rFonts w:ascii="Times New Roman" w:hAnsi="Times New Roman" w:cs="Times New Roman"/>
          <w:color w:val="000000"/>
          <w:sz w:val="24"/>
          <w:szCs w:val="24"/>
          <w:shd w:val="clear" w:color="auto" w:fill="FFFFFF"/>
        </w:rPr>
        <w:t xml:space="preserve"> solutions.</w:t>
      </w:r>
      <w:r w:rsidR="0018770F">
        <w:rPr>
          <w:rStyle w:val="FootnoteReference"/>
          <w:rFonts w:ascii="Times New Roman" w:hAnsi="Times New Roman" w:cs="Times New Roman"/>
          <w:color w:val="000000"/>
          <w:sz w:val="24"/>
          <w:szCs w:val="24"/>
          <w:shd w:val="clear" w:color="auto" w:fill="FFFFFF"/>
        </w:rPr>
        <w:footnoteReference w:id="16"/>
      </w:r>
      <w:r w:rsidR="00652751" w:rsidRPr="004C0D35">
        <w:rPr>
          <w:rFonts w:ascii="Times New Roman" w:hAnsi="Times New Roman" w:cs="Times New Roman"/>
          <w:color w:val="000000"/>
          <w:sz w:val="24"/>
          <w:szCs w:val="24"/>
          <w:shd w:val="clear" w:color="auto" w:fill="FFFFFF"/>
        </w:rPr>
        <w:t xml:space="preserve"> These generalizations hold across most of the </w:t>
      </w:r>
      <w:r w:rsidR="00A22467" w:rsidRPr="004C0D35">
        <w:rPr>
          <w:rFonts w:ascii="Times New Roman" w:hAnsi="Times New Roman" w:cs="Times New Roman"/>
          <w:color w:val="000000"/>
          <w:sz w:val="24"/>
          <w:szCs w:val="24"/>
          <w:shd w:val="clear" w:color="auto" w:fill="FFFFFF"/>
        </w:rPr>
        <w:t>jurisdictions that</w:t>
      </w:r>
      <w:r w:rsidR="00652751" w:rsidRPr="004C0D35">
        <w:rPr>
          <w:rFonts w:ascii="Times New Roman" w:hAnsi="Times New Roman" w:cs="Times New Roman"/>
          <w:color w:val="000000"/>
          <w:sz w:val="24"/>
          <w:szCs w:val="24"/>
          <w:shd w:val="clear" w:color="auto" w:fill="FFFFFF"/>
        </w:rPr>
        <w:t xml:space="preserve"> have a law of trusts: o</w:t>
      </w:r>
      <w:r w:rsidR="00A54FA4" w:rsidRPr="004C0D35">
        <w:rPr>
          <w:rFonts w:ascii="Times New Roman" w:hAnsi="Times New Roman" w:cs="Times New Roman"/>
          <w:color w:val="000000"/>
          <w:sz w:val="24"/>
          <w:szCs w:val="24"/>
          <w:shd w:val="clear" w:color="auto" w:fill="FFFFFF"/>
        </w:rPr>
        <w:t xml:space="preserve">ffshore jurisdictions </w:t>
      </w:r>
      <w:r w:rsidR="00180931" w:rsidRPr="004C0D35">
        <w:rPr>
          <w:rFonts w:ascii="Times New Roman" w:hAnsi="Times New Roman" w:cs="Times New Roman"/>
          <w:color w:val="000000"/>
          <w:sz w:val="24"/>
          <w:szCs w:val="24"/>
          <w:shd w:val="clear" w:color="auto" w:fill="FFFFFF"/>
        </w:rPr>
        <w:t xml:space="preserve">reform their </w:t>
      </w:r>
      <w:r w:rsidR="005D733F" w:rsidRPr="004C0D35">
        <w:rPr>
          <w:rFonts w:ascii="Times New Roman" w:hAnsi="Times New Roman" w:cs="Times New Roman"/>
          <w:color w:val="000000"/>
          <w:sz w:val="24"/>
          <w:szCs w:val="24"/>
          <w:shd w:val="clear" w:color="auto" w:fill="FFFFFF"/>
        </w:rPr>
        <w:t xml:space="preserve">trusts </w:t>
      </w:r>
      <w:r w:rsidR="00180931" w:rsidRPr="004C0D35">
        <w:rPr>
          <w:rFonts w:ascii="Times New Roman" w:hAnsi="Times New Roman" w:cs="Times New Roman"/>
          <w:color w:val="000000"/>
          <w:sz w:val="24"/>
          <w:szCs w:val="24"/>
          <w:shd w:val="clear" w:color="auto" w:fill="FFFFFF"/>
        </w:rPr>
        <w:t>law by statute so as to render it easily available to users abroad.</w:t>
      </w:r>
      <w:r w:rsidR="002E67F0">
        <w:rPr>
          <w:rStyle w:val="FootnoteReference"/>
          <w:rFonts w:ascii="Times New Roman" w:hAnsi="Times New Roman" w:cs="Times New Roman"/>
          <w:color w:val="000000"/>
          <w:sz w:val="24"/>
          <w:szCs w:val="24"/>
          <w:shd w:val="clear" w:color="auto" w:fill="FFFFFF"/>
        </w:rPr>
        <w:footnoteReference w:id="17"/>
      </w:r>
      <w:r w:rsidR="00180931" w:rsidRPr="004C0D35">
        <w:rPr>
          <w:rFonts w:ascii="Times New Roman" w:hAnsi="Times New Roman" w:cs="Times New Roman"/>
          <w:color w:val="000000"/>
          <w:sz w:val="24"/>
          <w:szCs w:val="24"/>
          <w:shd w:val="clear" w:color="auto" w:fill="FFFFFF"/>
        </w:rPr>
        <w:t xml:space="preserve"> Civil-law </w:t>
      </w:r>
      <w:r w:rsidR="007D39A0" w:rsidRPr="004C0D35">
        <w:rPr>
          <w:rFonts w:ascii="Times New Roman" w:hAnsi="Times New Roman" w:cs="Times New Roman"/>
          <w:color w:val="000000"/>
          <w:sz w:val="24"/>
          <w:szCs w:val="24"/>
          <w:shd w:val="clear" w:color="auto" w:fill="FFFFFF"/>
        </w:rPr>
        <w:t>jurisdictions that</w:t>
      </w:r>
      <w:r w:rsidR="00180931" w:rsidRPr="004C0D35">
        <w:rPr>
          <w:rFonts w:ascii="Times New Roman" w:hAnsi="Times New Roman" w:cs="Times New Roman"/>
          <w:color w:val="000000"/>
          <w:sz w:val="24"/>
          <w:szCs w:val="24"/>
          <w:shd w:val="clear" w:color="auto" w:fill="FFFFFF"/>
        </w:rPr>
        <w:t xml:space="preserve"> have adopted trust varieties, from Latin America, through East Asia to Eastern Europe, typically use statute to effect legal change.</w:t>
      </w:r>
      <w:r w:rsidR="002E67F0">
        <w:rPr>
          <w:rStyle w:val="FootnoteReference"/>
          <w:rFonts w:ascii="Times New Roman" w:hAnsi="Times New Roman" w:cs="Times New Roman"/>
          <w:color w:val="000000"/>
          <w:sz w:val="24"/>
          <w:szCs w:val="24"/>
          <w:shd w:val="clear" w:color="auto" w:fill="FFFFFF"/>
        </w:rPr>
        <w:footnoteReference w:id="18"/>
      </w:r>
      <w:r w:rsidR="00180931" w:rsidRPr="004C0D35">
        <w:rPr>
          <w:rFonts w:ascii="Times New Roman" w:hAnsi="Times New Roman" w:cs="Times New Roman"/>
          <w:color w:val="000000"/>
          <w:sz w:val="24"/>
          <w:szCs w:val="24"/>
          <w:shd w:val="clear" w:color="auto" w:fill="FFFFFF"/>
        </w:rPr>
        <w:t xml:space="preserve"> </w:t>
      </w:r>
      <w:r w:rsidR="00C9621D" w:rsidRPr="004C0D35">
        <w:rPr>
          <w:rFonts w:ascii="Times New Roman" w:hAnsi="Times New Roman" w:cs="Times New Roman"/>
          <w:color w:val="000000"/>
          <w:sz w:val="24"/>
          <w:szCs w:val="24"/>
          <w:shd w:val="clear" w:color="auto" w:fill="FFFFFF"/>
        </w:rPr>
        <w:t>Most of the American states have recently enacted statutes based on the Uniform Trust Code</w:t>
      </w:r>
      <w:r w:rsidR="005D733F" w:rsidRPr="004C0D35">
        <w:rPr>
          <w:rFonts w:ascii="Times New Roman" w:hAnsi="Times New Roman" w:cs="Times New Roman"/>
          <w:color w:val="000000"/>
          <w:sz w:val="24"/>
          <w:szCs w:val="24"/>
          <w:shd w:val="clear" w:color="auto" w:fill="FFFFFF"/>
        </w:rPr>
        <w:t xml:space="preserve">, giving statutory form to doctrines which were previously non-statutory </w:t>
      </w:r>
      <w:r w:rsidR="00652751" w:rsidRPr="004C0D35">
        <w:rPr>
          <w:rFonts w:ascii="Times New Roman" w:hAnsi="Times New Roman" w:cs="Times New Roman"/>
          <w:color w:val="000000"/>
          <w:sz w:val="24"/>
          <w:szCs w:val="24"/>
          <w:shd w:val="clear" w:color="auto" w:fill="FFFFFF"/>
        </w:rPr>
        <w:t>while</w:t>
      </w:r>
      <w:r w:rsidR="005D733F" w:rsidRPr="004C0D35">
        <w:rPr>
          <w:rFonts w:ascii="Times New Roman" w:hAnsi="Times New Roman" w:cs="Times New Roman"/>
          <w:color w:val="000000"/>
          <w:sz w:val="24"/>
          <w:szCs w:val="24"/>
          <w:shd w:val="clear" w:color="auto" w:fill="FFFFFF"/>
        </w:rPr>
        <w:t xml:space="preserve"> simultaneously, as is ev</w:t>
      </w:r>
      <w:bookmarkStart w:id="0" w:name="_GoBack"/>
      <w:bookmarkEnd w:id="0"/>
      <w:r w:rsidR="005D733F" w:rsidRPr="004C0D35">
        <w:rPr>
          <w:rFonts w:ascii="Times New Roman" w:hAnsi="Times New Roman" w:cs="Times New Roman"/>
          <w:color w:val="000000"/>
          <w:sz w:val="24"/>
          <w:szCs w:val="24"/>
          <w:shd w:val="clear" w:color="auto" w:fill="FFFFFF"/>
        </w:rPr>
        <w:t>ident from the database, reforming their law to dramatic effect.</w:t>
      </w:r>
      <w:r w:rsidR="00C80E14">
        <w:rPr>
          <w:rStyle w:val="FootnoteReference"/>
          <w:rFonts w:ascii="Times New Roman" w:hAnsi="Times New Roman" w:cs="Times New Roman"/>
          <w:color w:val="000000"/>
          <w:sz w:val="24"/>
          <w:szCs w:val="24"/>
          <w:shd w:val="clear" w:color="auto" w:fill="FFFFFF"/>
        </w:rPr>
        <w:footnoteReference w:id="19"/>
      </w:r>
      <w:r w:rsidR="005D733F" w:rsidRPr="004C0D35">
        <w:rPr>
          <w:rFonts w:ascii="Times New Roman" w:hAnsi="Times New Roman" w:cs="Times New Roman"/>
          <w:color w:val="000000"/>
          <w:sz w:val="24"/>
          <w:szCs w:val="24"/>
          <w:shd w:val="clear" w:color="auto" w:fill="FFFFFF"/>
        </w:rPr>
        <w:t xml:space="preserve"> Only among</w:t>
      </w:r>
      <w:r w:rsidR="00652751" w:rsidRPr="004C0D35">
        <w:rPr>
          <w:rFonts w:ascii="Times New Roman" w:hAnsi="Times New Roman" w:cs="Times New Roman"/>
          <w:color w:val="000000"/>
          <w:sz w:val="24"/>
          <w:szCs w:val="24"/>
          <w:shd w:val="clear" w:color="auto" w:fill="FFFFFF"/>
        </w:rPr>
        <w:t xml:space="preserve"> the</w:t>
      </w:r>
      <w:r w:rsidR="005D733F" w:rsidRPr="004C0D35">
        <w:rPr>
          <w:rFonts w:ascii="Times New Roman" w:hAnsi="Times New Roman" w:cs="Times New Roman"/>
          <w:color w:val="000000"/>
          <w:sz w:val="24"/>
          <w:szCs w:val="24"/>
          <w:shd w:val="clear" w:color="auto" w:fill="FFFFFF"/>
        </w:rPr>
        <w:t xml:space="preserve"> onshore members of the British Commonwealth</w:t>
      </w:r>
      <w:r w:rsidR="00652751" w:rsidRPr="004C0D35">
        <w:rPr>
          <w:rFonts w:ascii="Times New Roman" w:hAnsi="Times New Roman" w:cs="Times New Roman"/>
          <w:color w:val="000000"/>
          <w:sz w:val="24"/>
          <w:szCs w:val="24"/>
          <w:shd w:val="clear" w:color="auto" w:fill="FFFFFF"/>
        </w:rPr>
        <w:t xml:space="preserve"> outside Africa</w:t>
      </w:r>
      <w:r w:rsidR="0037094B" w:rsidRPr="004C0D35">
        <w:rPr>
          <w:rFonts w:ascii="Times New Roman" w:hAnsi="Times New Roman" w:cs="Times New Roman"/>
          <w:color w:val="000000"/>
          <w:sz w:val="24"/>
          <w:szCs w:val="24"/>
          <w:shd w:val="clear" w:color="auto" w:fill="FFFFFF"/>
        </w:rPr>
        <w:t xml:space="preserve"> </w:t>
      </w:r>
      <w:r w:rsidR="005D733F" w:rsidRPr="004C0D35">
        <w:rPr>
          <w:rFonts w:ascii="Times New Roman" w:hAnsi="Times New Roman" w:cs="Times New Roman"/>
          <w:color w:val="000000"/>
          <w:sz w:val="24"/>
          <w:szCs w:val="24"/>
          <w:shd w:val="clear" w:color="auto" w:fill="FFFFFF"/>
        </w:rPr>
        <w:t xml:space="preserve">– </w:t>
      </w:r>
      <w:r w:rsidR="0037094B" w:rsidRPr="004C0D35">
        <w:rPr>
          <w:rFonts w:ascii="Times New Roman" w:hAnsi="Times New Roman" w:cs="Times New Roman"/>
          <w:color w:val="000000"/>
          <w:sz w:val="24"/>
          <w:szCs w:val="24"/>
          <w:shd w:val="clear" w:color="auto" w:fill="FFFFFF"/>
        </w:rPr>
        <w:t>principally the Canadian provinces and territories, the Australian states, and the constituent jurisdictions of the British Isles</w:t>
      </w:r>
      <w:r w:rsidR="005D733F" w:rsidRPr="004C0D35">
        <w:rPr>
          <w:rFonts w:ascii="Times New Roman" w:hAnsi="Times New Roman" w:cs="Times New Roman"/>
          <w:color w:val="000000"/>
          <w:sz w:val="24"/>
          <w:szCs w:val="24"/>
          <w:shd w:val="clear" w:color="auto" w:fill="FFFFFF"/>
        </w:rPr>
        <w:t xml:space="preserve"> – has </w:t>
      </w:r>
      <w:r w:rsidR="00B14DA9" w:rsidRPr="004C0D35">
        <w:rPr>
          <w:rFonts w:ascii="Times New Roman" w:hAnsi="Times New Roman" w:cs="Times New Roman"/>
          <w:color w:val="000000"/>
          <w:sz w:val="24"/>
          <w:szCs w:val="24"/>
          <w:shd w:val="clear" w:color="auto" w:fill="FFFFFF"/>
        </w:rPr>
        <w:t xml:space="preserve">the development of </w:t>
      </w:r>
      <w:r w:rsidR="005D733F" w:rsidRPr="004C0D35">
        <w:rPr>
          <w:rFonts w:ascii="Times New Roman" w:hAnsi="Times New Roman" w:cs="Times New Roman"/>
          <w:color w:val="000000"/>
          <w:sz w:val="24"/>
          <w:szCs w:val="24"/>
          <w:shd w:val="clear" w:color="auto" w:fill="FFFFFF"/>
        </w:rPr>
        <w:t>trusts law remained case law-based in significant part.</w:t>
      </w:r>
      <w:r w:rsidR="00281B5A">
        <w:rPr>
          <w:rStyle w:val="FootnoteReference"/>
          <w:rFonts w:ascii="Times New Roman" w:hAnsi="Times New Roman" w:cs="Times New Roman"/>
          <w:color w:val="000000"/>
          <w:sz w:val="24"/>
          <w:szCs w:val="24"/>
          <w:shd w:val="clear" w:color="auto" w:fill="FFFFFF"/>
        </w:rPr>
        <w:footnoteReference w:id="20"/>
      </w:r>
    </w:p>
    <w:p w14:paraId="2DA81859" w14:textId="5F34242C" w:rsidR="00502D36" w:rsidRPr="004C0D35" w:rsidRDefault="00CD53B8" w:rsidP="005408A0">
      <w:pPr>
        <w:spacing w:after="0" w:line="276" w:lineRule="auto"/>
        <w:ind w:firstLine="72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From a p</w:t>
      </w:r>
      <w:r w:rsidR="005D733F" w:rsidRPr="004C0D35">
        <w:rPr>
          <w:rFonts w:ascii="Times New Roman" w:hAnsi="Times New Roman" w:cs="Times New Roman"/>
          <w:color w:val="000000"/>
          <w:sz w:val="24"/>
          <w:szCs w:val="24"/>
          <w:shd w:val="clear" w:color="auto" w:fill="FFFFFF"/>
        </w:rPr>
        <w:t>ractical</w:t>
      </w:r>
      <w:r w:rsidRPr="004C0D35">
        <w:rPr>
          <w:rFonts w:ascii="Times New Roman" w:hAnsi="Times New Roman" w:cs="Times New Roman"/>
          <w:color w:val="000000"/>
          <w:sz w:val="24"/>
          <w:szCs w:val="24"/>
          <w:shd w:val="clear" w:color="auto" w:fill="FFFFFF"/>
        </w:rPr>
        <w:t xml:space="preserve"> point of view</w:t>
      </w:r>
      <w:r w:rsidR="005D733F" w:rsidRPr="004C0D35">
        <w:rPr>
          <w:rFonts w:ascii="Times New Roman" w:hAnsi="Times New Roman" w:cs="Times New Roman"/>
          <w:color w:val="000000"/>
          <w:sz w:val="24"/>
          <w:szCs w:val="24"/>
          <w:shd w:val="clear" w:color="auto" w:fill="FFFFFF"/>
        </w:rPr>
        <w:t>, o</w:t>
      </w:r>
      <w:r w:rsidR="00333E9C" w:rsidRPr="004C0D35">
        <w:rPr>
          <w:rFonts w:ascii="Times New Roman" w:hAnsi="Times New Roman" w:cs="Times New Roman"/>
          <w:color w:val="000000"/>
          <w:sz w:val="24"/>
          <w:szCs w:val="24"/>
          <w:shd w:val="clear" w:color="auto" w:fill="FFFFFF"/>
        </w:rPr>
        <w:t>btaining</w:t>
      </w:r>
      <w:r w:rsidR="00B14DA9" w:rsidRPr="004C0D35">
        <w:rPr>
          <w:rFonts w:ascii="Times New Roman" w:hAnsi="Times New Roman" w:cs="Times New Roman"/>
          <w:color w:val="000000"/>
          <w:sz w:val="24"/>
          <w:szCs w:val="24"/>
          <w:shd w:val="clear" w:color="auto" w:fill="FFFFFF"/>
        </w:rPr>
        <w:t>, interpreting</w:t>
      </w:r>
      <w:r w:rsidR="00DB617A" w:rsidRPr="004C0D35">
        <w:rPr>
          <w:rFonts w:ascii="Times New Roman" w:hAnsi="Times New Roman" w:cs="Times New Roman"/>
          <w:color w:val="000000"/>
          <w:sz w:val="24"/>
          <w:szCs w:val="24"/>
          <w:shd w:val="clear" w:color="auto" w:fill="FFFFFF"/>
        </w:rPr>
        <w:t xml:space="preserve"> and coding the judge-made part of the law of trusts of every jurisdiction which recognizes </w:t>
      </w:r>
      <w:r w:rsidR="005C6D53" w:rsidRPr="004C0D35">
        <w:rPr>
          <w:rFonts w:ascii="Times New Roman" w:hAnsi="Times New Roman" w:cs="Times New Roman"/>
          <w:color w:val="000000"/>
          <w:sz w:val="24"/>
          <w:szCs w:val="24"/>
          <w:shd w:val="clear" w:color="auto" w:fill="FFFFFF"/>
        </w:rPr>
        <w:t>trusts</w:t>
      </w:r>
      <w:r w:rsidR="00DB617A" w:rsidRPr="004C0D35">
        <w:rPr>
          <w:rFonts w:ascii="Times New Roman" w:hAnsi="Times New Roman" w:cs="Times New Roman"/>
          <w:color w:val="000000"/>
          <w:sz w:val="24"/>
          <w:szCs w:val="24"/>
          <w:shd w:val="clear" w:color="auto" w:fill="FFFFFF"/>
        </w:rPr>
        <w:t xml:space="preserve"> requires an amount of human </w:t>
      </w:r>
      <w:r w:rsidR="00E10185" w:rsidRPr="004C0D35">
        <w:rPr>
          <w:rFonts w:ascii="Times New Roman" w:hAnsi="Times New Roman" w:cs="Times New Roman"/>
          <w:color w:val="000000"/>
          <w:sz w:val="24"/>
          <w:szCs w:val="24"/>
          <w:shd w:val="clear" w:color="auto" w:fill="FFFFFF"/>
        </w:rPr>
        <w:t>effort and expertise</w:t>
      </w:r>
      <w:r w:rsidR="00333E9C" w:rsidRPr="004C0D35">
        <w:rPr>
          <w:rFonts w:ascii="Times New Roman" w:hAnsi="Times New Roman" w:cs="Times New Roman"/>
          <w:color w:val="000000"/>
          <w:sz w:val="24"/>
          <w:szCs w:val="24"/>
          <w:shd w:val="clear" w:color="auto" w:fill="FFFFFF"/>
        </w:rPr>
        <w:t xml:space="preserve"> which i</w:t>
      </w:r>
      <w:r w:rsidR="005C6D53" w:rsidRPr="004C0D35">
        <w:rPr>
          <w:rFonts w:ascii="Times New Roman" w:hAnsi="Times New Roman" w:cs="Times New Roman"/>
          <w:color w:val="000000"/>
          <w:sz w:val="24"/>
          <w:szCs w:val="24"/>
          <w:shd w:val="clear" w:color="auto" w:fill="FFFFFF"/>
        </w:rPr>
        <w:t>s presently unavailable</w:t>
      </w:r>
      <w:r w:rsidR="00E10185" w:rsidRPr="004C0D35">
        <w:rPr>
          <w:rFonts w:ascii="Times New Roman" w:hAnsi="Times New Roman" w:cs="Times New Roman"/>
          <w:color w:val="000000"/>
          <w:sz w:val="24"/>
          <w:szCs w:val="24"/>
          <w:shd w:val="clear" w:color="auto" w:fill="FFFFFF"/>
        </w:rPr>
        <w:t xml:space="preserve">. </w:t>
      </w:r>
      <w:r w:rsidR="00205886" w:rsidRPr="004C0D35">
        <w:rPr>
          <w:rFonts w:ascii="Times New Roman" w:hAnsi="Times New Roman" w:cs="Times New Roman"/>
          <w:color w:val="000000"/>
          <w:sz w:val="24"/>
          <w:szCs w:val="24"/>
          <w:shd w:val="clear" w:color="auto" w:fill="FFFFFF"/>
        </w:rPr>
        <w:t>While great strides have recently been made in the reading and coding of large bodies of case law by machine,</w:t>
      </w:r>
      <w:r w:rsidR="00FD072C" w:rsidRPr="004C0D35">
        <w:rPr>
          <w:rStyle w:val="FootnoteReference"/>
          <w:rFonts w:ascii="Times New Roman" w:hAnsi="Times New Roman" w:cs="Times New Roman"/>
          <w:color w:val="000000"/>
          <w:sz w:val="24"/>
          <w:szCs w:val="24"/>
          <w:shd w:val="clear" w:color="auto" w:fill="FFFFFF"/>
        </w:rPr>
        <w:footnoteReference w:id="21"/>
      </w:r>
      <w:r w:rsidR="00205886" w:rsidRPr="004C0D35">
        <w:rPr>
          <w:rFonts w:ascii="Times New Roman" w:hAnsi="Times New Roman" w:cs="Times New Roman"/>
          <w:color w:val="000000"/>
          <w:sz w:val="24"/>
          <w:szCs w:val="24"/>
          <w:shd w:val="clear" w:color="auto" w:fill="FFFFFF"/>
        </w:rPr>
        <w:t xml:space="preserve"> existing technology does not yet permit </w:t>
      </w:r>
      <w:r w:rsidR="00333E9C" w:rsidRPr="004C0D35">
        <w:rPr>
          <w:rFonts w:ascii="Times New Roman" w:hAnsi="Times New Roman" w:cs="Times New Roman"/>
          <w:color w:val="000000"/>
          <w:sz w:val="24"/>
          <w:szCs w:val="24"/>
          <w:shd w:val="clear" w:color="auto" w:fill="FFFFFF"/>
        </w:rPr>
        <w:t>machine</w:t>
      </w:r>
      <w:r w:rsidR="0012656B" w:rsidRPr="004C0D35">
        <w:rPr>
          <w:rFonts w:ascii="Times New Roman" w:hAnsi="Times New Roman" w:cs="Times New Roman"/>
          <w:color w:val="000000"/>
          <w:sz w:val="24"/>
          <w:szCs w:val="24"/>
          <w:shd w:val="clear" w:color="auto" w:fill="FFFFFF"/>
        </w:rPr>
        <w:t xml:space="preserve"> classification of </w:t>
      </w:r>
      <w:r w:rsidR="005C6D53" w:rsidRPr="004C0D35">
        <w:rPr>
          <w:rFonts w:ascii="Times New Roman" w:hAnsi="Times New Roman" w:cs="Times New Roman"/>
          <w:color w:val="000000"/>
          <w:sz w:val="24"/>
          <w:szCs w:val="24"/>
          <w:shd w:val="clear" w:color="auto" w:fill="FFFFFF"/>
        </w:rPr>
        <w:t>the doctrinal statements in trusts case law</w:t>
      </w:r>
      <w:r w:rsidR="0012656B" w:rsidRPr="004C0D35">
        <w:rPr>
          <w:rFonts w:ascii="Times New Roman" w:hAnsi="Times New Roman" w:cs="Times New Roman"/>
          <w:color w:val="000000"/>
          <w:sz w:val="24"/>
          <w:szCs w:val="24"/>
          <w:shd w:val="clear" w:color="auto" w:fill="FFFFFF"/>
        </w:rPr>
        <w:t xml:space="preserve"> into groups </w:t>
      </w:r>
      <w:r w:rsidR="005C6D53" w:rsidRPr="004C0D35">
        <w:rPr>
          <w:rFonts w:ascii="Times New Roman" w:hAnsi="Times New Roman" w:cs="Times New Roman"/>
          <w:color w:val="000000"/>
          <w:sz w:val="24"/>
          <w:szCs w:val="24"/>
          <w:shd w:val="clear" w:color="auto" w:fill="FFFFFF"/>
        </w:rPr>
        <w:t>distinguished</w:t>
      </w:r>
      <w:r w:rsidR="0012656B" w:rsidRPr="004C0D35">
        <w:rPr>
          <w:rFonts w:ascii="Times New Roman" w:hAnsi="Times New Roman" w:cs="Times New Roman"/>
          <w:color w:val="000000"/>
          <w:sz w:val="24"/>
          <w:szCs w:val="24"/>
          <w:shd w:val="clear" w:color="auto" w:fill="FFFFFF"/>
        </w:rPr>
        <w:t xml:space="preserve"> according to their relative restrictiveness</w:t>
      </w:r>
      <w:r w:rsidR="00333E9C" w:rsidRPr="004C0D35">
        <w:rPr>
          <w:rFonts w:ascii="Times New Roman" w:hAnsi="Times New Roman" w:cs="Times New Roman"/>
          <w:color w:val="000000"/>
          <w:sz w:val="24"/>
          <w:szCs w:val="24"/>
          <w:shd w:val="clear" w:color="auto" w:fill="FFFFFF"/>
        </w:rPr>
        <w:t xml:space="preserve"> or liberality</w:t>
      </w:r>
      <w:r w:rsidR="0012656B" w:rsidRPr="004C0D35">
        <w:rPr>
          <w:rFonts w:ascii="Times New Roman" w:hAnsi="Times New Roman" w:cs="Times New Roman"/>
          <w:color w:val="000000"/>
          <w:sz w:val="24"/>
          <w:szCs w:val="24"/>
          <w:shd w:val="clear" w:color="auto" w:fill="FFFFFF"/>
        </w:rPr>
        <w:t xml:space="preserve">. While </w:t>
      </w:r>
      <w:r w:rsidR="00EE49AF">
        <w:rPr>
          <w:rFonts w:ascii="Times New Roman" w:hAnsi="Times New Roman" w:cs="Times New Roman"/>
          <w:color w:val="000000"/>
          <w:sz w:val="24"/>
          <w:szCs w:val="24"/>
          <w:shd w:val="clear" w:color="auto" w:fill="FFFFFF"/>
        </w:rPr>
        <w:t>the compilers of the U.S. Supreme Court database</w:t>
      </w:r>
      <w:r w:rsidR="0012656B" w:rsidRPr="004C0D35">
        <w:rPr>
          <w:rFonts w:ascii="Times New Roman" w:hAnsi="Times New Roman" w:cs="Times New Roman"/>
          <w:color w:val="000000"/>
          <w:sz w:val="24"/>
          <w:szCs w:val="24"/>
          <w:shd w:val="clear" w:color="auto" w:fill="FFFFFF"/>
        </w:rPr>
        <w:t xml:space="preserve"> have coded US Supreme Court decisions according to </w:t>
      </w:r>
      <w:r w:rsidR="00333E9C" w:rsidRPr="004C0D35">
        <w:rPr>
          <w:rFonts w:ascii="Times New Roman" w:hAnsi="Times New Roman" w:cs="Times New Roman"/>
          <w:color w:val="000000"/>
          <w:sz w:val="24"/>
          <w:szCs w:val="24"/>
          <w:shd w:val="clear" w:color="auto" w:fill="FFFFFF"/>
        </w:rPr>
        <w:t xml:space="preserve">whether </w:t>
      </w:r>
      <w:r w:rsidR="0012656B" w:rsidRPr="004C0D35">
        <w:rPr>
          <w:rFonts w:ascii="Times New Roman" w:hAnsi="Times New Roman" w:cs="Times New Roman"/>
          <w:color w:val="000000"/>
          <w:sz w:val="24"/>
          <w:szCs w:val="24"/>
          <w:shd w:val="clear" w:color="auto" w:fill="FFFFFF"/>
        </w:rPr>
        <w:t>their “direction”</w:t>
      </w:r>
      <w:r w:rsidR="00333E9C" w:rsidRPr="004C0D35">
        <w:rPr>
          <w:rFonts w:ascii="Times New Roman" w:hAnsi="Times New Roman" w:cs="Times New Roman"/>
          <w:color w:val="000000"/>
          <w:sz w:val="24"/>
          <w:szCs w:val="24"/>
          <w:shd w:val="clear" w:color="auto" w:fill="FFFFFF"/>
        </w:rPr>
        <w:t xml:space="preserve"> was</w:t>
      </w:r>
      <w:r w:rsidR="0012656B" w:rsidRPr="004C0D35">
        <w:rPr>
          <w:rFonts w:ascii="Times New Roman" w:hAnsi="Times New Roman" w:cs="Times New Roman"/>
          <w:color w:val="000000"/>
          <w:sz w:val="24"/>
          <w:szCs w:val="24"/>
          <w:shd w:val="clear" w:color="auto" w:fill="FFFFFF"/>
        </w:rPr>
        <w:t xml:space="preserve"> liberal or conservative in a U</w:t>
      </w:r>
      <w:r w:rsidR="00D009E9" w:rsidRPr="004C0D35">
        <w:rPr>
          <w:rFonts w:ascii="Times New Roman" w:hAnsi="Times New Roman" w:cs="Times New Roman"/>
          <w:color w:val="000000"/>
          <w:sz w:val="24"/>
          <w:szCs w:val="24"/>
          <w:shd w:val="clear" w:color="auto" w:fill="FFFFFF"/>
        </w:rPr>
        <w:t>.</w:t>
      </w:r>
      <w:r w:rsidR="0012656B" w:rsidRPr="004C0D35">
        <w:rPr>
          <w:rFonts w:ascii="Times New Roman" w:hAnsi="Times New Roman" w:cs="Times New Roman"/>
          <w:color w:val="000000"/>
          <w:sz w:val="24"/>
          <w:szCs w:val="24"/>
          <w:shd w:val="clear" w:color="auto" w:fill="FFFFFF"/>
        </w:rPr>
        <w:t>S</w:t>
      </w:r>
      <w:r w:rsidR="00D009E9" w:rsidRPr="004C0D35">
        <w:rPr>
          <w:rFonts w:ascii="Times New Roman" w:hAnsi="Times New Roman" w:cs="Times New Roman"/>
          <w:color w:val="000000"/>
          <w:sz w:val="24"/>
          <w:szCs w:val="24"/>
          <w:shd w:val="clear" w:color="auto" w:fill="FFFFFF"/>
        </w:rPr>
        <w:t>.</w:t>
      </w:r>
      <w:r w:rsidR="0012656B" w:rsidRPr="004C0D35">
        <w:rPr>
          <w:rFonts w:ascii="Times New Roman" w:hAnsi="Times New Roman" w:cs="Times New Roman"/>
          <w:color w:val="000000"/>
          <w:sz w:val="24"/>
          <w:szCs w:val="24"/>
          <w:shd w:val="clear" w:color="auto" w:fill="FFFFFF"/>
        </w:rPr>
        <w:t xml:space="preserve"> </w:t>
      </w:r>
      <w:r w:rsidR="005C6D53" w:rsidRPr="004C0D35">
        <w:rPr>
          <w:rFonts w:ascii="Times New Roman" w:hAnsi="Times New Roman" w:cs="Times New Roman"/>
          <w:color w:val="000000"/>
          <w:sz w:val="24"/>
          <w:szCs w:val="24"/>
          <w:shd w:val="clear" w:color="auto" w:fill="FFFFFF"/>
        </w:rPr>
        <w:t>political</w:t>
      </w:r>
      <w:r w:rsidR="0012656B" w:rsidRPr="004C0D35">
        <w:rPr>
          <w:rFonts w:ascii="Times New Roman" w:hAnsi="Times New Roman" w:cs="Times New Roman"/>
          <w:color w:val="000000"/>
          <w:sz w:val="24"/>
          <w:szCs w:val="24"/>
          <w:shd w:val="clear" w:color="auto" w:fill="FFFFFF"/>
        </w:rPr>
        <w:t xml:space="preserve"> sense,</w:t>
      </w:r>
      <w:r w:rsidR="0012656B" w:rsidRPr="004C0D35">
        <w:rPr>
          <w:rStyle w:val="FootnoteReference"/>
          <w:rFonts w:ascii="Times New Roman" w:hAnsi="Times New Roman" w:cs="Times New Roman"/>
          <w:color w:val="000000"/>
          <w:sz w:val="24"/>
          <w:szCs w:val="24"/>
          <w:shd w:val="clear" w:color="auto" w:fill="FFFFFF"/>
        </w:rPr>
        <w:footnoteReference w:id="22"/>
      </w:r>
      <w:r w:rsidR="000F3225" w:rsidRPr="004C0D35">
        <w:rPr>
          <w:rFonts w:ascii="Times New Roman" w:hAnsi="Times New Roman" w:cs="Times New Roman"/>
          <w:color w:val="000000"/>
          <w:sz w:val="24"/>
          <w:szCs w:val="24"/>
          <w:shd w:val="clear" w:color="auto" w:fill="FFFFFF"/>
        </w:rPr>
        <w:t xml:space="preserve"> I do not refer</w:t>
      </w:r>
      <w:r w:rsidR="005C6D53" w:rsidRPr="004C0D35">
        <w:rPr>
          <w:rFonts w:ascii="Times New Roman" w:hAnsi="Times New Roman" w:cs="Times New Roman"/>
          <w:color w:val="000000"/>
          <w:sz w:val="24"/>
          <w:szCs w:val="24"/>
          <w:shd w:val="clear" w:color="auto" w:fill="FFFFFF"/>
        </w:rPr>
        <w:t>,</w:t>
      </w:r>
      <w:r w:rsidR="000F3225" w:rsidRPr="004C0D35">
        <w:rPr>
          <w:rFonts w:ascii="Times New Roman" w:hAnsi="Times New Roman" w:cs="Times New Roman"/>
          <w:color w:val="000000"/>
          <w:sz w:val="24"/>
          <w:szCs w:val="24"/>
          <w:shd w:val="clear" w:color="auto" w:fill="FFFFFF"/>
        </w:rPr>
        <w:t xml:space="preserve"> </w:t>
      </w:r>
      <w:r w:rsidR="005C6D53" w:rsidRPr="004C0D35">
        <w:rPr>
          <w:rFonts w:ascii="Times New Roman" w:hAnsi="Times New Roman" w:cs="Times New Roman"/>
          <w:color w:val="000000"/>
          <w:sz w:val="24"/>
          <w:szCs w:val="24"/>
          <w:shd w:val="clear" w:color="auto" w:fill="FFFFFF"/>
        </w:rPr>
        <w:t xml:space="preserve">in speaking of the </w:t>
      </w:r>
      <w:r w:rsidR="00F2538A" w:rsidRPr="004C0D35">
        <w:rPr>
          <w:rFonts w:ascii="Times New Roman" w:hAnsi="Times New Roman" w:cs="Times New Roman"/>
          <w:color w:val="000000"/>
          <w:sz w:val="24"/>
          <w:szCs w:val="24"/>
          <w:shd w:val="clear" w:color="auto" w:fill="FFFFFF"/>
        </w:rPr>
        <w:t xml:space="preserve">liberality or </w:t>
      </w:r>
      <w:r w:rsidR="005C6D53" w:rsidRPr="004C0D35">
        <w:rPr>
          <w:rFonts w:ascii="Times New Roman" w:hAnsi="Times New Roman" w:cs="Times New Roman"/>
          <w:color w:val="000000"/>
          <w:sz w:val="24"/>
          <w:szCs w:val="24"/>
          <w:shd w:val="clear" w:color="auto" w:fill="FFFFFF"/>
        </w:rPr>
        <w:t xml:space="preserve">liberalization of trust law, </w:t>
      </w:r>
      <w:r w:rsidR="000F3225" w:rsidRPr="004C0D35">
        <w:rPr>
          <w:rFonts w:ascii="Times New Roman" w:hAnsi="Times New Roman" w:cs="Times New Roman"/>
          <w:color w:val="000000"/>
          <w:sz w:val="24"/>
          <w:szCs w:val="24"/>
          <w:shd w:val="clear" w:color="auto" w:fill="FFFFFF"/>
        </w:rPr>
        <w:t>to th</w:t>
      </w:r>
      <w:r w:rsidR="005C6D53" w:rsidRPr="004C0D35">
        <w:rPr>
          <w:rFonts w:ascii="Times New Roman" w:hAnsi="Times New Roman" w:cs="Times New Roman"/>
          <w:color w:val="000000"/>
          <w:sz w:val="24"/>
          <w:szCs w:val="24"/>
          <w:shd w:val="clear" w:color="auto" w:fill="FFFFFF"/>
        </w:rPr>
        <w:t>e</w:t>
      </w:r>
      <w:r w:rsidR="000F3225" w:rsidRPr="004C0D35">
        <w:rPr>
          <w:rFonts w:ascii="Times New Roman" w:hAnsi="Times New Roman" w:cs="Times New Roman"/>
          <w:color w:val="000000"/>
          <w:sz w:val="24"/>
          <w:szCs w:val="24"/>
          <w:shd w:val="clear" w:color="auto" w:fill="FFFFFF"/>
        </w:rPr>
        <w:t xml:space="preserve"> sense of the term “liberal”</w:t>
      </w:r>
      <w:r w:rsidR="005C6D53" w:rsidRPr="004C0D35">
        <w:rPr>
          <w:rFonts w:ascii="Times New Roman" w:hAnsi="Times New Roman" w:cs="Times New Roman"/>
          <w:color w:val="000000"/>
          <w:sz w:val="24"/>
          <w:szCs w:val="24"/>
          <w:shd w:val="clear" w:color="auto" w:fill="FFFFFF"/>
        </w:rPr>
        <w:t xml:space="preserve"> common in U</w:t>
      </w:r>
      <w:r w:rsidR="00D009E9" w:rsidRPr="004C0D35">
        <w:rPr>
          <w:rFonts w:ascii="Times New Roman" w:hAnsi="Times New Roman" w:cs="Times New Roman"/>
          <w:color w:val="000000"/>
          <w:sz w:val="24"/>
          <w:szCs w:val="24"/>
          <w:shd w:val="clear" w:color="auto" w:fill="FFFFFF"/>
        </w:rPr>
        <w:t>.</w:t>
      </w:r>
      <w:r w:rsidR="005C6D53" w:rsidRPr="004C0D35">
        <w:rPr>
          <w:rFonts w:ascii="Times New Roman" w:hAnsi="Times New Roman" w:cs="Times New Roman"/>
          <w:color w:val="000000"/>
          <w:sz w:val="24"/>
          <w:szCs w:val="24"/>
          <w:shd w:val="clear" w:color="auto" w:fill="FFFFFF"/>
        </w:rPr>
        <w:t>S</w:t>
      </w:r>
      <w:r w:rsidR="00D009E9" w:rsidRPr="004C0D35">
        <w:rPr>
          <w:rFonts w:ascii="Times New Roman" w:hAnsi="Times New Roman" w:cs="Times New Roman"/>
          <w:color w:val="000000"/>
          <w:sz w:val="24"/>
          <w:szCs w:val="24"/>
          <w:shd w:val="clear" w:color="auto" w:fill="FFFFFF"/>
        </w:rPr>
        <w:t>.</w:t>
      </w:r>
      <w:r w:rsidR="005C6D53" w:rsidRPr="004C0D35">
        <w:rPr>
          <w:rFonts w:ascii="Times New Roman" w:hAnsi="Times New Roman" w:cs="Times New Roman"/>
          <w:color w:val="000000"/>
          <w:sz w:val="24"/>
          <w:szCs w:val="24"/>
          <w:shd w:val="clear" w:color="auto" w:fill="FFFFFF"/>
        </w:rPr>
        <w:t xml:space="preserve"> politics</w:t>
      </w:r>
      <w:r w:rsidR="000F3225" w:rsidRPr="004C0D35">
        <w:rPr>
          <w:rFonts w:ascii="Times New Roman" w:hAnsi="Times New Roman" w:cs="Times New Roman"/>
          <w:color w:val="000000"/>
          <w:sz w:val="24"/>
          <w:szCs w:val="24"/>
          <w:shd w:val="clear" w:color="auto" w:fill="FFFFFF"/>
        </w:rPr>
        <w:t xml:space="preserve">. The liberalization of trust law largely consists of the removal or loosening of restrictions which previously limited trust creators’ freedom to design their trusts as they like, and of protections which trust beneficiaries previously enjoyed </w:t>
      </w:r>
      <w:r w:rsidR="00D009E9" w:rsidRPr="004C0D35">
        <w:rPr>
          <w:rFonts w:ascii="Times New Roman" w:hAnsi="Times New Roman" w:cs="Times New Roman"/>
          <w:color w:val="000000"/>
          <w:sz w:val="24"/>
          <w:szCs w:val="24"/>
          <w:shd w:val="clear" w:color="auto" w:fill="FFFFFF"/>
        </w:rPr>
        <w:t>from</w:t>
      </w:r>
      <w:r w:rsidR="000F3225" w:rsidRPr="004C0D35">
        <w:rPr>
          <w:rFonts w:ascii="Times New Roman" w:hAnsi="Times New Roman" w:cs="Times New Roman"/>
          <w:color w:val="000000"/>
          <w:sz w:val="24"/>
          <w:szCs w:val="24"/>
          <w:shd w:val="clear" w:color="auto" w:fill="FFFFFF"/>
        </w:rPr>
        <w:t xml:space="preserve"> the power of their trustees.</w:t>
      </w:r>
      <w:r w:rsidR="00EE49AF">
        <w:rPr>
          <w:rStyle w:val="FootnoteReference"/>
          <w:rFonts w:ascii="Times New Roman" w:hAnsi="Times New Roman" w:cs="Times New Roman"/>
          <w:color w:val="000000"/>
          <w:sz w:val="24"/>
          <w:szCs w:val="24"/>
          <w:shd w:val="clear" w:color="auto" w:fill="FFFFFF"/>
        </w:rPr>
        <w:footnoteReference w:id="23"/>
      </w:r>
      <w:r w:rsidR="000F3225" w:rsidRPr="004C0D35">
        <w:rPr>
          <w:rFonts w:ascii="Times New Roman" w:hAnsi="Times New Roman" w:cs="Times New Roman"/>
          <w:color w:val="000000"/>
          <w:sz w:val="24"/>
          <w:szCs w:val="24"/>
          <w:shd w:val="clear" w:color="auto" w:fill="FFFFFF"/>
        </w:rPr>
        <w:t xml:space="preserve"> Trust law has been liberalized, for example, when restrictions on the maximum duration of trusts were removed,</w:t>
      </w:r>
      <w:r w:rsidR="00EE49AF">
        <w:rPr>
          <w:rStyle w:val="FootnoteReference"/>
          <w:rFonts w:ascii="Times New Roman" w:hAnsi="Times New Roman" w:cs="Times New Roman"/>
          <w:color w:val="000000"/>
          <w:sz w:val="24"/>
          <w:szCs w:val="24"/>
          <w:shd w:val="clear" w:color="auto" w:fill="FFFFFF"/>
        </w:rPr>
        <w:footnoteReference w:id="24"/>
      </w:r>
      <w:r w:rsidR="000F3225" w:rsidRPr="004C0D35">
        <w:rPr>
          <w:rFonts w:ascii="Times New Roman" w:hAnsi="Times New Roman" w:cs="Times New Roman"/>
          <w:color w:val="000000"/>
          <w:sz w:val="24"/>
          <w:szCs w:val="24"/>
          <w:shd w:val="clear" w:color="auto" w:fill="FFFFFF"/>
        </w:rPr>
        <w:t xml:space="preserve"> when trust creditors’ access to trustees’ own wealth was curtailed,</w:t>
      </w:r>
      <w:r w:rsidR="00EE49AF">
        <w:rPr>
          <w:rStyle w:val="FootnoteReference"/>
          <w:rFonts w:ascii="Times New Roman" w:hAnsi="Times New Roman" w:cs="Times New Roman"/>
          <w:color w:val="000000"/>
          <w:sz w:val="24"/>
          <w:szCs w:val="24"/>
          <w:shd w:val="clear" w:color="auto" w:fill="FFFFFF"/>
        </w:rPr>
        <w:footnoteReference w:id="25"/>
      </w:r>
      <w:r w:rsidR="000F3225" w:rsidRPr="004C0D35">
        <w:rPr>
          <w:rFonts w:ascii="Times New Roman" w:hAnsi="Times New Roman" w:cs="Times New Roman"/>
          <w:color w:val="000000"/>
          <w:sz w:val="24"/>
          <w:szCs w:val="24"/>
          <w:shd w:val="clear" w:color="auto" w:fill="FFFFFF"/>
        </w:rPr>
        <w:t xml:space="preserve"> and when non-beneficiaries were allowed to enforce trustees’ duties</w:t>
      </w:r>
      <w:r w:rsidR="005C6D53" w:rsidRPr="004C0D35">
        <w:rPr>
          <w:rFonts w:ascii="Times New Roman" w:hAnsi="Times New Roman" w:cs="Times New Roman"/>
          <w:color w:val="000000"/>
          <w:sz w:val="24"/>
          <w:szCs w:val="24"/>
          <w:shd w:val="clear" w:color="auto" w:fill="FFFFFF"/>
        </w:rPr>
        <w:t xml:space="preserve"> in lieu of beneficiaries themselves</w:t>
      </w:r>
      <w:r w:rsidR="000F3225" w:rsidRPr="004C0D35">
        <w:rPr>
          <w:rFonts w:ascii="Times New Roman" w:hAnsi="Times New Roman" w:cs="Times New Roman"/>
          <w:color w:val="000000"/>
          <w:sz w:val="24"/>
          <w:szCs w:val="24"/>
          <w:shd w:val="clear" w:color="auto" w:fill="FFFFFF"/>
        </w:rPr>
        <w:t>.</w:t>
      </w:r>
      <w:r w:rsidR="00EE49AF">
        <w:rPr>
          <w:rStyle w:val="FootnoteReference"/>
          <w:rFonts w:ascii="Times New Roman" w:hAnsi="Times New Roman" w:cs="Times New Roman"/>
          <w:color w:val="000000"/>
          <w:sz w:val="24"/>
          <w:szCs w:val="24"/>
          <w:shd w:val="clear" w:color="auto" w:fill="FFFFFF"/>
        </w:rPr>
        <w:footnoteReference w:id="26"/>
      </w:r>
      <w:r w:rsidR="000F3225" w:rsidRPr="004C0D35">
        <w:rPr>
          <w:rFonts w:ascii="Times New Roman" w:hAnsi="Times New Roman" w:cs="Times New Roman"/>
          <w:color w:val="000000"/>
          <w:sz w:val="24"/>
          <w:szCs w:val="24"/>
          <w:shd w:val="clear" w:color="auto" w:fill="FFFFFF"/>
        </w:rPr>
        <w:t xml:space="preserve"> If anything, trust liberalization t</w:t>
      </w:r>
      <w:r w:rsidR="00EF5CE5">
        <w:rPr>
          <w:rFonts w:ascii="Times New Roman" w:hAnsi="Times New Roman" w:cs="Times New Roman"/>
          <w:color w:val="000000"/>
          <w:sz w:val="24"/>
          <w:szCs w:val="24"/>
          <w:shd w:val="clear" w:color="auto" w:fill="FFFFFF"/>
        </w:rPr>
        <w:t>r</w:t>
      </w:r>
      <w:r w:rsidR="000F3225" w:rsidRPr="004C0D35">
        <w:rPr>
          <w:rFonts w:ascii="Times New Roman" w:hAnsi="Times New Roman" w:cs="Times New Roman"/>
          <w:color w:val="000000"/>
          <w:sz w:val="24"/>
          <w:szCs w:val="24"/>
          <w:shd w:val="clear" w:color="auto" w:fill="FFFFFF"/>
        </w:rPr>
        <w:t>ends conservative in U</w:t>
      </w:r>
      <w:r w:rsidR="00C264FA" w:rsidRPr="004C0D35">
        <w:rPr>
          <w:rFonts w:ascii="Times New Roman" w:hAnsi="Times New Roman" w:cs="Times New Roman"/>
          <w:color w:val="000000"/>
          <w:sz w:val="24"/>
          <w:szCs w:val="24"/>
          <w:shd w:val="clear" w:color="auto" w:fill="FFFFFF"/>
        </w:rPr>
        <w:t>.</w:t>
      </w:r>
      <w:r w:rsidR="000F3225" w:rsidRPr="004C0D35">
        <w:rPr>
          <w:rFonts w:ascii="Times New Roman" w:hAnsi="Times New Roman" w:cs="Times New Roman"/>
          <w:color w:val="000000"/>
          <w:sz w:val="24"/>
          <w:szCs w:val="24"/>
          <w:shd w:val="clear" w:color="auto" w:fill="FFFFFF"/>
        </w:rPr>
        <w:t>S</w:t>
      </w:r>
      <w:r w:rsidR="00C264FA" w:rsidRPr="004C0D35">
        <w:rPr>
          <w:rFonts w:ascii="Times New Roman" w:hAnsi="Times New Roman" w:cs="Times New Roman"/>
          <w:color w:val="000000"/>
          <w:sz w:val="24"/>
          <w:szCs w:val="24"/>
          <w:shd w:val="clear" w:color="auto" w:fill="FFFFFF"/>
        </w:rPr>
        <w:t>.</w:t>
      </w:r>
      <w:r w:rsidR="000F3225" w:rsidRPr="004C0D35">
        <w:rPr>
          <w:rFonts w:ascii="Times New Roman" w:hAnsi="Times New Roman" w:cs="Times New Roman"/>
          <w:color w:val="000000"/>
          <w:sz w:val="24"/>
          <w:szCs w:val="24"/>
          <w:shd w:val="clear" w:color="auto" w:fill="FFFFFF"/>
        </w:rPr>
        <w:t xml:space="preserve"> political terms. </w:t>
      </w:r>
      <w:r w:rsidR="005408A0">
        <w:rPr>
          <w:rFonts w:ascii="Times New Roman" w:hAnsi="Times New Roman" w:cs="Times New Roman"/>
          <w:color w:val="000000"/>
          <w:sz w:val="24"/>
          <w:szCs w:val="24"/>
          <w:shd w:val="clear" w:color="auto" w:fill="FFFFFF"/>
        </w:rPr>
        <w:t>The compilers of the U.S. Supreme Court database</w:t>
      </w:r>
      <w:r w:rsidR="005408A0" w:rsidRPr="004C0D35">
        <w:rPr>
          <w:rFonts w:ascii="Times New Roman" w:hAnsi="Times New Roman" w:cs="Times New Roman"/>
          <w:color w:val="000000"/>
          <w:sz w:val="24"/>
          <w:szCs w:val="24"/>
          <w:shd w:val="clear" w:color="auto" w:fill="FFFFFF"/>
        </w:rPr>
        <w:t xml:space="preserve"> </w:t>
      </w:r>
      <w:r w:rsidR="005C6D53" w:rsidRPr="004C0D35">
        <w:rPr>
          <w:rFonts w:ascii="Times New Roman" w:hAnsi="Times New Roman" w:cs="Times New Roman"/>
          <w:color w:val="000000"/>
          <w:sz w:val="24"/>
          <w:szCs w:val="24"/>
          <w:shd w:val="clear" w:color="auto" w:fill="FFFFFF"/>
        </w:rPr>
        <w:t>recognized the difficulty of classifying and coding private law doctrine by</w:t>
      </w:r>
      <w:r w:rsidR="00104011">
        <w:rPr>
          <w:rFonts w:ascii="Times New Roman" w:hAnsi="Times New Roman" w:cs="Times New Roman"/>
          <w:color w:val="000000"/>
          <w:sz w:val="24"/>
          <w:szCs w:val="24"/>
          <w:shd w:val="clear" w:color="auto" w:fill="FFFFFF"/>
        </w:rPr>
        <w:t xml:space="preserve"> computer by</w:t>
      </w:r>
      <w:r w:rsidR="005C6D53" w:rsidRPr="004C0D35">
        <w:rPr>
          <w:rFonts w:ascii="Times New Roman" w:hAnsi="Times New Roman" w:cs="Times New Roman"/>
          <w:color w:val="000000"/>
          <w:sz w:val="24"/>
          <w:szCs w:val="24"/>
          <w:shd w:val="clear" w:color="auto" w:fill="FFFFFF"/>
        </w:rPr>
        <w:t xml:space="preserve"> coding</w:t>
      </w:r>
      <w:r w:rsidR="00344D4D" w:rsidRPr="004C0D35">
        <w:rPr>
          <w:rFonts w:ascii="Times New Roman" w:hAnsi="Times New Roman" w:cs="Times New Roman"/>
          <w:color w:val="000000"/>
          <w:sz w:val="24"/>
          <w:szCs w:val="24"/>
          <w:shd w:val="clear" w:color="auto" w:fill="FFFFFF"/>
        </w:rPr>
        <w:t xml:space="preserve"> the “direction” of all private law decisions as “unspecifiable”.</w:t>
      </w:r>
      <w:r w:rsidR="00EF5CE5">
        <w:rPr>
          <w:rStyle w:val="FootnoteReference"/>
          <w:rFonts w:ascii="Times New Roman" w:hAnsi="Times New Roman" w:cs="Times New Roman"/>
          <w:color w:val="000000"/>
          <w:sz w:val="24"/>
          <w:szCs w:val="24"/>
          <w:shd w:val="clear" w:color="auto" w:fill="FFFFFF"/>
        </w:rPr>
        <w:footnoteReference w:id="27"/>
      </w:r>
      <w:r w:rsidR="00B76451" w:rsidRPr="004C0D35">
        <w:rPr>
          <w:rFonts w:ascii="Times New Roman" w:hAnsi="Times New Roman" w:cs="Times New Roman"/>
          <w:color w:val="000000"/>
          <w:sz w:val="24"/>
          <w:szCs w:val="24"/>
          <w:shd w:val="clear" w:color="auto" w:fill="FFFFFF"/>
        </w:rPr>
        <w:t xml:space="preserve"> This difficulty is amplified by the comparative character of my database. </w:t>
      </w:r>
      <w:r w:rsidR="00B14DA9" w:rsidRPr="004C0D35">
        <w:rPr>
          <w:rFonts w:ascii="Times New Roman" w:hAnsi="Times New Roman" w:cs="Times New Roman"/>
          <w:color w:val="000000"/>
          <w:sz w:val="24"/>
          <w:szCs w:val="24"/>
          <w:shd w:val="clear" w:color="auto" w:fill="FFFFFF"/>
        </w:rPr>
        <w:t>C</w:t>
      </w:r>
      <w:r w:rsidR="00B76451" w:rsidRPr="004C0D35">
        <w:rPr>
          <w:rFonts w:ascii="Times New Roman" w:hAnsi="Times New Roman" w:cs="Times New Roman"/>
          <w:color w:val="000000"/>
          <w:sz w:val="24"/>
          <w:szCs w:val="24"/>
          <w:shd w:val="clear" w:color="auto" w:fill="FFFFFF"/>
        </w:rPr>
        <w:t xml:space="preserve">omparative </w:t>
      </w:r>
      <w:r w:rsidR="0032179A" w:rsidRPr="004C0D35">
        <w:rPr>
          <w:rFonts w:ascii="Times New Roman" w:hAnsi="Times New Roman" w:cs="Times New Roman"/>
          <w:color w:val="000000"/>
          <w:sz w:val="24"/>
          <w:szCs w:val="24"/>
          <w:shd w:val="clear" w:color="auto" w:fill="FFFFFF"/>
        </w:rPr>
        <w:t xml:space="preserve">legal databases which attempt fine-grained analysis of </w:t>
      </w:r>
      <w:r w:rsidR="00B14DA9" w:rsidRPr="004C0D35">
        <w:rPr>
          <w:rFonts w:ascii="Times New Roman" w:hAnsi="Times New Roman" w:cs="Times New Roman"/>
          <w:color w:val="000000"/>
          <w:sz w:val="24"/>
          <w:szCs w:val="24"/>
          <w:shd w:val="clear" w:color="auto" w:fill="FFFFFF"/>
        </w:rPr>
        <w:t xml:space="preserve">doctrinal </w:t>
      </w:r>
      <w:r w:rsidR="0032179A" w:rsidRPr="004C0D35">
        <w:rPr>
          <w:rFonts w:ascii="Times New Roman" w:hAnsi="Times New Roman" w:cs="Times New Roman"/>
          <w:color w:val="000000"/>
          <w:sz w:val="24"/>
          <w:szCs w:val="24"/>
          <w:shd w:val="clear" w:color="auto" w:fill="FFFFFF"/>
        </w:rPr>
        <w:t xml:space="preserve">materials collected are few. The well-known CompLaw project, </w:t>
      </w:r>
      <w:r w:rsidR="00501CE3" w:rsidRPr="004C0D35">
        <w:rPr>
          <w:rFonts w:ascii="Times New Roman" w:hAnsi="Times New Roman" w:cs="Times New Roman"/>
          <w:color w:val="000000"/>
          <w:sz w:val="24"/>
          <w:szCs w:val="24"/>
          <w:shd w:val="clear" w:color="auto" w:fill="FFFFFF"/>
        </w:rPr>
        <w:t>currently</w:t>
      </w:r>
      <w:r w:rsidR="0032179A" w:rsidRPr="004C0D35">
        <w:rPr>
          <w:rFonts w:ascii="Times New Roman" w:hAnsi="Times New Roman" w:cs="Times New Roman"/>
          <w:color w:val="000000"/>
          <w:sz w:val="24"/>
          <w:szCs w:val="24"/>
          <w:shd w:val="clear" w:color="auto" w:fill="FFFFFF"/>
        </w:rPr>
        <w:t xml:space="preserve"> stalled, is hand-coded, and focused on ques</w:t>
      </w:r>
      <w:r w:rsidR="008C33BF" w:rsidRPr="004C0D35">
        <w:rPr>
          <w:rFonts w:ascii="Times New Roman" w:hAnsi="Times New Roman" w:cs="Times New Roman"/>
          <w:color w:val="000000"/>
          <w:sz w:val="24"/>
          <w:szCs w:val="24"/>
          <w:shd w:val="clear" w:color="auto" w:fill="FFFFFF"/>
        </w:rPr>
        <w:t>tions of constitutional review</w:t>
      </w:r>
      <w:r w:rsidR="0032179A" w:rsidRPr="004C0D35">
        <w:rPr>
          <w:rFonts w:ascii="Times New Roman" w:hAnsi="Times New Roman" w:cs="Times New Roman"/>
          <w:color w:val="000000"/>
          <w:sz w:val="24"/>
          <w:szCs w:val="24"/>
          <w:shd w:val="clear" w:color="auto" w:fill="FFFFFF"/>
        </w:rPr>
        <w:t>.</w:t>
      </w:r>
      <w:r w:rsidR="008C33BF" w:rsidRPr="004C0D35">
        <w:rPr>
          <w:rStyle w:val="FootnoteReference"/>
          <w:rFonts w:ascii="Times New Roman" w:hAnsi="Times New Roman" w:cs="Times New Roman"/>
          <w:color w:val="000000"/>
          <w:sz w:val="24"/>
          <w:szCs w:val="24"/>
          <w:shd w:val="clear" w:color="auto" w:fill="FFFFFF"/>
        </w:rPr>
        <w:footnoteReference w:id="28"/>
      </w:r>
      <w:r w:rsidR="00344D4D" w:rsidRPr="004C0D35">
        <w:rPr>
          <w:rFonts w:ascii="Times New Roman" w:hAnsi="Times New Roman" w:cs="Times New Roman"/>
          <w:color w:val="000000"/>
          <w:sz w:val="24"/>
          <w:szCs w:val="24"/>
          <w:shd w:val="clear" w:color="auto" w:fill="FFFFFF"/>
        </w:rPr>
        <w:t xml:space="preserve"> </w:t>
      </w:r>
      <w:r w:rsidR="005C6D53" w:rsidRPr="004C0D35">
        <w:rPr>
          <w:rFonts w:ascii="Times New Roman" w:hAnsi="Times New Roman" w:cs="Times New Roman"/>
          <w:color w:val="000000"/>
          <w:sz w:val="24"/>
          <w:szCs w:val="24"/>
          <w:shd w:val="clear" w:color="auto" w:fill="FFFFFF"/>
        </w:rPr>
        <w:t>While future research may attempt to extend machine reading and coding of law into private law, my choice of human coding</w:t>
      </w:r>
      <w:r w:rsidR="00B14DA9" w:rsidRPr="004C0D35">
        <w:rPr>
          <w:rFonts w:ascii="Times New Roman" w:hAnsi="Times New Roman" w:cs="Times New Roman"/>
          <w:color w:val="000000"/>
          <w:sz w:val="24"/>
          <w:szCs w:val="24"/>
          <w:shd w:val="clear" w:color="auto" w:fill="FFFFFF"/>
        </w:rPr>
        <w:t xml:space="preserve"> and </w:t>
      </w:r>
      <w:r w:rsidR="00801407" w:rsidRPr="004C0D35">
        <w:rPr>
          <w:rFonts w:ascii="Times New Roman" w:hAnsi="Times New Roman" w:cs="Times New Roman"/>
          <w:color w:val="000000"/>
          <w:sz w:val="24"/>
          <w:szCs w:val="24"/>
          <w:shd w:val="clear" w:color="auto" w:fill="FFFFFF"/>
        </w:rPr>
        <w:t xml:space="preserve">the </w:t>
      </w:r>
      <w:r w:rsidR="00B14DA9" w:rsidRPr="004C0D35">
        <w:rPr>
          <w:rFonts w:ascii="Times New Roman" w:hAnsi="Times New Roman" w:cs="Times New Roman"/>
          <w:color w:val="000000"/>
          <w:sz w:val="24"/>
          <w:szCs w:val="24"/>
          <w:shd w:val="clear" w:color="auto" w:fill="FFFFFF"/>
        </w:rPr>
        <w:t>limitation of the database to legislation</w:t>
      </w:r>
      <w:r w:rsidR="005C6D53" w:rsidRPr="004C0D35">
        <w:rPr>
          <w:rFonts w:ascii="Times New Roman" w:hAnsi="Times New Roman" w:cs="Times New Roman"/>
          <w:color w:val="000000"/>
          <w:sz w:val="24"/>
          <w:szCs w:val="24"/>
          <w:shd w:val="clear" w:color="auto" w:fill="FFFFFF"/>
        </w:rPr>
        <w:t xml:space="preserve"> </w:t>
      </w:r>
      <w:r w:rsidR="00B76451" w:rsidRPr="004C0D35">
        <w:rPr>
          <w:rFonts w:ascii="Times New Roman" w:hAnsi="Times New Roman" w:cs="Times New Roman"/>
          <w:color w:val="000000"/>
          <w:sz w:val="24"/>
          <w:szCs w:val="24"/>
          <w:shd w:val="clear" w:color="auto" w:fill="FFFFFF"/>
        </w:rPr>
        <w:t>enabled me to read the entire database, an experience which</w:t>
      </w:r>
      <w:r w:rsidR="00B14DA9" w:rsidRPr="004C0D35">
        <w:rPr>
          <w:rFonts w:ascii="Times New Roman" w:hAnsi="Times New Roman" w:cs="Times New Roman"/>
          <w:color w:val="000000"/>
          <w:sz w:val="24"/>
          <w:szCs w:val="24"/>
          <w:shd w:val="clear" w:color="auto" w:fill="FFFFFF"/>
        </w:rPr>
        <w:t xml:space="preserve"> improved my understanding of both its contents and the</w:t>
      </w:r>
      <w:r w:rsidR="00B76451" w:rsidRPr="004C0D35">
        <w:rPr>
          <w:rFonts w:ascii="Times New Roman" w:hAnsi="Times New Roman" w:cs="Times New Roman"/>
          <w:color w:val="000000"/>
          <w:sz w:val="24"/>
          <w:szCs w:val="24"/>
          <w:shd w:val="clear" w:color="auto" w:fill="FFFFFF"/>
        </w:rPr>
        <w:t xml:space="preserve"> </w:t>
      </w:r>
      <w:r w:rsidR="00B14DA9" w:rsidRPr="004C0D35">
        <w:rPr>
          <w:rFonts w:ascii="Times New Roman" w:hAnsi="Times New Roman" w:cs="Times New Roman"/>
          <w:color w:val="000000"/>
          <w:sz w:val="24"/>
          <w:szCs w:val="24"/>
          <w:shd w:val="clear" w:color="auto" w:fill="FFFFFF"/>
        </w:rPr>
        <w:t xml:space="preserve">research </w:t>
      </w:r>
      <w:r w:rsidR="00B76451" w:rsidRPr="004C0D35">
        <w:rPr>
          <w:rFonts w:ascii="Times New Roman" w:hAnsi="Times New Roman" w:cs="Times New Roman"/>
          <w:color w:val="000000"/>
          <w:sz w:val="24"/>
          <w:szCs w:val="24"/>
          <w:shd w:val="clear" w:color="auto" w:fill="FFFFFF"/>
        </w:rPr>
        <w:t>results.</w:t>
      </w:r>
      <w:r w:rsidR="00502D36" w:rsidRPr="004C0D35">
        <w:rPr>
          <w:rFonts w:ascii="Times New Roman" w:eastAsia="Times New Roman" w:hAnsi="Times New Roman" w:cs="Times New Roman"/>
          <w:color w:val="222222"/>
          <w:sz w:val="24"/>
          <w:szCs w:val="24"/>
          <w:rtl/>
        </w:rPr>
        <w:t xml:space="preserve"> </w:t>
      </w:r>
    </w:p>
    <w:p w14:paraId="24BADC09" w14:textId="516FBECE" w:rsidR="000E062A" w:rsidRPr="004C0D35" w:rsidRDefault="000E062A" w:rsidP="00D42D33">
      <w:pPr>
        <w:spacing w:after="0" w:line="276" w:lineRule="auto"/>
        <w:ind w:firstLine="720"/>
        <w:jc w:val="both"/>
        <w:rPr>
          <w:rFonts w:ascii="Times New Roman" w:hAnsi="Times New Roman" w:cs="Times New Roman"/>
          <w:color w:val="000000"/>
          <w:sz w:val="24"/>
          <w:szCs w:val="24"/>
          <w:shd w:val="clear" w:color="auto" w:fill="FFFFFF"/>
          <w:rtl/>
        </w:rPr>
      </w:pPr>
      <w:r w:rsidRPr="004C0D35">
        <w:rPr>
          <w:rFonts w:ascii="Times New Roman" w:hAnsi="Times New Roman" w:cs="Times New Roman"/>
          <w:color w:val="000000"/>
          <w:sz w:val="24"/>
          <w:szCs w:val="24"/>
          <w:shd w:val="clear" w:color="auto" w:fill="FFFFFF"/>
        </w:rPr>
        <w:t xml:space="preserve">Finally, </w:t>
      </w:r>
      <w:r w:rsidR="00C24495" w:rsidRPr="004C0D35">
        <w:rPr>
          <w:rFonts w:ascii="Times New Roman" w:hAnsi="Times New Roman" w:cs="Times New Roman"/>
          <w:color w:val="000000"/>
          <w:sz w:val="24"/>
          <w:szCs w:val="24"/>
          <w:shd w:val="clear" w:color="auto" w:fill="FFFFFF"/>
        </w:rPr>
        <w:t>an exclusive statutory focus may create a misleading impression that a given statute changed the law, where that statute merely gave statutory form to</w:t>
      </w:r>
      <w:r w:rsidR="00E818F3" w:rsidRPr="004C0D35">
        <w:rPr>
          <w:rFonts w:ascii="Times New Roman" w:hAnsi="Times New Roman" w:cs="Times New Roman"/>
          <w:color w:val="000000"/>
          <w:sz w:val="24"/>
          <w:szCs w:val="24"/>
          <w:shd w:val="clear" w:color="auto" w:fill="FFFFFF"/>
        </w:rPr>
        <w:t xml:space="preserve"> a normative position which has</w:t>
      </w:r>
      <w:r w:rsidR="00C24495" w:rsidRPr="004C0D35">
        <w:rPr>
          <w:rFonts w:ascii="Times New Roman" w:hAnsi="Times New Roman" w:cs="Times New Roman"/>
          <w:color w:val="000000"/>
          <w:sz w:val="24"/>
          <w:szCs w:val="24"/>
          <w:shd w:val="clear" w:color="auto" w:fill="FFFFFF"/>
        </w:rPr>
        <w:t xml:space="preserve"> previously been part of the law of the relevant jurisdiction in non-statutory form</w:t>
      </w:r>
      <w:r w:rsidR="00D42D33">
        <w:rPr>
          <w:rFonts w:ascii="Times New Roman" w:hAnsi="Times New Roman" w:cs="Times New Roman"/>
          <w:color w:val="000000"/>
          <w:sz w:val="24"/>
          <w:szCs w:val="24"/>
          <w:shd w:val="clear" w:color="auto" w:fill="FFFFFF"/>
        </w:rPr>
        <w:t>.</w:t>
      </w:r>
      <w:r w:rsidR="00C24495" w:rsidRPr="004C0D35">
        <w:rPr>
          <w:rFonts w:ascii="Times New Roman" w:hAnsi="Times New Roman" w:cs="Times New Roman"/>
          <w:color w:val="000000"/>
          <w:sz w:val="24"/>
          <w:szCs w:val="24"/>
          <w:shd w:val="clear" w:color="auto" w:fill="FFFFFF"/>
        </w:rPr>
        <w:t xml:space="preserve"> I attempted to control for this risk by incorporating in the database a variable noting, regarding each observation, whether the statute </w:t>
      </w:r>
      <w:r w:rsidR="00E818F3" w:rsidRPr="004C0D35">
        <w:rPr>
          <w:rFonts w:ascii="Times New Roman" w:hAnsi="Times New Roman" w:cs="Times New Roman"/>
          <w:color w:val="000000"/>
          <w:sz w:val="24"/>
          <w:szCs w:val="24"/>
          <w:shd w:val="clear" w:color="auto" w:fill="FFFFFF"/>
        </w:rPr>
        <w:t>in question</w:t>
      </w:r>
      <w:r w:rsidR="00C24495" w:rsidRPr="004C0D35">
        <w:rPr>
          <w:rFonts w:ascii="Times New Roman" w:hAnsi="Times New Roman" w:cs="Times New Roman"/>
          <w:color w:val="000000"/>
          <w:sz w:val="24"/>
          <w:szCs w:val="24"/>
          <w:shd w:val="clear" w:color="auto" w:fill="FFFFFF"/>
        </w:rPr>
        <w:t xml:space="preserve"> changed the law or </w:t>
      </w:r>
      <w:r w:rsidR="00FC15A2" w:rsidRPr="004C0D35">
        <w:rPr>
          <w:rFonts w:ascii="Times New Roman" w:hAnsi="Times New Roman" w:cs="Times New Roman"/>
          <w:color w:val="000000"/>
          <w:sz w:val="24"/>
          <w:szCs w:val="24"/>
          <w:shd w:val="clear" w:color="auto" w:fill="FFFFFF"/>
        </w:rPr>
        <w:t>gave new form to</w:t>
      </w:r>
      <w:r w:rsidR="00C24495" w:rsidRPr="004C0D35">
        <w:rPr>
          <w:rFonts w:ascii="Times New Roman" w:hAnsi="Times New Roman" w:cs="Times New Roman"/>
          <w:color w:val="000000"/>
          <w:sz w:val="24"/>
          <w:szCs w:val="24"/>
          <w:shd w:val="clear" w:color="auto" w:fill="FFFFFF"/>
        </w:rPr>
        <w:t xml:space="preserve"> pre-existing law. Populating this variable for each observation </w:t>
      </w:r>
      <w:r w:rsidR="00FC15A2" w:rsidRPr="004C0D35">
        <w:rPr>
          <w:rFonts w:ascii="Times New Roman" w:hAnsi="Times New Roman" w:cs="Times New Roman"/>
          <w:color w:val="000000"/>
          <w:sz w:val="24"/>
          <w:szCs w:val="24"/>
          <w:shd w:val="clear" w:color="auto" w:fill="FFFFFF"/>
        </w:rPr>
        <w:t>natur</w:t>
      </w:r>
      <w:r w:rsidR="00C24495" w:rsidRPr="004C0D35">
        <w:rPr>
          <w:rFonts w:ascii="Times New Roman" w:hAnsi="Times New Roman" w:cs="Times New Roman"/>
          <w:color w:val="000000"/>
          <w:sz w:val="24"/>
          <w:szCs w:val="24"/>
          <w:shd w:val="clear" w:color="auto" w:fill="FFFFFF"/>
        </w:rPr>
        <w:t xml:space="preserve">ally required consultation of non-statutory legal sources. </w:t>
      </w:r>
    </w:p>
    <w:p w14:paraId="2F98069C" w14:textId="77777777" w:rsidR="00C24495" w:rsidRPr="004C0D35" w:rsidRDefault="00A57D86" w:rsidP="00EB1AA7">
      <w:pPr>
        <w:spacing w:after="0" w:line="276"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article proceeds as follows. </w:t>
      </w:r>
      <w:r w:rsidR="008318F4" w:rsidRPr="004C0D35">
        <w:rPr>
          <w:rFonts w:ascii="Times New Roman" w:hAnsi="Times New Roman" w:cs="Times New Roman"/>
          <w:color w:val="000000"/>
          <w:sz w:val="24"/>
          <w:szCs w:val="24"/>
          <w:shd w:val="clear" w:color="auto" w:fill="FFFFFF"/>
        </w:rPr>
        <w:t>Part</w:t>
      </w:r>
      <w:r w:rsidR="00E66A35" w:rsidRPr="004C0D35">
        <w:rPr>
          <w:rFonts w:ascii="Times New Roman" w:hAnsi="Times New Roman" w:cs="Times New Roman"/>
          <w:color w:val="000000"/>
          <w:sz w:val="24"/>
          <w:szCs w:val="24"/>
          <w:shd w:val="clear" w:color="auto" w:fill="FFFFFF"/>
        </w:rPr>
        <w:t xml:space="preserve"> II includes a review of the pertinent literature. </w:t>
      </w:r>
      <w:r w:rsidR="008318F4" w:rsidRPr="004C0D35">
        <w:rPr>
          <w:rFonts w:ascii="Times New Roman" w:hAnsi="Times New Roman" w:cs="Times New Roman"/>
          <w:color w:val="000000"/>
          <w:sz w:val="24"/>
          <w:szCs w:val="24"/>
          <w:shd w:val="clear" w:color="auto" w:fill="FFFFFF"/>
        </w:rPr>
        <w:t>Part</w:t>
      </w:r>
      <w:r w:rsidR="00E66A35" w:rsidRPr="004C0D35">
        <w:rPr>
          <w:rFonts w:ascii="Times New Roman" w:hAnsi="Times New Roman" w:cs="Times New Roman"/>
          <w:color w:val="000000"/>
          <w:sz w:val="24"/>
          <w:szCs w:val="24"/>
          <w:shd w:val="clear" w:color="auto" w:fill="FFFFFF"/>
        </w:rPr>
        <w:t xml:space="preserve"> III provides a detailed description of the research methods I employed. </w:t>
      </w:r>
      <w:r w:rsidR="008318F4" w:rsidRPr="004C0D35">
        <w:rPr>
          <w:rFonts w:ascii="Times New Roman" w:hAnsi="Times New Roman" w:cs="Times New Roman"/>
          <w:color w:val="000000"/>
          <w:sz w:val="24"/>
          <w:szCs w:val="24"/>
          <w:shd w:val="clear" w:color="auto" w:fill="FFFFFF"/>
        </w:rPr>
        <w:t>Part</w:t>
      </w:r>
      <w:r w:rsidR="00E66A35" w:rsidRPr="004C0D35">
        <w:rPr>
          <w:rFonts w:ascii="Times New Roman" w:hAnsi="Times New Roman" w:cs="Times New Roman"/>
          <w:color w:val="000000"/>
          <w:sz w:val="24"/>
          <w:szCs w:val="24"/>
          <w:shd w:val="clear" w:color="auto" w:fill="FFFFFF"/>
        </w:rPr>
        <w:t xml:space="preserve"> IV presents </w:t>
      </w:r>
      <w:r w:rsidR="006C10E9" w:rsidRPr="004C0D35">
        <w:rPr>
          <w:rFonts w:ascii="Times New Roman" w:hAnsi="Times New Roman" w:cs="Times New Roman"/>
          <w:color w:val="000000"/>
          <w:sz w:val="24"/>
          <w:szCs w:val="24"/>
          <w:shd w:val="clear" w:color="auto" w:fill="FFFFFF"/>
        </w:rPr>
        <w:t xml:space="preserve">and analyzes </w:t>
      </w:r>
      <w:r w:rsidR="00E66A35" w:rsidRPr="004C0D35">
        <w:rPr>
          <w:rFonts w:ascii="Times New Roman" w:hAnsi="Times New Roman" w:cs="Times New Roman"/>
          <w:color w:val="000000"/>
          <w:sz w:val="24"/>
          <w:szCs w:val="24"/>
          <w:shd w:val="clear" w:color="auto" w:fill="FFFFFF"/>
        </w:rPr>
        <w:t xml:space="preserve">my results. </w:t>
      </w:r>
      <w:r w:rsidR="008318F4" w:rsidRPr="004C0D35">
        <w:rPr>
          <w:rFonts w:ascii="Times New Roman" w:hAnsi="Times New Roman" w:cs="Times New Roman"/>
          <w:color w:val="000000"/>
          <w:sz w:val="24"/>
          <w:szCs w:val="24"/>
          <w:shd w:val="clear" w:color="auto" w:fill="FFFFFF"/>
        </w:rPr>
        <w:t>Part</w:t>
      </w:r>
      <w:r w:rsidR="00E66A35" w:rsidRPr="004C0D35">
        <w:rPr>
          <w:rFonts w:ascii="Times New Roman" w:hAnsi="Times New Roman" w:cs="Times New Roman"/>
          <w:color w:val="000000"/>
          <w:sz w:val="24"/>
          <w:szCs w:val="24"/>
          <w:shd w:val="clear" w:color="auto" w:fill="FFFFFF"/>
        </w:rPr>
        <w:t xml:space="preserve"> V </w:t>
      </w:r>
      <w:r w:rsidR="006C10E9" w:rsidRPr="004C0D35">
        <w:rPr>
          <w:rFonts w:ascii="Times New Roman" w:hAnsi="Times New Roman" w:cs="Times New Roman"/>
          <w:color w:val="000000"/>
          <w:sz w:val="24"/>
          <w:szCs w:val="24"/>
          <w:shd w:val="clear" w:color="auto" w:fill="FFFFFF"/>
        </w:rPr>
        <w:t>provides</w:t>
      </w:r>
      <w:r w:rsidR="00E66A35" w:rsidRPr="004C0D35">
        <w:rPr>
          <w:rFonts w:ascii="Times New Roman" w:hAnsi="Times New Roman" w:cs="Times New Roman"/>
          <w:color w:val="000000"/>
          <w:sz w:val="24"/>
          <w:szCs w:val="24"/>
          <w:shd w:val="clear" w:color="auto" w:fill="FFFFFF"/>
        </w:rPr>
        <w:t xml:space="preserve"> a discussion, </w:t>
      </w:r>
      <w:r w:rsidR="006F7E70" w:rsidRPr="004C0D35">
        <w:rPr>
          <w:rFonts w:ascii="Times New Roman" w:hAnsi="Times New Roman" w:cs="Times New Roman"/>
          <w:color w:val="000000"/>
          <w:sz w:val="24"/>
          <w:szCs w:val="24"/>
          <w:shd w:val="clear" w:color="auto" w:fill="FFFFFF"/>
        </w:rPr>
        <w:t xml:space="preserve">situating my findings in the normative trust law literature, </w:t>
      </w:r>
      <w:r w:rsidR="00E66A35" w:rsidRPr="004C0D35">
        <w:rPr>
          <w:rFonts w:ascii="Times New Roman" w:hAnsi="Times New Roman" w:cs="Times New Roman"/>
          <w:color w:val="000000"/>
          <w:sz w:val="24"/>
          <w:szCs w:val="24"/>
          <w:shd w:val="clear" w:color="auto" w:fill="FFFFFF"/>
        </w:rPr>
        <w:t xml:space="preserve">and </w:t>
      </w:r>
      <w:r w:rsidR="008318F4" w:rsidRPr="004C0D35">
        <w:rPr>
          <w:rFonts w:ascii="Times New Roman" w:hAnsi="Times New Roman" w:cs="Times New Roman"/>
          <w:color w:val="000000"/>
          <w:sz w:val="24"/>
          <w:szCs w:val="24"/>
          <w:shd w:val="clear" w:color="auto" w:fill="FFFFFF"/>
        </w:rPr>
        <w:t>Part</w:t>
      </w:r>
      <w:r w:rsidR="00E66A35" w:rsidRPr="004C0D35">
        <w:rPr>
          <w:rFonts w:ascii="Times New Roman" w:hAnsi="Times New Roman" w:cs="Times New Roman"/>
          <w:color w:val="000000"/>
          <w:sz w:val="24"/>
          <w:szCs w:val="24"/>
          <w:shd w:val="clear" w:color="auto" w:fill="FFFFFF"/>
        </w:rPr>
        <w:t xml:space="preserve"> VI concludes.</w:t>
      </w:r>
    </w:p>
    <w:p w14:paraId="76425121" w14:textId="77777777" w:rsidR="00C24495" w:rsidRPr="004C0D35" w:rsidRDefault="00C24495" w:rsidP="00C24495">
      <w:pPr>
        <w:bidi/>
        <w:jc w:val="right"/>
        <w:rPr>
          <w:rFonts w:ascii="Times New Roman" w:eastAsia="Times New Roman" w:hAnsi="Times New Roman" w:cs="Times New Roman"/>
          <w:color w:val="222222"/>
          <w:sz w:val="24"/>
          <w:szCs w:val="24"/>
        </w:rPr>
      </w:pPr>
    </w:p>
    <w:p w14:paraId="692F639C" w14:textId="77777777" w:rsidR="00183F91" w:rsidRPr="004C0D35" w:rsidRDefault="00183F91" w:rsidP="004C0D35">
      <w:pPr>
        <w:jc w:val="center"/>
        <w:rPr>
          <w:rFonts w:ascii="Times New Roman" w:hAnsi="Times New Roman" w:cs="Times New Roman"/>
          <w:smallCaps/>
          <w:sz w:val="24"/>
          <w:szCs w:val="24"/>
          <w:rtl/>
        </w:rPr>
      </w:pPr>
      <w:r w:rsidRPr="004C0D35">
        <w:rPr>
          <w:rFonts w:ascii="Times New Roman" w:hAnsi="Times New Roman" w:cs="Times New Roman"/>
          <w:smallCaps/>
          <w:sz w:val="24"/>
          <w:szCs w:val="24"/>
        </w:rPr>
        <w:t>II. Literature Review</w:t>
      </w:r>
    </w:p>
    <w:p w14:paraId="5A0D44FE" w14:textId="6E5C9F5F" w:rsidR="00615E38" w:rsidRPr="004C0D35" w:rsidRDefault="00353074" w:rsidP="000D4543">
      <w:pPr>
        <w:autoSpaceDE w:val="0"/>
        <w:autoSpaceDN w:val="0"/>
        <w:adjustRightInd w:val="0"/>
        <w:spacing w:after="0" w:line="276" w:lineRule="auto"/>
        <w:jc w:val="both"/>
        <w:rPr>
          <w:rFonts w:ascii="Times New Roman" w:hAnsi="Times New Roman" w:cs="Times New Roman"/>
          <w:sz w:val="24"/>
          <w:szCs w:val="24"/>
        </w:rPr>
      </w:pPr>
      <w:r w:rsidRPr="004C0D35">
        <w:rPr>
          <w:rFonts w:ascii="Times New Roman" w:hAnsi="Times New Roman" w:cs="Times New Roman"/>
          <w:sz w:val="24"/>
          <w:szCs w:val="24"/>
        </w:rPr>
        <w:t>While trusts a</w:t>
      </w:r>
      <w:r w:rsidR="00144A9B" w:rsidRPr="004C0D35">
        <w:rPr>
          <w:rFonts w:ascii="Times New Roman" w:hAnsi="Times New Roman" w:cs="Times New Roman"/>
          <w:sz w:val="24"/>
          <w:szCs w:val="24"/>
        </w:rPr>
        <w:t xml:space="preserve">re a </w:t>
      </w:r>
      <w:r w:rsidRPr="004C0D35">
        <w:rPr>
          <w:rFonts w:ascii="Times New Roman" w:hAnsi="Times New Roman" w:cs="Times New Roman"/>
          <w:sz w:val="24"/>
          <w:szCs w:val="24"/>
        </w:rPr>
        <w:t xml:space="preserve">key </w:t>
      </w:r>
      <w:r w:rsidR="00144A9B" w:rsidRPr="004C0D35">
        <w:rPr>
          <w:rFonts w:ascii="Times New Roman" w:hAnsi="Times New Roman" w:cs="Times New Roman"/>
          <w:sz w:val="24"/>
          <w:szCs w:val="24"/>
        </w:rPr>
        <w:t>focus of traditional comparative la</w:t>
      </w:r>
      <w:r w:rsidRPr="004C0D35">
        <w:rPr>
          <w:rFonts w:ascii="Times New Roman" w:hAnsi="Times New Roman" w:cs="Times New Roman"/>
          <w:sz w:val="24"/>
          <w:szCs w:val="24"/>
        </w:rPr>
        <w:t>w, that literature i</w:t>
      </w:r>
      <w:r w:rsidR="00144A9B" w:rsidRPr="004C0D35">
        <w:rPr>
          <w:rFonts w:ascii="Times New Roman" w:hAnsi="Times New Roman" w:cs="Times New Roman"/>
          <w:sz w:val="24"/>
          <w:szCs w:val="24"/>
        </w:rPr>
        <w:t>s not quantitative</w:t>
      </w:r>
      <w:r w:rsidR="003F1914" w:rsidRPr="004C0D35">
        <w:rPr>
          <w:rFonts w:ascii="Times New Roman" w:hAnsi="Times New Roman" w:cs="Times New Roman"/>
          <w:sz w:val="24"/>
          <w:szCs w:val="24"/>
        </w:rPr>
        <w:t>,</w:t>
      </w:r>
      <w:r w:rsidR="00144A9B" w:rsidRPr="004C0D35">
        <w:rPr>
          <w:rFonts w:ascii="Times New Roman" w:hAnsi="Times New Roman" w:cs="Times New Roman"/>
          <w:sz w:val="24"/>
          <w:szCs w:val="24"/>
        </w:rPr>
        <w:t xml:space="preserve"> and </w:t>
      </w:r>
      <w:r w:rsidRPr="004C0D35">
        <w:rPr>
          <w:rFonts w:ascii="Times New Roman" w:hAnsi="Times New Roman" w:cs="Times New Roman"/>
          <w:sz w:val="24"/>
          <w:szCs w:val="24"/>
        </w:rPr>
        <w:t xml:space="preserve">when applied to trust law </w:t>
      </w:r>
      <w:r w:rsidR="00CC7511" w:rsidRPr="004C0D35">
        <w:rPr>
          <w:rFonts w:ascii="Times New Roman" w:hAnsi="Times New Roman" w:cs="Times New Roman"/>
          <w:sz w:val="24"/>
          <w:szCs w:val="24"/>
        </w:rPr>
        <w:t>i</w:t>
      </w:r>
      <w:r w:rsidR="00144A9B" w:rsidRPr="004C0D35">
        <w:rPr>
          <w:rFonts w:ascii="Times New Roman" w:hAnsi="Times New Roman" w:cs="Times New Roman"/>
          <w:sz w:val="24"/>
          <w:szCs w:val="24"/>
        </w:rPr>
        <w:t>s seldom concerned with legislation.</w:t>
      </w:r>
      <w:r w:rsidR="004C0D35" w:rsidRPr="004C0D35">
        <w:rPr>
          <w:rStyle w:val="FootnoteReference"/>
          <w:rFonts w:ascii="Times New Roman" w:hAnsi="Times New Roman" w:cs="Times New Roman"/>
          <w:sz w:val="24"/>
          <w:szCs w:val="24"/>
        </w:rPr>
        <w:footnoteReference w:id="29"/>
      </w:r>
      <w:r w:rsidR="00144A9B" w:rsidRPr="004C0D35">
        <w:rPr>
          <w:rFonts w:ascii="Times New Roman" w:hAnsi="Times New Roman" w:cs="Times New Roman"/>
          <w:sz w:val="24"/>
          <w:szCs w:val="24"/>
        </w:rPr>
        <w:t xml:space="preserve"> </w:t>
      </w:r>
      <w:r w:rsidR="00615E38" w:rsidRPr="004C0D35">
        <w:rPr>
          <w:rFonts w:ascii="Times New Roman" w:hAnsi="Times New Roman" w:cs="Times New Roman"/>
          <w:sz w:val="24"/>
          <w:szCs w:val="24"/>
        </w:rPr>
        <w:t xml:space="preserve">Comparative studies of trusts legislation </w:t>
      </w:r>
      <w:r w:rsidR="005E15D7" w:rsidRPr="004C0D35">
        <w:rPr>
          <w:rFonts w:ascii="Times New Roman" w:hAnsi="Times New Roman" w:cs="Times New Roman"/>
          <w:sz w:val="24"/>
          <w:szCs w:val="24"/>
        </w:rPr>
        <w:t>are few</w:t>
      </w:r>
      <w:r w:rsidR="002C0E97" w:rsidRPr="004C0D35">
        <w:rPr>
          <w:rFonts w:ascii="Times New Roman" w:hAnsi="Times New Roman" w:cs="Times New Roman"/>
          <w:sz w:val="24"/>
          <w:szCs w:val="24"/>
        </w:rPr>
        <w:t>.</w:t>
      </w:r>
      <w:r w:rsidR="005A49D0">
        <w:rPr>
          <w:rStyle w:val="FootnoteReference"/>
          <w:rFonts w:ascii="Times New Roman" w:hAnsi="Times New Roman" w:cs="Times New Roman"/>
          <w:sz w:val="24"/>
          <w:szCs w:val="24"/>
        </w:rPr>
        <w:footnoteReference w:id="30"/>
      </w:r>
      <w:r w:rsidR="005E15D7" w:rsidRPr="004C0D35">
        <w:rPr>
          <w:rFonts w:ascii="Times New Roman" w:hAnsi="Times New Roman" w:cs="Times New Roman"/>
          <w:sz w:val="24"/>
          <w:szCs w:val="24"/>
        </w:rPr>
        <w:t xml:space="preserve"> </w:t>
      </w:r>
      <w:r w:rsidR="001E098C" w:rsidRPr="004C0D35">
        <w:rPr>
          <w:rFonts w:ascii="Times New Roman" w:hAnsi="Times New Roman" w:cs="Times New Roman"/>
          <w:sz w:val="24"/>
          <w:szCs w:val="24"/>
        </w:rPr>
        <w:t xml:space="preserve">Robert Sitkoff and Max Schanzenbach made several seminal contributions to the literature. In one, they </w:t>
      </w:r>
      <w:r w:rsidR="00F44B53" w:rsidRPr="004C0D35">
        <w:rPr>
          <w:rFonts w:ascii="Times New Roman" w:hAnsi="Times New Roman" w:cs="Times New Roman"/>
          <w:sz w:val="24"/>
          <w:szCs w:val="24"/>
        </w:rPr>
        <w:t>tracked U.S. state legislation</w:t>
      </w:r>
      <w:r w:rsidR="00B41B82" w:rsidRPr="004C0D35">
        <w:rPr>
          <w:rFonts w:ascii="Times New Roman" w:hAnsi="Times New Roman" w:cs="Times New Roman"/>
          <w:sz w:val="24"/>
          <w:szCs w:val="24"/>
        </w:rPr>
        <w:t xml:space="preserve"> to 2003</w:t>
      </w:r>
      <w:r w:rsidR="00F44B53" w:rsidRPr="004C0D35">
        <w:rPr>
          <w:rFonts w:ascii="Times New Roman" w:hAnsi="Times New Roman" w:cs="Times New Roman"/>
          <w:sz w:val="24"/>
          <w:szCs w:val="24"/>
        </w:rPr>
        <w:t xml:space="preserve"> concerning two aspects of trust liberalization: abolition of the rule against perpetuities and of the rule prohibiting self-settled spendthrift trusts.</w:t>
      </w:r>
      <w:r w:rsidR="00365F2D">
        <w:rPr>
          <w:rStyle w:val="FootnoteReference"/>
          <w:rFonts w:ascii="Times New Roman" w:hAnsi="Times New Roman" w:cs="Times New Roman"/>
          <w:sz w:val="24"/>
          <w:szCs w:val="24"/>
        </w:rPr>
        <w:footnoteReference w:id="31"/>
      </w:r>
      <w:r w:rsidR="00F44B53" w:rsidRPr="004C0D35">
        <w:rPr>
          <w:rFonts w:ascii="Times New Roman" w:hAnsi="Times New Roman" w:cs="Times New Roman"/>
          <w:sz w:val="24"/>
          <w:szCs w:val="24"/>
        </w:rPr>
        <w:t xml:space="preserve"> They found that a state’s abolition of the rule against perpetuit</w:t>
      </w:r>
      <w:r w:rsidR="00B41B82" w:rsidRPr="004C0D35">
        <w:rPr>
          <w:rFonts w:ascii="Times New Roman" w:hAnsi="Times New Roman" w:cs="Times New Roman"/>
          <w:sz w:val="24"/>
          <w:szCs w:val="24"/>
        </w:rPr>
        <w:t>ies significantly increased the trust assets managed by fiduciary institutions resident in that state, so long as the state did not impose an income tax on trust funds attracted from out of state.</w:t>
      </w:r>
      <w:r w:rsidR="00DB7728">
        <w:rPr>
          <w:rStyle w:val="FootnoteReference"/>
          <w:rFonts w:ascii="Times New Roman" w:hAnsi="Times New Roman" w:cs="Times New Roman"/>
          <w:sz w:val="24"/>
          <w:szCs w:val="24"/>
        </w:rPr>
        <w:footnoteReference w:id="32"/>
      </w:r>
      <w:r w:rsidR="00B41B82" w:rsidRPr="004C0D35">
        <w:rPr>
          <w:rFonts w:ascii="Times New Roman" w:hAnsi="Times New Roman" w:cs="Times New Roman"/>
          <w:sz w:val="24"/>
          <w:szCs w:val="24"/>
        </w:rPr>
        <w:t xml:space="preserve"> In another, they </w:t>
      </w:r>
      <w:r w:rsidR="004D0387" w:rsidRPr="004C0D35">
        <w:rPr>
          <w:rFonts w:ascii="Times New Roman" w:hAnsi="Times New Roman" w:cs="Times New Roman"/>
          <w:sz w:val="24"/>
          <w:szCs w:val="24"/>
        </w:rPr>
        <w:t xml:space="preserve">tracked the liberalization </w:t>
      </w:r>
      <w:r w:rsidR="00CB09AD" w:rsidRPr="004C0D35">
        <w:rPr>
          <w:rFonts w:ascii="Times New Roman" w:hAnsi="Times New Roman" w:cs="Times New Roman"/>
          <w:sz w:val="24"/>
          <w:szCs w:val="24"/>
        </w:rPr>
        <w:t xml:space="preserve">of trust investment law in the U.S. and its </w:t>
      </w:r>
      <w:r w:rsidR="00F94DFC" w:rsidRPr="004C0D35">
        <w:rPr>
          <w:rFonts w:ascii="Times New Roman" w:hAnsi="Times New Roman" w:cs="Times New Roman"/>
          <w:sz w:val="24"/>
          <w:szCs w:val="24"/>
        </w:rPr>
        <w:t>influence</w:t>
      </w:r>
      <w:r w:rsidR="00CB09AD" w:rsidRPr="004C0D35">
        <w:rPr>
          <w:rFonts w:ascii="Times New Roman" w:hAnsi="Times New Roman" w:cs="Times New Roman"/>
          <w:sz w:val="24"/>
          <w:szCs w:val="24"/>
        </w:rPr>
        <w:t xml:space="preserve"> on trustee investment</w:t>
      </w:r>
      <w:r w:rsidR="00F94DFC" w:rsidRPr="004C0D35">
        <w:rPr>
          <w:rFonts w:ascii="Times New Roman" w:hAnsi="Times New Roman" w:cs="Times New Roman"/>
          <w:sz w:val="24"/>
          <w:szCs w:val="24"/>
        </w:rPr>
        <w:t xml:space="preserve"> patterns</w:t>
      </w:r>
      <w:r w:rsidR="00CB09AD" w:rsidRPr="004C0D35">
        <w:rPr>
          <w:rFonts w:ascii="Times New Roman" w:hAnsi="Times New Roman" w:cs="Times New Roman"/>
          <w:sz w:val="24"/>
          <w:szCs w:val="24"/>
        </w:rPr>
        <w:t>, showing that once U.S. states replaced the prudent man rule with the prudent investor rule in the 1990s, removing some constraints on trustee investment in stock, “trust institutions held about 1.5–4.5 percentage points more stock at the expense of safe investments”.</w:t>
      </w:r>
      <w:r w:rsidR="00DB7728">
        <w:rPr>
          <w:rStyle w:val="FootnoteReference"/>
          <w:rFonts w:ascii="Times New Roman" w:hAnsi="Times New Roman" w:cs="Times New Roman"/>
          <w:sz w:val="24"/>
          <w:szCs w:val="24"/>
        </w:rPr>
        <w:footnoteReference w:id="33"/>
      </w:r>
      <w:r w:rsidR="005D0782" w:rsidRPr="004C0D35">
        <w:rPr>
          <w:rFonts w:ascii="Times New Roman" w:hAnsi="Times New Roman" w:cs="Times New Roman"/>
          <w:sz w:val="24"/>
          <w:szCs w:val="24"/>
        </w:rPr>
        <w:t xml:space="preserve"> They finessed this finding in a later contribution, finding that “adoption of the prudent investor rule primarily increased trust stockholdings by bank trustees with average trust account sizes in the 25th to 90th percentiles”</w:t>
      </w:r>
      <w:r w:rsidR="000A4386" w:rsidRPr="004C0D35">
        <w:rPr>
          <w:rFonts w:ascii="Times New Roman" w:hAnsi="Times New Roman" w:cs="Times New Roman"/>
          <w:sz w:val="24"/>
          <w:szCs w:val="24"/>
        </w:rPr>
        <w:t>.</w:t>
      </w:r>
      <w:r w:rsidR="00DB7728">
        <w:rPr>
          <w:rStyle w:val="FootnoteReference"/>
          <w:rFonts w:ascii="Times New Roman" w:hAnsi="Times New Roman" w:cs="Times New Roman"/>
          <w:sz w:val="24"/>
          <w:szCs w:val="24"/>
        </w:rPr>
        <w:footnoteReference w:id="34"/>
      </w:r>
      <w:r w:rsidR="00F94DFC" w:rsidRPr="004C0D35">
        <w:rPr>
          <w:rFonts w:ascii="Times New Roman" w:hAnsi="Times New Roman" w:cs="Times New Roman"/>
          <w:sz w:val="24"/>
          <w:szCs w:val="24"/>
        </w:rPr>
        <w:t xml:space="preserve"> </w:t>
      </w:r>
      <w:r w:rsidR="004B5142" w:rsidRPr="004C0D35">
        <w:rPr>
          <w:rFonts w:ascii="Times New Roman" w:hAnsi="Times New Roman" w:cs="Times New Roman"/>
          <w:sz w:val="24"/>
          <w:szCs w:val="24"/>
        </w:rPr>
        <w:t>A</w:t>
      </w:r>
      <w:r w:rsidR="000A4386" w:rsidRPr="004C0D35">
        <w:rPr>
          <w:rFonts w:ascii="Times New Roman" w:hAnsi="Times New Roman" w:cs="Times New Roman"/>
          <w:sz w:val="24"/>
          <w:szCs w:val="24"/>
        </w:rPr>
        <w:t>nother</w:t>
      </w:r>
      <w:r w:rsidR="004B5142" w:rsidRPr="004C0D35">
        <w:rPr>
          <w:rFonts w:ascii="Times New Roman" w:hAnsi="Times New Roman" w:cs="Times New Roman"/>
          <w:sz w:val="24"/>
          <w:szCs w:val="24"/>
        </w:rPr>
        <w:t xml:space="preserve"> contribution by Sitkoff tracked U.S. legislation regulating </w:t>
      </w:r>
      <w:r w:rsidR="000D4543">
        <w:rPr>
          <w:rFonts w:ascii="Times New Roman" w:hAnsi="Times New Roman" w:cs="Times New Roman"/>
          <w:sz w:val="24"/>
          <w:szCs w:val="24"/>
        </w:rPr>
        <w:t>the so-called “</w:t>
      </w:r>
      <w:r w:rsidR="000D4543" w:rsidRPr="004C0D35">
        <w:rPr>
          <w:rFonts w:ascii="Times New Roman" w:hAnsi="Times New Roman" w:cs="Times New Roman"/>
          <w:sz w:val="24"/>
          <w:szCs w:val="24"/>
        </w:rPr>
        <w:t>decanting</w:t>
      </w:r>
      <w:r w:rsidR="000D4543">
        <w:rPr>
          <w:rFonts w:ascii="Times New Roman" w:hAnsi="Times New Roman" w:cs="Times New Roman"/>
          <w:sz w:val="24"/>
          <w:szCs w:val="24"/>
        </w:rPr>
        <w:t>” of</w:t>
      </w:r>
      <w:r w:rsidR="000D4543" w:rsidRPr="004C0D35">
        <w:rPr>
          <w:rFonts w:ascii="Times New Roman" w:hAnsi="Times New Roman" w:cs="Times New Roman"/>
          <w:sz w:val="24"/>
          <w:szCs w:val="24"/>
        </w:rPr>
        <w:t xml:space="preserve"> </w:t>
      </w:r>
      <w:r w:rsidR="004B5142" w:rsidRPr="004C0D35">
        <w:rPr>
          <w:rFonts w:ascii="Times New Roman" w:hAnsi="Times New Roman" w:cs="Times New Roman"/>
          <w:sz w:val="24"/>
          <w:szCs w:val="24"/>
        </w:rPr>
        <w:t>trust</w:t>
      </w:r>
      <w:r w:rsidR="000D4543">
        <w:rPr>
          <w:rFonts w:ascii="Times New Roman" w:hAnsi="Times New Roman" w:cs="Times New Roman"/>
          <w:sz w:val="24"/>
          <w:szCs w:val="24"/>
        </w:rPr>
        <w:t>s into other trusts with different terms</w:t>
      </w:r>
      <w:r w:rsidR="004B5142" w:rsidRPr="004C0D35">
        <w:rPr>
          <w:rFonts w:ascii="Times New Roman" w:hAnsi="Times New Roman" w:cs="Times New Roman"/>
          <w:sz w:val="24"/>
          <w:szCs w:val="24"/>
        </w:rPr>
        <w:t>.</w:t>
      </w:r>
      <w:r w:rsidR="007837AD">
        <w:rPr>
          <w:rStyle w:val="FootnoteReference"/>
          <w:rFonts w:ascii="Times New Roman" w:hAnsi="Times New Roman" w:cs="Times New Roman"/>
          <w:sz w:val="24"/>
          <w:szCs w:val="24"/>
        </w:rPr>
        <w:footnoteReference w:id="35"/>
      </w:r>
    </w:p>
    <w:p w14:paraId="4A1C9EA3" w14:textId="04D52A9E" w:rsidR="003859F7" w:rsidRPr="004C0D35" w:rsidRDefault="00AE3633" w:rsidP="00B65A6F">
      <w:pPr>
        <w:autoSpaceDE w:val="0"/>
        <w:autoSpaceDN w:val="0"/>
        <w:adjustRightInd w:val="0"/>
        <w:spacing w:after="0" w:line="276" w:lineRule="auto"/>
        <w:jc w:val="both"/>
        <w:rPr>
          <w:rFonts w:ascii="Times New Roman" w:hAnsi="Times New Roman" w:cs="Times New Roman"/>
          <w:sz w:val="24"/>
          <w:szCs w:val="24"/>
        </w:rPr>
      </w:pPr>
      <w:r w:rsidRPr="004C0D35">
        <w:rPr>
          <w:rFonts w:ascii="Times New Roman" w:hAnsi="Times New Roman" w:cs="Times New Roman"/>
          <w:sz w:val="24"/>
          <w:szCs w:val="24"/>
        </w:rPr>
        <w:tab/>
        <w:t>Outside the law of trusts, quantitative comparative legal research tracking large numbers of doctrinal phenomena</w:t>
      </w:r>
      <w:r w:rsidR="002C0E97" w:rsidRPr="004C0D35">
        <w:rPr>
          <w:rFonts w:ascii="Times New Roman" w:hAnsi="Times New Roman" w:cs="Times New Roman"/>
          <w:sz w:val="24"/>
          <w:szCs w:val="24"/>
        </w:rPr>
        <w:t xml:space="preserve"> across many jurisdictions</w:t>
      </w:r>
      <w:r w:rsidRPr="004C0D35">
        <w:rPr>
          <w:rFonts w:ascii="Times New Roman" w:hAnsi="Times New Roman" w:cs="Times New Roman"/>
          <w:sz w:val="24"/>
          <w:szCs w:val="24"/>
        </w:rPr>
        <w:t xml:space="preserve"> </w:t>
      </w:r>
      <w:r w:rsidR="0092097D" w:rsidRPr="004C0D35">
        <w:rPr>
          <w:rFonts w:ascii="Times New Roman" w:hAnsi="Times New Roman" w:cs="Times New Roman"/>
          <w:sz w:val="24"/>
          <w:szCs w:val="24"/>
        </w:rPr>
        <w:t>has recently been published by</w:t>
      </w:r>
      <w:r w:rsidRPr="004C0D35">
        <w:rPr>
          <w:rFonts w:ascii="Times New Roman" w:hAnsi="Times New Roman" w:cs="Times New Roman"/>
          <w:sz w:val="24"/>
          <w:szCs w:val="24"/>
        </w:rPr>
        <w:t xml:space="preserve"> several scholars</w:t>
      </w:r>
      <w:r w:rsidR="00161289" w:rsidRPr="004C0D35">
        <w:rPr>
          <w:rFonts w:ascii="Times New Roman" w:hAnsi="Times New Roman" w:cs="Times New Roman"/>
          <w:sz w:val="24"/>
          <w:szCs w:val="24"/>
        </w:rPr>
        <w:t>.</w:t>
      </w:r>
      <w:r w:rsidRPr="004C0D35">
        <w:rPr>
          <w:rFonts w:ascii="Times New Roman" w:hAnsi="Times New Roman" w:cs="Times New Roman"/>
          <w:sz w:val="24"/>
          <w:szCs w:val="24"/>
        </w:rPr>
        <w:t xml:space="preserve"> Yun-Chien Chang</w:t>
      </w:r>
      <w:r w:rsidR="00827D9B" w:rsidRPr="004C0D35">
        <w:rPr>
          <w:rFonts w:ascii="Times New Roman" w:hAnsi="Times New Roman" w:cs="Times New Roman"/>
          <w:sz w:val="24"/>
          <w:szCs w:val="24"/>
        </w:rPr>
        <w:t xml:space="preserve"> </w:t>
      </w:r>
      <w:r w:rsidR="009261C8" w:rsidRPr="004C0D35">
        <w:rPr>
          <w:rFonts w:ascii="Times New Roman" w:hAnsi="Times New Roman" w:cs="Times New Roman"/>
          <w:sz w:val="24"/>
          <w:szCs w:val="24"/>
        </w:rPr>
        <w:t>collected data on the property law of</w:t>
      </w:r>
      <w:r w:rsidR="0092097D" w:rsidRPr="004C0D35">
        <w:rPr>
          <w:rFonts w:ascii="Times New Roman" w:hAnsi="Times New Roman" w:cs="Times New Roman"/>
          <w:sz w:val="24"/>
          <w:szCs w:val="24"/>
        </w:rPr>
        <w:t xml:space="preserve"> 153 jurisdictions,</w:t>
      </w:r>
      <w:r w:rsidR="00515D90" w:rsidRPr="004C0D35">
        <w:rPr>
          <w:rStyle w:val="FootnoteReference"/>
          <w:rFonts w:ascii="Times New Roman" w:hAnsi="Times New Roman" w:cs="Times New Roman"/>
          <w:sz w:val="24"/>
          <w:szCs w:val="24"/>
        </w:rPr>
        <w:footnoteReference w:id="36"/>
      </w:r>
      <w:r w:rsidR="0092097D" w:rsidRPr="004C0D35">
        <w:rPr>
          <w:rFonts w:ascii="Times New Roman" w:hAnsi="Times New Roman" w:cs="Times New Roman"/>
          <w:sz w:val="24"/>
          <w:szCs w:val="24"/>
        </w:rPr>
        <w:t xml:space="preserve"> tracking 205</w:t>
      </w:r>
      <w:r w:rsidR="009261C8" w:rsidRPr="004C0D35">
        <w:rPr>
          <w:rFonts w:ascii="Times New Roman" w:hAnsi="Times New Roman" w:cs="Times New Roman"/>
          <w:sz w:val="24"/>
          <w:szCs w:val="24"/>
        </w:rPr>
        <w:t xml:space="preserve"> doctrinal </w:t>
      </w:r>
      <w:r w:rsidR="0092097D" w:rsidRPr="004C0D35">
        <w:rPr>
          <w:rFonts w:ascii="Times New Roman" w:hAnsi="Times New Roman" w:cs="Times New Roman"/>
          <w:sz w:val="24"/>
          <w:szCs w:val="24"/>
        </w:rPr>
        <w:t>variables but not venturing into the law of trusts.</w:t>
      </w:r>
      <w:r w:rsidR="00ED1696">
        <w:rPr>
          <w:rStyle w:val="FootnoteReference"/>
          <w:rFonts w:ascii="Times New Roman" w:hAnsi="Times New Roman" w:cs="Times New Roman"/>
          <w:sz w:val="24"/>
          <w:szCs w:val="24"/>
        </w:rPr>
        <w:footnoteReference w:id="37"/>
      </w:r>
      <w:r w:rsidR="00BF106F" w:rsidRPr="004C0D35">
        <w:rPr>
          <w:rFonts w:ascii="Times New Roman" w:hAnsi="Times New Roman" w:cs="Times New Roman"/>
          <w:sz w:val="24"/>
          <w:szCs w:val="24"/>
        </w:rPr>
        <w:t xml:space="preserve"> Chang’s database differs from the database on which this study is built</w:t>
      </w:r>
      <w:r w:rsidR="00502D36" w:rsidRPr="004C0D35">
        <w:rPr>
          <w:rFonts w:ascii="Times New Roman" w:hAnsi="Times New Roman" w:cs="Times New Roman"/>
          <w:sz w:val="24"/>
          <w:szCs w:val="24"/>
        </w:rPr>
        <w:t xml:space="preserve"> along several dimensions</w:t>
      </w:r>
      <w:r w:rsidR="001D143B" w:rsidRPr="004C0D35">
        <w:rPr>
          <w:rFonts w:ascii="Times New Roman" w:hAnsi="Times New Roman" w:cs="Times New Roman"/>
          <w:sz w:val="24"/>
          <w:szCs w:val="24"/>
        </w:rPr>
        <w:t>.</w:t>
      </w:r>
      <w:r w:rsidR="00BF106F" w:rsidRPr="004C0D35">
        <w:rPr>
          <w:rFonts w:ascii="Times New Roman" w:hAnsi="Times New Roman" w:cs="Times New Roman"/>
          <w:sz w:val="24"/>
          <w:szCs w:val="24"/>
        </w:rPr>
        <w:t xml:space="preserve"> </w:t>
      </w:r>
      <w:r w:rsidR="001D143B" w:rsidRPr="004C0D35">
        <w:rPr>
          <w:rFonts w:ascii="Times New Roman" w:hAnsi="Times New Roman" w:cs="Times New Roman"/>
          <w:sz w:val="24"/>
          <w:szCs w:val="24"/>
        </w:rPr>
        <w:t>W</w:t>
      </w:r>
      <w:r w:rsidR="00BF106F" w:rsidRPr="004C0D35">
        <w:rPr>
          <w:rFonts w:ascii="Times New Roman" w:hAnsi="Times New Roman" w:cs="Times New Roman"/>
          <w:sz w:val="24"/>
          <w:szCs w:val="24"/>
        </w:rPr>
        <w:t>hile every country has some sort of property law, some countries do not have a law of trusts, even given a pluralist approach to the trust concept</w:t>
      </w:r>
      <w:r w:rsidR="00A309CE" w:rsidRPr="004C0D35">
        <w:rPr>
          <w:rFonts w:ascii="Times New Roman" w:hAnsi="Times New Roman" w:cs="Times New Roman"/>
          <w:sz w:val="24"/>
          <w:szCs w:val="24"/>
        </w:rPr>
        <w:t xml:space="preserve"> such as I adopted in the present study</w:t>
      </w:r>
      <w:r w:rsidR="00BF106F" w:rsidRPr="004C0D35">
        <w:rPr>
          <w:rFonts w:ascii="Times New Roman" w:hAnsi="Times New Roman" w:cs="Times New Roman"/>
          <w:sz w:val="24"/>
          <w:szCs w:val="24"/>
        </w:rPr>
        <w:t xml:space="preserve">, </w:t>
      </w:r>
      <w:r w:rsidR="00502D36" w:rsidRPr="004C0D35">
        <w:rPr>
          <w:rFonts w:ascii="Times New Roman" w:hAnsi="Times New Roman" w:cs="Times New Roman"/>
          <w:sz w:val="24"/>
          <w:szCs w:val="24"/>
        </w:rPr>
        <w:t>treating</w:t>
      </w:r>
      <w:r w:rsidR="00BF106F" w:rsidRPr="004C0D35">
        <w:rPr>
          <w:rFonts w:ascii="Times New Roman" w:hAnsi="Times New Roman" w:cs="Times New Roman"/>
          <w:sz w:val="24"/>
          <w:szCs w:val="24"/>
        </w:rPr>
        <w:t xml:space="preserve"> francophone </w:t>
      </w:r>
      <w:r w:rsidR="00BF106F" w:rsidRPr="004C0D35">
        <w:rPr>
          <w:rFonts w:ascii="Times New Roman" w:hAnsi="Times New Roman" w:cs="Times New Roman"/>
          <w:i/>
          <w:iCs/>
          <w:sz w:val="24"/>
          <w:szCs w:val="24"/>
        </w:rPr>
        <w:t>fiducies</w:t>
      </w:r>
      <w:r w:rsidR="00BF106F" w:rsidRPr="004C0D35">
        <w:rPr>
          <w:rFonts w:ascii="Times New Roman" w:hAnsi="Times New Roman" w:cs="Times New Roman"/>
          <w:sz w:val="24"/>
          <w:szCs w:val="24"/>
        </w:rPr>
        <w:t xml:space="preserve">, Latin </w:t>
      </w:r>
      <w:r w:rsidR="00BF106F" w:rsidRPr="004C0D35">
        <w:rPr>
          <w:rFonts w:ascii="Times New Roman" w:hAnsi="Times New Roman" w:cs="Times New Roman"/>
          <w:i/>
          <w:iCs/>
          <w:sz w:val="24"/>
          <w:szCs w:val="24"/>
        </w:rPr>
        <w:t>fideicomisos</w:t>
      </w:r>
      <w:r w:rsidR="00BF106F" w:rsidRPr="004C0D35">
        <w:rPr>
          <w:rFonts w:ascii="Times New Roman" w:hAnsi="Times New Roman" w:cs="Times New Roman"/>
          <w:sz w:val="24"/>
          <w:szCs w:val="24"/>
        </w:rPr>
        <w:t xml:space="preserve"> and the </w:t>
      </w:r>
      <w:r w:rsidR="00F37389" w:rsidRPr="004C0D35">
        <w:rPr>
          <w:rFonts w:ascii="Times New Roman" w:hAnsi="Times New Roman" w:cs="Times New Roman"/>
          <w:sz w:val="24"/>
          <w:szCs w:val="24"/>
        </w:rPr>
        <w:t xml:space="preserve">fiduciary </w:t>
      </w:r>
      <w:r w:rsidR="00BF106F" w:rsidRPr="004C0D35">
        <w:rPr>
          <w:rFonts w:ascii="Times New Roman" w:hAnsi="Times New Roman" w:cs="Times New Roman"/>
          <w:sz w:val="24"/>
          <w:szCs w:val="24"/>
        </w:rPr>
        <w:t xml:space="preserve">property management regimes of </w:t>
      </w:r>
      <w:r w:rsidR="001D143B" w:rsidRPr="004C0D35">
        <w:rPr>
          <w:rFonts w:ascii="Times New Roman" w:hAnsi="Times New Roman" w:cs="Times New Roman"/>
          <w:sz w:val="24"/>
          <w:szCs w:val="24"/>
        </w:rPr>
        <w:t>Eastern</w:t>
      </w:r>
      <w:r w:rsidR="00BF106F" w:rsidRPr="004C0D35">
        <w:rPr>
          <w:rFonts w:ascii="Times New Roman" w:hAnsi="Times New Roman" w:cs="Times New Roman"/>
          <w:sz w:val="24"/>
          <w:szCs w:val="24"/>
        </w:rPr>
        <w:t xml:space="preserve"> Europe </w:t>
      </w:r>
      <w:r w:rsidR="00502D36" w:rsidRPr="004C0D35">
        <w:rPr>
          <w:rFonts w:ascii="Times New Roman" w:hAnsi="Times New Roman" w:cs="Times New Roman"/>
          <w:sz w:val="24"/>
          <w:szCs w:val="24"/>
        </w:rPr>
        <w:t>as</w:t>
      </w:r>
      <w:r w:rsidR="00BF106F" w:rsidRPr="004C0D35">
        <w:rPr>
          <w:rFonts w:ascii="Times New Roman" w:hAnsi="Times New Roman" w:cs="Times New Roman"/>
          <w:sz w:val="24"/>
          <w:szCs w:val="24"/>
        </w:rPr>
        <w:t xml:space="preserve"> </w:t>
      </w:r>
      <w:r w:rsidR="00502D36" w:rsidRPr="004C0D35">
        <w:rPr>
          <w:rFonts w:ascii="Times New Roman" w:hAnsi="Times New Roman" w:cs="Times New Roman"/>
          <w:sz w:val="24"/>
          <w:szCs w:val="24"/>
        </w:rPr>
        <w:t xml:space="preserve">close enough to </w:t>
      </w:r>
      <w:r w:rsidR="00A309CE" w:rsidRPr="004C0D35">
        <w:rPr>
          <w:rFonts w:ascii="Times New Roman" w:hAnsi="Times New Roman" w:cs="Times New Roman"/>
          <w:sz w:val="24"/>
          <w:szCs w:val="24"/>
        </w:rPr>
        <w:t>t</w:t>
      </w:r>
      <w:r w:rsidR="00502D36" w:rsidRPr="004C0D35">
        <w:rPr>
          <w:rFonts w:ascii="Times New Roman" w:hAnsi="Times New Roman" w:cs="Times New Roman"/>
          <w:sz w:val="24"/>
          <w:szCs w:val="24"/>
        </w:rPr>
        <w:t>r</w:t>
      </w:r>
      <w:r w:rsidR="00A309CE" w:rsidRPr="004C0D35">
        <w:rPr>
          <w:rFonts w:ascii="Times New Roman" w:hAnsi="Times New Roman" w:cs="Times New Roman"/>
          <w:sz w:val="24"/>
          <w:szCs w:val="24"/>
        </w:rPr>
        <w:t>usts</w:t>
      </w:r>
      <w:r w:rsidR="00502D36" w:rsidRPr="004C0D35">
        <w:rPr>
          <w:rFonts w:ascii="Times New Roman" w:hAnsi="Times New Roman" w:cs="Times New Roman"/>
          <w:sz w:val="24"/>
          <w:szCs w:val="24"/>
        </w:rPr>
        <w:t xml:space="preserve"> to be included</w:t>
      </w:r>
      <w:r w:rsidR="00A309CE" w:rsidRPr="004C0D35">
        <w:rPr>
          <w:rFonts w:ascii="Times New Roman" w:hAnsi="Times New Roman" w:cs="Times New Roman"/>
          <w:sz w:val="24"/>
          <w:szCs w:val="24"/>
        </w:rPr>
        <w:t>.</w:t>
      </w:r>
      <w:r w:rsidR="00966FA1">
        <w:rPr>
          <w:rStyle w:val="FootnoteReference"/>
          <w:rFonts w:ascii="Times New Roman" w:hAnsi="Times New Roman" w:cs="Times New Roman"/>
          <w:sz w:val="24"/>
          <w:szCs w:val="24"/>
        </w:rPr>
        <w:footnoteReference w:id="38"/>
      </w:r>
      <w:r w:rsidR="00482740" w:rsidRPr="004C0D35">
        <w:rPr>
          <w:rFonts w:ascii="Times New Roman" w:hAnsi="Times New Roman" w:cs="Times New Roman"/>
          <w:sz w:val="24"/>
          <w:szCs w:val="24"/>
        </w:rPr>
        <w:t xml:space="preserve"> While Chang included the property law of only two U.S. states, New York and California, and none of the common law provinces of Canada, the dynamic </w:t>
      </w:r>
      <w:r w:rsidR="000771E7" w:rsidRPr="004C0D35">
        <w:rPr>
          <w:rFonts w:ascii="Times New Roman" w:hAnsi="Times New Roman" w:cs="Times New Roman"/>
          <w:sz w:val="24"/>
          <w:szCs w:val="24"/>
        </w:rPr>
        <w:t>development</w:t>
      </w:r>
      <w:r w:rsidR="00482740" w:rsidRPr="004C0D35">
        <w:rPr>
          <w:rFonts w:ascii="Times New Roman" w:hAnsi="Times New Roman" w:cs="Times New Roman"/>
          <w:sz w:val="24"/>
          <w:szCs w:val="24"/>
        </w:rPr>
        <w:t xml:space="preserve"> which has recently reshaped North American trust law necessitated including the law of every U.S. state and Canadian province</w:t>
      </w:r>
      <w:r w:rsidR="00E94D49" w:rsidRPr="004C0D35">
        <w:rPr>
          <w:rFonts w:ascii="Times New Roman" w:hAnsi="Times New Roman" w:cs="Times New Roman"/>
          <w:sz w:val="24"/>
          <w:szCs w:val="24"/>
        </w:rPr>
        <w:t xml:space="preserve"> and territory</w:t>
      </w:r>
      <w:r w:rsidR="00482740" w:rsidRPr="004C0D35">
        <w:rPr>
          <w:rFonts w:ascii="Times New Roman" w:hAnsi="Times New Roman" w:cs="Times New Roman"/>
          <w:sz w:val="24"/>
          <w:szCs w:val="24"/>
        </w:rPr>
        <w:t xml:space="preserve"> </w:t>
      </w:r>
      <w:r w:rsidR="0083669E" w:rsidRPr="004C0D35">
        <w:rPr>
          <w:rFonts w:ascii="Times New Roman" w:hAnsi="Times New Roman" w:cs="Times New Roman"/>
          <w:sz w:val="24"/>
          <w:szCs w:val="24"/>
        </w:rPr>
        <w:t>in the present database</w:t>
      </w:r>
      <w:r w:rsidR="00482740" w:rsidRPr="004C0D35">
        <w:rPr>
          <w:rFonts w:ascii="Times New Roman" w:hAnsi="Times New Roman" w:cs="Times New Roman"/>
          <w:sz w:val="24"/>
          <w:szCs w:val="24"/>
        </w:rPr>
        <w:t>.</w:t>
      </w:r>
      <w:r w:rsidR="00353FB8" w:rsidRPr="004C0D35">
        <w:rPr>
          <w:rFonts w:ascii="Times New Roman" w:hAnsi="Times New Roman" w:cs="Times New Roman"/>
          <w:sz w:val="24"/>
          <w:szCs w:val="24"/>
        </w:rPr>
        <w:t xml:space="preserve"> </w:t>
      </w:r>
      <w:r w:rsidR="00E94D49" w:rsidRPr="004C0D35">
        <w:rPr>
          <w:rFonts w:ascii="Times New Roman" w:hAnsi="Times New Roman" w:cs="Times New Roman"/>
          <w:sz w:val="24"/>
          <w:szCs w:val="24"/>
        </w:rPr>
        <w:t>Given the importance of offshore jurisdictions in the development of modern trust law, Caribbean and Pacific island jurisdictions loom large in my database, while Chang coded 12 south Pacifi</w:t>
      </w:r>
      <w:r w:rsidR="00554FA3">
        <w:rPr>
          <w:rFonts w:ascii="Times New Roman" w:hAnsi="Times New Roman" w:cs="Times New Roman"/>
          <w:sz w:val="24"/>
          <w:szCs w:val="24"/>
        </w:rPr>
        <w:t>c countries as one observation</w:t>
      </w:r>
      <w:r w:rsidR="00E94D49" w:rsidRPr="004C0D35">
        <w:rPr>
          <w:rFonts w:ascii="Times New Roman" w:hAnsi="Times New Roman" w:cs="Times New Roman"/>
          <w:sz w:val="24"/>
          <w:szCs w:val="24"/>
        </w:rPr>
        <w:t>.</w:t>
      </w:r>
      <w:r w:rsidR="00554FA3">
        <w:rPr>
          <w:rStyle w:val="FootnoteReference"/>
          <w:rFonts w:ascii="Times New Roman" w:hAnsi="Times New Roman" w:cs="Times New Roman"/>
          <w:sz w:val="24"/>
          <w:szCs w:val="24"/>
        </w:rPr>
        <w:footnoteReference w:id="39"/>
      </w:r>
      <w:r w:rsidR="00E94D49" w:rsidRPr="004C0D35">
        <w:rPr>
          <w:rFonts w:ascii="Times New Roman" w:hAnsi="Times New Roman" w:cs="Times New Roman"/>
          <w:sz w:val="24"/>
          <w:szCs w:val="24"/>
        </w:rPr>
        <w:t xml:space="preserve"> </w:t>
      </w:r>
      <w:r w:rsidR="00353FB8" w:rsidRPr="004C0D35">
        <w:rPr>
          <w:rFonts w:ascii="Times New Roman" w:hAnsi="Times New Roman" w:cs="Times New Roman"/>
          <w:sz w:val="24"/>
          <w:szCs w:val="24"/>
        </w:rPr>
        <w:t xml:space="preserve">While Chang included the law of many African countries, the law of only </w:t>
      </w:r>
      <w:r w:rsidR="000F6B0E" w:rsidRPr="004C0D35">
        <w:rPr>
          <w:rFonts w:ascii="Times New Roman" w:hAnsi="Times New Roman" w:cs="Times New Roman"/>
          <w:sz w:val="24"/>
          <w:szCs w:val="24"/>
        </w:rPr>
        <w:t>three</w:t>
      </w:r>
      <w:r w:rsidR="00B6481A" w:rsidRPr="004C0D35">
        <w:rPr>
          <w:rFonts w:ascii="Times New Roman" w:hAnsi="Times New Roman" w:cs="Times New Roman"/>
          <w:sz w:val="24"/>
          <w:szCs w:val="24"/>
        </w:rPr>
        <w:t xml:space="preserve"> such countries (South Africa</w:t>
      </w:r>
      <w:r w:rsidR="000F6B0E" w:rsidRPr="004C0D35">
        <w:rPr>
          <w:rFonts w:ascii="Times New Roman" w:hAnsi="Times New Roman" w:cs="Times New Roman"/>
          <w:sz w:val="24"/>
          <w:szCs w:val="24"/>
        </w:rPr>
        <w:t>, Malawi</w:t>
      </w:r>
      <w:r w:rsidR="00B6481A" w:rsidRPr="004C0D35">
        <w:rPr>
          <w:rFonts w:ascii="Times New Roman" w:hAnsi="Times New Roman" w:cs="Times New Roman"/>
          <w:sz w:val="24"/>
          <w:szCs w:val="24"/>
        </w:rPr>
        <w:t xml:space="preserve"> and</w:t>
      </w:r>
      <w:r w:rsidR="00353FB8" w:rsidRPr="004C0D35">
        <w:rPr>
          <w:rFonts w:ascii="Times New Roman" w:hAnsi="Times New Roman" w:cs="Times New Roman"/>
          <w:sz w:val="24"/>
          <w:szCs w:val="24"/>
        </w:rPr>
        <w:t xml:space="preserve"> Ethiopia) </w:t>
      </w:r>
      <w:r w:rsidR="008C1B85" w:rsidRPr="004C0D35">
        <w:rPr>
          <w:rFonts w:ascii="Times New Roman" w:hAnsi="Times New Roman" w:cs="Times New Roman"/>
          <w:sz w:val="24"/>
          <w:szCs w:val="24"/>
        </w:rPr>
        <w:t>appears in</w:t>
      </w:r>
      <w:r w:rsidR="00353FB8" w:rsidRPr="004C0D35">
        <w:rPr>
          <w:rFonts w:ascii="Times New Roman" w:hAnsi="Times New Roman" w:cs="Times New Roman"/>
          <w:sz w:val="24"/>
          <w:szCs w:val="24"/>
        </w:rPr>
        <w:t xml:space="preserve"> the present database</w:t>
      </w:r>
      <w:r w:rsidR="001D143B" w:rsidRPr="004C0D35">
        <w:rPr>
          <w:rFonts w:ascii="Times New Roman" w:hAnsi="Times New Roman" w:cs="Times New Roman"/>
          <w:sz w:val="24"/>
          <w:szCs w:val="24"/>
        </w:rPr>
        <w:t>, as many African countries do not have trust legislation</w:t>
      </w:r>
      <w:r w:rsidR="00353FB8" w:rsidRPr="004C0D35">
        <w:rPr>
          <w:rFonts w:ascii="Times New Roman" w:hAnsi="Times New Roman" w:cs="Times New Roman"/>
          <w:sz w:val="24"/>
          <w:szCs w:val="24"/>
        </w:rPr>
        <w:t xml:space="preserve">. </w:t>
      </w:r>
      <w:r w:rsidR="001D143B" w:rsidRPr="004C0D35">
        <w:rPr>
          <w:rFonts w:ascii="Times New Roman" w:hAnsi="Times New Roman" w:cs="Times New Roman"/>
          <w:sz w:val="24"/>
          <w:szCs w:val="24"/>
        </w:rPr>
        <w:t>Chang’s database also includes many more Asian countries than mine, since many Asian count</w:t>
      </w:r>
      <w:r w:rsidR="000771E7" w:rsidRPr="004C0D35">
        <w:rPr>
          <w:rFonts w:ascii="Times New Roman" w:hAnsi="Times New Roman" w:cs="Times New Roman"/>
          <w:sz w:val="24"/>
          <w:szCs w:val="24"/>
        </w:rPr>
        <w:t>r</w:t>
      </w:r>
      <w:r w:rsidR="001D143B" w:rsidRPr="004C0D35">
        <w:rPr>
          <w:rFonts w:ascii="Times New Roman" w:hAnsi="Times New Roman" w:cs="Times New Roman"/>
          <w:sz w:val="24"/>
          <w:szCs w:val="24"/>
        </w:rPr>
        <w:t>ies</w:t>
      </w:r>
      <w:r w:rsidR="003859F7" w:rsidRPr="004C0D35">
        <w:rPr>
          <w:rFonts w:ascii="Times New Roman" w:hAnsi="Times New Roman" w:cs="Times New Roman"/>
          <w:sz w:val="24"/>
          <w:szCs w:val="24"/>
        </w:rPr>
        <w:t xml:space="preserve"> </w:t>
      </w:r>
      <w:r w:rsidR="001D143B" w:rsidRPr="004C0D35">
        <w:rPr>
          <w:rFonts w:ascii="Times New Roman" w:hAnsi="Times New Roman" w:cs="Times New Roman"/>
          <w:sz w:val="24"/>
          <w:szCs w:val="24"/>
        </w:rPr>
        <w:t>d</w:t>
      </w:r>
      <w:r w:rsidR="00E94D49" w:rsidRPr="004C0D35">
        <w:rPr>
          <w:rFonts w:ascii="Times New Roman" w:hAnsi="Times New Roman" w:cs="Times New Roman"/>
          <w:sz w:val="24"/>
          <w:szCs w:val="24"/>
        </w:rPr>
        <w:t>o not have a law of trusts</w:t>
      </w:r>
      <w:r w:rsidR="003859F7" w:rsidRPr="004C0D35">
        <w:rPr>
          <w:rFonts w:ascii="Times New Roman" w:hAnsi="Times New Roman" w:cs="Times New Roman"/>
          <w:sz w:val="24"/>
          <w:szCs w:val="24"/>
        </w:rPr>
        <w:t xml:space="preserve">. </w:t>
      </w:r>
      <w:r w:rsidR="00502D36" w:rsidRPr="004C0D35">
        <w:rPr>
          <w:rFonts w:ascii="Times New Roman" w:hAnsi="Times New Roman" w:cs="Times New Roman"/>
          <w:sz w:val="24"/>
          <w:szCs w:val="24"/>
        </w:rPr>
        <w:t xml:space="preserve">Further, </w:t>
      </w:r>
      <w:r w:rsidR="003859F7" w:rsidRPr="004C0D35">
        <w:rPr>
          <w:rFonts w:ascii="Times New Roman" w:hAnsi="Times New Roman" w:cs="Times New Roman"/>
          <w:sz w:val="24"/>
          <w:szCs w:val="24"/>
        </w:rPr>
        <w:t xml:space="preserve">while Chang’s database </w:t>
      </w:r>
      <w:r w:rsidR="00CD1176" w:rsidRPr="004C0D35">
        <w:rPr>
          <w:rFonts w:ascii="Times New Roman" w:hAnsi="Times New Roman" w:cs="Times New Roman"/>
          <w:sz w:val="24"/>
          <w:szCs w:val="24"/>
        </w:rPr>
        <w:t>is based on</w:t>
      </w:r>
      <w:r w:rsidR="003859F7" w:rsidRPr="004C0D35">
        <w:rPr>
          <w:rFonts w:ascii="Times New Roman" w:hAnsi="Times New Roman" w:cs="Times New Roman"/>
          <w:sz w:val="24"/>
          <w:szCs w:val="24"/>
        </w:rPr>
        <w:t xml:space="preserve"> both statutes and cases, the present database is</w:t>
      </w:r>
      <w:r w:rsidR="000771E7" w:rsidRPr="004C0D35">
        <w:rPr>
          <w:rFonts w:ascii="Times New Roman" w:hAnsi="Times New Roman" w:cs="Times New Roman"/>
          <w:sz w:val="24"/>
          <w:szCs w:val="24"/>
        </w:rPr>
        <w:t xml:space="preserve"> </w:t>
      </w:r>
      <w:r w:rsidR="003859F7" w:rsidRPr="004C0D35">
        <w:rPr>
          <w:rFonts w:ascii="Times New Roman" w:hAnsi="Times New Roman" w:cs="Times New Roman"/>
          <w:sz w:val="24"/>
          <w:szCs w:val="24"/>
        </w:rPr>
        <w:t>focused on trust legislation, adverting to non-statutory law for the limited purpose of identifying which statutes changed the pre-existing law on a g</w:t>
      </w:r>
      <w:r w:rsidR="000F2A21">
        <w:rPr>
          <w:rFonts w:ascii="Times New Roman" w:hAnsi="Times New Roman" w:cs="Times New Roman"/>
          <w:sz w:val="24"/>
          <w:szCs w:val="24"/>
        </w:rPr>
        <w:t>iven topic, and which merely reformula</w:t>
      </w:r>
      <w:r w:rsidR="003859F7" w:rsidRPr="004C0D35">
        <w:rPr>
          <w:rFonts w:ascii="Times New Roman" w:hAnsi="Times New Roman" w:cs="Times New Roman"/>
          <w:sz w:val="24"/>
          <w:szCs w:val="24"/>
        </w:rPr>
        <w:t>ted normative material</w:t>
      </w:r>
      <w:r w:rsidR="001D143B" w:rsidRPr="004C0D35">
        <w:rPr>
          <w:rFonts w:ascii="Times New Roman" w:hAnsi="Times New Roman" w:cs="Times New Roman"/>
          <w:sz w:val="24"/>
          <w:szCs w:val="24"/>
        </w:rPr>
        <w:t xml:space="preserve"> which was already present in the</w:t>
      </w:r>
      <w:r w:rsidR="00B65A6F">
        <w:rPr>
          <w:rFonts w:ascii="Times New Roman" w:hAnsi="Times New Roman" w:cs="Times New Roman"/>
          <w:sz w:val="24"/>
          <w:szCs w:val="24"/>
        </w:rPr>
        <w:t xml:space="preserve"> law of the</w:t>
      </w:r>
      <w:r w:rsidR="001D143B" w:rsidRPr="004C0D35">
        <w:rPr>
          <w:rFonts w:ascii="Times New Roman" w:hAnsi="Times New Roman" w:cs="Times New Roman"/>
          <w:sz w:val="24"/>
          <w:szCs w:val="24"/>
        </w:rPr>
        <w:t xml:space="preserve"> relevant </w:t>
      </w:r>
      <w:r w:rsidR="00B65A6F">
        <w:rPr>
          <w:rFonts w:ascii="Times New Roman" w:hAnsi="Times New Roman" w:cs="Times New Roman"/>
          <w:sz w:val="24"/>
          <w:szCs w:val="24"/>
        </w:rPr>
        <w:t>jurisdiction</w:t>
      </w:r>
      <w:r w:rsidR="001D143B" w:rsidRPr="004C0D35">
        <w:rPr>
          <w:rFonts w:ascii="Times New Roman" w:hAnsi="Times New Roman" w:cs="Times New Roman"/>
          <w:sz w:val="24"/>
          <w:szCs w:val="24"/>
        </w:rPr>
        <w:t xml:space="preserve"> in non-statutory form.</w:t>
      </w:r>
      <w:r w:rsidR="003859F7" w:rsidRPr="004C0D35">
        <w:rPr>
          <w:rFonts w:ascii="Times New Roman" w:hAnsi="Times New Roman" w:cs="Times New Roman"/>
          <w:sz w:val="24"/>
          <w:szCs w:val="24"/>
        </w:rPr>
        <w:t xml:space="preserve"> Finally, </w:t>
      </w:r>
      <w:r w:rsidR="00502D36" w:rsidRPr="004C0D35">
        <w:rPr>
          <w:rFonts w:ascii="Times New Roman" w:hAnsi="Times New Roman" w:cs="Times New Roman"/>
          <w:sz w:val="24"/>
          <w:szCs w:val="24"/>
        </w:rPr>
        <w:t xml:space="preserve">while the present database extends back to 1925, </w:t>
      </w:r>
      <w:r w:rsidR="00BF106F" w:rsidRPr="004C0D35">
        <w:rPr>
          <w:rFonts w:ascii="Times New Roman" w:hAnsi="Times New Roman" w:cs="Times New Roman"/>
          <w:sz w:val="24"/>
          <w:szCs w:val="24"/>
        </w:rPr>
        <w:t xml:space="preserve">Chang did not collect historical data, confining himself to current law. </w:t>
      </w:r>
      <w:r w:rsidR="003859F7" w:rsidRPr="004C0D35">
        <w:rPr>
          <w:rFonts w:ascii="Times New Roman" w:hAnsi="Times New Roman" w:cs="Times New Roman"/>
          <w:sz w:val="24"/>
          <w:szCs w:val="24"/>
        </w:rPr>
        <w:t xml:space="preserve">Chang recognized the advantages of panel, longitudinal, data in his study of convergence and divergence in property law, commenting that  </w:t>
      </w:r>
    </w:p>
    <w:p w14:paraId="46FEAF4D" w14:textId="77777777" w:rsidR="00CD1176" w:rsidRPr="004C0D35" w:rsidRDefault="00CD1176" w:rsidP="00CD1176">
      <w:pPr>
        <w:autoSpaceDE w:val="0"/>
        <w:autoSpaceDN w:val="0"/>
        <w:adjustRightInd w:val="0"/>
        <w:spacing w:after="0" w:line="276" w:lineRule="auto"/>
        <w:jc w:val="both"/>
        <w:rPr>
          <w:rFonts w:ascii="Times New Roman" w:hAnsi="Times New Roman" w:cs="Times New Roman"/>
          <w:sz w:val="24"/>
          <w:szCs w:val="24"/>
        </w:rPr>
      </w:pPr>
    </w:p>
    <w:p w14:paraId="3397FFE1" w14:textId="77777777" w:rsidR="003859F7" w:rsidRPr="004C0D35" w:rsidRDefault="003859F7" w:rsidP="00554FA3">
      <w:pPr>
        <w:autoSpaceDE w:val="0"/>
        <w:autoSpaceDN w:val="0"/>
        <w:adjustRightInd w:val="0"/>
        <w:spacing w:after="0" w:line="240" w:lineRule="auto"/>
        <w:ind w:left="360"/>
        <w:jc w:val="both"/>
        <w:rPr>
          <w:rFonts w:ascii="Times New Roman" w:hAnsi="Times New Roman" w:cs="Times New Roman"/>
          <w:sz w:val="24"/>
          <w:szCs w:val="24"/>
        </w:rPr>
      </w:pPr>
      <w:r w:rsidRPr="004C0D35">
        <w:rPr>
          <w:rFonts w:ascii="Times New Roman" w:hAnsi="Times New Roman" w:cs="Times New Roman"/>
          <w:sz w:val="24"/>
          <w:szCs w:val="24"/>
        </w:rPr>
        <w:t>rigorously testing convergence and divergence empirically would require a panel data set with 100 plus jurisdictions over the past several decades. Powered by such a panel data set, scholars could chart the evolution of property doctrines to examine whether they were the same or different in the beginning or became similar or dissimilar to one another over time. Unfortunately, no such data sets are available.</w:t>
      </w:r>
      <w:r w:rsidR="00554FA3">
        <w:rPr>
          <w:rStyle w:val="FootnoteReference"/>
          <w:rFonts w:ascii="Times New Roman" w:hAnsi="Times New Roman" w:cs="Times New Roman"/>
          <w:sz w:val="24"/>
          <w:szCs w:val="24"/>
        </w:rPr>
        <w:footnoteReference w:id="40"/>
      </w:r>
    </w:p>
    <w:p w14:paraId="69402B95" w14:textId="77777777" w:rsidR="003859F7" w:rsidRPr="004C0D35" w:rsidRDefault="003859F7" w:rsidP="003859F7">
      <w:pPr>
        <w:autoSpaceDE w:val="0"/>
        <w:autoSpaceDN w:val="0"/>
        <w:adjustRightInd w:val="0"/>
        <w:spacing w:after="0" w:line="240" w:lineRule="auto"/>
        <w:jc w:val="both"/>
        <w:rPr>
          <w:rFonts w:ascii="Times New Roman" w:hAnsi="Times New Roman" w:cs="Times New Roman"/>
          <w:sz w:val="24"/>
          <w:szCs w:val="24"/>
        </w:rPr>
      </w:pPr>
    </w:p>
    <w:p w14:paraId="5DD4F2F4" w14:textId="77777777" w:rsidR="003859F7" w:rsidRPr="004C0D35" w:rsidRDefault="003859F7" w:rsidP="004B4D74">
      <w:pPr>
        <w:autoSpaceDE w:val="0"/>
        <w:autoSpaceDN w:val="0"/>
        <w:adjustRightInd w:val="0"/>
        <w:spacing w:after="0" w:line="240" w:lineRule="auto"/>
        <w:jc w:val="both"/>
        <w:rPr>
          <w:rFonts w:ascii="Times New Roman" w:hAnsi="Times New Roman" w:cs="Times New Roman"/>
          <w:sz w:val="24"/>
          <w:szCs w:val="24"/>
        </w:rPr>
      </w:pPr>
      <w:r w:rsidRPr="004C0D35">
        <w:rPr>
          <w:rFonts w:ascii="Times New Roman" w:hAnsi="Times New Roman" w:cs="Times New Roman"/>
          <w:sz w:val="24"/>
          <w:szCs w:val="24"/>
        </w:rPr>
        <w:t xml:space="preserve">My database provides such a data set for trust law. </w:t>
      </w:r>
    </w:p>
    <w:p w14:paraId="4D797632" w14:textId="77777777" w:rsidR="00F5785F" w:rsidRPr="004C0D35" w:rsidRDefault="00F5785F" w:rsidP="00F5785F">
      <w:pPr>
        <w:spacing w:after="0"/>
        <w:jc w:val="both"/>
        <w:rPr>
          <w:rFonts w:ascii="Times New Roman" w:hAnsi="Times New Roman" w:cs="Times New Roman"/>
          <w:color w:val="000000"/>
          <w:sz w:val="24"/>
          <w:szCs w:val="24"/>
          <w:shd w:val="clear" w:color="auto" w:fill="FFFFFF"/>
        </w:rPr>
      </w:pPr>
    </w:p>
    <w:p w14:paraId="47B84A29" w14:textId="77777777" w:rsidR="00C019D0" w:rsidRPr="002050B5" w:rsidRDefault="00183F91" w:rsidP="002050B5">
      <w:pPr>
        <w:jc w:val="center"/>
        <w:rPr>
          <w:rFonts w:ascii="Times New Roman" w:hAnsi="Times New Roman" w:cs="Times New Roman"/>
          <w:smallCaps/>
          <w:sz w:val="24"/>
          <w:szCs w:val="24"/>
        </w:rPr>
      </w:pPr>
      <w:r w:rsidRPr="002050B5">
        <w:rPr>
          <w:rFonts w:ascii="Times New Roman" w:hAnsi="Times New Roman" w:cs="Times New Roman"/>
          <w:smallCaps/>
          <w:sz w:val="24"/>
          <w:szCs w:val="24"/>
        </w:rPr>
        <w:t xml:space="preserve">III. </w:t>
      </w:r>
      <w:r w:rsidR="004026AD" w:rsidRPr="002050B5">
        <w:rPr>
          <w:rFonts w:ascii="Times New Roman" w:hAnsi="Times New Roman" w:cs="Times New Roman"/>
          <w:smallCaps/>
          <w:sz w:val="24"/>
          <w:szCs w:val="24"/>
        </w:rPr>
        <w:t xml:space="preserve">Research </w:t>
      </w:r>
      <w:r w:rsidR="001149C4" w:rsidRPr="002050B5">
        <w:rPr>
          <w:rFonts w:ascii="Times New Roman" w:hAnsi="Times New Roman" w:cs="Times New Roman"/>
          <w:smallCaps/>
          <w:sz w:val="24"/>
          <w:szCs w:val="24"/>
        </w:rPr>
        <w:t>Method</w:t>
      </w:r>
      <w:r w:rsidR="004026AD" w:rsidRPr="002050B5">
        <w:rPr>
          <w:rFonts w:ascii="Times New Roman" w:hAnsi="Times New Roman" w:cs="Times New Roman"/>
          <w:smallCaps/>
          <w:sz w:val="24"/>
          <w:szCs w:val="24"/>
        </w:rPr>
        <w:t>s</w:t>
      </w:r>
    </w:p>
    <w:p w14:paraId="0401D340" w14:textId="7C840B96" w:rsidR="0075374D" w:rsidRPr="004C0D35" w:rsidRDefault="0075374D" w:rsidP="00166AF3">
      <w:pPr>
        <w:autoSpaceDE w:val="0"/>
        <w:autoSpaceDN w:val="0"/>
        <w:adjustRightInd w:val="0"/>
        <w:spacing w:after="0" w:line="276" w:lineRule="auto"/>
        <w:jc w:val="both"/>
        <w:rPr>
          <w:rFonts w:ascii="Times New Roman" w:eastAsia="Times New Roman" w:hAnsi="Times New Roman" w:cs="Times New Roman"/>
          <w:color w:val="222222"/>
          <w:sz w:val="24"/>
          <w:szCs w:val="24"/>
        </w:rPr>
      </w:pPr>
      <w:r w:rsidRPr="004C0D35">
        <w:rPr>
          <w:rFonts w:ascii="Times New Roman" w:eastAsia="Times New Roman" w:hAnsi="Times New Roman" w:cs="Times New Roman"/>
          <w:color w:val="222222"/>
          <w:sz w:val="24"/>
          <w:szCs w:val="24"/>
        </w:rPr>
        <w:t xml:space="preserve">Comparing the laws of different jurisdictions </w:t>
      </w:r>
      <w:r w:rsidR="00166AF3" w:rsidRPr="004C0D35">
        <w:rPr>
          <w:rFonts w:ascii="Times New Roman" w:eastAsia="Times New Roman" w:hAnsi="Times New Roman" w:cs="Times New Roman"/>
          <w:color w:val="222222"/>
          <w:sz w:val="24"/>
          <w:szCs w:val="24"/>
        </w:rPr>
        <w:t>along</w:t>
      </w:r>
      <w:r w:rsidRPr="004C0D35">
        <w:rPr>
          <w:rFonts w:ascii="Times New Roman" w:eastAsia="Times New Roman" w:hAnsi="Times New Roman" w:cs="Times New Roman"/>
          <w:color w:val="222222"/>
          <w:sz w:val="24"/>
          <w:szCs w:val="24"/>
        </w:rPr>
        <w:t xml:space="preserve"> non-technical parameters</w:t>
      </w:r>
      <w:r w:rsidR="00734F22">
        <w:rPr>
          <w:rFonts w:ascii="Times New Roman" w:eastAsia="Times New Roman" w:hAnsi="Times New Roman" w:cs="Times New Roman"/>
          <w:color w:val="222222"/>
          <w:sz w:val="24"/>
          <w:szCs w:val="24"/>
        </w:rPr>
        <w:t>,</w:t>
      </w:r>
      <w:r w:rsidRPr="004C0D35">
        <w:rPr>
          <w:rFonts w:ascii="Times New Roman" w:eastAsia="Times New Roman" w:hAnsi="Times New Roman" w:cs="Times New Roman"/>
          <w:color w:val="222222"/>
          <w:sz w:val="24"/>
          <w:szCs w:val="24"/>
        </w:rPr>
        <w:t xml:space="preserve"> such as liberality or permissiveness</w:t>
      </w:r>
      <w:r w:rsidR="00734F22">
        <w:rPr>
          <w:rFonts w:ascii="Times New Roman" w:eastAsia="Times New Roman" w:hAnsi="Times New Roman" w:cs="Times New Roman"/>
          <w:color w:val="222222"/>
          <w:sz w:val="24"/>
          <w:szCs w:val="24"/>
        </w:rPr>
        <w:t>,</w:t>
      </w:r>
      <w:r w:rsidRPr="004C0D35">
        <w:rPr>
          <w:rFonts w:ascii="Times New Roman" w:eastAsia="Times New Roman" w:hAnsi="Times New Roman" w:cs="Times New Roman"/>
          <w:color w:val="222222"/>
          <w:sz w:val="24"/>
          <w:szCs w:val="24"/>
        </w:rPr>
        <w:t xml:space="preserve"> is a complex task. </w:t>
      </w:r>
      <w:r w:rsidR="00734F22">
        <w:rPr>
          <w:rFonts w:ascii="Times New Roman" w:eastAsia="Times New Roman" w:hAnsi="Times New Roman" w:cs="Times New Roman"/>
          <w:color w:val="222222"/>
          <w:sz w:val="24"/>
          <w:szCs w:val="24"/>
        </w:rPr>
        <w:t>In this</w:t>
      </w:r>
      <w:r w:rsidRPr="004C0D35">
        <w:rPr>
          <w:rFonts w:ascii="Times New Roman" w:eastAsia="Times New Roman" w:hAnsi="Times New Roman" w:cs="Times New Roman"/>
          <w:color w:val="222222"/>
          <w:sz w:val="24"/>
          <w:szCs w:val="24"/>
        </w:rPr>
        <w:t xml:space="preserve"> </w:t>
      </w:r>
      <w:r w:rsidR="008318F4" w:rsidRPr="004C0D35">
        <w:rPr>
          <w:rFonts w:ascii="Times New Roman" w:eastAsia="Times New Roman" w:hAnsi="Times New Roman" w:cs="Times New Roman"/>
          <w:color w:val="222222"/>
          <w:sz w:val="24"/>
          <w:szCs w:val="24"/>
        </w:rPr>
        <w:t>Part</w:t>
      </w:r>
      <w:r w:rsidR="00734F22">
        <w:rPr>
          <w:rFonts w:ascii="Times New Roman" w:eastAsia="Times New Roman" w:hAnsi="Times New Roman" w:cs="Times New Roman"/>
          <w:color w:val="222222"/>
          <w:sz w:val="24"/>
          <w:szCs w:val="24"/>
        </w:rPr>
        <w:t>, I</w:t>
      </w:r>
      <w:r w:rsidRPr="004C0D35">
        <w:rPr>
          <w:rFonts w:ascii="Times New Roman" w:eastAsia="Times New Roman" w:hAnsi="Times New Roman" w:cs="Times New Roman"/>
          <w:color w:val="222222"/>
          <w:sz w:val="24"/>
          <w:szCs w:val="24"/>
        </w:rPr>
        <w:t xml:space="preserve"> describe the method I adopted in order to achieve as objective </w:t>
      </w:r>
      <w:r w:rsidR="00166AF3" w:rsidRPr="004C0D35">
        <w:rPr>
          <w:rFonts w:ascii="Times New Roman" w:eastAsia="Times New Roman" w:hAnsi="Times New Roman" w:cs="Times New Roman"/>
          <w:color w:val="222222"/>
          <w:sz w:val="24"/>
          <w:szCs w:val="24"/>
        </w:rPr>
        <w:t xml:space="preserve">as possible </w:t>
      </w:r>
      <w:r w:rsidRPr="004C0D35">
        <w:rPr>
          <w:rFonts w:ascii="Times New Roman" w:eastAsia="Times New Roman" w:hAnsi="Times New Roman" w:cs="Times New Roman"/>
          <w:color w:val="222222"/>
          <w:sz w:val="24"/>
          <w:szCs w:val="24"/>
        </w:rPr>
        <w:t xml:space="preserve">an assessment of the liberality of each </w:t>
      </w:r>
      <w:r w:rsidR="00166AF3" w:rsidRPr="004C0D35">
        <w:rPr>
          <w:rFonts w:ascii="Times New Roman" w:eastAsia="Times New Roman" w:hAnsi="Times New Roman" w:cs="Times New Roman"/>
          <w:color w:val="222222"/>
          <w:sz w:val="24"/>
          <w:szCs w:val="24"/>
        </w:rPr>
        <w:t>observed statutory provision</w:t>
      </w:r>
      <w:r w:rsidRPr="004C0D35">
        <w:rPr>
          <w:rFonts w:ascii="Times New Roman" w:eastAsia="Times New Roman" w:hAnsi="Times New Roman" w:cs="Times New Roman"/>
          <w:color w:val="222222"/>
          <w:sz w:val="24"/>
          <w:szCs w:val="24"/>
        </w:rPr>
        <w:t xml:space="preserve">. </w:t>
      </w:r>
    </w:p>
    <w:p w14:paraId="5511F53F" w14:textId="2AD33818" w:rsidR="00FB5C88" w:rsidRPr="004C0D35" w:rsidRDefault="00FB5C88" w:rsidP="007A714F">
      <w:pPr>
        <w:autoSpaceDE w:val="0"/>
        <w:autoSpaceDN w:val="0"/>
        <w:adjustRightInd w:val="0"/>
        <w:spacing w:after="0" w:line="276" w:lineRule="auto"/>
        <w:ind w:firstLine="72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 xml:space="preserve">My database of trust legislation includes </w:t>
      </w:r>
      <w:r w:rsidR="0041390E" w:rsidRPr="004C0D35">
        <w:rPr>
          <w:rFonts w:ascii="Times New Roman" w:hAnsi="Times New Roman" w:cs="Times New Roman"/>
          <w:color w:val="000000"/>
          <w:sz w:val="24"/>
          <w:szCs w:val="24"/>
          <w:shd w:val="clear" w:color="auto" w:fill="FFFFFF"/>
        </w:rPr>
        <w:t>the great majority of</w:t>
      </w:r>
      <w:r w:rsidR="00F5785F" w:rsidRPr="004C0D35">
        <w:rPr>
          <w:rFonts w:ascii="Times New Roman" w:hAnsi="Times New Roman" w:cs="Times New Roman"/>
          <w:color w:val="000000"/>
          <w:sz w:val="24"/>
          <w:szCs w:val="24"/>
          <w:shd w:val="clear" w:color="auto" w:fill="FFFFFF"/>
        </w:rPr>
        <w:t xml:space="preserve"> </w:t>
      </w:r>
      <w:r w:rsidR="00E57967" w:rsidRPr="004C0D35">
        <w:rPr>
          <w:rFonts w:ascii="Times New Roman" w:hAnsi="Times New Roman" w:cs="Times New Roman"/>
          <w:color w:val="000000"/>
          <w:sz w:val="24"/>
          <w:szCs w:val="24"/>
          <w:shd w:val="clear" w:color="auto" w:fill="FFFFFF"/>
        </w:rPr>
        <w:t>the statutory materials</w:t>
      </w:r>
      <w:r w:rsidRPr="004C0D35">
        <w:rPr>
          <w:rFonts w:ascii="Times New Roman" w:hAnsi="Times New Roman" w:cs="Times New Roman"/>
          <w:color w:val="000000"/>
          <w:sz w:val="24"/>
          <w:szCs w:val="24"/>
          <w:shd w:val="clear" w:color="auto" w:fill="FFFFFF"/>
        </w:rPr>
        <w:t xml:space="preserve"> enacted </w:t>
      </w:r>
      <w:r w:rsidR="00E57967" w:rsidRPr="004C0D35">
        <w:rPr>
          <w:rFonts w:ascii="Times New Roman" w:hAnsi="Times New Roman" w:cs="Times New Roman"/>
          <w:color w:val="000000"/>
          <w:sz w:val="24"/>
          <w:szCs w:val="24"/>
          <w:shd w:val="clear" w:color="auto" w:fill="FFFFFF"/>
        </w:rPr>
        <w:t xml:space="preserve">globally </w:t>
      </w:r>
      <w:r w:rsidRPr="004C0D35">
        <w:rPr>
          <w:rFonts w:ascii="Times New Roman" w:hAnsi="Times New Roman" w:cs="Times New Roman"/>
          <w:color w:val="000000"/>
          <w:sz w:val="24"/>
          <w:szCs w:val="24"/>
          <w:shd w:val="clear" w:color="auto" w:fill="FFFFFF"/>
        </w:rPr>
        <w:t>since 1925</w:t>
      </w:r>
      <w:r w:rsidR="00E57967" w:rsidRPr="004C0D35">
        <w:rPr>
          <w:rFonts w:ascii="Times New Roman" w:hAnsi="Times New Roman" w:cs="Times New Roman"/>
          <w:color w:val="000000"/>
          <w:sz w:val="24"/>
          <w:szCs w:val="24"/>
          <w:shd w:val="clear" w:color="auto" w:fill="FFFFFF"/>
        </w:rPr>
        <w:t xml:space="preserve"> regarding </w:t>
      </w:r>
      <w:r w:rsidR="00897A11" w:rsidRPr="004C0D35">
        <w:rPr>
          <w:rFonts w:ascii="Times New Roman" w:hAnsi="Times New Roman" w:cs="Times New Roman"/>
          <w:color w:val="000000"/>
          <w:sz w:val="24"/>
          <w:szCs w:val="24"/>
          <w:shd w:val="clear" w:color="auto" w:fill="FFFFFF"/>
        </w:rPr>
        <w:t xml:space="preserve">the </w:t>
      </w:r>
      <w:r w:rsidR="00E57967" w:rsidRPr="004C0D35">
        <w:rPr>
          <w:rFonts w:ascii="Times New Roman" w:hAnsi="Times New Roman" w:cs="Times New Roman"/>
          <w:color w:val="000000"/>
          <w:sz w:val="24"/>
          <w:szCs w:val="24"/>
          <w:shd w:val="clear" w:color="auto" w:fill="FFFFFF"/>
        </w:rPr>
        <w:t>22 doctrinal trust law variables</w:t>
      </w:r>
      <w:r w:rsidR="00897A11" w:rsidRPr="004C0D35">
        <w:rPr>
          <w:rFonts w:ascii="Times New Roman" w:hAnsi="Times New Roman" w:cs="Times New Roman"/>
          <w:color w:val="000000"/>
          <w:sz w:val="24"/>
          <w:szCs w:val="24"/>
          <w:shd w:val="clear" w:color="auto" w:fill="FFFFFF"/>
        </w:rPr>
        <w:t xml:space="preserve"> listed </w:t>
      </w:r>
      <w:r w:rsidR="00B21329">
        <w:rPr>
          <w:rFonts w:ascii="Times New Roman" w:hAnsi="Times New Roman" w:cs="Times New Roman"/>
          <w:color w:val="000000"/>
          <w:sz w:val="24"/>
          <w:szCs w:val="24"/>
          <w:shd w:val="clear" w:color="auto" w:fill="FFFFFF"/>
        </w:rPr>
        <w:t xml:space="preserve">in Part I </w:t>
      </w:r>
      <w:r w:rsidR="00897A11" w:rsidRPr="004C0D35">
        <w:rPr>
          <w:rFonts w:ascii="Times New Roman" w:hAnsi="Times New Roman" w:cs="Times New Roman"/>
          <w:color w:val="000000"/>
          <w:sz w:val="24"/>
          <w:szCs w:val="24"/>
          <w:shd w:val="clear" w:color="auto" w:fill="FFFFFF"/>
        </w:rPr>
        <w:t>above.</w:t>
      </w:r>
      <w:r w:rsidRPr="004C0D35">
        <w:rPr>
          <w:rFonts w:ascii="Times New Roman" w:hAnsi="Times New Roman" w:cs="Times New Roman"/>
          <w:color w:val="000000"/>
          <w:sz w:val="24"/>
          <w:szCs w:val="24"/>
          <w:shd w:val="clear" w:color="auto" w:fill="FFFFFF"/>
        </w:rPr>
        <w:t xml:space="preserve"> </w:t>
      </w:r>
      <w:r w:rsidR="00DD5968" w:rsidRPr="004C0D35">
        <w:rPr>
          <w:rFonts w:ascii="Times New Roman" w:hAnsi="Times New Roman" w:cs="Times New Roman"/>
          <w:color w:val="000000"/>
          <w:sz w:val="24"/>
          <w:szCs w:val="24"/>
          <w:shd w:val="clear" w:color="auto" w:fill="FFFFFF"/>
        </w:rPr>
        <w:t>Jurisdictions where trust law does not exist on the statute books</w:t>
      </w:r>
      <w:r w:rsidR="005D70DE" w:rsidRPr="004C0D35">
        <w:rPr>
          <w:rFonts w:ascii="Times New Roman" w:hAnsi="Times New Roman" w:cs="Times New Roman"/>
          <w:color w:val="000000"/>
          <w:sz w:val="24"/>
          <w:szCs w:val="24"/>
          <w:shd w:val="clear" w:color="auto" w:fill="FFFFFF"/>
        </w:rPr>
        <w:t>, though it may exist elsewhere,</w:t>
      </w:r>
      <w:r w:rsidR="00DD5968" w:rsidRPr="004C0D35">
        <w:rPr>
          <w:rFonts w:ascii="Times New Roman" w:hAnsi="Times New Roman" w:cs="Times New Roman"/>
          <w:color w:val="000000"/>
          <w:sz w:val="24"/>
          <w:szCs w:val="24"/>
          <w:shd w:val="clear" w:color="auto" w:fill="FFFFFF"/>
        </w:rPr>
        <w:t xml:space="preserve"> were excluded from the database, as were jurisdictions, such as India, which did not enact legislation on any of </w:t>
      </w:r>
      <w:r w:rsidR="004B4D74" w:rsidRPr="004C0D35">
        <w:rPr>
          <w:rFonts w:ascii="Times New Roman" w:hAnsi="Times New Roman" w:cs="Times New Roman"/>
          <w:color w:val="000000"/>
          <w:sz w:val="24"/>
          <w:szCs w:val="24"/>
          <w:shd w:val="clear" w:color="auto" w:fill="FFFFFF"/>
        </w:rPr>
        <w:t xml:space="preserve">the </w:t>
      </w:r>
      <w:r w:rsidR="00DD5968" w:rsidRPr="004C0D35">
        <w:rPr>
          <w:rFonts w:ascii="Times New Roman" w:hAnsi="Times New Roman" w:cs="Times New Roman"/>
          <w:color w:val="000000"/>
          <w:sz w:val="24"/>
          <w:szCs w:val="24"/>
          <w:shd w:val="clear" w:color="auto" w:fill="FFFFFF"/>
        </w:rPr>
        <w:t xml:space="preserve">22 variables since 1925, though earlier pertinent legislation remains in force. </w:t>
      </w:r>
      <w:r w:rsidR="005D70DE" w:rsidRPr="004C0D35">
        <w:rPr>
          <w:rFonts w:ascii="Times New Roman" w:hAnsi="Times New Roman" w:cs="Times New Roman"/>
          <w:color w:val="000000"/>
          <w:sz w:val="24"/>
          <w:szCs w:val="24"/>
          <w:shd w:val="clear" w:color="auto" w:fill="FFFFFF"/>
        </w:rPr>
        <w:t xml:space="preserve">Finally, I excluded the trust law of some African countries respecting which </w:t>
      </w:r>
      <w:r w:rsidR="00CE79DB" w:rsidRPr="004C0D35">
        <w:rPr>
          <w:rFonts w:ascii="Times New Roman" w:hAnsi="Times New Roman" w:cs="Times New Roman"/>
          <w:color w:val="000000"/>
          <w:sz w:val="24"/>
          <w:szCs w:val="24"/>
          <w:shd w:val="clear" w:color="auto" w:fill="FFFFFF"/>
        </w:rPr>
        <w:t xml:space="preserve">sufficient </w:t>
      </w:r>
      <w:r w:rsidR="005D70DE" w:rsidRPr="004C0D35">
        <w:rPr>
          <w:rFonts w:ascii="Times New Roman" w:hAnsi="Times New Roman" w:cs="Times New Roman"/>
          <w:color w:val="000000"/>
          <w:sz w:val="24"/>
          <w:szCs w:val="24"/>
          <w:shd w:val="clear" w:color="auto" w:fill="FFFFFF"/>
        </w:rPr>
        <w:t xml:space="preserve">data was not available. </w:t>
      </w:r>
    </w:p>
    <w:p w14:paraId="2CFA582A" w14:textId="77777777" w:rsidR="00DD5968" w:rsidRPr="004C0D35" w:rsidRDefault="00DD5968" w:rsidP="007A714F">
      <w:pPr>
        <w:autoSpaceDE w:val="0"/>
        <w:autoSpaceDN w:val="0"/>
        <w:adjustRightInd w:val="0"/>
        <w:spacing w:after="0" w:line="276" w:lineRule="auto"/>
        <w:ind w:firstLine="720"/>
        <w:rPr>
          <w:rFonts w:ascii="Times New Roman" w:hAnsi="Times New Roman" w:cs="Times New Roman"/>
          <w:color w:val="000000"/>
          <w:sz w:val="24"/>
          <w:szCs w:val="24"/>
          <w:shd w:val="clear" w:color="auto" w:fill="FFFFFF"/>
        </w:rPr>
      </w:pPr>
    </w:p>
    <w:p w14:paraId="1B151AC7" w14:textId="77777777" w:rsidR="005D70DE" w:rsidRPr="002050B5" w:rsidRDefault="002050B5" w:rsidP="002050B5">
      <w:pPr>
        <w:autoSpaceDE w:val="0"/>
        <w:autoSpaceDN w:val="0"/>
        <w:adjustRightInd w:val="0"/>
        <w:spacing w:line="276" w:lineRule="auto"/>
        <w:rPr>
          <w:rFonts w:ascii="Times New Roman" w:eastAsia="Times New Roman" w:hAnsi="Times New Roman" w:cs="Times New Roman"/>
          <w:smallCaps/>
          <w:color w:val="222222"/>
          <w:sz w:val="24"/>
          <w:szCs w:val="24"/>
        </w:rPr>
      </w:pPr>
      <w:r w:rsidRPr="002050B5">
        <w:rPr>
          <w:rFonts w:ascii="Times New Roman" w:eastAsia="Times New Roman" w:hAnsi="Times New Roman" w:cs="Times New Roman"/>
          <w:smallCaps/>
          <w:color w:val="222222"/>
          <w:sz w:val="24"/>
          <w:szCs w:val="24"/>
        </w:rPr>
        <w:t>A</w:t>
      </w:r>
      <w:r>
        <w:rPr>
          <w:rFonts w:ascii="Times New Roman" w:eastAsia="Times New Roman" w:hAnsi="Times New Roman" w:cs="Times New Roman"/>
          <w:smallCaps/>
          <w:color w:val="222222"/>
          <w:sz w:val="24"/>
          <w:szCs w:val="24"/>
        </w:rPr>
        <w:t>. Sources</w:t>
      </w:r>
    </w:p>
    <w:p w14:paraId="13B0FDC4" w14:textId="4EB9AAB0" w:rsidR="00952801" w:rsidRPr="004C0D35" w:rsidRDefault="00F6674D" w:rsidP="00631A27">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iCs/>
          <w:color w:val="000000"/>
          <w:sz w:val="24"/>
          <w:szCs w:val="24"/>
          <w:shd w:val="clear" w:color="auto" w:fill="FFFFFF"/>
        </w:rPr>
        <w:t>T</w:t>
      </w:r>
      <w:r w:rsidR="005D70DE" w:rsidRPr="004C0D35">
        <w:rPr>
          <w:rFonts w:ascii="Times New Roman" w:hAnsi="Times New Roman" w:cs="Times New Roman"/>
          <w:iCs/>
          <w:color w:val="000000"/>
          <w:sz w:val="24"/>
          <w:szCs w:val="24"/>
          <w:shd w:val="clear" w:color="auto" w:fill="FFFFFF"/>
        </w:rPr>
        <w:t xml:space="preserve">o create the database, </w:t>
      </w:r>
      <w:r w:rsidR="002800F6" w:rsidRPr="004C0D35">
        <w:rPr>
          <w:rFonts w:ascii="Times New Roman" w:hAnsi="Times New Roman" w:cs="Times New Roman"/>
          <w:iCs/>
          <w:color w:val="000000"/>
          <w:sz w:val="24"/>
          <w:szCs w:val="24"/>
          <w:shd w:val="clear" w:color="auto" w:fill="FFFFFF"/>
        </w:rPr>
        <w:t xml:space="preserve">I </w:t>
      </w:r>
      <w:r w:rsidR="005D70DE" w:rsidRPr="004C0D35">
        <w:rPr>
          <w:rFonts w:ascii="Times New Roman" w:hAnsi="Times New Roman" w:cs="Times New Roman"/>
          <w:iCs/>
          <w:color w:val="000000"/>
          <w:sz w:val="24"/>
          <w:szCs w:val="24"/>
          <w:shd w:val="clear" w:color="auto" w:fill="FFFFFF"/>
        </w:rPr>
        <w:t xml:space="preserve">obtained and </w:t>
      </w:r>
      <w:r w:rsidR="002800F6" w:rsidRPr="004C0D35">
        <w:rPr>
          <w:rFonts w:ascii="Times New Roman" w:hAnsi="Times New Roman" w:cs="Times New Roman"/>
          <w:iCs/>
          <w:color w:val="000000"/>
          <w:sz w:val="24"/>
          <w:szCs w:val="24"/>
          <w:shd w:val="clear" w:color="auto" w:fill="FFFFFF"/>
        </w:rPr>
        <w:t xml:space="preserve">read </w:t>
      </w:r>
      <w:r w:rsidR="001343F9" w:rsidRPr="004C0D35">
        <w:rPr>
          <w:rFonts w:ascii="Times New Roman" w:hAnsi="Times New Roman" w:cs="Times New Roman"/>
          <w:iCs/>
          <w:color w:val="000000"/>
          <w:sz w:val="24"/>
          <w:szCs w:val="24"/>
          <w:shd w:val="clear" w:color="auto" w:fill="FFFFFF"/>
        </w:rPr>
        <w:t xml:space="preserve">pertinent </w:t>
      </w:r>
      <w:r w:rsidR="002800F6" w:rsidRPr="004C0D35">
        <w:rPr>
          <w:rFonts w:ascii="Times New Roman" w:hAnsi="Times New Roman" w:cs="Times New Roman"/>
          <w:iCs/>
          <w:color w:val="000000"/>
          <w:sz w:val="24"/>
          <w:szCs w:val="24"/>
          <w:shd w:val="clear" w:color="auto" w:fill="FFFFFF"/>
        </w:rPr>
        <w:t xml:space="preserve">statutory materials in English, French and Hebrew, </w:t>
      </w:r>
      <w:r w:rsidR="00804505" w:rsidRPr="004C0D35">
        <w:rPr>
          <w:rFonts w:ascii="Times New Roman" w:hAnsi="Times New Roman" w:cs="Times New Roman"/>
          <w:iCs/>
          <w:color w:val="000000"/>
          <w:sz w:val="24"/>
          <w:szCs w:val="24"/>
          <w:shd w:val="clear" w:color="auto" w:fill="FFFFFF"/>
        </w:rPr>
        <w:t>using</w:t>
      </w:r>
      <w:r w:rsidR="00392295" w:rsidRPr="004C0D35">
        <w:rPr>
          <w:rFonts w:ascii="Times New Roman" w:hAnsi="Times New Roman" w:cs="Times New Roman"/>
          <w:color w:val="000000"/>
          <w:sz w:val="24"/>
          <w:szCs w:val="24"/>
          <w:shd w:val="clear" w:color="auto" w:fill="FFFFFF"/>
        </w:rPr>
        <w:t xml:space="preserve"> legal databases such as Lexis, Westlaw and </w:t>
      </w:r>
      <w:r w:rsidR="008B2D3E" w:rsidRPr="004C0D35">
        <w:rPr>
          <w:rFonts w:ascii="Times New Roman" w:hAnsi="Times New Roman" w:cs="Times New Roman"/>
          <w:color w:val="000000"/>
          <w:sz w:val="24"/>
          <w:szCs w:val="24"/>
          <w:shd w:val="clear" w:color="auto" w:fill="FFFFFF"/>
        </w:rPr>
        <w:t>Hein</w:t>
      </w:r>
      <w:r w:rsidR="00392295" w:rsidRPr="004C0D35">
        <w:rPr>
          <w:rFonts w:ascii="Times New Roman" w:hAnsi="Times New Roman" w:cs="Times New Roman"/>
          <w:color w:val="000000"/>
          <w:sz w:val="24"/>
          <w:szCs w:val="24"/>
          <w:shd w:val="clear" w:color="auto" w:fill="FFFFFF"/>
        </w:rPr>
        <w:t xml:space="preserve">, </w:t>
      </w:r>
      <w:r w:rsidR="007E406E" w:rsidRPr="004C0D35">
        <w:rPr>
          <w:rFonts w:ascii="Times New Roman" w:hAnsi="Times New Roman" w:cs="Times New Roman"/>
          <w:color w:val="000000"/>
          <w:sz w:val="24"/>
          <w:szCs w:val="24"/>
          <w:shd w:val="clear" w:color="auto" w:fill="FFFFFF"/>
        </w:rPr>
        <w:t>jurisdictions</w:t>
      </w:r>
      <w:r w:rsidR="00392295" w:rsidRPr="004C0D35">
        <w:rPr>
          <w:rFonts w:ascii="Times New Roman" w:hAnsi="Times New Roman" w:cs="Times New Roman"/>
          <w:color w:val="000000"/>
          <w:sz w:val="24"/>
          <w:szCs w:val="24"/>
          <w:shd w:val="clear" w:color="auto" w:fill="FFFFFF"/>
        </w:rPr>
        <w:t>’ official statutory collections, as well as treatises and other scholarly sources</w:t>
      </w:r>
      <w:r w:rsidR="00B7113E" w:rsidRPr="004C0D35">
        <w:rPr>
          <w:rFonts w:ascii="Times New Roman" w:hAnsi="Times New Roman" w:cs="Times New Roman"/>
          <w:color w:val="000000"/>
          <w:sz w:val="24"/>
          <w:szCs w:val="24"/>
          <w:shd w:val="clear" w:color="auto" w:fill="FFFFFF"/>
        </w:rPr>
        <w:t xml:space="preserve"> found in libraries in several countries</w:t>
      </w:r>
      <w:r w:rsidR="00392295" w:rsidRPr="004C0D35">
        <w:rPr>
          <w:rFonts w:ascii="Times New Roman" w:hAnsi="Times New Roman" w:cs="Times New Roman"/>
          <w:color w:val="000000"/>
          <w:sz w:val="24"/>
          <w:szCs w:val="24"/>
          <w:shd w:val="clear" w:color="auto" w:fill="FFFFFF"/>
        </w:rPr>
        <w:t>.</w:t>
      </w:r>
      <w:r w:rsidR="00CC4F7C" w:rsidRPr="004C0D35">
        <w:rPr>
          <w:rFonts w:ascii="Times New Roman" w:hAnsi="Times New Roman" w:cs="Times New Roman"/>
          <w:color w:val="000000"/>
          <w:sz w:val="24"/>
          <w:szCs w:val="24"/>
          <w:shd w:val="clear" w:color="auto" w:fill="FFFFFF"/>
        </w:rPr>
        <w:t xml:space="preserve"> </w:t>
      </w:r>
      <w:r w:rsidR="00804505" w:rsidRPr="004C0D35">
        <w:rPr>
          <w:rFonts w:ascii="Times New Roman" w:hAnsi="Times New Roman" w:cs="Times New Roman"/>
          <w:color w:val="000000"/>
          <w:sz w:val="24"/>
          <w:szCs w:val="24"/>
          <w:shd w:val="clear" w:color="auto" w:fill="FFFFFF"/>
        </w:rPr>
        <w:t>Unofficial s</w:t>
      </w:r>
      <w:r w:rsidR="00CC4F7C" w:rsidRPr="004C0D35">
        <w:rPr>
          <w:rFonts w:ascii="Times New Roman" w:hAnsi="Times New Roman" w:cs="Times New Roman"/>
          <w:color w:val="000000"/>
          <w:sz w:val="24"/>
          <w:szCs w:val="24"/>
          <w:shd w:val="clear" w:color="auto" w:fill="FFFFFF"/>
        </w:rPr>
        <w:t>tatutory collections, such as Maurizio Lupoi’s mid-1990s collection, “Trust Laws of the World</w:t>
      </w:r>
      <w:r w:rsidR="00B979C4">
        <w:rPr>
          <w:rFonts w:ascii="Times New Roman" w:hAnsi="Times New Roman" w:cs="Times New Roman"/>
          <w:color w:val="000000"/>
          <w:sz w:val="24"/>
          <w:szCs w:val="24"/>
          <w:shd w:val="clear" w:color="auto" w:fill="FFFFFF"/>
        </w:rPr>
        <w:t>,</w:t>
      </w:r>
      <w:r w:rsidR="00CC4F7C" w:rsidRPr="004C0D35">
        <w:rPr>
          <w:rFonts w:ascii="Times New Roman" w:hAnsi="Times New Roman" w:cs="Times New Roman"/>
          <w:color w:val="000000"/>
          <w:sz w:val="24"/>
          <w:szCs w:val="24"/>
          <w:shd w:val="clear" w:color="auto" w:fill="FFFFFF"/>
        </w:rPr>
        <w:t>”</w:t>
      </w:r>
      <w:r w:rsidR="00631A27">
        <w:rPr>
          <w:rStyle w:val="FootnoteReference"/>
          <w:rFonts w:ascii="Times New Roman" w:hAnsi="Times New Roman" w:cs="Times New Roman"/>
          <w:color w:val="000000"/>
          <w:sz w:val="24"/>
          <w:szCs w:val="24"/>
          <w:shd w:val="clear" w:color="auto" w:fill="FFFFFF"/>
        </w:rPr>
        <w:footnoteReference w:id="41"/>
      </w:r>
      <w:r w:rsidR="00CC4F7C" w:rsidRPr="004C0D35">
        <w:rPr>
          <w:rFonts w:ascii="Times New Roman" w:hAnsi="Times New Roman" w:cs="Times New Roman"/>
          <w:color w:val="000000"/>
          <w:sz w:val="24"/>
          <w:szCs w:val="24"/>
          <w:shd w:val="clear" w:color="auto" w:fill="FFFFFF"/>
        </w:rPr>
        <w:t xml:space="preserve"> </w:t>
      </w:r>
      <w:r w:rsidR="004B4D74" w:rsidRPr="004C0D35">
        <w:rPr>
          <w:rFonts w:ascii="Times New Roman" w:hAnsi="Times New Roman" w:cs="Times New Roman"/>
          <w:color w:val="000000"/>
          <w:sz w:val="24"/>
          <w:szCs w:val="24"/>
          <w:shd w:val="clear" w:color="auto" w:fill="FFFFFF"/>
        </w:rPr>
        <w:t xml:space="preserve">also </w:t>
      </w:r>
      <w:r w:rsidR="00CC4F7C" w:rsidRPr="004C0D35">
        <w:rPr>
          <w:rFonts w:ascii="Times New Roman" w:hAnsi="Times New Roman" w:cs="Times New Roman"/>
          <w:color w:val="000000"/>
          <w:sz w:val="24"/>
          <w:szCs w:val="24"/>
          <w:shd w:val="clear" w:color="auto" w:fill="FFFFFF"/>
        </w:rPr>
        <w:t xml:space="preserve">proved </w:t>
      </w:r>
      <w:r w:rsidR="004B4D74" w:rsidRPr="004C0D35">
        <w:rPr>
          <w:rFonts w:ascii="Times New Roman" w:hAnsi="Times New Roman" w:cs="Times New Roman"/>
          <w:color w:val="000000"/>
          <w:sz w:val="24"/>
          <w:szCs w:val="24"/>
          <w:shd w:val="clear" w:color="auto" w:fill="FFFFFF"/>
        </w:rPr>
        <w:t>useful</w:t>
      </w:r>
      <w:r w:rsidR="00CC4F7C" w:rsidRPr="004C0D35">
        <w:rPr>
          <w:rFonts w:ascii="Times New Roman" w:hAnsi="Times New Roman" w:cs="Times New Roman"/>
          <w:color w:val="000000"/>
          <w:sz w:val="24"/>
          <w:szCs w:val="24"/>
          <w:shd w:val="clear" w:color="auto" w:fill="FFFFFF"/>
        </w:rPr>
        <w:t>.</w:t>
      </w:r>
      <w:r w:rsidR="001343F9" w:rsidRPr="004C0D35">
        <w:rPr>
          <w:rFonts w:ascii="Times New Roman" w:hAnsi="Times New Roman" w:cs="Times New Roman"/>
          <w:color w:val="000000"/>
          <w:sz w:val="24"/>
          <w:szCs w:val="24"/>
          <w:shd w:val="clear" w:color="auto" w:fill="FFFFFF"/>
        </w:rPr>
        <w:t xml:space="preserve"> To locate the relevant statutory materials, I started with obviously relevant statutes such as common law jurisdictions’ Trustee Acts and civil law jurisdictions’ Civil Codes. I was familiar with some of the other relevant legislation; additional such legisla</w:t>
      </w:r>
      <w:r w:rsidR="00B21329">
        <w:rPr>
          <w:rFonts w:ascii="Times New Roman" w:hAnsi="Times New Roman" w:cs="Times New Roman"/>
          <w:color w:val="000000"/>
          <w:sz w:val="24"/>
          <w:szCs w:val="24"/>
          <w:shd w:val="clear" w:color="auto" w:fill="FFFFFF"/>
        </w:rPr>
        <w:t>tion was located by a team of 17</w:t>
      </w:r>
      <w:r w:rsidR="001343F9" w:rsidRPr="004C0D35">
        <w:rPr>
          <w:rFonts w:ascii="Times New Roman" w:hAnsi="Times New Roman" w:cs="Times New Roman"/>
          <w:color w:val="000000"/>
          <w:sz w:val="24"/>
          <w:szCs w:val="24"/>
          <w:shd w:val="clear" w:color="auto" w:fill="FFFFFF"/>
        </w:rPr>
        <w:t xml:space="preserve"> </w:t>
      </w:r>
      <w:r w:rsidR="004D6301" w:rsidRPr="004C0D35">
        <w:rPr>
          <w:rFonts w:ascii="Times New Roman" w:hAnsi="Times New Roman" w:cs="Times New Roman"/>
          <w:color w:val="000000"/>
          <w:sz w:val="24"/>
          <w:szCs w:val="24"/>
          <w:shd w:val="clear" w:color="auto" w:fill="FFFFFF"/>
        </w:rPr>
        <w:t xml:space="preserve">advanced-year </w:t>
      </w:r>
      <w:r w:rsidR="001343F9" w:rsidRPr="004C0D35">
        <w:rPr>
          <w:rFonts w:ascii="Times New Roman" w:hAnsi="Times New Roman" w:cs="Times New Roman"/>
          <w:color w:val="000000"/>
          <w:sz w:val="24"/>
          <w:szCs w:val="24"/>
          <w:shd w:val="clear" w:color="auto" w:fill="FFFFFF"/>
        </w:rPr>
        <w:t>law students</w:t>
      </w:r>
      <w:r w:rsidR="004D6301" w:rsidRPr="004C0D35">
        <w:rPr>
          <w:rFonts w:ascii="Times New Roman" w:hAnsi="Times New Roman" w:cs="Times New Roman"/>
          <w:color w:val="000000"/>
          <w:sz w:val="24"/>
          <w:szCs w:val="24"/>
          <w:shd w:val="clear" w:color="auto" w:fill="FFFFFF"/>
        </w:rPr>
        <w:t xml:space="preserve"> and law graduates</w:t>
      </w:r>
      <w:r w:rsidR="004B4D74" w:rsidRPr="004C0D35">
        <w:rPr>
          <w:rFonts w:ascii="Times New Roman" w:hAnsi="Times New Roman" w:cs="Times New Roman"/>
          <w:color w:val="000000"/>
          <w:sz w:val="24"/>
          <w:szCs w:val="24"/>
          <w:shd w:val="clear" w:color="auto" w:fill="FFFFFF"/>
        </w:rPr>
        <w:t>,</w:t>
      </w:r>
      <w:r w:rsidR="001343F9" w:rsidRPr="004C0D35">
        <w:rPr>
          <w:rFonts w:ascii="Times New Roman" w:hAnsi="Times New Roman" w:cs="Times New Roman"/>
          <w:color w:val="000000"/>
          <w:sz w:val="24"/>
          <w:szCs w:val="24"/>
          <w:shd w:val="clear" w:color="auto" w:fill="FFFFFF"/>
        </w:rPr>
        <w:t xml:space="preserve"> </w:t>
      </w:r>
      <w:r w:rsidR="004B4D74" w:rsidRPr="004C0D35">
        <w:rPr>
          <w:rFonts w:ascii="Times New Roman" w:hAnsi="Times New Roman" w:cs="Times New Roman"/>
          <w:color w:val="000000"/>
          <w:sz w:val="24"/>
          <w:szCs w:val="24"/>
          <w:shd w:val="clear" w:color="auto" w:fill="FFFFFF"/>
        </w:rPr>
        <w:t xml:space="preserve">including </w:t>
      </w:r>
      <w:r w:rsidR="001343F9" w:rsidRPr="004C0D35">
        <w:rPr>
          <w:rFonts w:ascii="Times New Roman" w:hAnsi="Times New Roman" w:cs="Times New Roman"/>
          <w:color w:val="000000"/>
          <w:sz w:val="24"/>
          <w:szCs w:val="24"/>
          <w:shd w:val="clear" w:color="auto" w:fill="FFFFFF"/>
        </w:rPr>
        <w:t>eight Israelis, two Australians, two Canadians, and one each in Japan, the U.S.</w:t>
      </w:r>
      <w:r w:rsidR="004B4D74" w:rsidRPr="004C0D35">
        <w:rPr>
          <w:rFonts w:ascii="Times New Roman" w:hAnsi="Times New Roman" w:cs="Times New Roman"/>
          <w:color w:val="000000"/>
          <w:sz w:val="24"/>
          <w:szCs w:val="24"/>
          <w:shd w:val="clear" w:color="auto" w:fill="FFFFFF"/>
        </w:rPr>
        <w:t>, England, Jersey and Hong Kong</w:t>
      </w:r>
      <w:r w:rsidR="001343F9" w:rsidRPr="004C0D35">
        <w:rPr>
          <w:rFonts w:ascii="Times New Roman" w:hAnsi="Times New Roman" w:cs="Times New Roman"/>
          <w:color w:val="000000"/>
          <w:sz w:val="24"/>
          <w:szCs w:val="24"/>
          <w:shd w:val="clear" w:color="auto" w:fill="FFFFFF"/>
        </w:rPr>
        <w:t>. Latin American s</w:t>
      </w:r>
      <w:r w:rsidR="002800F6" w:rsidRPr="004C0D35">
        <w:rPr>
          <w:rFonts w:ascii="Times New Roman" w:hAnsi="Times New Roman" w:cs="Times New Roman"/>
          <w:iCs/>
          <w:color w:val="000000"/>
          <w:sz w:val="24"/>
          <w:szCs w:val="24"/>
          <w:shd w:val="clear" w:color="auto" w:fill="FFFFFF"/>
        </w:rPr>
        <w:t>tatutory material</w:t>
      </w:r>
      <w:r w:rsidR="00804505" w:rsidRPr="004C0D35">
        <w:rPr>
          <w:rFonts w:ascii="Times New Roman" w:hAnsi="Times New Roman" w:cs="Times New Roman"/>
          <w:iCs/>
          <w:color w:val="000000"/>
          <w:sz w:val="24"/>
          <w:szCs w:val="24"/>
          <w:shd w:val="clear" w:color="auto" w:fill="FFFFFF"/>
        </w:rPr>
        <w:t>s in Spanish were</w:t>
      </w:r>
      <w:r w:rsidR="002800F6" w:rsidRPr="004C0D35">
        <w:rPr>
          <w:rFonts w:ascii="Times New Roman" w:hAnsi="Times New Roman" w:cs="Times New Roman"/>
          <w:iCs/>
          <w:color w:val="000000"/>
          <w:sz w:val="24"/>
          <w:szCs w:val="24"/>
          <w:shd w:val="clear" w:color="auto" w:fill="FFFFFF"/>
        </w:rPr>
        <w:t xml:space="preserve"> translated by the staff of Estudio Malumian, an Argentinian law firm specializing in trusts. I used unofficial translations of several </w:t>
      </w:r>
      <w:r w:rsidR="002D767B" w:rsidRPr="004C0D35">
        <w:rPr>
          <w:rFonts w:ascii="Times New Roman" w:hAnsi="Times New Roman" w:cs="Times New Roman"/>
          <w:iCs/>
          <w:color w:val="000000"/>
          <w:sz w:val="24"/>
          <w:szCs w:val="24"/>
          <w:shd w:val="clear" w:color="auto" w:fill="FFFFFF"/>
        </w:rPr>
        <w:t>East Asian and East</w:t>
      </w:r>
      <w:r w:rsidR="002800F6" w:rsidRPr="004C0D35">
        <w:rPr>
          <w:rFonts w:ascii="Times New Roman" w:hAnsi="Times New Roman" w:cs="Times New Roman"/>
          <w:iCs/>
          <w:color w:val="000000"/>
          <w:sz w:val="24"/>
          <w:szCs w:val="24"/>
          <w:shd w:val="clear" w:color="auto" w:fill="FFFFFF"/>
        </w:rPr>
        <w:t xml:space="preserve"> European statutes. </w:t>
      </w:r>
      <w:r w:rsidR="002D767B" w:rsidRPr="004C0D35">
        <w:rPr>
          <w:rFonts w:ascii="Times New Roman" w:hAnsi="Times New Roman" w:cs="Times New Roman"/>
          <w:iCs/>
          <w:color w:val="000000"/>
          <w:sz w:val="24"/>
          <w:szCs w:val="24"/>
          <w:shd w:val="clear" w:color="auto" w:fill="FFFFFF"/>
        </w:rPr>
        <w:t xml:space="preserve">Other </w:t>
      </w:r>
      <w:r w:rsidR="002800F6" w:rsidRPr="004C0D35">
        <w:rPr>
          <w:rFonts w:ascii="Times New Roman" w:hAnsi="Times New Roman" w:cs="Times New Roman"/>
          <w:iCs/>
          <w:color w:val="000000"/>
          <w:sz w:val="24"/>
          <w:szCs w:val="24"/>
          <w:shd w:val="clear" w:color="auto" w:fill="FFFFFF"/>
        </w:rPr>
        <w:t>East Asian statutory material</w:t>
      </w:r>
      <w:r w:rsidR="002D767B" w:rsidRPr="004C0D35">
        <w:rPr>
          <w:rFonts w:ascii="Times New Roman" w:hAnsi="Times New Roman" w:cs="Times New Roman"/>
          <w:iCs/>
          <w:color w:val="000000"/>
          <w:sz w:val="24"/>
          <w:szCs w:val="24"/>
          <w:shd w:val="clear" w:color="auto" w:fill="FFFFFF"/>
        </w:rPr>
        <w:t>s</w:t>
      </w:r>
      <w:r w:rsidR="002800F6" w:rsidRPr="004C0D35">
        <w:rPr>
          <w:rFonts w:ascii="Times New Roman" w:hAnsi="Times New Roman" w:cs="Times New Roman"/>
          <w:iCs/>
          <w:color w:val="000000"/>
          <w:sz w:val="24"/>
          <w:szCs w:val="24"/>
          <w:shd w:val="clear" w:color="auto" w:fill="FFFFFF"/>
        </w:rPr>
        <w:t xml:space="preserve"> w</w:t>
      </w:r>
      <w:r w:rsidR="002D767B" w:rsidRPr="004C0D35">
        <w:rPr>
          <w:rFonts w:ascii="Times New Roman" w:hAnsi="Times New Roman" w:cs="Times New Roman"/>
          <w:iCs/>
          <w:color w:val="000000"/>
          <w:sz w:val="24"/>
          <w:szCs w:val="24"/>
          <w:shd w:val="clear" w:color="auto" w:fill="FFFFFF"/>
        </w:rPr>
        <w:t>ere</w:t>
      </w:r>
      <w:r w:rsidR="002800F6" w:rsidRPr="004C0D35">
        <w:rPr>
          <w:rFonts w:ascii="Times New Roman" w:hAnsi="Times New Roman" w:cs="Times New Roman"/>
          <w:iCs/>
          <w:color w:val="000000"/>
          <w:sz w:val="24"/>
          <w:szCs w:val="24"/>
          <w:shd w:val="clear" w:color="auto" w:fill="FFFFFF"/>
        </w:rPr>
        <w:t xml:space="preserve"> translated by Ryoga Konno, a Japanese law student, supervised by Prof. Masayuki Tamaruya of Rikkyo University, Japan. Paolo Panico</w:t>
      </w:r>
      <w:r w:rsidR="002D767B" w:rsidRPr="004C0D35">
        <w:rPr>
          <w:rFonts w:ascii="Times New Roman" w:hAnsi="Times New Roman" w:cs="Times New Roman"/>
          <w:iCs/>
          <w:color w:val="000000"/>
          <w:sz w:val="24"/>
          <w:szCs w:val="24"/>
          <w:shd w:val="clear" w:color="auto" w:fill="FFFFFF"/>
        </w:rPr>
        <w:t>,</w:t>
      </w:r>
      <w:r w:rsidR="002800F6" w:rsidRPr="004C0D35">
        <w:rPr>
          <w:rFonts w:ascii="Times New Roman" w:hAnsi="Times New Roman" w:cs="Times New Roman"/>
          <w:iCs/>
          <w:color w:val="000000"/>
          <w:sz w:val="24"/>
          <w:szCs w:val="24"/>
          <w:shd w:val="clear" w:color="auto" w:fill="FFFFFF"/>
        </w:rPr>
        <w:t xml:space="preserve"> Managing Director of a trust and corporate service provider </w:t>
      </w:r>
      <w:r w:rsidR="002D767B" w:rsidRPr="004C0D35">
        <w:rPr>
          <w:rFonts w:ascii="Times New Roman" w:hAnsi="Times New Roman" w:cs="Times New Roman"/>
          <w:iCs/>
          <w:color w:val="000000"/>
          <w:sz w:val="24"/>
          <w:szCs w:val="24"/>
          <w:shd w:val="clear" w:color="auto" w:fill="FFFFFF"/>
        </w:rPr>
        <w:t>headquartered</w:t>
      </w:r>
      <w:r w:rsidR="002800F6" w:rsidRPr="004C0D35">
        <w:rPr>
          <w:rFonts w:ascii="Times New Roman" w:hAnsi="Times New Roman" w:cs="Times New Roman"/>
          <w:iCs/>
          <w:color w:val="000000"/>
          <w:sz w:val="24"/>
          <w:szCs w:val="24"/>
          <w:shd w:val="clear" w:color="auto" w:fill="FFFFFF"/>
        </w:rPr>
        <w:t xml:space="preserve"> in Luxembourg, </w:t>
      </w:r>
      <w:r w:rsidR="00804505" w:rsidRPr="004C0D35">
        <w:rPr>
          <w:rFonts w:ascii="Times New Roman" w:hAnsi="Times New Roman" w:cs="Times New Roman"/>
          <w:iCs/>
          <w:color w:val="000000"/>
          <w:sz w:val="24"/>
          <w:szCs w:val="24"/>
          <w:shd w:val="clear" w:color="auto" w:fill="FFFFFF"/>
        </w:rPr>
        <w:t xml:space="preserve">kindly </w:t>
      </w:r>
      <w:r w:rsidR="002800F6" w:rsidRPr="004C0D35">
        <w:rPr>
          <w:rFonts w:ascii="Times New Roman" w:hAnsi="Times New Roman" w:cs="Times New Roman"/>
          <w:iCs/>
          <w:color w:val="000000"/>
          <w:sz w:val="24"/>
          <w:szCs w:val="24"/>
          <w:shd w:val="clear" w:color="auto" w:fill="FFFFFF"/>
        </w:rPr>
        <w:t xml:space="preserve">translated the fiducia provisions of the Romanian civil code. </w:t>
      </w:r>
      <w:r w:rsidR="00804505" w:rsidRPr="004C0D35">
        <w:rPr>
          <w:rFonts w:ascii="Times New Roman" w:hAnsi="Times New Roman" w:cs="Times New Roman"/>
          <w:color w:val="000000"/>
          <w:sz w:val="24"/>
          <w:szCs w:val="24"/>
          <w:shd w:val="clear" w:color="auto" w:fill="FFFFFF"/>
        </w:rPr>
        <w:t>I obtained information on non-statutory law from treatises covering the trusts law of different jurisdictions.</w:t>
      </w:r>
    </w:p>
    <w:p w14:paraId="080407E5" w14:textId="77777777" w:rsidR="007031D7" w:rsidRPr="004C0D35" w:rsidRDefault="007031D7" w:rsidP="007A714F">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1DAF9ECE" w14:textId="77777777" w:rsidR="00AD2763" w:rsidRPr="002050B5" w:rsidRDefault="002050B5" w:rsidP="002050B5">
      <w:pPr>
        <w:autoSpaceDE w:val="0"/>
        <w:autoSpaceDN w:val="0"/>
        <w:adjustRightInd w:val="0"/>
        <w:spacing w:line="276" w:lineRule="auto"/>
        <w:rPr>
          <w:rFonts w:ascii="Times New Roman" w:eastAsia="Times New Roman" w:hAnsi="Times New Roman" w:cs="Times New Roman"/>
          <w:smallCaps/>
          <w:color w:val="222222"/>
          <w:sz w:val="24"/>
          <w:szCs w:val="24"/>
        </w:rPr>
      </w:pPr>
      <w:r w:rsidRPr="002050B5">
        <w:rPr>
          <w:rFonts w:ascii="Times New Roman" w:hAnsi="Times New Roman" w:cs="Times New Roman"/>
          <w:smallCaps/>
          <w:color w:val="000000"/>
          <w:sz w:val="24"/>
          <w:szCs w:val="24"/>
          <w:shd w:val="clear" w:color="auto" w:fill="FFFFFF"/>
        </w:rPr>
        <w:t>B</w:t>
      </w:r>
      <w:r w:rsidR="00DE7105" w:rsidRPr="002050B5">
        <w:rPr>
          <w:rFonts w:ascii="Times New Roman" w:hAnsi="Times New Roman" w:cs="Times New Roman"/>
          <w:smallCaps/>
          <w:color w:val="000000"/>
          <w:sz w:val="24"/>
          <w:szCs w:val="24"/>
          <w:shd w:val="clear" w:color="auto" w:fill="FFFFFF"/>
        </w:rPr>
        <w:t>. Coding</w:t>
      </w:r>
    </w:p>
    <w:p w14:paraId="756C0AAB" w14:textId="77777777" w:rsidR="00FD13FB" w:rsidRPr="004C0D35" w:rsidRDefault="00C97E8A" w:rsidP="00B21329">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E</w:t>
      </w:r>
      <w:r w:rsidR="00C327F2" w:rsidRPr="004C0D35">
        <w:rPr>
          <w:rFonts w:ascii="Times New Roman" w:hAnsi="Times New Roman" w:cs="Times New Roman"/>
          <w:color w:val="000000"/>
          <w:sz w:val="24"/>
          <w:szCs w:val="24"/>
          <w:shd w:val="clear" w:color="auto" w:fill="FFFFFF"/>
        </w:rPr>
        <w:t>ach statutory enactment</w:t>
      </w:r>
      <w:r w:rsidRPr="004C0D35">
        <w:rPr>
          <w:rFonts w:ascii="Times New Roman" w:hAnsi="Times New Roman" w:cs="Times New Roman"/>
          <w:color w:val="000000"/>
          <w:sz w:val="24"/>
          <w:szCs w:val="24"/>
          <w:shd w:val="clear" w:color="auto" w:fill="FFFFFF"/>
        </w:rPr>
        <w:t xml:space="preserve"> respecting each of the 22 doctrinal variables</w:t>
      </w:r>
      <w:r w:rsidR="00C327F2" w:rsidRPr="004C0D35">
        <w:rPr>
          <w:rFonts w:ascii="Times New Roman" w:hAnsi="Times New Roman" w:cs="Times New Roman"/>
          <w:color w:val="000000"/>
          <w:sz w:val="24"/>
          <w:szCs w:val="24"/>
          <w:shd w:val="clear" w:color="auto" w:fill="FFFFFF"/>
        </w:rPr>
        <w:t>, whether running to a single section or to many sections,</w:t>
      </w:r>
      <w:r w:rsidR="00B21329">
        <w:rPr>
          <w:rFonts w:ascii="Times New Roman" w:hAnsi="Times New Roman" w:cs="Times New Roman"/>
          <w:color w:val="000000"/>
          <w:sz w:val="24"/>
          <w:szCs w:val="24"/>
          <w:shd w:val="clear" w:color="auto" w:fill="FFFFFF"/>
        </w:rPr>
        <w:t xml:space="preserve"> counts as o</w:t>
      </w:r>
      <w:r w:rsidRPr="004C0D35">
        <w:rPr>
          <w:rFonts w:ascii="Times New Roman" w:hAnsi="Times New Roman" w:cs="Times New Roman"/>
          <w:color w:val="000000"/>
          <w:sz w:val="24"/>
          <w:szCs w:val="24"/>
          <w:shd w:val="clear" w:color="auto" w:fill="FFFFFF"/>
        </w:rPr>
        <w:t>n</w:t>
      </w:r>
      <w:r w:rsidR="00B21329">
        <w:rPr>
          <w:rFonts w:ascii="Times New Roman" w:hAnsi="Times New Roman" w:cs="Times New Roman"/>
          <w:color w:val="000000"/>
          <w:sz w:val="24"/>
          <w:szCs w:val="24"/>
          <w:shd w:val="clear" w:color="auto" w:fill="FFFFFF"/>
        </w:rPr>
        <w:t>e</w:t>
      </w:r>
      <w:r w:rsidRPr="004C0D35">
        <w:rPr>
          <w:rFonts w:ascii="Times New Roman" w:hAnsi="Times New Roman" w:cs="Times New Roman"/>
          <w:color w:val="000000"/>
          <w:sz w:val="24"/>
          <w:szCs w:val="24"/>
          <w:shd w:val="clear" w:color="auto" w:fill="FFFFFF"/>
        </w:rPr>
        <w:t xml:space="preserve"> observation. For each observation,</w:t>
      </w:r>
      <w:r w:rsidR="00FD13FB" w:rsidRPr="004C0D35">
        <w:rPr>
          <w:rFonts w:ascii="Times New Roman" w:hAnsi="Times New Roman" w:cs="Times New Roman"/>
          <w:color w:val="000000"/>
          <w:sz w:val="24"/>
          <w:szCs w:val="24"/>
          <w:shd w:val="clear" w:color="auto" w:fill="FFFFFF"/>
        </w:rPr>
        <w:t xml:space="preserve"> I collected its contents, the date of approval, the date it came into force, and whether it changed the law on topic or merely gave new form to </w:t>
      </w:r>
      <w:r w:rsidR="00FD13FB" w:rsidRPr="004C0D35">
        <w:rPr>
          <w:rFonts w:ascii="Times New Roman" w:hAnsi="Times New Roman" w:cs="Times New Roman"/>
          <w:sz w:val="24"/>
          <w:szCs w:val="24"/>
        </w:rPr>
        <w:t xml:space="preserve">normative material which was already present in the </w:t>
      </w:r>
      <w:r w:rsidR="00B21329">
        <w:rPr>
          <w:rFonts w:ascii="Times New Roman" w:hAnsi="Times New Roman" w:cs="Times New Roman"/>
          <w:sz w:val="24"/>
          <w:szCs w:val="24"/>
        </w:rPr>
        <w:t xml:space="preserve">law of the </w:t>
      </w:r>
      <w:r w:rsidR="00FD13FB" w:rsidRPr="004C0D35">
        <w:rPr>
          <w:rFonts w:ascii="Times New Roman" w:hAnsi="Times New Roman" w:cs="Times New Roman"/>
          <w:sz w:val="24"/>
          <w:szCs w:val="24"/>
        </w:rPr>
        <w:t xml:space="preserve">relevant </w:t>
      </w:r>
      <w:r w:rsidR="00B21329">
        <w:rPr>
          <w:rFonts w:ascii="Times New Roman" w:hAnsi="Times New Roman" w:cs="Times New Roman"/>
          <w:sz w:val="24"/>
          <w:szCs w:val="24"/>
        </w:rPr>
        <w:t>jurisdiction</w:t>
      </w:r>
      <w:r w:rsidR="00C327F2" w:rsidRPr="004C0D35">
        <w:rPr>
          <w:rFonts w:ascii="Times New Roman" w:hAnsi="Times New Roman" w:cs="Times New Roman"/>
          <w:sz w:val="24"/>
          <w:szCs w:val="24"/>
        </w:rPr>
        <w:t xml:space="preserve"> before its enactment</w:t>
      </w:r>
      <w:r w:rsidR="00FD13FB" w:rsidRPr="004C0D35">
        <w:rPr>
          <w:rFonts w:ascii="Times New Roman" w:hAnsi="Times New Roman" w:cs="Times New Roman"/>
          <w:color w:val="000000"/>
          <w:sz w:val="24"/>
          <w:szCs w:val="24"/>
          <w:shd w:val="clear" w:color="auto" w:fill="FFFFFF"/>
        </w:rPr>
        <w:t xml:space="preserve">. </w:t>
      </w:r>
      <w:r w:rsidR="00CE79DB" w:rsidRPr="004C0D35">
        <w:rPr>
          <w:rFonts w:ascii="Times New Roman" w:hAnsi="Times New Roman" w:cs="Times New Roman"/>
          <w:color w:val="000000"/>
          <w:sz w:val="24"/>
          <w:szCs w:val="24"/>
          <w:shd w:val="clear" w:color="auto" w:fill="FFFFFF"/>
        </w:rPr>
        <w:t>As explained above, t</w:t>
      </w:r>
      <w:r w:rsidR="00BA26C5" w:rsidRPr="004C0D35">
        <w:rPr>
          <w:rFonts w:ascii="Times New Roman" w:hAnsi="Times New Roman" w:cs="Times New Roman"/>
          <w:color w:val="000000"/>
          <w:sz w:val="24"/>
          <w:szCs w:val="24"/>
          <w:shd w:val="clear" w:color="auto" w:fill="FFFFFF"/>
        </w:rPr>
        <w:t xml:space="preserve">he last </w:t>
      </w:r>
      <w:r w:rsidR="00F77CF8" w:rsidRPr="004C0D35">
        <w:rPr>
          <w:rFonts w:ascii="Times New Roman" w:hAnsi="Times New Roman" w:cs="Times New Roman"/>
          <w:color w:val="000000"/>
          <w:sz w:val="24"/>
          <w:szCs w:val="24"/>
          <w:shd w:val="clear" w:color="auto" w:fill="FFFFFF"/>
        </w:rPr>
        <w:t>variable</w:t>
      </w:r>
      <w:r w:rsidR="00BA26C5" w:rsidRPr="004C0D35">
        <w:rPr>
          <w:rFonts w:ascii="Times New Roman" w:hAnsi="Times New Roman" w:cs="Times New Roman"/>
          <w:color w:val="000000"/>
          <w:sz w:val="24"/>
          <w:szCs w:val="24"/>
          <w:shd w:val="clear" w:color="auto" w:fill="FFFFFF"/>
        </w:rPr>
        <w:t xml:space="preserve"> compensates for my focus on statutory law</w:t>
      </w:r>
      <w:r w:rsidR="00CE79DB" w:rsidRPr="004C0D35">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 xml:space="preserve"> </w:t>
      </w:r>
      <w:r w:rsidR="00EA2D29" w:rsidRPr="004C0D35">
        <w:rPr>
          <w:rFonts w:ascii="Times New Roman" w:hAnsi="Times New Roman" w:cs="Times New Roman"/>
          <w:color w:val="000000"/>
          <w:sz w:val="24"/>
          <w:szCs w:val="24"/>
          <w:shd w:val="clear" w:color="auto" w:fill="FFFFFF"/>
        </w:rPr>
        <w:t xml:space="preserve">591 of the 2,824 observations were coded as following, rather than changing, pre-existing law. </w:t>
      </w:r>
      <w:r w:rsidRPr="004C0D35">
        <w:rPr>
          <w:rFonts w:ascii="Times New Roman" w:hAnsi="Times New Roman" w:cs="Times New Roman"/>
          <w:color w:val="000000"/>
          <w:sz w:val="24"/>
          <w:szCs w:val="24"/>
          <w:shd w:val="clear" w:color="auto" w:fill="FFFFFF"/>
        </w:rPr>
        <w:t xml:space="preserve">Where </w:t>
      </w:r>
      <w:r w:rsidR="00F77CF8" w:rsidRPr="004C0D35">
        <w:rPr>
          <w:rFonts w:ascii="Times New Roman" w:hAnsi="Times New Roman" w:cs="Times New Roman"/>
          <w:color w:val="000000"/>
          <w:sz w:val="24"/>
          <w:szCs w:val="24"/>
          <w:shd w:val="clear" w:color="auto" w:fill="FFFFFF"/>
        </w:rPr>
        <w:t>information respecting th</w:t>
      </w:r>
      <w:r w:rsidR="00EA2D29" w:rsidRPr="004C0D35">
        <w:rPr>
          <w:rFonts w:ascii="Times New Roman" w:hAnsi="Times New Roman" w:cs="Times New Roman"/>
          <w:color w:val="000000"/>
          <w:sz w:val="24"/>
          <w:szCs w:val="24"/>
          <w:shd w:val="clear" w:color="auto" w:fill="FFFFFF"/>
        </w:rPr>
        <w:t>is</w:t>
      </w:r>
      <w:r w:rsidR="00F77CF8" w:rsidRPr="004C0D35">
        <w:rPr>
          <w:rFonts w:ascii="Times New Roman" w:hAnsi="Times New Roman" w:cs="Times New Roman"/>
          <w:color w:val="000000"/>
          <w:sz w:val="24"/>
          <w:szCs w:val="24"/>
          <w:shd w:val="clear" w:color="auto" w:fill="FFFFFF"/>
        </w:rPr>
        <w:t xml:space="preserve"> variable was not obtainable, I coded the observation as </w:t>
      </w:r>
      <w:r w:rsidR="00D83682" w:rsidRPr="004C0D35">
        <w:rPr>
          <w:rFonts w:ascii="Times New Roman" w:hAnsi="Times New Roman" w:cs="Times New Roman"/>
          <w:color w:val="000000"/>
          <w:sz w:val="24"/>
          <w:szCs w:val="24"/>
          <w:shd w:val="clear" w:color="auto" w:fill="FFFFFF"/>
        </w:rPr>
        <w:t>changing the law on topic: absent information to the contrary, it is reasonable to assume that jurisdictions do not enact statutes merely to give new form to pre-existing normative materials.</w:t>
      </w:r>
      <w:r w:rsidR="00F77CF8" w:rsidRPr="004C0D35">
        <w:rPr>
          <w:rFonts w:ascii="Times New Roman" w:hAnsi="Times New Roman" w:cs="Times New Roman"/>
          <w:color w:val="000000"/>
          <w:sz w:val="24"/>
          <w:szCs w:val="24"/>
          <w:shd w:val="clear" w:color="auto" w:fill="FFFFFF"/>
        </w:rPr>
        <w:t xml:space="preserve"> </w:t>
      </w:r>
      <w:r w:rsidR="0030762A" w:rsidRPr="004C0D35">
        <w:rPr>
          <w:rFonts w:ascii="Times New Roman" w:hAnsi="Times New Roman" w:cs="Times New Roman"/>
          <w:color w:val="000000"/>
          <w:sz w:val="24"/>
          <w:szCs w:val="24"/>
          <w:shd w:val="clear" w:color="auto" w:fill="FFFFFF"/>
        </w:rPr>
        <w:t xml:space="preserve">Because statutes which give new form to </w:t>
      </w:r>
      <w:r w:rsidR="006F3F75" w:rsidRPr="004C0D35">
        <w:rPr>
          <w:rFonts w:ascii="Times New Roman" w:hAnsi="Times New Roman" w:cs="Times New Roman"/>
          <w:color w:val="000000"/>
          <w:sz w:val="24"/>
          <w:szCs w:val="24"/>
          <w:shd w:val="clear" w:color="auto" w:fill="FFFFFF"/>
        </w:rPr>
        <w:t xml:space="preserve">a </w:t>
      </w:r>
      <w:r w:rsidR="0030762A" w:rsidRPr="004C0D35">
        <w:rPr>
          <w:rFonts w:ascii="Times New Roman" w:hAnsi="Times New Roman" w:cs="Times New Roman"/>
          <w:color w:val="000000"/>
          <w:sz w:val="24"/>
          <w:szCs w:val="24"/>
          <w:shd w:val="clear" w:color="auto" w:fill="FFFFFF"/>
        </w:rPr>
        <w:t xml:space="preserve">previously-existing </w:t>
      </w:r>
      <w:r w:rsidR="006F3F75" w:rsidRPr="004C0D35">
        <w:rPr>
          <w:rFonts w:ascii="Times New Roman" w:hAnsi="Times New Roman" w:cs="Times New Roman"/>
          <w:color w:val="000000"/>
          <w:sz w:val="24"/>
          <w:szCs w:val="24"/>
          <w:shd w:val="clear" w:color="auto" w:fill="FFFFFF"/>
        </w:rPr>
        <w:t xml:space="preserve">state of the </w:t>
      </w:r>
      <w:r w:rsidR="0030762A" w:rsidRPr="004C0D35">
        <w:rPr>
          <w:rFonts w:ascii="Times New Roman" w:hAnsi="Times New Roman" w:cs="Times New Roman"/>
          <w:color w:val="000000"/>
          <w:sz w:val="24"/>
          <w:szCs w:val="24"/>
          <w:shd w:val="clear" w:color="auto" w:fill="FFFFFF"/>
        </w:rPr>
        <w:t xml:space="preserve">law can increase awareness of that law and its uptake by users, I performed all of the analysis detailed in </w:t>
      </w:r>
      <w:r w:rsidR="008318F4" w:rsidRPr="004C0D35">
        <w:rPr>
          <w:rFonts w:ascii="Times New Roman" w:hAnsi="Times New Roman" w:cs="Times New Roman"/>
          <w:color w:val="000000"/>
          <w:sz w:val="24"/>
          <w:szCs w:val="24"/>
          <w:shd w:val="clear" w:color="auto" w:fill="FFFFFF"/>
        </w:rPr>
        <w:t>Part</w:t>
      </w:r>
      <w:r w:rsidR="0030762A" w:rsidRPr="004C0D35">
        <w:rPr>
          <w:rFonts w:ascii="Times New Roman" w:hAnsi="Times New Roman" w:cs="Times New Roman"/>
          <w:color w:val="000000"/>
          <w:sz w:val="24"/>
          <w:szCs w:val="24"/>
          <w:shd w:val="clear" w:color="auto" w:fill="FFFFFF"/>
        </w:rPr>
        <w:t xml:space="preserve"> IV twice: once taking such ‘declarative’ statutes into account, and again </w:t>
      </w:r>
      <w:r w:rsidR="00BF2AB5" w:rsidRPr="004C0D35">
        <w:rPr>
          <w:rFonts w:ascii="Times New Roman" w:hAnsi="Times New Roman" w:cs="Times New Roman"/>
          <w:color w:val="000000"/>
          <w:sz w:val="24"/>
          <w:szCs w:val="24"/>
          <w:shd w:val="clear" w:color="auto" w:fill="FFFFFF"/>
        </w:rPr>
        <w:t>without</w:t>
      </w:r>
      <w:r w:rsidR="0030762A" w:rsidRPr="004C0D35">
        <w:rPr>
          <w:rFonts w:ascii="Times New Roman" w:hAnsi="Times New Roman" w:cs="Times New Roman"/>
          <w:color w:val="000000"/>
          <w:sz w:val="24"/>
          <w:szCs w:val="24"/>
          <w:shd w:val="clear" w:color="auto" w:fill="FFFFFF"/>
        </w:rPr>
        <w:t xml:space="preserve"> them.</w:t>
      </w:r>
      <w:r w:rsidR="00D83682" w:rsidRPr="004C0D35">
        <w:rPr>
          <w:rFonts w:ascii="Times New Roman" w:hAnsi="Times New Roman" w:cs="Times New Roman"/>
          <w:color w:val="000000"/>
          <w:sz w:val="24"/>
          <w:szCs w:val="24"/>
          <w:shd w:val="clear" w:color="auto" w:fill="FFFFFF"/>
        </w:rPr>
        <w:t xml:space="preserve"> Much of the analysis appears in </w:t>
      </w:r>
      <w:r w:rsidR="008318F4" w:rsidRPr="004C0D35">
        <w:rPr>
          <w:rFonts w:ascii="Times New Roman" w:hAnsi="Times New Roman" w:cs="Times New Roman"/>
          <w:color w:val="000000"/>
          <w:sz w:val="24"/>
          <w:szCs w:val="24"/>
          <w:shd w:val="clear" w:color="auto" w:fill="FFFFFF"/>
        </w:rPr>
        <w:t>Part</w:t>
      </w:r>
      <w:r w:rsidR="00D83682" w:rsidRPr="004C0D35">
        <w:rPr>
          <w:rFonts w:ascii="Times New Roman" w:hAnsi="Times New Roman" w:cs="Times New Roman"/>
          <w:color w:val="000000"/>
          <w:sz w:val="24"/>
          <w:szCs w:val="24"/>
          <w:shd w:val="clear" w:color="auto" w:fill="FFFFFF"/>
        </w:rPr>
        <w:t xml:space="preserve"> IV in both versions: </w:t>
      </w:r>
      <w:r w:rsidR="0030762A" w:rsidRPr="004C0D35">
        <w:rPr>
          <w:rFonts w:ascii="Times New Roman" w:hAnsi="Times New Roman" w:cs="Times New Roman"/>
          <w:color w:val="000000"/>
          <w:sz w:val="24"/>
          <w:szCs w:val="24"/>
          <w:shd w:val="clear" w:color="auto" w:fill="FFFFFF"/>
        </w:rPr>
        <w:t xml:space="preserve"> </w:t>
      </w:r>
      <w:r w:rsidR="00D83682" w:rsidRPr="004C0D35">
        <w:rPr>
          <w:rFonts w:ascii="Times New Roman" w:hAnsi="Times New Roman" w:cs="Times New Roman"/>
          <w:color w:val="000000"/>
          <w:sz w:val="24"/>
          <w:szCs w:val="24"/>
          <w:shd w:val="clear" w:color="auto" w:fill="FFFFFF"/>
        </w:rPr>
        <w:t>once based on the full database, and again based on a restricted version of the database, from which statutes which merely gave new form to pre-existing normative materials have been excised.</w:t>
      </w:r>
    </w:p>
    <w:p w14:paraId="37ACD357" w14:textId="267E7356" w:rsidR="00734F22" w:rsidRDefault="00EE794D" w:rsidP="000C1D36">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t xml:space="preserve">In order to compare the </w:t>
      </w:r>
      <w:r w:rsidR="0013124C" w:rsidRPr="004C0D35">
        <w:rPr>
          <w:rFonts w:ascii="Times New Roman" w:hAnsi="Times New Roman" w:cs="Times New Roman"/>
          <w:color w:val="000000"/>
          <w:sz w:val="24"/>
          <w:szCs w:val="24"/>
          <w:shd w:val="clear" w:color="auto" w:fill="FFFFFF"/>
        </w:rPr>
        <w:t xml:space="preserve">relative liberality of each jurisdiction’s law </w:t>
      </w:r>
      <w:r w:rsidR="003027C2" w:rsidRPr="004C0D35">
        <w:rPr>
          <w:rFonts w:ascii="Times New Roman" w:hAnsi="Times New Roman" w:cs="Times New Roman"/>
          <w:color w:val="000000"/>
          <w:sz w:val="24"/>
          <w:szCs w:val="24"/>
          <w:shd w:val="clear" w:color="auto" w:fill="FFFFFF"/>
        </w:rPr>
        <w:t>regarding each variable at each point in time,</w:t>
      </w:r>
      <w:r w:rsidR="0013124C" w:rsidRPr="004C0D35">
        <w:rPr>
          <w:rFonts w:ascii="Times New Roman" w:hAnsi="Times New Roman" w:cs="Times New Roman"/>
          <w:color w:val="000000"/>
          <w:sz w:val="24"/>
          <w:szCs w:val="24"/>
          <w:shd w:val="clear" w:color="auto" w:fill="FFFFFF"/>
        </w:rPr>
        <w:t xml:space="preserve"> </w:t>
      </w:r>
      <w:r w:rsidRPr="004C0D35">
        <w:rPr>
          <w:rFonts w:ascii="Times New Roman" w:hAnsi="Times New Roman" w:cs="Times New Roman"/>
          <w:color w:val="000000"/>
          <w:sz w:val="24"/>
          <w:szCs w:val="24"/>
          <w:shd w:val="clear" w:color="auto" w:fill="FFFFFF"/>
        </w:rPr>
        <w:t xml:space="preserve">notwithstanding the different vocabulary used in different jurisdictions, the different meanings ascribed to similar vocabulary, each jurisdiction’s pre-existing </w:t>
      </w:r>
      <w:r w:rsidR="0083265F" w:rsidRPr="004C0D35">
        <w:rPr>
          <w:rFonts w:ascii="Times New Roman" w:hAnsi="Times New Roman" w:cs="Times New Roman"/>
          <w:color w:val="000000"/>
          <w:sz w:val="24"/>
          <w:szCs w:val="24"/>
          <w:shd w:val="clear" w:color="auto" w:fill="FFFFFF"/>
        </w:rPr>
        <w:t>non-statutory law, and assumptions underlying each jurisdiction’s</w:t>
      </w:r>
      <w:r w:rsidRPr="004C0D35">
        <w:rPr>
          <w:rFonts w:ascii="Times New Roman" w:hAnsi="Times New Roman" w:cs="Times New Roman"/>
          <w:color w:val="000000"/>
          <w:sz w:val="24"/>
          <w:szCs w:val="24"/>
          <w:shd w:val="clear" w:color="auto" w:fill="FFFFFF"/>
        </w:rPr>
        <w:t xml:space="preserve"> statute law regarding each variable, I developed a coding scheme for each variable, coding the most restrictive state of the law available internationally</w:t>
      </w:r>
      <w:r w:rsidR="003027C2" w:rsidRPr="004C0D35">
        <w:rPr>
          <w:rFonts w:ascii="Times New Roman" w:hAnsi="Times New Roman" w:cs="Times New Roman"/>
          <w:color w:val="000000"/>
          <w:sz w:val="24"/>
          <w:szCs w:val="24"/>
          <w:shd w:val="clear" w:color="auto" w:fill="FFFFFF"/>
        </w:rPr>
        <w:t xml:space="preserve"> regarding each</w:t>
      </w:r>
      <w:r w:rsidRPr="004C0D35">
        <w:rPr>
          <w:rFonts w:ascii="Times New Roman" w:hAnsi="Times New Roman" w:cs="Times New Roman"/>
          <w:color w:val="000000"/>
          <w:sz w:val="24"/>
          <w:szCs w:val="24"/>
          <w:shd w:val="clear" w:color="auto" w:fill="FFFFFF"/>
        </w:rPr>
        <w:t xml:space="preserve"> as 0.</w:t>
      </w:r>
      <w:bookmarkStart w:id="1" w:name="_Ref18336358"/>
      <w:r w:rsidR="00560380" w:rsidRPr="004C0D35">
        <w:rPr>
          <w:rStyle w:val="FootnoteReference"/>
          <w:rFonts w:ascii="Times New Roman" w:hAnsi="Times New Roman" w:cs="Times New Roman"/>
          <w:color w:val="000000"/>
          <w:sz w:val="24"/>
          <w:szCs w:val="24"/>
          <w:shd w:val="clear" w:color="auto" w:fill="FFFFFF"/>
        </w:rPr>
        <w:footnoteReference w:id="42"/>
      </w:r>
      <w:bookmarkEnd w:id="1"/>
      <w:r w:rsidRPr="004C0D35">
        <w:rPr>
          <w:rFonts w:ascii="Times New Roman" w:hAnsi="Times New Roman" w:cs="Times New Roman"/>
          <w:color w:val="000000"/>
          <w:sz w:val="24"/>
          <w:szCs w:val="24"/>
          <w:shd w:val="clear" w:color="auto" w:fill="FFFFFF"/>
        </w:rPr>
        <w:t xml:space="preserve"> The more liberal a rule, the larger the number expressing it. I attempted to code in a jurisdictionally agnostic manner, refraining from understand</w:t>
      </w:r>
      <w:r w:rsidR="00D92802" w:rsidRPr="004C0D35">
        <w:rPr>
          <w:rFonts w:ascii="Times New Roman" w:hAnsi="Times New Roman" w:cs="Times New Roman"/>
          <w:color w:val="000000"/>
          <w:sz w:val="24"/>
          <w:szCs w:val="24"/>
          <w:shd w:val="clear" w:color="auto" w:fill="FFFFFF"/>
        </w:rPr>
        <w:t>ing</w:t>
      </w:r>
      <w:r w:rsidRPr="004C0D35">
        <w:rPr>
          <w:rFonts w:ascii="Times New Roman" w:hAnsi="Times New Roman" w:cs="Times New Roman"/>
          <w:color w:val="000000"/>
          <w:sz w:val="24"/>
          <w:szCs w:val="24"/>
          <w:shd w:val="clear" w:color="auto" w:fill="FFFFFF"/>
        </w:rPr>
        <w:t xml:space="preserve"> </w:t>
      </w:r>
      <w:r w:rsidR="00B65A6F">
        <w:rPr>
          <w:rFonts w:ascii="Times New Roman" w:hAnsi="Times New Roman" w:cs="Times New Roman"/>
          <w:color w:val="000000"/>
          <w:sz w:val="24"/>
          <w:szCs w:val="24"/>
          <w:shd w:val="clear" w:color="auto" w:fill="FFFFFF"/>
        </w:rPr>
        <w:t xml:space="preserve">the law of </w:t>
      </w:r>
      <w:r w:rsidRPr="004C0D35">
        <w:rPr>
          <w:rFonts w:ascii="Times New Roman" w:hAnsi="Times New Roman" w:cs="Times New Roman"/>
          <w:color w:val="000000"/>
          <w:sz w:val="24"/>
          <w:szCs w:val="24"/>
          <w:shd w:val="clear" w:color="auto" w:fill="FFFFFF"/>
        </w:rPr>
        <w:t xml:space="preserve">some </w:t>
      </w:r>
      <w:r w:rsidR="00B65A6F">
        <w:rPr>
          <w:rFonts w:ascii="Times New Roman" w:hAnsi="Times New Roman" w:cs="Times New Roman"/>
          <w:color w:val="000000"/>
          <w:sz w:val="24"/>
          <w:szCs w:val="24"/>
          <w:shd w:val="clear" w:color="auto" w:fill="FFFFFF"/>
        </w:rPr>
        <w:t>jurisdiction</w:t>
      </w:r>
      <w:r w:rsidRPr="004C0D35">
        <w:rPr>
          <w:rFonts w:ascii="Times New Roman" w:hAnsi="Times New Roman" w:cs="Times New Roman"/>
          <w:color w:val="000000"/>
          <w:sz w:val="24"/>
          <w:szCs w:val="24"/>
          <w:shd w:val="clear" w:color="auto" w:fill="FFFFFF"/>
        </w:rPr>
        <w:t xml:space="preserve">s according to concepts and conceptual categories derived from others. Some variables were easy to code, especially those which examine the presence or absence, in </w:t>
      </w:r>
      <w:r w:rsidR="00B65A6F">
        <w:rPr>
          <w:rFonts w:ascii="Times New Roman" w:hAnsi="Times New Roman" w:cs="Times New Roman"/>
          <w:color w:val="000000"/>
          <w:sz w:val="24"/>
          <w:szCs w:val="24"/>
          <w:shd w:val="clear" w:color="auto" w:fill="FFFFFF"/>
        </w:rPr>
        <w:t xml:space="preserve">the law of </w:t>
      </w:r>
      <w:r w:rsidRPr="004C0D35">
        <w:rPr>
          <w:rFonts w:ascii="Times New Roman" w:hAnsi="Times New Roman" w:cs="Times New Roman"/>
          <w:color w:val="000000"/>
          <w:sz w:val="24"/>
          <w:szCs w:val="24"/>
          <w:shd w:val="clear" w:color="auto" w:fill="FFFFFF"/>
        </w:rPr>
        <w:t xml:space="preserve">each </w:t>
      </w:r>
      <w:r w:rsidR="00B65A6F">
        <w:rPr>
          <w:rFonts w:ascii="Times New Roman" w:hAnsi="Times New Roman" w:cs="Times New Roman"/>
          <w:color w:val="000000"/>
          <w:sz w:val="24"/>
          <w:szCs w:val="24"/>
          <w:shd w:val="clear" w:color="auto" w:fill="FFFFFF"/>
        </w:rPr>
        <w:t>jurisdiction</w:t>
      </w:r>
      <w:r w:rsidRPr="004C0D35">
        <w:rPr>
          <w:rFonts w:ascii="Times New Roman" w:hAnsi="Times New Roman" w:cs="Times New Roman"/>
          <w:color w:val="000000"/>
          <w:sz w:val="24"/>
          <w:szCs w:val="24"/>
          <w:shd w:val="clear" w:color="auto" w:fill="FFFFFF"/>
        </w:rPr>
        <w:t>, of</w:t>
      </w:r>
      <w:r w:rsidR="009172AD" w:rsidRPr="004C0D35">
        <w:rPr>
          <w:rFonts w:ascii="Times New Roman" w:hAnsi="Times New Roman" w:cs="Times New Roman"/>
          <w:color w:val="000000"/>
          <w:sz w:val="24"/>
          <w:szCs w:val="24"/>
          <w:shd w:val="clear" w:color="auto" w:fill="FFFFFF"/>
        </w:rPr>
        <w:t xml:space="preserve"> some legal tool: the coding scheme for variable 2, ‘letters of wishes’, for example, merely runs to 0 = no statutory reference to such letters, and 1 = statute law permits use of such letters, not necessarily mentioning the term. Other variables were harder to code, such as </w:t>
      </w:r>
      <w:r w:rsidR="00D22208" w:rsidRPr="004C0D35">
        <w:rPr>
          <w:rFonts w:ascii="Times New Roman" w:hAnsi="Times New Roman" w:cs="Times New Roman"/>
          <w:color w:val="000000"/>
          <w:sz w:val="24"/>
          <w:szCs w:val="24"/>
          <w:shd w:val="clear" w:color="auto" w:fill="FFFFFF"/>
        </w:rPr>
        <w:t xml:space="preserve">trustees’ personal exposure to debts arising from their activities as trustees </w:t>
      </w:r>
      <w:r w:rsidR="009172AD" w:rsidRPr="004C0D35">
        <w:rPr>
          <w:rFonts w:ascii="Times New Roman" w:hAnsi="Times New Roman" w:cs="Times New Roman"/>
          <w:color w:val="000000"/>
          <w:sz w:val="24"/>
          <w:szCs w:val="24"/>
          <w:shd w:val="clear" w:color="auto" w:fill="FFFFFF"/>
        </w:rPr>
        <w:t xml:space="preserve">(variable 9). The traditional common law position, under which trustees are personally liable for all liabilities to </w:t>
      </w:r>
      <w:r w:rsidR="000C1D36">
        <w:rPr>
          <w:rFonts w:ascii="Times New Roman" w:hAnsi="Times New Roman" w:cs="Times New Roman"/>
          <w:color w:val="000000"/>
          <w:sz w:val="24"/>
          <w:szCs w:val="24"/>
          <w:shd w:val="clear" w:color="auto" w:fill="FFFFFF"/>
        </w:rPr>
        <w:t>external (non-trust)</w:t>
      </w:r>
      <w:r w:rsidR="000C1D36" w:rsidRPr="004C0D35">
        <w:rPr>
          <w:rFonts w:ascii="Times New Roman" w:hAnsi="Times New Roman" w:cs="Times New Roman"/>
          <w:color w:val="000000"/>
          <w:sz w:val="24"/>
          <w:szCs w:val="24"/>
          <w:shd w:val="clear" w:color="auto" w:fill="FFFFFF"/>
        </w:rPr>
        <w:t xml:space="preserve"> </w:t>
      </w:r>
      <w:r w:rsidR="009172AD" w:rsidRPr="004C0D35">
        <w:rPr>
          <w:rFonts w:ascii="Times New Roman" w:hAnsi="Times New Roman" w:cs="Times New Roman"/>
          <w:color w:val="000000"/>
          <w:sz w:val="24"/>
          <w:szCs w:val="24"/>
          <w:shd w:val="clear" w:color="auto" w:fill="FFFFFF"/>
        </w:rPr>
        <w:t>parties</w:t>
      </w:r>
      <w:r w:rsidR="006F3F75" w:rsidRPr="004C0D35">
        <w:rPr>
          <w:rFonts w:ascii="Times New Roman" w:hAnsi="Times New Roman" w:cs="Times New Roman"/>
          <w:color w:val="000000"/>
          <w:sz w:val="24"/>
          <w:szCs w:val="24"/>
          <w:shd w:val="clear" w:color="auto" w:fill="FFFFFF"/>
        </w:rPr>
        <w:t xml:space="preserve"> resulting from their activity as trustees</w:t>
      </w:r>
      <w:r w:rsidR="009172AD" w:rsidRPr="004C0D35">
        <w:rPr>
          <w:rFonts w:ascii="Times New Roman" w:hAnsi="Times New Roman" w:cs="Times New Roman"/>
          <w:color w:val="000000"/>
          <w:sz w:val="24"/>
          <w:szCs w:val="24"/>
          <w:shd w:val="clear" w:color="auto" w:fill="FFFFFF"/>
        </w:rPr>
        <w:t xml:space="preserve">, and may receive reimbursement from the trust fund where they did not breach their trust, was coded 0, </w:t>
      </w:r>
      <w:r w:rsidR="00E03A9D" w:rsidRPr="004C0D35">
        <w:rPr>
          <w:rFonts w:ascii="Times New Roman" w:hAnsi="Times New Roman" w:cs="Times New Roman"/>
          <w:color w:val="000000"/>
          <w:sz w:val="24"/>
          <w:szCs w:val="24"/>
          <w:shd w:val="clear" w:color="auto" w:fill="FFFFFF"/>
        </w:rPr>
        <w:t>while</w:t>
      </w:r>
      <w:r w:rsidR="009172AD" w:rsidRPr="004C0D35">
        <w:rPr>
          <w:rFonts w:ascii="Times New Roman" w:hAnsi="Times New Roman" w:cs="Times New Roman"/>
          <w:color w:val="000000"/>
          <w:sz w:val="24"/>
          <w:szCs w:val="24"/>
          <w:shd w:val="clear" w:color="auto" w:fill="FFFFFF"/>
        </w:rPr>
        <w:t xml:space="preserve"> a position common to </w:t>
      </w:r>
      <w:r w:rsidR="00E03A9D" w:rsidRPr="004C0D35">
        <w:rPr>
          <w:rFonts w:ascii="Times New Roman" w:hAnsi="Times New Roman" w:cs="Times New Roman"/>
          <w:color w:val="000000"/>
          <w:sz w:val="24"/>
          <w:szCs w:val="24"/>
          <w:shd w:val="clear" w:color="auto" w:fill="FFFFFF"/>
        </w:rPr>
        <w:t xml:space="preserve">seven civil law jurisdictions, according to which trustees are never personally liable </w:t>
      </w:r>
      <w:r w:rsidR="00D92802" w:rsidRPr="004C0D35">
        <w:rPr>
          <w:rFonts w:ascii="Times New Roman" w:hAnsi="Times New Roman" w:cs="Times New Roman"/>
          <w:color w:val="000000"/>
          <w:sz w:val="24"/>
          <w:szCs w:val="24"/>
          <w:shd w:val="clear" w:color="auto" w:fill="FFFFFF"/>
        </w:rPr>
        <w:t xml:space="preserve">to </w:t>
      </w:r>
      <w:r w:rsidR="000C1D36">
        <w:rPr>
          <w:rFonts w:ascii="Times New Roman" w:hAnsi="Times New Roman" w:cs="Times New Roman"/>
          <w:color w:val="000000"/>
          <w:sz w:val="24"/>
          <w:szCs w:val="24"/>
          <w:shd w:val="clear" w:color="auto" w:fill="FFFFFF"/>
        </w:rPr>
        <w:t>external (non-trust)</w:t>
      </w:r>
      <w:r w:rsidR="000C1D36" w:rsidRPr="004C0D35">
        <w:rPr>
          <w:rFonts w:ascii="Times New Roman" w:hAnsi="Times New Roman" w:cs="Times New Roman"/>
          <w:color w:val="000000"/>
          <w:sz w:val="24"/>
          <w:szCs w:val="24"/>
          <w:shd w:val="clear" w:color="auto" w:fill="FFFFFF"/>
        </w:rPr>
        <w:t xml:space="preserve"> </w:t>
      </w:r>
      <w:r w:rsidR="00D92802" w:rsidRPr="004C0D35">
        <w:rPr>
          <w:rFonts w:ascii="Times New Roman" w:hAnsi="Times New Roman" w:cs="Times New Roman"/>
          <w:color w:val="000000"/>
          <w:sz w:val="24"/>
          <w:szCs w:val="24"/>
          <w:shd w:val="clear" w:color="auto" w:fill="FFFFFF"/>
        </w:rPr>
        <w:t xml:space="preserve"> parties f</w:t>
      </w:r>
      <w:r w:rsidR="00E03A9D" w:rsidRPr="004C0D35">
        <w:rPr>
          <w:rFonts w:ascii="Times New Roman" w:hAnsi="Times New Roman" w:cs="Times New Roman"/>
          <w:color w:val="000000"/>
          <w:sz w:val="24"/>
          <w:szCs w:val="24"/>
          <w:shd w:val="clear" w:color="auto" w:fill="FFFFFF"/>
        </w:rPr>
        <w:t>o</w:t>
      </w:r>
      <w:r w:rsidR="00D92802" w:rsidRPr="004C0D35">
        <w:rPr>
          <w:rFonts w:ascii="Times New Roman" w:hAnsi="Times New Roman" w:cs="Times New Roman"/>
          <w:color w:val="000000"/>
          <w:sz w:val="24"/>
          <w:szCs w:val="24"/>
          <w:shd w:val="clear" w:color="auto" w:fill="FFFFFF"/>
        </w:rPr>
        <w:t>r</w:t>
      </w:r>
      <w:r w:rsidR="00E03A9D" w:rsidRPr="004C0D35">
        <w:rPr>
          <w:rFonts w:ascii="Times New Roman" w:hAnsi="Times New Roman" w:cs="Times New Roman"/>
          <w:color w:val="000000"/>
          <w:sz w:val="24"/>
          <w:szCs w:val="24"/>
          <w:shd w:val="clear" w:color="auto" w:fill="FFFFFF"/>
        </w:rPr>
        <w:t xml:space="preserve"> trust-related debts, was coded 4. </w:t>
      </w:r>
    </w:p>
    <w:p w14:paraId="4CE2270D" w14:textId="221D9F8D" w:rsidR="00EE794D" w:rsidRPr="004C0D35" w:rsidRDefault="00E03A9D" w:rsidP="00E724C8">
      <w:pPr>
        <w:autoSpaceDE w:val="0"/>
        <w:autoSpaceDN w:val="0"/>
        <w:adjustRightInd w:val="0"/>
        <w:spacing w:after="0" w:line="276" w:lineRule="auto"/>
        <w:ind w:firstLine="720"/>
        <w:jc w:val="both"/>
        <w:rPr>
          <w:rFonts w:ascii="Times New Roman" w:hAnsi="Times New Roman" w:cs="Times New Roman"/>
          <w:color w:val="000000"/>
          <w:sz w:val="24"/>
          <w:szCs w:val="24"/>
          <w:shd w:val="clear" w:color="auto" w:fill="FFFFFF"/>
          <w:rtl/>
        </w:rPr>
      </w:pPr>
      <w:r w:rsidRPr="004C0D35">
        <w:rPr>
          <w:rFonts w:ascii="Times New Roman" w:hAnsi="Times New Roman" w:cs="Times New Roman"/>
          <w:color w:val="000000"/>
          <w:sz w:val="24"/>
          <w:szCs w:val="24"/>
          <w:shd w:val="clear" w:color="auto" w:fill="FFFFFF"/>
        </w:rPr>
        <w:t>The various intermediate positions apparent in the law of many U.S. states were coded as follows. A position under which trustees are not personally liable in contract if their acting in a fiduciary capacity was disclosed to the counterparty, or if the counterparty otherwise had knowledge of that capacity, while trustees are personally liable in tort only if at fault</w:t>
      </w:r>
      <w:r w:rsidR="007728B2">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 xml:space="preserve"> was coded 1. A position under which trustees are not personally liable in contract if their acting in a fiduciary capacity was disclosed to the counterparty, or if the counterparty otherwise had knowledge of that capacity, and where personally liable they are automatically entitled to reimbursement from the trust fund if they did not breach their trust</w:t>
      </w:r>
      <w:r w:rsidR="007728B2">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 xml:space="preserve"> was coded 2. Positions under which trustees are not personally liable in tort if the tort was a common incident, if the trustee was not at fault, or if the tort raised the value of the trust, positions under which trustees are entitled to reimbursement in such cases, and positions under which trustees’ own property is only available to </w:t>
      </w:r>
      <w:r w:rsidR="006817A7" w:rsidRPr="004C0D35">
        <w:rPr>
          <w:rFonts w:ascii="Times New Roman" w:hAnsi="Times New Roman" w:cs="Times New Roman"/>
          <w:color w:val="000000"/>
          <w:sz w:val="24"/>
          <w:szCs w:val="24"/>
          <w:shd w:val="clear" w:color="auto" w:fill="FFFFFF"/>
        </w:rPr>
        <w:t>trust creditors</w:t>
      </w:r>
      <w:r w:rsidRPr="004C0D35">
        <w:rPr>
          <w:rFonts w:ascii="Times New Roman" w:hAnsi="Times New Roman" w:cs="Times New Roman"/>
          <w:color w:val="000000"/>
          <w:sz w:val="24"/>
          <w:szCs w:val="24"/>
          <w:shd w:val="clear" w:color="auto" w:fill="FFFFFF"/>
        </w:rPr>
        <w:t xml:space="preserve"> where the trust property does not suffice to repay the debt</w:t>
      </w:r>
      <w:r w:rsidR="006F3F75" w:rsidRPr="004C0D35">
        <w:rPr>
          <w:rFonts w:ascii="Times New Roman" w:hAnsi="Times New Roman" w:cs="Times New Roman"/>
          <w:color w:val="000000"/>
          <w:sz w:val="24"/>
          <w:szCs w:val="24"/>
          <w:shd w:val="clear" w:color="auto" w:fill="FFFFFF"/>
        </w:rPr>
        <w:t>, and</w:t>
      </w:r>
      <w:r w:rsidR="00F40A36" w:rsidRPr="004C0D35">
        <w:rPr>
          <w:rFonts w:ascii="Times New Roman" w:hAnsi="Times New Roman" w:cs="Times New Roman"/>
          <w:color w:val="000000"/>
          <w:sz w:val="24"/>
          <w:szCs w:val="24"/>
          <w:shd w:val="clear" w:color="auto" w:fill="FFFFFF"/>
        </w:rPr>
        <w:t xml:space="preserve"> only</w:t>
      </w:r>
      <w:r w:rsidR="006F3F75" w:rsidRPr="004C0D35">
        <w:rPr>
          <w:rFonts w:ascii="Times New Roman" w:hAnsi="Times New Roman" w:cs="Times New Roman"/>
          <w:color w:val="000000"/>
          <w:sz w:val="24"/>
          <w:szCs w:val="24"/>
          <w:shd w:val="clear" w:color="auto" w:fill="FFFFFF"/>
        </w:rPr>
        <w:t xml:space="preserve"> to the extent not covered by the trust property,</w:t>
      </w:r>
      <w:r w:rsidRPr="004C0D35">
        <w:rPr>
          <w:rFonts w:ascii="Times New Roman" w:hAnsi="Times New Roman" w:cs="Times New Roman"/>
          <w:color w:val="000000"/>
          <w:sz w:val="24"/>
          <w:szCs w:val="24"/>
          <w:shd w:val="clear" w:color="auto" w:fill="FFFFFF"/>
        </w:rPr>
        <w:t xml:space="preserve"> were all coded 3. Positions under which trustees are only liable to third parties where they expressly bind themselves personally were coded 3.5. As is apparent, the arithmetical difference between </w:t>
      </w:r>
      <w:r w:rsidR="00D92802" w:rsidRPr="004C0D35">
        <w:rPr>
          <w:rFonts w:ascii="Times New Roman" w:hAnsi="Times New Roman" w:cs="Times New Roman"/>
          <w:color w:val="000000"/>
          <w:sz w:val="24"/>
          <w:szCs w:val="24"/>
          <w:shd w:val="clear" w:color="auto" w:fill="FFFFFF"/>
        </w:rPr>
        <w:t>the cod</w:t>
      </w:r>
      <w:r w:rsidR="00E724C8">
        <w:rPr>
          <w:rFonts w:ascii="Times New Roman" w:hAnsi="Times New Roman" w:cs="Times New Roman"/>
          <w:color w:val="000000"/>
          <w:sz w:val="24"/>
          <w:szCs w:val="24"/>
          <w:shd w:val="clear" w:color="auto" w:fill="FFFFFF"/>
        </w:rPr>
        <w:t>es</w:t>
      </w:r>
      <w:r w:rsidR="00D92802" w:rsidRPr="004C0D35">
        <w:rPr>
          <w:rFonts w:ascii="Times New Roman" w:hAnsi="Times New Roman" w:cs="Times New Roman"/>
          <w:color w:val="000000"/>
          <w:sz w:val="24"/>
          <w:szCs w:val="24"/>
          <w:shd w:val="clear" w:color="auto" w:fill="FFFFFF"/>
        </w:rPr>
        <w:t xml:space="preserve"> </w:t>
      </w:r>
      <w:r w:rsidR="00E724C8">
        <w:rPr>
          <w:rFonts w:ascii="Times New Roman" w:hAnsi="Times New Roman" w:cs="Times New Roman"/>
          <w:color w:val="000000"/>
          <w:sz w:val="24"/>
          <w:szCs w:val="24"/>
          <w:shd w:val="clear" w:color="auto" w:fill="FFFFFF"/>
        </w:rPr>
        <w:t>representing</w:t>
      </w:r>
      <w:r w:rsidR="00D92802" w:rsidRPr="004C0D35">
        <w:rPr>
          <w:rFonts w:ascii="Times New Roman" w:hAnsi="Times New Roman" w:cs="Times New Roman"/>
          <w:color w:val="000000"/>
          <w:sz w:val="24"/>
          <w:szCs w:val="24"/>
          <w:shd w:val="clear" w:color="auto" w:fill="FFFFFF"/>
        </w:rPr>
        <w:t xml:space="preserve"> </w:t>
      </w:r>
      <w:r w:rsidRPr="004C0D35">
        <w:rPr>
          <w:rFonts w:ascii="Times New Roman" w:hAnsi="Times New Roman" w:cs="Times New Roman"/>
          <w:color w:val="000000"/>
          <w:sz w:val="24"/>
          <w:szCs w:val="24"/>
          <w:shd w:val="clear" w:color="auto" w:fill="FFFFFF"/>
        </w:rPr>
        <w:t xml:space="preserve">each two </w:t>
      </w:r>
      <w:r w:rsidR="003568FF" w:rsidRPr="004C0D35">
        <w:rPr>
          <w:rFonts w:ascii="Times New Roman" w:hAnsi="Times New Roman" w:cs="Times New Roman"/>
          <w:color w:val="000000"/>
          <w:sz w:val="24"/>
          <w:szCs w:val="24"/>
          <w:shd w:val="clear" w:color="auto" w:fill="FFFFFF"/>
        </w:rPr>
        <w:t xml:space="preserve">sequential legal positions is arbitrary. </w:t>
      </w:r>
      <w:r w:rsidR="004D6301" w:rsidRPr="004C0D35">
        <w:rPr>
          <w:rFonts w:ascii="Times New Roman" w:hAnsi="Times New Roman" w:cs="Times New Roman"/>
          <w:color w:val="000000"/>
          <w:sz w:val="24"/>
          <w:szCs w:val="24"/>
          <w:shd w:val="clear" w:color="auto" w:fill="FFFFFF"/>
        </w:rPr>
        <w:t xml:space="preserve">The full codebook for all variables is available </w:t>
      </w:r>
      <w:r w:rsidR="000378F5" w:rsidRPr="004C0D35">
        <w:rPr>
          <w:rFonts w:ascii="Times New Roman" w:hAnsi="Times New Roman" w:cs="Times New Roman"/>
          <w:color w:val="000000"/>
          <w:sz w:val="24"/>
          <w:szCs w:val="24"/>
          <w:shd w:val="clear" w:color="auto" w:fill="FFFFFF"/>
        </w:rPr>
        <w:t>as part of</w:t>
      </w:r>
      <w:r w:rsidR="004D6301" w:rsidRPr="004C0D35">
        <w:rPr>
          <w:rFonts w:ascii="Times New Roman" w:hAnsi="Times New Roman" w:cs="Times New Roman"/>
          <w:color w:val="000000"/>
          <w:sz w:val="24"/>
          <w:szCs w:val="24"/>
          <w:shd w:val="clear" w:color="auto" w:fill="FFFFFF"/>
        </w:rPr>
        <w:t xml:space="preserve"> the online </w:t>
      </w:r>
      <w:r w:rsidR="00F602B0" w:rsidRPr="004C0D35">
        <w:rPr>
          <w:rFonts w:ascii="Times New Roman" w:hAnsi="Times New Roman" w:cs="Times New Roman"/>
          <w:color w:val="000000"/>
          <w:sz w:val="24"/>
          <w:szCs w:val="24"/>
          <w:shd w:val="clear" w:color="auto" w:fill="FFFFFF"/>
        </w:rPr>
        <w:t xml:space="preserve">supplement to this </w:t>
      </w:r>
      <w:r w:rsidR="00377B51" w:rsidRPr="004C0D35">
        <w:rPr>
          <w:rFonts w:ascii="Times New Roman" w:hAnsi="Times New Roman" w:cs="Times New Roman"/>
          <w:color w:val="000000"/>
          <w:sz w:val="24"/>
          <w:szCs w:val="24"/>
          <w:shd w:val="clear" w:color="auto" w:fill="FFFFFF"/>
        </w:rPr>
        <w:t>article</w:t>
      </w:r>
      <w:r w:rsidR="00F602B0" w:rsidRPr="004C0D35">
        <w:rPr>
          <w:rFonts w:ascii="Times New Roman" w:hAnsi="Times New Roman" w:cs="Times New Roman"/>
          <w:color w:val="000000"/>
          <w:sz w:val="24"/>
          <w:szCs w:val="24"/>
          <w:shd w:val="clear" w:color="auto" w:fill="FFFFFF"/>
        </w:rPr>
        <w:t>.</w:t>
      </w:r>
      <w:r w:rsidR="007B5479" w:rsidRPr="004C0D35">
        <w:rPr>
          <w:rStyle w:val="FootnoteReference"/>
          <w:rFonts w:ascii="Times New Roman" w:hAnsi="Times New Roman" w:cs="Times New Roman"/>
          <w:color w:val="000000"/>
          <w:sz w:val="24"/>
          <w:szCs w:val="24"/>
          <w:shd w:val="clear" w:color="auto" w:fill="FFFFFF"/>
        </w:rPr>
        <w:footnoteReference w:id="43"/>
      </w:r>
    </w:p>
    <w:p w14:paraId="1B00EAFA" w14:textId="46C7A618" w:rsidR="0022153E" w:rsidRPr="004C0D35" w:rsidRDefault="004D6301" w:rsidP="00E724C8">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r>
      <w:r w:rsidR="00A54BFC" w:rsidRPr="004C0D35">
        <w:rPr>
          <w:rFonts w:ascii="Times New Roman" w:hAnsi="Times New Roman" w:cs="Times New Roman"/>
          <w:color w:val="000000"/>
          <w:sz w:val="24"/>
          <w:szCs w:val="24"/>
          <w:shd w:val="clear" w:color="auto" w:fill="FFFFFF"/>
        </w:rPr>
        <w:t xml:space="preserve">1,502 of </w:t>
      </w:r>
      <w:r w:rsidRPr="004C0D35">
        <w:rPr>
          <w:rFonts w:ascii="Times New Roman" w:hAnsi="Times New Roman" w:cs="Times New Roman"/>
          <w:color w:val="000000"/>
          <w:sz w:val="24"/>
          <w:szCs w:val="24"/>
          <w:shd w:val="clear" w:color="auto" w:fill="FFFFFF"/>
        </w:rPr>
        <w:t xml:space="preserve">the </w:t>
      </w:r>
      <w:r w:rsidR="00A54BFC" w:rsidRPr="004C0D35">
        <w:rPr>
          <w:rFonts w:ascii="Times New Roman" w:hAnsi="Times New Roman" w:cs="Times New Roman"/>
          <w:color w:val="000000"/>
          <w:sz w:val="24"/>
          <w:szCs w:val="24"/>
          <w:shd w:val="clear" w:color="auto" w:fill="FFFFFF"/>
        </w:rPr>
        <w:t>2,824 observations</w:t>
      </w:r>
      <w:r w:rsidRPr="004C0D35">
        <w:rPr>
          <w:rFonts w:ascii="Times New Roman" w:hAnsi="Times New Roman" w:cs="Times New Roman"/>
          <w:color w:val="000000"/>
          <w:sz w:val="24"/>
          <w:szCs w:val="24"/>
          <w:shd w:val="clear" w:color="auto" w:fill="FFFFFF"/>
        </w:rPr>
        <w:t xml:space="preserve"> </w:t>
      </w:r>
      <w:r w:rsidR="00A54BFC" w:rsidRPr="004C0D35">
        <w:rPr>
          <w:rFonts w:ascii="Times New Roman" w:hAnsi="Times New Roman" w:cs="Times New Roman"/>
          <w:color w:val="000000"/>
          <w:sz w:val="24"/>
          <w:szCs w:val="24"/>
          <w:shd w:val="clear" w:color="auto" w:fill="FFFFFF"/>
        </w:rPr>
        <w:t>were</w:t>
      </w:r>
      <w:r w:rsidRPr="004C0D35">
        <w:rPr>
          <w:rFonts w:ascii="Times New Roman" w:hAnsi="Times New Roman" w:cs="Times New Roman"/>
          <w:color w:val="000000"/>
          <w:sz w:val="24"/>
          <w:szCs w:val="24"/>
          <w:shd w:val="clear" w:color="auto" w:fill="FFFFFF"/>
        </w:rPr>
        <w:t xml:space="preserve"> coded twice</w:t>
      </w:r>
      <w:r w:rsidR="0022153E" w:rsidRPr="004C0D35">
        <w:rPr>
          <w:rFonts w:ascii="Times New Roman" w:hAnsi="Times New Roman" w:cs="Times New Roman"/>
          <w:color w:val="000000"/>
          <w:sz w:val="24"/>
          <w:szCs w:val="24"/>
          <w:shd w:val="clear" w:color="auto" w:fill="FFFFFF"/>
        </w:rPr>
        <w:t xml:space="preserve">, by independent coders, a practice which is understood to </w:t>
      </w:r>
      <w:r w:rsidR="003E24A3">
        <w:rPr>
          <w:rFonts w:ascii="Times New Roman" w:hAnsi="Times New Roman" w:cs="Times New Roman"/>
          <w:color w:val="000000"/>
          <w:sz w:val="24"/>
          <w:szCs w:val="24"/>
          <w:shd w:val="clear" w:color="auto" w:fill="FFFFFF"/>
        </w:rPr>
        <w:t>improve the validity of coding</w:t>
      </w:r>
      <w:r w:rsidR="0022153E" w:rsidRPr="004C0D35">
        <w:rPr>
          <w:rFonts w:ascii="Times New Roman" w:hAnsi="Times New Roman" w:cs="Times New Roman"/>
          <w:color w:val="000000"/>
          <w:sz w:val="24"/>
          <w:szCs w:val="24"/>
          <w:shd w:val="clear" w:color="auto" w:fill="FFFFFF"/>
        </w:rPr>
        <w:t>.</w:t>
      </w:r>
      <w:r w:rsidR="003E24A3">
        <w:rPr>
          <w:rStyle w:val="FootnoteReference"/>
          <w:rFonts w:ascii="Times New Roman" w:hAnsi="Times New Roman" w:cs="Times New Roman"/>
          <w:color w:val="000000"/>
          <w:sz w:val="24"/>
          <w:szCs w:val="24"/>
          <w:shd w:val="clear" w:color="auto" w:fill="FFFFFF"/>
        </w:rPr>
        <w:footnoteReference w:id="44"/>
      </w:r>
      <w:r w:rsidR="00992254" w:rsidRPr="004C0D35">
        <w:rPr>
          <w:rFonts w:ascii="Times New Roman" w:hAnsi="Times New Roman" w:cs="Times New Roman"/>
          <w:color w:val="000000"/>
          <w:sz w:val="24"/>
          <w:szCs w:val="24"/>
          <w:shd w:val="clear" w:color="auto" w:fill="FFFFFF"/>
        </w:rPr>
        <w:t xml:space="preserve"> The data was coded </w:t>
      </w:r>
      <w:r w:rsidRPr="004C0D35">
        <w:rPr>
          <w:rFonts w:ascii="Times New Roman" w:hAnsi="Times New Roman" w:cs="Times New Roman"/>
          <w:color w:val="000000"/>
          <w:sz w:val="24"/>
          <w:szCs w:val="24"/>
          <w:shd w:val="clear" w:color="auto" w:fill="FFFFFF"/>
        </w:rPr>
        <w:t xml:space="preserve">first by my Israeli </w:t>
      </w:r>
      <w:r w:rsidR="00E724C8">
        <w:rPr>
          <w:rFonts w:ascii="Times New Roman" w:hAnsi="Times New Roman" w:cs="Times New Roman"/>
          <w:color w:val="000000"/>
          <w:sz w:val="24"/>
          <w:szCs w:val="24"/>
          <w:shd w:val="clear" w:color="auto" w:fill="FFFFFF"/>
        </w:rPr>
        <w:t>research assistant</w:t>
      </w:r>
      <w:r w:rsidRPr="004C0D35">
        <w:rPr>
          <w:rFonts w:ascii="Times New Roman" w:hAnsi="Times New Roman" w:cs="Times New Roman"/>
          <w:color w:val="000000"/>
          <w:sz w:val="24"/>
          <w:szCs w:val="24"/>
          <w:shd w:val="clear" w:color="auto" w:fill="FFFFFF"/>
        </w:rPr>
        <w:t xml:space="preserve">s, whose work I then carefully corrected, and then </w:t>
      </w:r>
      <w:r w:rsidR="00635ACB" w:rsidRPr="004C0D35">
        <w:rPr>
          <w:rFonts w:ascii="Times New Roman" w:hAnsi="Times New Roman" w:cs="Times New Roman"/>
          <w:color w:val="000000"/>
          <w:sz w:val="24"/>
          <w:szCs w:val="24"/>
          <w:shd w:val="clear" w:color="auto" w:fill="FFFFFF"/>
        </w:rPr>
        <w:t xml:space="preserve">coded </w:t>
      </w:r>
      <w:r w:rsidRPr="004C0D35">
        <w:rPr>
          <w:rFonts w:ascii="Times New Roman" w:hAnsi="Times New Roman" w:cs="Times New Roman"/>
          <w:color w:val="000000"/>
          <w:sz w:val="24"/>
          <w:szCs w:val="24"/>
          <w:shd w:val="clear" w:color="auto" w:fill="FFFFFF"/>
        </w:rPr>
        <w:t xml:space="preserve">again by my </w:t>
      </w:r>
      <w:r w:rsidR="006C28F6" w:rsidRPr="004C0D35">
        <w:rPr>
          <w:rFonts w:ascii="Times New Roman" w:hAnsi="Times New Roman" w:cs="Times New Roman"/>
          <w:color w:val="000000"/>
          <w:sz w:val="24"/>
          <w:szCs w:val="24"/>
          <w:shd w:val="clear" w:color="auto" w:fill="FFFFFF"/>
        </w:rPr>
        <w:t>other</w:t>
      </w:r>
      <w:r w:rsidRPr="004C0D35">
        <w:rPr>
          <w:rFonts w:ascii="Times New Roman" w:hAnsi="Times New Roman" w:cs="Times New Roman"/>
          <w:color w:val="000000"/>
          <w:sz w:val="24"/>
          <w:szCs w:val="24"/>
          <w:shd w:val="clear" w:color="auto" w:fill="FFFFFF"/>
        </w:rPr>
        <w:t xml:space="preserve"> </w:t>
      </w:r>
      <w:r w:rsidR="00E724C8">
        <w:rPr>
          <w:rFonts w:ascii="Times New Roman" w:hAnsi="Times New Roman" w:cs="Times New Roman"/>
          <w:color w:val="000000"/>
          <w:sz w:val="24"/>
          <w:szCs w:val="24"/>
          <w:shd w:val="clear" w:color="auto" w:fill="FFFFFF"/>
        </w:rPr>
        <w:t>research assistant</w:t>
      </w:r>
      <w:r w:rsidR="00E724C8" w:rsidRPr="004C0D35">
        <w:rPr>
          <w:rFonts w:ascii="Times New Roman" w:hAnsi="Times New Roman" w:cs="Times New Roman"/>
          <w:color w:val="000000"/>
          <w:sz w:val="24"/>
          <w:szCs w:val="24"/>
          <w:shd w:val="clear" w:color="auto" w:fill="FFFFFF"/>
        </w:rPr>
        <w:t>s</w:t>
      </w:r>
      <w:r w:rsidRPr="004C0D35">
        <w:rPr>
          <w:rFonts w:ascii="Times New Roman" w:hAnsi="Times New Roman" w:cs="Times New Roman"/>
          <w:color w:val="000000"/>
          <w:sz w:val="24"/>
          <w:szCs w:val="24"/>
          <w:shd w:val="clear" w:color="auto" w:fill="FFFFFF"/>
        </w:rPr>
        <w:t>, who received</w:t>
      </w:r>
      <w:r w:rsidR="006C28F6" w:rsidRPr="004C0D35">
        <w:rPr>
          <w:rFonts w:ascii="Times New Roman" w:hAnsi="Times New Roman" w:cs="Times New Roman"/>
          <w:color w:val="000000"/>
          <w:sz w:val="24"/>
          <w:szCs w:val="24"/>
          <w:shd w:val="clear" w:color="auto" w:fill="FFFFFF"/>
        </w:rPr>
        <w:t xml:space="preserve"> non-</w:t>
      </w:r>
      <w:r w:rsidRPr="004C0D35">
        <w:rPr>
          <w:rFonts w:ascii="Times New Roman" w:hAnsi="Times New Roman" w:cs="Times New Roman"/>
          <w:color w:val="000000"/>
          <w:sz w:val="24"/>
          <w:szCs w:val="24"/>
          <w:shd w:val="clear" w:color="auto" w:fill="FFFFFF"/>
        </w:rPr>
        <w:t>coded data. My U</w:t>
      </w:r>
      <w:r w:rsidR="000A2B0D" w:rsidRPr="004C0D35">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S</w:t>
      </w:r>
      <w:r w:rsidR="000A2B0D" w:rsidRPr="004C0D35">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 xml:space="preserve"> assistant</w:t>
      </w:r>
      <w:r w:rsidR="00DB2E86" w:rsidRPr="004C0D35">
        <w:rPr>
          <w:rFonts w:ascii="Times New Roman" w:hAnsi="Times New Roman" w:cs="Times New Roman"/>
          <w:color w:val="000000"/>
          <w:sz w:val="24"/>
          <w:szCs w:val="24"/>
          <w:shd w:val="clear" w:color="auto" w:fill="FFFFFF"/>
        </w:rPr>
        <w:t>, a law graduate,</w:t>
      </w:r>
      <w:r w:rsidRPr="004C0D35">
        <w:rPr>
          <w:rFonts w:ascii="Times New Roman" w:hAnsi="Times New Roman" w:cs="Times New Roman"/>
          <w:color w:val="000000"/>
          <w:sz w:val="24"/>
          <w:szCs w:val="24"/>
          <w:shd w:val="clear" w:color="auto" w:fill="FFFFFF"/>
        </w:rPr>
        <w:t xml:space="preserve"> coded the data for the 50 American states;</w:t>
      </w:r>
      <w:r w:rsidR="006C28F6" w:rsidRPr="004C0D35">
        <w:rPr>
          <w:rFonts w:ascii="Times New Roman" w:hAnsi="Times New Roman" w:cs="Times New Roman"/>
          <w:color w:val="000000"/>
          <w:sz w:val="24"/>
          <w:szCs w:val="24"/>
          <w:shd w:val="clear" w:color="auto" w:fill="FFFFFF"/>
        </w:rPr>
        <w:t xml:space="preserve"> one of my</w:t>
      </w:r>
      <w:r w:rsidRPr="004C0D35">
        <w:rPr>
          <w:rFonts w:ascii="Times New Roman" w:hAnsi="Times New Roman" w:cs="Times New Roman"/>
          <w:color w:val="000000"/>
          <w:sz w:val="24"/>
          <w:szCs w:val="24"/>
          <w:shd w:val="clear" w:color="auto" w:fill="FFFFFF"/>
        </w:rPr>
        <w:t xml:space="preserve"> Canadian assistants</w:t>
      </w:r>
      <w:r w:rsidR="006C28F6" w:rsidRPr="004C0D35">
        <w:rPr>
          <w:rFonts w:ascii="Times New Roman" w:hAnsi="Times New Roman" w:cs="Times New Roman"/>
          <w:color w:val="000000"/>
          <w:sz w:val="24"/>
          <w:szCs w:val="24"/>
          <w:shd w:val="clear" w:color="auto" w:fill="FFFFFF"/>
        </w:rPr>
        <w:t>, a law graduate</w:t>
      </w:r>
      <w:r w:rsidR="00DB2E86" w:rsidRPr="004C0D35">
        <w:rPr>
          <w:rFonts w:ascii="Times New Roman" w:hAnsi="Times New Roman" w:cs="Times New Roman"/>
          <w:color w:val="000000"/>
          <w:sz w:val="24"/>
          <w:szCs w:val="24"/>
          <w:shd w:val="clear" w:color="auto" w:fill="FFFFFF"/>
        </w:rPr>
        <w:t xml:space="preserve"> </w:t>
      </w:r>
      <w:r w:rsidR="006C28F6" w:rsidRPr="004C0D35">
        <w:rPr>
          <w:rFonts w:ascii="Times New Roman" w:hAnsi="Times New Roman" w:cs="Times New Roman"/>
          <w:color w:val="000000"/>
          <w:sz w:val="24"/>
          <w:szCs w:val="24"/>
          <w:shd w:val="clear" w:color="auto" w:fill="FFFFFF"/>
        </w:rPr>
        <w:t>who came top of his class in trusts</w:t>
      </w:r>
      <w:r w:rsidR="00DB2E86" w:rsidRPr="004C0D35">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 xml:space="preserve"> coded the data for the Canadian provinces and territories; my two Australian assistants collaborated in coding the data for the Australian states and New Zealand; a Japanese student coded the data for Japan, South Korea, Taiwan and China; an English </w:t>
      </w:r>
      <w:r w:rsidR="006C28F6" w:rsidRPr="004C0D35">
        <w:rPr>
          <w:rFonts w:ascii="Times New Roman" w:hAnsi="Times New Roman" w:cs="Times New Roman"/>
          <w:color w:val="000000"/>
          <w:sz w:val="24"/>
          <w:szCs w:val="24"/>
          <w:shd w:val="clear" w:color="auto" w:fill="FFFFFF"/>
        </w:rPr>
        <w:t xml:space="preserve">law graduate </w:t>
      </w:r>
      <w:r w:rsidRPr="004C0D35">
        <w:rPr>
          <w:rFonts w:ascii="Times New Roman" w:hAnsi="Times New Roman" w:cs="Times New Roman"/>
          <w:color w:val="000000"/>
          <w:sz w:val="24"/>
          <w:szCs w:val="24"/>
          <w:shd w:val="clear" w:color="auto" w:fill="FFFFFF"/>
        </w:rPr>
        <w:t xml:space="preserve">coded the data for England, Scotland, Ireland and Northern Ireland; </w:t>
      </w:r>
      <w:r w:rsidR="006C28F6" w:rsidRPr="004C0D35">
        <w:rPr>
          <w:rFonts w:ascii="Times New Roman" w:hAnsi="Times New Roman" w:cs="Times New Roman"/>
          <w:color w:val="000000"/>
          <w:sz w:val="24"/>
          <w:szCs w:val="24"/>
          <w:shd w:val="clear" w:color="auto" w:fill="FFFFFF"/>
        </w:rPr>
        <w:t>my other Canadian assistant</w:t>
      </w:r>
      <w:r w:rsidR="00206D8F" w:rsidRPr="004C0D35">
        <w:rPr>
          <w:rFonts w:ascii="Times New Roman" w:hAnsi="Times New Roman" w:cs="Times New Roman"/>
          <w:color w:val="000000"/>
          <w:sz w:val="24"/>
          <w:szCs w:val="24"/>
          <w:shd w:val="clear" w:color="auto" w:fill="FFFFFF"/>
        </w:rPr>
        <w:t>, fluent in French,</w:t>
      </w:r>
      <w:r w:rsidR="006C28F6" w:rsidRPr="004C0D35">
        <w:rPr>
          <w:rFonts w:ascii="Times New Roman" w:hAnsi="Times New Roman" w:cs="Times New Roman"/>
          <w:color w:val="000000"/>
          <w:sz w:val="24"/>
          <w:szCs w:val="24"/>
          <w:shd w:val="clear" w:color="auto" w:fill="FFFFFF"/>
        </w:rPr>
        <w:t xml:space="preserve"> coded the data for France and Luxembourg; </w:t>
      </w:r>
      <w:r w:rsidRPr="004C0D35">
        <w:rPr>
          <w:rFonts w:ascii="Times New Roman" w:hAnsi="Times New Roman" w:cs="Times New Roman"/>
          <w:color w:val="000000"/>
          <w:sz w:val="24"/>
          <w:szCs w:val="24"/>
          <w:shd w:val="clear" w:color="auto" w:fill="FFFFFF"/>
        </w:rPr>
        <w:t>an</w:t>
      </w:r>
      <w:r w:rsidR="00DB2E86" w:rsidRPr="004C0D35">
        <w:rPr>
          <w:rFonts w:ascii="Times New Roman" w:hAnsi="Times New Roman" w:cs="Times New Roman"/>
          <w:color w:val="000000"/>
          <w:sz w:val="24"/>
          <w:szCs w:val="24"/>
          <w:shd w:val="clear" w:color="auto" w:fill="FFFFFF"/>
        </w:rPr>
        <w:t>d l</w:t>
      </w:r>
      <w:r w:rsidR="006C28F6" w:rsidRPr="004C0D35">
        <w:rPr>
          <w:rFonts w:ascii="Times New Roman" w:hAnsi="Times New Roman" w:cs="Times New Roman"/>
          <w:color w:val="000000"/>
          <w:sz w:val="24"/>
          <w:szCs w:val="24"/>
          <w:shd w:val="clear" w:color="auto" w:fill="FFFFFF"/>
        </w:rPr>
        <w:t>aw</w:t>
      </w:r>
      <w:r w:rsidR="00DB2E86" w:rsidRPr="004C0D35">
        <w:rPr>
          <w:rFonts w:ascii="Times New Roman" w:hAnsi="Times New Roman" w:cs="Times New Roman"/>
          <w:color w:val="000000"/>
          <w:sz w:val="24"/>
          <w:szCs w:val="24"/>
          <w:shd w:val="clear" w:color="auto" w:fill="FFFFFF"/>
        </w:rPr>
        <w:t xml:space="preserve"> graduates from Jersey and Hong Kong each coded the data for his or her jurisdiction of residence.</w:t>
      </w:r>
      <w:r w:rsidR="009E72CB" w:rsidRPr="004C0D35">
        <w:rPr>
          <w:rFonts w:ascii="Times New Roman" w:hAnsi="Times New Roman" w:cs="Times New Roman"/>
          <w:color w:val="000000"/>
          <w:sz w:val="24"/>
          <w:szCs w:val="24"/>
          <w:shd w:val="clear" w:color="auto" w:fill="FFFFFF"/>
        </w:rPr>
        <w:t xml:space="preserve"> </w:t>
      </w:r>
      <w:r w:rsidR="003E3539" w:rsidRPr="004C0D35">
        <w:rPr>
          <w:rFonts w:ascii="Times New Roman" w:hAnsi="Times New Roman" w:cs="Times New Roman"/>
          <w:color w:val="000000"/>
          <w:sz w:val="24"/>
          <w:szCs w:val="24"/>
          <w:shd w:val="clear" w:color="auto" w:fill="FFFFFF"/>
        </w:rPr>
        <w:t>Measures of inter-rater reliability are hardly appropriate</w:t>
      </w:r>
      <w:r w:rsidR="00C119D5" w:rsidRPr="004C0D35">
        <w:rPr>
          <w:rFonts w:ascii="Times New Roman" w:hAnsi="Times New Roman" w:cs="Times New Roman"/>
          <w:color w:val="000000"/>
          <w:sz w:val="24"/>
          <w:szCs w:val="24"/>
          <w:shd w:val="clear" w:color="auto" w:fill="FFFFFF"/>
        </w:rPr>
        <w:t xml:space="preserve"> for this coding strategy,</w:t>
      </w:r>
      <w:r w:rsidR="003E3539" w:rsidRPr="004C0D35">
        <w:rPr>
          <w:rFonts w:ascii="Times New Roman" w:hAnsi="Times New Roman" w:cs="Times New Roman"/>
          <w:color w:val="000000"/>
          <w:sz w:val="24"/>
          <w:szCs w:val="24"/>
          <w:shd w:val="clear" w:color="auto" w:fill="FFFFFF"/>
        </w:rPr>
        <w:t xml:space="preserve"> g</w:t>
      </w:r>
      <w:r w:rsidR="009E72CB" w:rsidRPr="004C0D35">
        <w:rPr>
          <w:rFonts w:ascii="Times New Roman" w:hAnsi="Times New Roman" w:cs="Times New Roman"/>
          <w:color w:val="000000"/>
          <w:sz w:val="24"/>
          <w:szCs w:val="24"/>
          <w:shd w:val="clear" w:color="auto" w:fill="FFFFFF"/>
        </w:rPr>
        <w:t xml:space="preserve">iven </w:t>
      </w:r>
      <w:r w:rsidR="003E3539" w:rsidRPr="004C0D35">
        <w:rPr>
          <w:rFonts w:ascii="Times New Roman" w:hAnsi="Times New Roman" w:cs="Times New Roman"/>
          <w:color w:val="000000"/>
          <w:sz w:val="24"/>
          <w:szCs w:val="24"/>
          <w:shd w:val="clear" w:color="auto" w:fill="FFFFFF"/>
        </w:rPr>
        <w:t xml:space="preserve">the different nature of the tasks with which my Israeli coders, on the one hand, and my other coders, on the other, were faced: while the Israelis coded what were, for them, foreign legal provisions, nearly all the non-Israelis coded statutory materials enacted by jurisdictions with the law of which they were wholly or relatively familiar. Given this dissimilarity between the two coder teams, </w:t>
      </w:r>
      <w:r w:rsidR="002156FF" w:rsidRPr="004C0D35">
        <w:rPr>
          <w:rFonts w:ascii="Times New Roman" w:hAnsi="Times New Roman" w:cs="Times New Roman"/>
          <w:color w:val="000000"/>
          <w:sz w:val="24"/>
          <w:szCs w:val="24"/>
          <w:shd w:val="clear" w:color="auto" w:fill="FFFFFF"/>
        </w:rPr>
        <w:t>a Cohen’s Kappa of 0.</w:t>
      </w:r>
      <w:r w:rsidR="001950EA" w:rsidRPr="004C0D35">
        <w:rPr>
          <w:rFonts w:ascii="Times New Roman" w:hAnsi="Times New Roman" w:cs="Times New Roman"/>
          <w:color w:val="000000"/>
          <w:sz w:val="24"/>
          <w:szCs w:val="24"/>
          <w:shd w:val="clear" w:color="auto" w:fill="FFFFFF"/>
        </w:rPr>
        <w:t xml:space="preserve">5751 </w:t>
      </w:r>
      <w:r w:rsidR="002156FF" w:rsidRPr="004C0D35">
        <w:rPr>
          <w:rFonts w:ascii="Times New Roman" w:hAnsi="Times New Roman" w:cs="Times New Roman"/>
          <w:color w:val="000000"/>
          <w:sz w:val="24"/>
          <w:szCs w:val="24"/>
          <w:shd w:val="clear" w:color="auto" w:fill="FFFFFF"/>
        </w:rPr>
        <w:t xml:space="preserve">indicates </w:t>
      </w:r>
      <w:r w:rsidR="001950EA" w:rsidRPr="004C0D35">
        <w:rPr>
          <w:rFonts w:ascii="Times New Roman" w:hAnsi="Times New Roman" w:cs="Times New Roman"/>
          <w:color w:val="000000"/>
          <w:sz w:val="24"/>
          <w:szCs w:val="24"/>
          <w:shd w:val="clear" w:color="auto" w:fill="FFFFFF"/>
        </w:rPr>
        <w:t xml:space="preserve">surprisingly </w:t>
      </w:r>
      <w:r w:rsidR="002156FF" w:rsidRPr="004C0D35">
        <w:rPr>
          <w:rFonts w:ascii="Times New Roman" w:hAnsi="Times New Roman" w:cs="Times New Roman"/>
          <w:color w:val="000000"/>
          <w:sz w:val="24"/>
          <w:szCs w:val="24"/>
          <w:shd w:val="clear" w:color="auto" w:fill="FFFFFF"/>
        </w:rPr>
        <w:t>substantial agreement.</w:t>
      </w:r>
      <w:r w:rsidR="009E1FFF" w:rsidRPr="004C0D35">
        <w:rPr>
          <w:rFonts w:ascii="Times New Roman" w:hAnsi="Times New Roman" w:cs="Times New Roman"/>
          <w:color w:val="000000"/>
          <w:sz w:val="24"/>
          <w:szCs w:val="24"/>
          <w:shd w:val="clear" w:color="auto" w:fill="FFFFFF"/>
        </w:rPr>
        <w:t xml:space="preserve"> </w:t>
      </w:r>
      <w:r w:rsidR="00C119D5" w:rsidRPr="004C0D35">
        <w:rPr>
          <w:rFonts w:ascii="Times New Roman" w:hAnsi="Times New Roman" w:cs="Times New Roman"/>
          <w:color w:val="000000"/>
          <w:sz w:val="24"/>
          <w:szCs w:val="24"/>
          <w:shd w:val="clear" w:color="auto" w:fill="FFFFFF"/>
        </w:rPr>
        <w:t>T</w:t>
      </w:r>
      <w:r w:rsidR="009E1FFF" w:rsidRPr="004C0D35">
        <w:rPr>
          <w:rFonts w:ascii="Times New Roman" w:hAnsi="Times New Roman" w:cs="Times New Roman"/>
          <w:color w:val="000000"/>
          <w:sz w:val="24"/>
          <w:szCs w:val="24"/>
          <w:shd w:val="clear" w:color="auto" w:fill="FFFFFF"/>
        </w:rPr>
        <w:t>his figure represents an undercount of coder agreement, as coders often agreed that a given jurisdiction did not enact legislation respecting a given variable. Since such cases were not counted as observations, I did not count them as cases of coder agreement for IRR purposes.</w:t>
      </w:r>
      <w:r w:rsidR="00DB2E86" w:rsidRPr="004C0D35">
        <w:rPr>
          <w:rFonts w:ascii="Times New Roman" w:hAnsi="Times New Roman" w:cs="Times New Roman"/>
          <w:color w:val="000000"/>
          <w:sz w:val="24"/>
          <w:szCs w:val="24"/>
          <w:shd w:val="clear" w:color="auto" w:fill="FFFFFF"/>
        </w:rPr>
        <w:t xml:space="preserve"> Data for jurisdictions not </w:t>
      </w:r>
      <w:r w:rsidR="006C28F6" w:rsidRPr="004C0D35">
        <w:rPr>
          <w:rFonts w:ascii="Times New Roman" w:hAnsi="Times New Roman" w:cs="Times New Roman"/>
          <w:color w:val="000000"/>
          <w:sz w:val="24"/>
          <w:szCs w:val="24"/>
          <w:shd w:val="clear" w:color="auto" w:fill="FFFFFF"/>
        </w:rPr>
        <w:t>previously</w:t>
      </w:r>
      <w:r w:rsidR="00DB2E86" w:rsidRPr="004C0D35">
        <w:rPr>
          <w:rFonts w:ascii="Times New Roman" w:hAnsi="Times New Roman" w:cs="Times New Roman"/>
          <w:color w:val="000000"/>
          <w:sz w:val="24"/>
          <w:szCs w:val="24"/>
          <w:shd w:val="clear" w:color="auto" w:fill="FFFFFF"/>
        </w:rPr>
        <w:t xml:space="preserve"> menti</w:t>
      </w:r>
      <w:r w:rsidR="00635ACB" w:rsidRPr="004C0D35">
        <w:rPr>
          <w:rFonts w:ascii="Times New Roman" w:hAnsi="Times New Roman" w:cs="Times New Roman"/>
          <w:color w:val="000000"/>
          <w:sz w:val="24"/>
          <w:szCs w:val="24"/>
          <w:shd w:val="clear" w:color="auto" w:fill="FFFFFF"/>
        </w:rPr>
        <w:t xml:space="preserve">oned in this paragraph was </w:t>
      </w:r>
      <w:r w:rsidR="00DB2E86" w:rsidRPr="004C0D35">
        <w:rPr>
          <w:rFonts w:ascii="Times New Roman" w:hAnsi="Times New Roman" w:cs="Times New Roman"/>
          <w:color w:val="000000"/>
          <w:sz w:val="24"/>
          <w:szCs w:val="24"/>
          <w:shd w:val="clear" w:color="auto" w:fill="FFFFFF"/>
        </w:rPr>
        <w:t>only code</w:t>
      </w:r>
      <w:r w:rsidR="00635ACB" w:rsidRPr="004C0D35">
        <w:rPr>
          <w:rFonts w:ascii="Times New Roman" w:hAnsi="Times New Roman" w:cs="Times New Roman"/>
          <w:color w:val="000000"/>
          <w:sz w:val="24"/>
          <w:szCs w:val="24"/>
          <w:shd w:val="clear" w:color="auto" w:fill="FFFFFF"/>
        </w:rPr>
        <w:t>d once. I coded the data for</w:t>
      </w:r>
      <w:r w:rsidR="00DB2E86" w:rsidRPr="004C0D35">
        <w:rPr>
          <w:rFonts w:ascii="Times New Roman" w:hAnsi="Times New Roman" w:cs="Times New Roman"/>
          <w:color w:val="000000"/>
          <w:sz w:val="24"/>
          <w:szCs w:val="24"/>
          <w:shd w:val="clear" w:color="auto" w:fill="FFFFFF"/>
        </w:rPr>
        <w:t xml:space="preserve"> Central and Latin American jurisdictions myself. </w:t>
      </w:r>
      <w:r w:rsidR="0022153E" w:rsidRPr="004C0D35">
        <w:rPr>
          <w:rFonts w:ascii="Times New Roman" w:hAnsi="Times New Roman" w:cs="Times New Roman"/>
          <w:color w:val="000000"/>
          <w:sz w:val="24"/>
          <w:szCs w:val="24"/>
          <w:shd w:val="clear" w:color="auto" w:fill="FFFFFF"/>
        </w:rPr>
        <w:t>For data that was coded twice, I compared the work of the two coders, and where they reached different conclu</w:t>
      </w:r>
      <w:r w:rsidR="00635ACB" w:rsidRPr="004C0D35">
        <w:rPr>
          <w:rFonts w:ascii="Times New Roman" w:hAnsi="Times New Roman" w:cs="Times New Roman"/>
          <w:color w:val="000000"/>
          <w:sz w:val="24"/>
          <w:szCs w:val="24"/>
          <w:shd w:val="clear" w:color="auto" w:fill="FFFFFF"/>
        </w:rPr>
        <w:t xml:space="preserve">sions, decided between the two based on another review of the </w:t>
      </w:r>
      <w:r w:rsidR="000A2B0D" w:rsidRPr="004C0D35">
        <w:rPr>
          <w:rFonts w:ascii="Times New Roman" w:hAnsi="Times New Roman" w:cs="Times New Roman"/>
          <w:color w:val="000000"/>
          <w:sz w:val="24"/>
          <w:szCs w:val="24"/>
          <w:shd w:val="clear" w:color="auto" w:fill="FFFFFF"/>
        </w:rPr>
        <w:t>relevant statutory provisions</w:t>
      </w:r>
      <w:r w:rsidR="00635ACB" w:rsidRPr="004C0D35">
        <w:rPr>
          <w:rFonts w:ascii="Times New Roman" w:hAnsi="Times New Roman" w:cs="Times New Roman"/>
          <w:color w:val="000000"/>
          <w:sz w:val="24"/>
          <w:szCs w:val="24"/>
          <w:shd w:val="clear" w:color="auto" w:fill="FFFFFF"/>
        </w:rPr>
        <w:t>.</w:t>
      </w:r>
      <w:r w:rsidR="00A54BFC" w:rsidRPr="004C0D35">
        <w:rPr>
          <w:rFonts w:ascii="Times New Roman" w:hAnsi="Times New Roman" w:cs="Times New Roman"/>
          <w:color w:val="000000"/>
          <w:sz w:val="24"/>
          <w:szCs w:val="24"/>
          <w:shd w:val="clear" w:color="auto" w:fill="FFFFFF"/>
        </w:rPr>
        <w:t xml:space="preserve"> </w:t>
      </w:r>
    </w:p>
    <w:p w14:paraId="0D4336B7" w14:textId="2B43EF5F" w:rsidR="0022153E" w:rsidRPr="004C0D35" w:rsidRDefault="006C28F6" w:rsidP="00DD35CA">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t xml:space="preserve">Variables 18 and 19 are </w:t>
      </w:r>
      <w:r w:rsidR="005D6C02" w:rsidRPr="004C0D35">
        <w:rPr>
          <w:rFonts w:ascii="Times New Roman" w:hAnsi="Times New Roman" w:cs="Times New Roman"/>
          <w:color w:val="000000"/>
          <w:sz w:val="24"/>
          <w:szCs w:val="24"/>
          <w:shd w:val="clear" w:color="auto" w:fill="FFFFFF"/>
        </w:rPr>
        <w:t>exceptions</w:t>
      </w:r>
      <w:r w:rsidRPr="004C0D35">
        <w:rPr>
          <w:rFonts w:ascii="Times New Roman" w:hAnsi="Times New Roman" w:cs="Times New Roman"/>
          <w:color w:val="000000"/>
          <w:sz w:val="24"/>
          <w:szCs w:val="24"/>
          <w:shd w:val="clear" w:color="auto" w:fill="FFFFFF"/>
        </w:rPr>
        <w:t xml:space="preserve">: they express dimensions of </w:t>
      </w:r>
      <w:r w:rsidR="00E6666E" w:rsidRPr="004C0D35">
        <w:rPr>
          <w:rFonts w:ascii="Times New Roman" w:hAnsi="Times New Roman" w:cs="Times New Roman"/>
          <w:color w:val="000000"/>
          <w:sz w:val="24"/>
          <w:szCs w:val="24"/>
          <w:shd w:val="clear" w:color="auto" w:fill="FFFFFF"/>
        </w:rPr>
        <w:t xml:space="preserve">law where </w:t>
      </w:r>
      <w:r w:rsidR="005D6C02" w:rsidRPr="004C0D35">
        <w:rPr>
          <w:rFonts w:ascii="Times New Roman" w:hAnsi="Times New Roman" w:cs="Times New Roman"/>
          <w:color w:val="000000"/>
          <w:sz w:val="24"/>
          <w:szCs w:val="24"/>
          <w:shd w:val="clear" w:color="auto" w:fill="FFFFFF"/>
        </w:rPr>
        <w:t xml:space="preserve">trust parties’ duties, liabilities and </w:t>
      </w:r>
      <w:r w:rsidR="00E724C8">
        <w:rPr>
          <w:rFonts w:ascii="Times New Roman" w:hAnsi="Times New Roman" w:cs="Times New Roman"/>
          <w:color w:val="000000"/>
          <w:sz w:val="24"/>
          <w:szCs w:val="24"/>
          <w:shd w:val="clear" w:color="auto" w:fill="FFFFFF"/>
        </w:rPr>
        <w:t xml:space="preserve">the </w:t>
      </w:r>
      <w:r w:rsidR="00E6666E" w:rsidRPr="004C0D35">
        <w:rPr>
          <w:rFonts w:ascii="Times New Roman" w:hAnsi="Times New Roman" w:cs="Times New Roman"/>
          <w:color w:val="000000"/>
          <w:sz w:val="24"/>
          <w:szCs w:val="24"/>
          <w:shd w:val="clear" w:color="auto" w:fill="FFFFFF"/>
        </w:rPr>
        <w:t>restrictions</w:t>
      </w:r>
      <w:r w:rsidR="00E724C8">
        <w:rPr>
          <w:rFonts w:ascii="Times New Roman" w:hAnsi="Times New Roman" w:cs="Times New Roman"/>
          <w:color w:val="000000"/>
          <w:sz w:val="24"/>
          <w:szCs w:val="24"/>
          <w:shd w:val="clear" w:color="auto" w:fill="FFFFFF"/>
        </w:rPr>
        <w:t xml:space="preserve"> on trust use</w:t>
      </w:r>
      <w:r w:rsidR="00E6666E" w:rsidRPr="004C0D35">
        <w:rPr>
          <w:rFonts w:ascii="Times New Roman" w:hAnsi="Times New Roman" w:cs="Times New Roman"/>
          <w:color w:val="000000"/>
          <w:sz w:val="24"/>
          <w:szCs w:val="24"/>
          <w:shd w:val="clear" w:color="auto" w:fill="FFFFFF"/>
        </w:rPr>
        <w:t xml:space="preserve"> have been multiplying rather than </w:t>
      </w:r>
      <w:r w:rsidR="00A00011" w:rsidRPr="004C0D35">
        <w:rPr>
          <w:rFonts w:ascii="Times New Roman" w:hAnsi="Times New Roman" w:cs="Times New Roman"/>
          <w:color w:val="000000"/>
          <w:sz w:val="24"/>
          <w:szCs w:val="24"/>
          <w:shd w:val="clear" w:color="auto" w:fill="FFFFFF"/>
        </w:rPr>
        <w:t>diminishing</w:t>
      </w:r>
      <w:r w:rsidR="005D6C02" w:rsidRPr="004C0D35">
        <w:rPr>
          <w:rFonts w:ascii="Times New Roman" w:hAnsi="Times New Roman" w:cs="Times New Roman"/>
          <w:color w:val="000000"/>
          <w:sz w:val="24"/>
          <w:szCs w:val="24"/>
          <w:shd w:val="clear" w:color="auto" w:fill="FFFFFF"/>
        </w:rPr>
        <w:t>, as has been the case with the other 20 variables under examination</w:t>
      </w:r>
      <w:r w:rsidR="00A00011" w:rsidRPr="004C0D35">
        <w:rPr>
          <w:rFonts w:ascii="Times New Roman" w:hAnsi="Times New Roman" w:cs="Times New Roman"/>
          <w:color w:val="000000"/>
          <w:sz w:val="24"/>
          <w:szCs w:val="24"/>
          <w:shd w:val="clear" w:color="auto" w:fill="FFFFFF"/>
        </w:rPr>
        <w:t>. Registration requirements applicable to trust data and trust instruments (18) and requirements that trusts must be created in writing (19) even if they include no real estate have been multiplying in man</w:t>
      </w:r>
      <w:r w:rsidR="005D6C02" w:rsidRPr="004C0D35">
        <w:rPr>
          <w:rFonts w:ascii="Times New Roman" w:hAnsi="Times New Roman" w:cs="Times New Roman"/>
          <w:color w:val="000000"/>
          <w:sz w:val="24"/>
          <w:szCs w:val="24"/>
          <w:shd w:val="clear" w:color="auto" w:fill="FFFFFF"/>
        </w:rPr>
        <w:t>y jurisdictions. Accordingly, I</w:t>
      </w:r>
      <w:r w:rsidR="00A00011" w:rsidRPr="004C0D35">
        <w:rPr>
          <w:rFonts w:ascii="Times New Roman" w:hAnsi="Times New Roman" w:cs="Times New Roman"/>
          <w:color w:val="000000"/>
          <w:sz w:val="24"/>
          <w:szCs w:val="24"/>
          <w:shd w:val="clear" w:color="auto" w:fill="FFFFFF"/>
        </w:rPr>
        <w:t xml:space="preserve"> multiplied the codes for these two jurisdictions by -1, so that they express the substantive direction of legal development, given my </w:t>
      </w:r>
      <w:r w:rsidR="001C1EA2" w:rsidRPr="004C0D35">
        <w:rPr>
          <w:rFonts w:ascii="Times New Roman" w:hAnsi="Times New Roman" w:cs="Times New Roman"/>
          <w:color w:val="000000"/>
          <w:sz w:val="24"/>
          <w:szCs w:val="24"/>
          <w:shd w:val="clear" w:color="auto" w:fill="FFFFFF"/>
        </w:rPr>
        <w:t>decision that the more liberal</w:t>
      </w:r>
      <w:r w:rsidR="00635ACB" w:rsidRPr="004C0D35">
        <w:rPr>
          <w:rFonts w:ascii="Times New Roman" w:hAnsi="Times New Roman" w:cs="Times New Roman"/>
          <w:color w:val="000000"/>
          <w:sz w:val="24"/>
          <w:szCs w:val="24"/>
          <w:shd w:val="clear" w:color="auto" w:fill="FFFFFF"/>
        </w:rPr>
        <w:t xml:space="preserve"> or permissive</w:t>
      </w:r>
      <w:r w:rsidR="001C1EA2" w:rsidRPr="004C0D35">
        <w:rPr>
          <w:rFonts w:ascii="Times New Roman" w:hAnsi="Times New Roman" w:cs="Times New Roman"/>
          <w:color w:val="000000"/>
          <w:sz w:val="24"/>
          <w:szCs w:val="24"/>
          <w:shd w:val="clear" w:color="auto" w:fill="FFFFFF"/>
        </w:rPr>
        <w:t xml:space="preserve"> a state of law, the higher the code.</w:t>
      </w:r>
    </w:p>
    <w:p w14:paraId="6696BF4E" w14:textId="743BB5C4" w:rsidR="001C1EA2" w:rsidRPr="004C0D35" w:rsidRDefault="001C1EA2" w:rsidP="00E724C8">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t xml:space="preserve">Two caveats should be recorded, lest my codes be read as conveying information which they do not express. First, </w:t>
      </w:r>
      <w:r w:rsidR="00B359FB" w:rsidRPr="004C0D35">
        <w:rPr>
          <w:rFonts w:ascii="Times New Roman" w:hAnsi="Times New Roman" w:cs="Times New Roman"/>
          <w:color w:val="000000"/>
          <w:sz w:val="24"/>
          <w:szCs w:val="24"/>
          <w:shd w:val="clear" w:color="auto" w:fill="FFFFFF"/>
        </w:rPr>
        <w:t xml:space="preserve">given the relatively </w:t>
      </w:r>
      <w:r w:rsidR="00C77978" w:rsidRPr="004C0D35">
        <w:rPr>
          <w:rFonts w:ascii="Times New Roman" w:hAnsi="Times New Roman" w:cs="Times New Roman"/>
          <w:color w:val="000000"/>
          <w:sz w:val="24"/>
          <w:szCs w:val="24"/>
          <w:shd w:val="clear" w:color="auto" w:fill="FFFFFF"/>
        </w:rPr>
        <w:t>wide-ranging</w:t>
      </w:r>
      <w:r w:rsidR="00B359FB" w:rsidRPr="004C0D35">
        <w:rPr>
          <w:rFonts w:ascii="Times New Roman" w:hAnsi="Times New Roman" w:cs="Times New Roman"/>
          <w:color w:val="000000"/>
          <w:sz w:val="24"/>
          <w:szCs w:val="24"/>
          <w:shd w:val="clear" w:color="auto" w:fill="FFFFFF"/>
        </w:rPr>
        <w:t xml:space="preserve"> character of most codes,</w:t>
      </w:r>
      <w:r w:rsidR="00C77978" w:rsidRPr="004C0D35">
        <w:rPr>
          <w:rFonts w:ascii="Times New Roman" w:hAnsi="Times New Roman" w:cs="Times New Roman"/>
          <w:color w:val="000000"/>
          <w:sz w:val="24"/>
          <w:szCs w:val="24"/>
          <w:shd w:val="clear" w:color="auto" w:fill="FFFFFF"/>
        </w:rPr>
        <w:t xml:space="preserve"> quite different statutes could receive the same code, </w:t>
      </w:r>
      <w:r w:rsidR="00E724C8">
        <w:rPr>
          <w:rFonts w:ascii="Times New Roman" w:hAnsi="Times New Roman" w:cs="Times New Roman"/>
          <w:color w:val="000000"/>
          <w:sz w:val="24"/>
          <w:szCs w:val="24"/>
          <w:shd w:val="clear" w:color="auto" w:fill="FFFFFF"/>
        </w:rPr>
        <w:t>and therefore</w:t>
      </w:r>
      <w:r w:rsidR="00EF71B6" w:rsidRPr="004C0D35">
        <w:rPr>
          <w:rFonts w:ascii="Times New Roman" w:hAnsi="Times New Roman" w:cs="Times New Roman"/>
          <w:color w:val="000000"/>
          <w:sz w:val="24"/>
          <w:szCs w:val="24"/>
          <w:shd w:val="clear" w:color="auto" w:fill="FFFFFF"/>
        </w:rPr>
        <w:t xml:space="preserve"> new legislation which received</w:t>
      </w:r>
      <w:r w:rsidR="00B359FB" w:rsidRPr="004C0D35">
        <w:rPr>
          <w:rFonts w:ascii="Times New Roman" w:hAnsi="Times New Roman" w:cs="Times New Roman"/>
          <w:color w:val="000000"/>
          <w:sz w:val="24"/>
          <w:szCs w:val="24"/>
          <w:shd w:val="clear" w:color="auto" w:fill="FFFFFF"/>
        </w:rPr>
        <w:t xml:space="preserve"> the same code as the legislation it replaced is not necessarily identical to the earlier legislation and may include significant innovations. Second, codes express the </w:t>
      </w:r>
      <w:r w:rsidR="000D1E5A">
        <w:rPr>
          <w:rFonts w:ascii="Times New Roman" w:hAnsi="Times New Roman" w:cs="Times New Roman"/>
          <w:color w:val="000000"/>
          <w:sz w:val="24"/>
          <w:szCs w:val="24"/>
          <w:shd w:val="clear" w:color="auto" w:fill="FFFFFF"/>
        </w:rPr>
        <w:t>degree of permissiveness of</w:t>
      </w:r>
      <w:r w:rsidR="00D515A8" w:rsidRPr="004C0D35">
        <w:rPr>
          <w:rFonts w:ascii="Times New Roman" w:hAnsi="Times New Roman" w:cs="Times New Roman"/>
          <w:color w:val="000000"/>
          <w:sz w:val="24"/>
          <w:szCs w:val="24"/>
          <w:shd w:val="clear" w:color="auto" w:fill="FFFFFF"/>
        </w:rPr>
        <w:t xml:space="preserve"> the </w:t>
      </w:r>
      <w:r w:rsidR="00B359FB" w:rsidRPr="004C0D35">
        <w:rPr>
          <w:rFonts w:ascii="Times New Roman" w:hAnsi="Times New Roman" w:cs="Times New Roman"/>
          <w:color w:val="000000"/>
          <w:sz w:val="24"/>
          <w:szCs w:val="24"/>
          <w:shd w:val="clear" w:color="auto" w:fill="FFFFFF"/>
        </w:rPr>
        <w:t xml:space="preserve">contents of the legislation coded, not </w:t>
      </w:r>
      <w:r w:rsidR="000D1E5A">
        <w:rPr>
          <w:rFonts w:ascii="Times New Roman" w:hAnsi="Times New Roman" w:cs="Times New Roman"/>
          <w:color w:val="000000"/>
          <w:sz w:val="24"/>
          <w:szCs w:val="24"/>
          <w:shd w:val="clear" w:color="auto" w:fill="FFFFFF"/>
        </w:rPr>
        <w:t>of</w:t>
      </w:r>
      <w:r w:rsidR="00D515A8" w:rsidRPr="004C0D35">
        <w:rPr>
          <w:rFonts w:ascii="Times New Roman" w:hAnsi="Times New Roman" w:cs="Times New Roman"/>
          <w:color w:val="000000"/>
          <w:sz w:val="24"/>
          <w:szCs w:val="24"/>
          <w:shd w:val="clear" w:color="auto" w:fill="FFFFFF"/>
        </w:rPr>
        <w:t xml:space="preserve"> </w:t>
      </w:r>
      <w:r w:rsidR="00B359FB" w:rsidRPr="004C0D35">
        <w:rPr>
          <w:rFonts w:ascii="Times New Roman" w:hAnsi="Times New Roman" w:cs="Times New Roman"/>
          <w:color w:val="000000"/>
          <w:sz w:val="24"/>
          <w:szCs w:val="24"/>
          <w:shd w:val="clear" w:color="auto" w:fill="FFFFFF"/>
        </w:rPr>
        <w:t xml:space="preserve">the overall state of the law of the jurisdiction </w:t>
      </w:r>
      <w:r w:rsidR="00635ACB" w:rsidRPr="004C0D35">
        <w:rPr>
          <w:rFonts w:ascii="Times New Roman" w:hAnsi="Times New Roman" w:cs="Times New Roman"/>
          <w:color w:val="000000"/>
          <w:sz w:val="24"/>
          <w:szCs w:val="24"/>
          <w:shd w:val="clear" w:color="auto" w:fill="FFFFFF"/>
        </w:rPr>
        <w:t xml:space="preserve">in question </w:t>
      </w:r>
      <w:r w:rsidR="00B359FB" w:rsidRPr="004C0D35">
        <w:rPr>
          <w:rFonts w:ascii="Times New Roman" w:hAnsi="Times New Roman" w:cs="Times New Roman"/>
          <w:color w:val="000000"/>
          <w:sz w:val="24"/>
          <w:szCs w:val="24"/>
          <w:shd w:val="clear" w:color="auto" w:fill="FFFFFF"/>
        </w:rPr>
        <w:t xml:space="preserve">respecting the issue at hand. Specifically, codes do not express </w:t>
      </w:r>
      <w:r w:rsidR="00D9435F" w:rsidRPr="004C0D35">
        <w:rPr>
          <w:rFonts w:ascii="Times New Roman" w:hAnsi="Times New Roman" w:cs="Times New Roman"/>
          <w:color w:val="000000"/>
          <w:sz w:val="24"/>
          <w:szCs w:val="24"/>
          <w:shd w:val="clear" w:color="auto" w:fill="FFFFFF"/>
        </w:rPr>
        <w:t xml:space="preserve">the degree of permissiveness of each jurisdiction’s </w:t>
      </w:r>
      <w:r w:rsidR="00B359FB" w:rsidRPr="004C0D35">
        <w:rPr>
          <w:rFonts w:ascii="Times New Roman" w:hAnsi="Times New Roman" w:cs="Times New Roman"/>
          <w:color w:val="000000"/>
          <w:sz w:val="24"/>
          <w:szCs w:val="24"/>
          <w:shd w:val="clear" w:color="auto" w:fill="FFFFFF"/>
        </w:rPr>
        <w:t>non-statutory law</w:t>
      </w:r>
      <w:r w:rsidR="00D9435F" w:rsidRPr="004C0D35">
        <w:rPr>
          <w:rFonts w:ascii="Times New Roman" w:hAnsi="Times New Roman" w:cs="Times New Roman"/>
          <w:color w:val="000000"/>
          <w:sz w:val="24"/>
          <w:szCs w:val="24"/>
          <w:shd w:val="clear" w:color="auto" w:fill="FFFFFF"/>
        </w:rPr>
        <w:t xml:space="preserve"> regarding each of the 22 doctrinal variables</w:t>
      </w:r>
      <w:r w:rsidR="00B359FB" w:rsidRPr="004C0D35">
        <w:rPr>
          <w:rFonts w:ascii="Times New Roman" w:hAnsi="Times New Roman" w:cs="Times New Roman"/>
          <w:color w:val="000000"/>
          <w:sz w:val="24"/>
          <w:szCs w:val="24"/>
          <w:shd w:val="clear" w:color="auto" w:fill="FFFFFF"/>
        </w:rPr>
        <w:t>. As a result,</w:t>
      </w:r>
      <w:r w:rsidR="00D9435F" w:rsidRPr="004C0D35">
        <w:rPr>
          <w:rFonts w:ascii="Times New Roman" w:hAnsi="Times New Roman" w:cs="Times New Roman"/>
          <w:color w:val="000000"/>
          <w:sz w:val="24"/>
          <w:szCs w:val="24"/>
          <w:shd w:val="clear" w:color="auto" w:fill="FFFFFF"/>
        </w:rPr>
        <w:t xml:space="preserve"> for example,</w:t>
      </w:r>
      <w:r w:rsidR="00B359FB" w:rsidRPr="004C0D35">
        <w:rPr>
          <w:rFonts w:ascii="Times New Roman" w:hAnsi="Times New Roman" w:cs="Times New Roman"/>
          <w:color w:val="000000"/>
          <w:sz w:val="24"/>
          <w:szCs w:val="24"/>
          <w:shd w:val="clear" w:color="auto" w:fill="FFFFFF"/>
        </w:rPr>
        <w:t xml:space="preserve"> codes according to which a </w:t>
      </w:r>
      <w:r w:rsidR="00D9435F" w:rsidRPr="004C0D35">
        <w:rPr>
          <w:rFonts w:ascii="Times New Roman" w:hAnsi="Times New Roman" w:cs="Times New Roman"/>
          <w:color w:val="000000"/>
          <w:sz w:val="24"/>
          <w:szCs w:val="24"/>
          <w:shd w:val="clear" w:color="auto" w:fill="FFFFFF"/>
        </w:rPr>
        <w:t>certain structure or act</w:t>
      </w:r>
      <w:r w:rsidR="00B359FB" w:rsidRPr="004C0D35">
        <w:rPr>
          <w:rFonts w:ascii="Times New Roman" w:hAnsi="Times New Roman" w:cs="Times New Roman"/>
          <w:color w:val="000000"/>
          <w:sz w:val="24"/>
          <w:szCs w:val="24"/>
          <w:shd w:val="clear" w:color="auto" w:fill="FFFFFF"/>
        </w:rPr>
        <w:t xml:space="preserve"> </w:t>
      </w:r>
      <w:r w:rsidR="00D9435F" w:rsidRPr="004C0D35">
        <w:rPr>
          <w:rFonts w:ascii="Times New Roman" w:hAnsi="Times New Roman" w:cs="Times New Roman"/>
          <w:color w:val="000000"/>
          <w:sz w:val="24"/>
          <w:szCs w:val="24"/>
          <w:shd w:val="clear" w:color="auto" w:fill="FFFFFF"/>
        </w:rPr>
        <w:t xml:space="preserve">was legally </w:t>
      </w:r>
      <w:r w:rsidR="000D1E5A">
        <w:rPr>
          <w:rFonts w:ascii="Times New Roman" w:hAnsi="Times New Roman" w:cs="Times New Roman"/>
          <w:color w:val="000000"/>
          <w:sz w:val="24"/>
          <w:szCs w:val="24"/>
          <w:shd w:val="clear" w:color="auto" w:fill="FFFFFF"/>
        </w:rPr>
        <w:t>impossible</w:t>
      </w:r>
      <w:r w:rsidR="00D9435F" w:rsidRPr="004C0D35">
        <w:rPr>
          <w:rFonts w:ascii="Times New Roman" w:hAnsi="Times New Roman" w:cs="Times New Roman"/>
          <w:color w:val="000000"/>
          <w:sz w:val="24"/>
          <w:szCs w:val="24"/>
          <w:shd w:val="clear" w:color="auto" w:fill="FFFFFF"/>
        </w:rPr>
        <w:t xml:space="preserve"> in a certain jurisdiction at a certain point in time</w:t>
      </w:r>
      <w:r w:rsidR="00B359FB" w:rsidRPr="004C0D35">
        <w:rPr>
          <w:rFonts w:ascii="Times New Roman" w:hAnsi="Times New Roman" w:cs="Times New Roman"/>
          <w:color w:val="000000"/>
          <w:sz w:val="24"/>
          <w:szCs w:val="24"/>
          <w:shd w:val="clear" w:color="auto" w:fill="FFFFFF"/>
        </w:rPr>
        <w:t xml:space="preserve"> only mean that it </w:t>
      </w:r>
      <w:r w:rsidR="00D9435F" w:rsidRPr="004C0D35">
        <w:rPr>
          <w:rFonts w:ascii="Times New Roman" w:hAnsi="Times New Roman" w:cs="Times New Roman"/>
          <w:color w:val="000000"/>
          <w:sz w:val="24"/>
          <w:szCs w:val="24"/>
          <w:shd w:val="clear" w:color="auto" w:fill="FFFFFF"/>
        </w:rPr>
        <w:t>was</w:t>
      </w:r>
      <w:r w:rsidR="00B359FB" w:rsidRPr="004C0D35">
        <w:rPr>
          <w:rFonts w:ascii="Times New Roman" w:hAnsi="Times New Roman" w:cs="Times New Roman"/>
          <w:color w:val="000000"/>
          <w:sz w:val="24"/>
          <w:szCs w:val="24"/>
          <w:shd w:val="clear" w:color="auto" w:fill="FFFFFF"/>
        </w:rPr>
        <w:t xml:space="preserve"> </w:t>
      </w:r>
      <w:r w:rsidR="008D0C74" w:rsidRPr="004C0D35">
        <w:rPr>
          <w:rFonts w:ascii="Times New Roman" w:hAnsi="Times New Roman" w:cs="Times New Roman"/>
          <w:color w:val="000000"/>
          <w:sz w:val="24"/>
          <w:szCs w:val="24"/>
          <w:shd w:val="clear" w:color="auto" w:fill="FFFFFF"/>
        </w:rPr>
        <w:t xml:space="preserve">then </w:t>
      </w:r>
      <w:r w:rsidR="00B359FB" w:rsidRPr="004C0D35">
        <w:rPr>
          <w:rFonts w:ascii="Times New Roman" w:hAnsi="Times New Roman" w:cs="Times New Roman"/>
          <w:color w:val="000000"/>
          <w:sz w:val="24"/>
          <w:szCs w:val="24"/>
          <w:shd w:val="clear" w:color="auto" w:fill="FFFFFF"/>
        </w:rPr>
        <w:t>impossible under the statute</w:t>
      </w:r>
      <w:r w:rsidR="00D9435F" w:rsidRPr="004C0D35">
        <w:rPr>
          <w:rFonts w:ascii="Times New Roman" w:hAnsi="Times New Roman" w:cs="Times New Roman"/>
          <w:color w:val="000000"/>
          <w:sz w:val="24"/>
          <w:szCs w:val="24"/>
          <w:shd w:val="clear" w:color="auto" w:fill="FFFFFF"/>
        </w:rPr>
        <w:t xml:space="preserve"> law of the jurisdiction in question</w:t>
      </w:r>
      <w:r w:rsidR="00B359FB" w:rsidRPr="004C0D35">
        <w:rPr>
          <w:rFonts w:ascii="Times New Roman" w:hAnsi="Times New Roman" w:cs="Times New Roman"/>
          <w:color w:val="000000"/>
          <w:sz w:val="24"/>
          <w:szCs w:val="24"/>
          <w:shd w:val="clear" w:color="auto" w:fill="FFFFFF"/>
        </w:rPr>
        <w:t xml:space="preserve">. The structure or act in question may </w:t>
      </w:r>
      <w:r w:rsidR="00D9435F" w:rsidRPr="004C0D35">
        <w:rPr>
          <w:rFonts w:ascii="Times New Roman" w:hAnsi="Times New Roman" w:cs="Times New Roman"/>
          <w:color w:val="000000"/>
          <w:sz w:val="24"/>
          <w:szCs w:val="24"/>
          <w:shd w:val="clear" w:color="auto" w:fill="FFFFFF"/>
        </w:rPr>
        <w:t xml:space="preserve">have </w:t>
      </w:r>
      <w:r w:rsidR="00B359FB" w:rsidRPr="004C0D35">
        <w:rPr>
          <w:rFonts w:ascii="Times New Roman" w:hAnsi="Times New Roman" w:cs="Times New Roman"/>
          <w:color w:val="000000"/>
          <w:sz w:val="24"/>
          <w:szCs w:val="24"/>
          <w:shd w:val="clear" w:color="auto" w:fill="FFFFFF"/>
        </w:rPr>
        <w:t>be</w:t>
      </w:r>
      <w:r w:rsidR="00D9435F" w:rsidRPr="004C0D35">
        <w:rPr>
          <w:rFonts w:ascii="Times New Roman" w:hAnsi="Times New Roman" w:cs="Times New Roman"/>
          <w:color w:val="000000"/>
          <w:sz w:val="24"/>
          <w:szCs w:val="24"/>
          <w:shd w:val="clear" w:color="auto" w:fill="FFFFFF"/>
        </w:rPr>
        <w:t>en</w:t>
      </w:r>
      <w:r w:rsidR="00B359FB" w:rsidRPr="004C0D35">
        <w:rPr>
          <w:rFonts w:ascii="Times New Roman" w:hAnsi="Times New Roman" w:cs="Times New Roman"/>
          <w:color w:val="000000"/>
          <w:sz w:val="24"/>
          <w:szCs w:val="24"/>
          <w:shd w:val="clear" w:color="auto" w:fill="FFFFFF"/>
        </w:rPr>
        <w:t xml:space="preserve"> quite possible</w:t>
      </w:r>
      <w:r w:rsidR="00D9435F" w:rsidRPr="004C0D35">
        <w:rPr>
          <w:rFonts w:ascii="Times New Roman" w:hAnsi="Times New Roman" w:cs="Times New Roman"/>
          <w:color w:val="000000"/>
          <w:sz w:val="24"/>
          <w:szCs w:val="24"/>
          <w:shd w:val="clear" w:color="auto" w:fill="FFFFFF"/>
        </w:rPr>
        <w:t xml:space="preserve"> at that time</w:t>
      </w:r>
      <w:r w:rsidR="00B359FB" w:rsidRPr="004C0D35">
        <w:rPr>
          <w:rFonts w:ascii="Times New Roman" w:hAnsi="Times New Roman" w:cs="Times New Roman"/>
          <w:color w:val="000000"/>
          <w:sz w:val="24"/>
          <w:szCs w:val="24"/>
          <w:shd w:val="clear" w:color="auto" w:fill="FFFFFF"/>
        </w:rPr>
        <w:t xml:space="preserve"> under </w:t>
      </w:r>
      <w:r w:rsidR="00635ACB" w:rsidRPr="004C0D35">
        <w:rPr>
          <w:rFonts w:ascii="Times New Roman" w:hAnsi="Times New Roman" w:cs="Times New Roman"/>
          <w:color w:val="000000"/>
          <w:sz w:val="24"/>
          <w:szCs w:val="24"/>
          <w:shd w:val="clear" w:color="auto" w:fill="FFFFFF"/>
        </w:rPr>
        <w:t xml:space="preserve">the </w:t>
      </w:r>
      <w:r w:rsidR="00B359FB" w:rsidRPr="004C0D35">
        <w:rPr>
          <w:rFonts w:ascii="Times New Roman" w:hAnsi="Times New Roman" w:cs="Times New Roman"/>
          <w:color w:val="000000"/>
          <w:sz w:val="24"/>
          <w:szCs w:val="24"/>
          <w:shd w:val="clear" w:color="auto" w:fill="FFFFFF"/>
        </w:rPr>
        <w:t>non-statutory law</w:t>
      </w:r>
      <w:r w:rsidR="00635ACB" w:rsidRPr="004C0D35">
        <w:rPr>
          <w:rFonts w:ascii="Times New Roman" w:hAnsi="Times New Roman" w:cs="Times New Roman"/>
          <w:color w:val="000000"/>
          <w:sz w:val="24"/>
          <w:szCs w:val="24"/>
          <w:shd w:val="clear" w:color="auto" w:fill="FFFFFF"/>
        </w:rPr>
        <w:t xml:space="preserve"> of the same jurisdiction</w:t>
      </w:r>
      <w:r w:rsidR="00B359FB" w:rsidRPr="004C0D35">
        <w:rPr>
          <w:rFonts w:ascii="Times New Roman" w:hAnsi="Times New Roman" w:cs="Times New Roman"/>
          <w:color w:val="000000"/>
          <w:sz w:val="24"/>
          <w:szCs w:val="24"/>
          <w:shd w:val="clear" w:color="auto" w:fill="FFFFFF"/>
        </w:rPr>
        <w:t xml:space="preserve">. </w:t>
      </w:r>
    </w:p>
    <w:p w14:paraId="4035EF59" w14:textId="77777777" w:rsidR="00B73D9E" w:rsidRPr="004C0D35" w:rsidRDefault="00B73D9E" w:rsidP="00DD35CA">
      <w:pPr>
        <w:autoSpaceDE w:val="0"/>
        <w:autoSpaceDN w:val="0"/>
        <w:adjustRightInd w:val="0"/>
        <w:spacing w:after="0" w:line="276" w:lineRule="auto"/>
        <w:rPr>
          <w:rFonts w:ascii="Times New Roman" w:hAnsi="Times New Roman" w:cs="Times New Roman"/>
          <w:sz w:val="24"/>
          <w:szCs w:val="24"/>
          <w:rtl/>
        </w:rPr>
      </w:pPr>
    </w:p>
    <w:p w14:paraId="702C0544" w14:textId="77777777" w:rsidR="00B359FB" w:rsidRPr="002050B5" w:rsidRDefault="002050B5" w:rsidP="00DD35CA">
      <w:pPr>
        <w:spacing w:line="276" w:lineRule="auto"/>
        <w:rPr>
          <w:rFonts w:ascii="Times New Roman" w:hAnsi="Times New Roman" w:cs="Times New Roman"/>
          <w:smallCaps/>
          <w:sz w:val="24"/>
          <w:szCs w:val="24"/>
        </w:rPr>
      </w:pPr>
      <w:r w:rsidRPr="002050B5">
        <w:rPr>
          <w:rFonts w:ascii="Times New Roman" w:hAnsi="Times New Roman" w:cs="Times New Roman"/>
          <w:smallCaps/>
          <w:sz w:val="24"/>
          <w:szCs w:val="24"/>
        </w:rPr>
        <w:t>C</w:t>
      </w:r>
      <w:r w:rsidR="00B359FB" w:rsidRPr="002050B5">
        <w:rPr>
          <w:rFonts w:ascii="Times New Roman" w:hAnsi="Times New Roman" w:cs="Times New Roman"/>
          <w:smallCaps/>
          <w:sz w:val="24"/>
          <w:szCs w:val="24"/>
        </w:rPr>
        <w:t xml:space="preserve">. Creating the Trust </w:t>
      </w:r>
      <w:r w:rsidR="00F2538A" w:rsidRPr="002050B5">
        <w:rPr>
          <w:rFonts w:ascii="Times New Roman" w:hAnsi="Times New Roman" w:cs="Times New Roman"/>
          <w:smallCaps/>
          <w:sz w:val="24"/>
          <w:szCs w:val="24"/>
        </w:rPr>
        <w:t>Liberality</w:t>
      </w:r>
      <w:r w:rsidR="00B359FB" w:rsidRPr="002050B5">
        <w:rPr>
          <w:rFonts w:ascii="Times New Roman" w:hAnsi="Times New Roman" w:cs="Times New Roman"/>
          <w:smallCaps/>
          <w:sz w:val="24"/>
          <w:szCs w:val="24"/>
        </w:rPr>
        <w:t xml:space="preserve"> Index</w:t>
      </w:r>
    </w:p>
    <w:p w14:paraId="63D2FD09" w14:textId="23FDC00C" w:rsidR="007802CD" w:rsidRPr="004C0D35" w:rsidRDefault="00826F61" w:rsidP="00496651">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sz w:val="24"/>
          <w:szCs w:val="24"/>
        </w:rPr>
        <w:t>In order to construct, out of the codes established for each observation</w:t>
      </w:r>
      <w:r w:rsidRPr="004C0D35">
        <w:rPr>
          <w:rFonts w:ascii="Times New Roman" w:hAnsi="Times New Roman" w:cs="Times New Roman"/>
          <w:color w:val="000000"/>
          <w:sz w:val="24"/>
          <w:szCs w:val="24"/>
          <w:shd w:val="clear" w:color="auto" w:fill="FFFFFF"/>
        </w:rPr>
        <w:t xml:space="preserve">, </w:t>
      </w:r>
      <w:r w:rsidRPr="004C0D35">
        <w:rPr>
          <w:rFonts w:ascii="Times New Roman" w:hAnsi="Times New Roman" w:cs="Times New Roman"/>
          <w:sz w:val="24"/>
          <w:szCs w:val="24"/>
        </w:rPr>
        <w:t xml:space="preserve">a single trust </w:t>
      </w:r>
      <w:r w:rsidR="00F2538A" w:rsidRPr="004C0D35">
        <w:rPr>
          <w:rFonts w:ascii="Times New Roman" w:hAnsi="Times New Roman" w:cs="Times New Roman"/>
          <w:sz w:val="24"/>
          <w:szCs w:val="24"/>
        </w:rPr>
        <w:t>liberality</w:t>
      </w:r>
      <w:r w:rsidRPr="004C0D35">
        <w:rPr>
          <w:rFonts w:ascii="Times New Roman" w:hAnsi="Times New Roman" w:cs="Times New Roman"/>
          <w:sz w:val="24"/>
          <w:szCs w:val="24"/>
        </w:rPr>
        <w:t xml:space="preserve"> score</w:t>
      </w:r>
      <w:r w:rsidR="00E52808" w:rsidRPr="004C0D35">
        <w:rPr>
          <w:rFonts w:ascii="Times New Roman" w:hAnsi="Times New Roman" w:cs="Times New Roman"/>
          <w:sz w:val="24"/>
          <w:szCs w:val="24"/>
        </w:rPr>
        <w:t xml:space="preserve"> </w:t>
      </w:r>
      <w:r w:rsidR="00EF71B6" w:rsidRPr="004C0D35">
        <w:rPr>
          <w:rFonts w:ascii="Times New Roman" w:hAnsi="Times New Roman" w:cs="Times New Roman"/>
          <w:sz w:val="24"/>
          <w:szCs w:val="24"/>
        </w:rPr>
        <w:t xml:space="preserve">for each jurisdiction in each </w:t>
      </w:r>
      <w:r w:rsidR="008322FD">
        <w:rPr>
          <w:rFonts w:ascii="Times New Roman" w:hAnsi="Times New Roman" w:cs="Times New Roman"/>
          <w:sz w:val="24"/>
          <w:szCs w:val="24"/>
        </w:rPr>
        <w:t xml:space="preserve">year, as well as a single trust liberality score for all the jurisdictions in </w:t>
      </w:r>
      <w:r w:rsidRPr="004C0D35">
        <w:rPr>
          <w:rFonts w:ascii="Times New Roman" w:hAnsi="Times New Roman" w:cs="Times New Roman"/>
          <w:sz w:val="24"/>
          <w:szCs w:val="24"/>
        </w:rPr>
        <w:t xml:space="preserve">the database </w:t>
      </w:r>
      <w:r w:rsidR="00893FB5" w:rsidRPr="004C0D35">
        <w:rPr>
          <w:rFonts w:ascii="Times New Roman" w:hAnsi="Times New Roman" w:cs="Times New Roman"/>
          <w:sz w:val="24"/>
          <w:szCs w:val="24"/>
        </w:rPr>
        <w:t>as of</w:t>
      </w:r>
      <w:r w:rsidRPr="004C0D35">
        <w:rPr>
          <w:rFonts w:ascii="Times New Roman" w:hAnsi="Times New Roman" w:cs="Times New Roman"/>
          <w:sz w:val="24"/>
          <w:szCs w:val="24"/>
        </w:rPr>
        <w:t xml:space="preserve"> each year, </w:t>
      </w:r>
      <w:r w:rsidR="00E52808" w:rsidRPr="004C0D35">
        <w:rPr>
          <w:rFonts w:ascii="Times New Roman" w:hAnsi="Times New Roman" w:cs="Times New Roman"/>
          <w:color w:val="000000"/>
          <w:sz w:val="24"/>
          <w:szCs w:val="24"/>
          <w:shd w:val="clear" w:color="auto" w:fill="FFFFFF"/>
        </w:rPr>
        <w:t xml:space="preserve">the codes had first to be normalized. I </w:t>
      </w:r>
      <w:r w:rsidR="008322FD">
        <w:rPr>
          <w:rFonts w:ascii="Times New Roman" w:hAnsi="Times New Roman" w:cs="Times New Roman"/>
          <w:color w:val="000000"/>
          <w:sz w:val="24"/>
          <w:szCs w:val="24"/>
          <w:shd w:val="clear" w:color="auto" w:fill="FFFFFF"/>
        </w:rPr>
        <w:t>normalized the codes</w:t>
      </w:r>
      <w:r w:rsidR="00496651">
        <w:rPr>
          <w:rFonts w:ascii="Times New Roman" w:hAnsi="Times New Roman" w:cs="Times New Roman"/>
          <w:color w:val="000000"/>
          <w:sz w:val="24"/>
          <w:szCs w:val="24"/>
          <w:shd w:val="clear" w:color="auto" w:fill="FFFFFF"/>
        </w:rPr>
        <w:t xml:space="preserve"> for each variable</w:t>
      </w:r>
      <w:r w:rsidR="008322FD">
        <w:rPr>
          <w:rFonts w:ascii="Times New Roman" w:hAnsi="Times New Roman" w:cs="Times New Roman"/>
          <w:color w:val="000000"/>
          <w:sz w:val="24"/>
          <w:szCs w:val="24"/>
          <w:shd w:val="clear" w:color="auto" w:fill="FFFFFF"/>
        </w:rPr>
        <w:t xml:space="preserve"> using the m</w:t>
      </w:r>
      <w:r w:rsidR="00E52808" w:rsidRPr="004C0D35">
        <w:rPr>
          <w:rFonts w:ascii="Times New Roman" w:hAnsi="Times New Roman" w:cs="Times New Roman"/>
          <w:color w:val="000000"/>
          <w:sz w:val="24"/>
          <w:szCs w:val="24"/>
          <w:shd w:val="clear" w:color="auto" w:fill="FFFFFF"/>
        </w:rPr>
        <w:t>in-</w:t>
      </w:r>
      <w:r w:rsidR="008322FD">
        <w:rPr>
          <w:rFonts w:ascii="Times New Roman" w:hAnsi="Times New Roman" w:cs="Times New Roman"/>
          <w:color w:val="000000"/>
          <w:sz w:val="24"/>
          <w:szCs w:val="24"/>
          <w:shd w:val="clear" w:color="auto" w:fill="FFFFFF"/>
        </w:rPr>
        <w:t>m</w:t>
      </w:r>
      <w:r w:rsidR="00E52808" w:rsidRPr="004C0D35">
        <w:rPr>
          <w:rFonts w:ascii="Times New Roman" w:hAnsi="Times New Roman" w:cs="Times New Roman"/>
          <w:color w:val="000000"/>
          <w:sz w:val="24"/>
          <w:szCs w:val="24"/>
          <w:shd w:val="clear" w:color="auto" w:fill="FFFFFF"/>
        </w:rPr>
        <w:t>ax method, to have an identical range</w:t>
      </w:r>
      <w:r w:rsidRPr="004C0D35">
        <w:rPr>
          <w:rFonts w:ascii="Times New Roman" w:hAnsi="Times New Roman" w:cs="Times New Roman"/>
          <w:color w:val="000000"/>
          <w:sz w:val="24"/>
          <w:szCs w:val="24"/>
          <w:shd w:val="clear" w:color="auto" w:fill="FFFFFF"/>
        </w:rPr>
        <w:t xml:space="preserve"> of between 0 and 1</w:t>
      </w:r>
      <w:r w:rsidR="00A30294" w:rsidRPr="004C0D35">
        <w:rPr>
          <w:rFonts w:ascii="Times New Roman" w:hAnsi="Times New Roman" w:cs="Times New Roman"/>
          <w:color w:val="000000"/>
          <w:sz w:val="24"/>
          <w:szCs w:val="24"/>
          <w:shd w:val="clear" w:color="auto" w:fill="FFFFFF"/>
        </w:rPr>
        <w:t>.</w:t>
      </w:r>
      <w:r w:rsidR="00962DF5">
        <w:rPr>
          <w:rStyle w:val="FootnoteReference"/>
          <w:rFonts w:ascii="Times New Roman" w:hAnsi="Times New Roman" w:cs="Times New Roman"/>
          <w:color w:val="000000"/>
          <w:sz w:val="24"/>
          <w:szCs w:val="24"/>
          <w:shd w:val="clear" w:color="auto" w:fill="FFFFFF"/>
        </w:rPr>
        <w:footnoteReference w:id="45"/>
      </w:r>
      <w:r w:rsidR="00A30294" w:rsidRPr="004C0D35">
        <w:rPr>
          <w:rFonts w:ascii="Times New Roman" w:hAnsi="Times New Roman" w:cs="Times New Roman"/>
          <w:color w:val="000000"/>
          <w:sz w:val="24"/>
          <w:szCs w:val="24"/>
          <w:shd w:val="clear" w:color="auto" w:fill="FFFFFF"/>
        </w:rPr>
        <w:t xml:space="preserve"> </w:t>
      </w:r>
      <w:r w:rsidR="00496651">
        <w:rPr>
          <w:rFonts w:ascii="Times New Roman" w:hAnsi="Times New Roman" w:cs="Times New Roman"/>
          <w:color w:val="000000"/>
          <w:sz w:val="24"/>
          <w:szCs w:val="24"/>
          <w:shd w:val="clear" w:color="auto" w:fill="FFFFFF"/>
        </w:rPr>
        <w:t>E</w:t>
      </w:r>
      <w:r w:rsidR="007802CD" w:rsidRPr="004C0D35">
        <w:rPr>
          <w:rFonts w:ascii="Times New Roman" w:hAnsi="Times New Roman" w:cs="Times New Roman"/>
          <w:color w:val="000000"/>
          <w:sz w:val="24"/>
          <w:szCs w:val="24"/>
          <w:shd w:val="clear" w:color="auto" w:fill="FFFFFF"/>
        </w:rPr>
        <w:t xml:space="preserve">ach code was attributed to the year the statute coded was enacted. This was a nontrivial choice, given my attempt in </w:t>
      </w:r>
      <w:r w:rsidR="008318F4" w:rsidRPr="004C0D35">
        <w:rPr>
          <w:rFonts w:ascii="Times New Roman" w:hAnsi="Times New Roman" w:cs="Times New Roman"/>
          <w:color w:val="000000"/>
          <w:sz w:val="24"/>
          <w:szCs w:val="24"/>
          <w:shd w:val="clear" w:color="auto" w:fill="FFFFFF"/>
        </w:rPr>
        <w:t>Part</w:t>
      </w:r>
      <w:r w:rsidR="007802CD" w:rsidRPr="004C0D35">
        <w:rPr>
          <w:rFonts w:ascii="Times New Roman" w:hAnsi="Times New Roman" w:cs="Times New Roman"/>
          <w:color w:val="000000"/>
          <w:sz w:val="24"/>
          <w:szCs w:val="24"/>
          <w:shd w:val="clear" w:color="auto" w:fill="FFFFFF"/>
        </w:rPr>
        <w:t xml:space="preserve"> IV.3 below to identify relationships between trust law liberality, as expressed by </w:t>
      </w:r>
      <w:r w:rsidR="0058182A" w:rsidRPr="004C0D35">
        <w:rPr>
          <w:rFonts w:ascii="Times New Roman" w:hAnsi="Times New Roman" w:cs="Times New Roman"/>
          <w:color w:val="000000"/>
          <w:sz w:val="24"/>
          <w:szCs w:val="24"/>
          <w:shd w:val="clear" w:color="auto" w:fill="FFFFFF"/>
        </w:rPr>
        <w:t>my trust liberality</w:t>
      </w:r>
      <w:r w:rsidR="00A77FA6" w:rsidRPr="004C0D35">
        <w:rPr>
          <w:rFonts w:ascii="Times New Roman" w:hAnsi="Times New Roman" w:cs="Times New Roman"/>
          <w:color w:val="000000"/>
          <w:sz w:val="24"/>
          <w:szCs w:val="24"/>
          <w:shd w:val="clear" w:color="auto" w:fill="FFFFFF"/>
        </w:rPr>
        <w:t xml:space="preserve"> codes</w:t>
      </w:r>
      <w:r w:rsidR="006B6DAC" w:rsidRPr="004C0D35">
        <w:rPr>
          <w:rFonts w:ascii="Times New Roman" w:hAnsi="Times New Roman" w:cs="Times New Roman"/>
          <w:color w:val="000000"/>
          <w:sz w:val="24"/>
          <w:szCs w:val="24"/>
          <w:shd w:val="clear" w:color="auto" w:fill="FFFFFF"/>
        </w:rPr>
        <w:t xml:space="preserve"> or</w:t>
      </w:r>
      <w:r w:rsidR="0058182A" w:rsidRPr="004C0D35">
        <w:rPr>
          <w:rFonts w:ascii="Times New Roman" w:hAnsi="Times New Roman" w:cs="Times New Roman"/>
          <w:color w:val="000000"/>
          <w:sz w:val="24"/>
          <w:szCs w:val="24"/>
          <w:shd w:val="clear" w:color="auto" w:fill="FFFFFF"/>
        </w:rPr>
        <w:t xml:space="preserve"> scores for each jurisdiction/year</w:t>
      </w:r>
      <w:r w:rsidR="007802CD" w:rsidRPr="004C0D35">
        <w:rPr>
          <w:rFonts w:ascii="Times New Roman" w:hAnsi="Times New Roman" w:cs="Times New Roman"/>
          <w:color w:val="000000"/>
          <w:sz w:val="24"/>
          <w:szCs w:val="24"/>
          <w:shd w:val="clear" w:color="auto" w:fill="FFFFFF"/>
        </w:rPr>
        <w:t xml:space="preserve">, and </w:t>
      </w:r>
      <w:r w:rsidR="00A77FA6" w:rsidRPr="004C0D35">
        <w:rPr>
          <w:rFonts w:ascii="Times New Roman" w:hAnsi="Times New Roman" w:cs="Times New Roman"/>
          <w:color w:val="000000"/>
          <w:sz w:val="24"/>
          <w:szCs w:val="24"/>
          <w:shd w:val="clear" w:color="auto" w:fill="FFFFFF"/>
        </w:rPr>
        <w:t>economic indicators assessing the state of the market in</w:t>
      </w:r>
      <w:r w:rsidR="007802CD" w:rsidRPr="004C0D35">
        <w:rPr>
          <w:rFonts w:ascii="Times New Roman" w:hAnsi="Times New Roman" w:cs="Times New Roman"/>
          <w:color w:val="000000"/>
          <w:sz w:val="24"/>
          <w:szCs w:val="24"/>
          <w:shd w:val="clear" w:color="auto" w:fill="FFFFFF"/>
        </w:rPr>
        <w:t xml:space="preserve"> fiduciary services. In so far as changes in trust law liberality have an effect on </w:t>
      </w:r>
      <w:r w:rsidR="00A77FA6" w:rsidRPr="004C0D35">
        <w:rPr>
          <w:rFonts w:ascii="Times New Roman" w:hAnsi="Times New Roman" w:cs="Times New Roman"/>
          <w:color w:val="000000"/>
          <w:sz w:val="24"/>
          <w:szCs w:val="24"/>
          <w:shd w:val="clear" w:color="auto" w:fill="FFFFFF"/>
        </w:rPr>
        <w:t>this market</w:t>
      </w:r>
      <w:r w:rsidR="007802CD" w:rsidRPr="004C0D35">
        <w:rPr>
          <w:rFonts w:ascii="Times New Roman" w:hAnsi="Times New Roman" w:cs="Times New Roman"/>
          <w:color w:val="000000"/>
          <w:sz w:val="24"/>
          <w:szCs w:val="24"/>
          <w:shd w:val="clear" w:color="auto" w:fill="FFFFFF"/>
        </w:rPr>
        <w:t>, this effect may only be felt once a statute comes into force, which in many cases does not happen the year it is enacted. Still, given that some statutes have an effect on practice once word gets out that they may be enacted, some have such an effect once they are enacted, some only have an effect when they come into force, and some may not have an effect at all, I chose, as a simplifying assumption, to attribute each statute and the code</w:t>
      </w:r>
      <w:r w:rsidR="00A77FA6" w:rsidRPr="004C0D35">
        <w:rPr>
          <w:rFonts w:ascii="Times New Roman" w:hAnsi="Times New Roman" w:cs="Times New Roman"/>
          <w:color w:val="000000"/>
          <w:sz w:val="24"/>
          <w:szCs w:val="24"/>
          <w:shd w:val="clear" w:color="auto" w:fill="FFFFFF"/>
        </w:rPr>
        <w:t xml:space="preserve"> or score</w:t>
      </w:r>
      <w:r w:rsidR="007802CD" w:rsidRPr="004C0D35">
        <w:rPr>
          <w:rFonts w:ascii="Times New Roman" w:hAnsi="Times New Roman" w:cs="Times New Roman"/>
          <w:color w:val="000000"/>
          <w:sz w:val="24"/>
          <w:szCs w:val="24"/>
          <w:shd w:val="clear" w:color="auto" w:fill="FFFFFF"/>
        </w:rPr>
        <w:t xml:space="preserve"> expressing its relative liberality to the year it was enacted.</w:t>
      </w:r>
      <w:r w:rsidR="00475FB1">
        <w:rPr>
          <w:rStyle w:val="FootnoteReference"/>
          <w:rFonts w:ascii="Times New Roman" w:hAnsi="Times New Roman" w:cs="Times New Roman"/>
          <w:color w:val="000000"/>
          <w:sz w:val="24"/>
          <w:szCs w:val="24"/>
          <w:shd w:val="clear" w:color="auto" w:fill="FFFFFF"/>
        </w:rPr>
        <w:footnoteReference w:id="46"/>
      </w:r>
      <w:r w:rsidR="008322FD">
        <w:rPr>
          <w:rFonts w:ascii="Times New Roman" w:hAnsi="Times New Roman" w:cs="Times New Roman"/>
          <w:color w:val="000000"/>
          <w:sz w:val="24"/>
          <w:szCs w:val="24"/>
          <w:shd w:val="clear" w:color="auto" w:fill="FFFFFF"/>
        </w:rPr>
        <w:t xml:space="preserve"> I attempted to capture late effects of legislation on </w:t>
      </w:r>
      <w:r w:rsidR="009503AD">
        <w:rPr>
          <w:rFonts w:ascii="Times New Roman" w:hAnsi="Times New Roman" w:cs="Times New Roman"/>
          <w:color w:val="000000"/>
          <w:sz w:val="24"/>
          <w:szCs w:val="24"/>
          <w:shd w:val="clear" w:color="auto" w:fill="FFFFFF"/>
        </w:rPr>
        <w:t>trusts practice by regressing the difference between years t and t-1 in each indicator I used for the state of the market in fiduciary services, on the difference in</w:t>
      </w:r>
      <w:r w:rsidR="009503AD" w:rsidRPr="009503AD">
        <w:rPr>
          <w:rFonts w:ascii="Times New Roman" w:hAnsi="Times New Roman" w:cs="Times New Roman"/>
          <w:color w:val="000000"/>
          <w:sz w:val="24"/>
          <w:szCs w:val="24"/>
          <w:shd w:val="clear" w:color="auto" w:fill="FFFFFF"/>
        </w:rPr>
        <w:t xml:space="preserve"> </w:t>
      </w:r>
      <w:r w:rsidR="009503AD">
        <w:rPr>
          <w:rFonts w:ascii="Times New Roman" w:hAnsi="Times New Roman" w:cs="Times New Roman"/>
          <w:color w:val="000000"/>
          <w:sz w:val="24"/>
          <w:szCs w:val="24"/>
          <w:shd w:val="clear" w:color="auto" w:fill="FFFFFF"/>
        </w:rPr>
        <w:t xml:space="preserve">trust law liberality levels, for each jurisdiction, between years t and t-2. </w:t>
      </w:r>
    </w:p>
    <w:p w14:paraId="30421B83" w14:textId="3844E22C" w:rsidR="00E86262" w:rsidRPr="004C0D35" w:rsidRDefault="007802CD" w:rsidP="002050B5">
      <w:pPr>
        <w:autoSpaceDE w:val="0"/>
        <w:autoSpaceDN w:val="0"/>
        <w:adjustRightInd w:val="0"/>
        <w:spacing w:after="0" w:line="276" w:lineRule="auto"/>
        <w:ind w:firstLine="720"/>
        <w:jc w:val="both"/>
        <w:rPr>
          <w:rFonts w:ascii="Times New Roman" w:hAnsi="Times New Roman" w:cs="Times New Roman"/>
          <w:color w:val="000000"/>
          <w:sz w:val="24"/>
          <w:szCs w:val="24"/>
          <w:shd w:val="clear" w:color="auto" w:fill="FFFFFF"/>
          <w:rtl/>
        </w:rPr>
      </w:pPr>
      <w:r w:rsidRPr="004C0D35">
        <w:rPr>
          <w:rFonts w:ascii="Times New Roman" w:hAnsi="Times New Roman" w:cs="Times New Roman"/>
          <w:color w:val="000000"/>
          <w:sz w:val="24"/>
          <w:szCs w:val="24"/>
          <w:shd w:val="clear" w:color="auto" w:fill="FFFFFF"/>
        </w:rPr>
        <w:t>Next,</w:t>
      </w:r>
      <w:r w:rsidR="00A30294" w:rsidRPr="004C0D35">
        <w:rPr>
          <w:rFonts w:ascii="Times New Roman" w:hAnsi="Times New Roman" w:cs="Times New Roman"/>
          <w:color w:val="000000"/>
          <w:sz w:val="24"/>
          <w:szCs w:val="24"/>
          <w:shd w:val="clear" w:color="auto" w:fill="FFFFFF"/>
        </w:rPr>
        <w:t xml:space="preserve"> </w:t>
      </w:r>
      <w:r w:rsidR="000A1DC1" w:rsidRPr="004C0D35">
        <w:rPr>
          <w:rFonts w:ascii="Times New Roman" w:hAnsi="Times New Roman" w:cs="Times New Roman"/>
          <w:color w:val="000000"/>
          <w:sz w:val="24"/>
          <w:szCs w:val="24"/>
          <w:shd w:val="clear" w:color="auto" w:fill="FFFFFF"/>
        </w:rPr>
        <w:t xml:space="preserve">in order to construct a trust liberality index, expressing in a single number the </w:t>
      </w:r>
      <w:r w:rsidR="00C946B9" w:rsidRPr="004C0D35">
        <w:rPr>
          <w:rFonts w:ascii="Times New Roman" w:hAnsi="Times New Roman" w:cs="Times New Roman"/>
          <w:color w:val="000000"/>
          <w:sz w:val="24"/>
          <w:szCs w:val="24"/>
          <w:shd w:val="clear" w:color="auto" w:fill="FFFFFF"/>
        </w:rPr>
        <w:t xml:space="preserve">relative </w:t>
      </w:r>
      <w:r w:rsidR="000A1DC1" w:rsidRPr="004C0D35">
        <w:rPr>
          <w:rFonts w:ascii="Times New Roman" w:hAnsi="Times New Roman" w:cs="Times New Roman"/>
          <w:color w:val="000000"/>
          <w:sz w:val="24"/>
          <w:szCs w:val="24"/>
          <w:shd w:val="clear" w:color="auto" w:fill="FFFFFF"/>
        </w:rPr>
        <w:t xml:space="preserve">degree to which each jurisdiction’s statute law respecting all 22 doctrinal variables was liberal in each year, </w:t>
      </w:r>
      <w:r w:rsidR="00A30294" w:rsidRPr="004C0D35">
        <w:rPr>
          <w:rFonts w:ascii="Times New Roman" w:hAnsi="Times New Roman" w:cs="Times New Roman"/>
          <w:color w:val="000000"/>
          <w:sz w:val="24"/>
          <w:szCs w:val="24"/>
          <w:shd w:val="clear" w:color="auto" w:fill="FFFFFF"/>
        </w:rPr>
        <w:t xml:space="preserve">the different variables had to </w:t>
      </w:r>
      <w:r w:rsidR="00726D91" w:rsidRPr="004C0D35">
        <w:rPr>
          <w:rFonts w:ascii="Times New Roman" w:hAnsi="Times New Roman" w:cs="Times New Roman"/>
          <w:color w:val="000000"/>
          <w:sz w:val="24"/>
          <w:szCs w:val="24"/>
          <w:shd w:val="clear" w:color="auto" w:fill="FFFFFF"/>
        </w:rPr>
        <w:t xml:space="preserve">each </w:t>
      </w:r>
      <w:r w:rsidR="00A30294" w:rsidRPr="004C0D35">
        <w:rPr>
          <w:rFonts w:ascii="Times New Roman" w:hAnsi="Times New Roman" w:cs="Times New Roman"/>
          <w:color w:val="000000"/>
          <w:sz w:val="24"/>
          <w:szCs w:val="24"/>
          <w:shd w:val="clear" w:color="auto" w:fill="FFFFFF"/>
        </w:rPr>
        <w:t xml:space="preserve">be </w:t>
      </w:r>
      <w:r w:rsidR="00726D91" w:rsidRPr="004C0D35">
        <w:rPr>
          <w:rFonts w:ascii="Times New Roman" w:hAnsi="Times New Roman" w:cs="Times New Roman"/>
          <w:color w:val="000000"/>
          <w:sz w:val="24"/>
          <w:szCs w:val="24"/>
          <w:shd w:val="clear" w:color="auto" w:fill="FFFFFF"/>
        </w:rPr>
        <w:t>given weight</w:t>
      </w:r>
      <w:r w:rsidR="00C946B9" w:rsidRPr="004C0D35">
        <w:rPr>
          <w:rFonts w:ascii="Times New Roman" w:hAnsi="Times New Roman" w:cs="Times New Roman"/>
          <w:color w:val="000000"/>
          <w:sz w:val="24"/>
          <w:szCs w:val="24"/>
          <w:shd w:val="clear" w:color="auto" w:fill="FFFFFF"/>
        </w:rPr>
        <w:t>s</w:t>
      </w:r>
      <w:r w:rsidR="00A30294" w:rsidRPr="004C0D35">
        <w:rPr>
          <w:rFonts w:ascii="Times New Roman" w:hAnsi="Times New Roman" w:cs="Times New Roman"/>
          <w:color w:val="000000"/>
          <w:sz w:val="24"/>
          <w:szCs w:val="24"/>
          <w:shd w:val="clear" w:color="auto" w:fill="FFFFFF"/>
        </w:rPr>
        <w:t xml:space="preserve">. </w:t>
      </w:r>
      <w:r w:rsidR="00726D91" w:rsidRPr="004C0D35">
        <w:rPr>
          <w:rFonts w:ascii="Times New Roman" w:hAnsi="Times New Roman" w:cs="Times New Roman"/>
          <w:color w:val="000000"/>
          <w:sz w:val="24"/>
          <w:szCs w:val="24"/>
          <w:shd w:val="clear" w:color="auto" w:fill="FFFFFF"/>
        </w:rPr>
        <w:t xml:space="preserve">I constructed the </w:t>
      </w:r>
      <w:r w:rsidR="00826F61" w:rsidRPr="004C0D35">
        <w:rPr>
          <w:rFonts w:ascii="Times New Roman" w:hAnsi="Times New Roman" w:cs="Times New Roman"/>
          <w:color w:val="000000"/>
          <w:sz w:val="24"/>
          <w:szCs w:val="24"/>
          <w:shd w:val="clear" w:color="auto" w:fill="FFFFFF"/>
        </w:rPr>
        <w:t xml:space="preserve">trust </w:t>
      </w:r>
      <w:r w:rsidR="00F2538A" w:rsidRPr="004C0D35">
        <w:rPr>
          <w:rFonts w:ascii="Times New Roman" w:hAnsi="Times New Roman" w:cs="Times New Roman"/>
          <w:color w:val="000000"/>
          <w:sz w:val="24"/>
          <w:szCs w:val="24"/>
          <w:shd w:val="clear" w:color="auto" w:fill="FFFFFF"/>
        </w:rPr>
        <w:t>liberality</w:t>
      </w:r>
      <w:r w:rsidR="00826F61" w:rsidRPr="004C0D35">
        <w:rPr>
          <w:rFonts w:ascii="Times New Roman" w:hAnsi="Times New Roman" w:cs="Times New Roman"/>
          <w:color w:val="000000"/>
          <w:sz w:val="24"/>
          <w:szCs w:val="24"/>
          <w:shd w:val="clear" w:color="auto" w:fill="FFFFFF"/>
        </w:rPr>
        <w:t xml:space="preserve"> </w:t>
      </w:r>
      <w:r w:rsidR="00726D91" w:rsidRPr="004C0D35">
        <w:rPr>
          <w:rFonts w:ascii="Times New Roman" w:hAnsi="Times New Roman" w:cs="Times New Roman"/>
          <w:color w:val="000000"/>
          <w:sz w:val="24"/>
          <w:szCs w:val="24"/>
          <w:shd w:val="clear" w:color="auto" w:fill="FFFFFF"/>
        </w:rPr>
        <w:t>index</w:t>
      </w:r>
      <w:r w:rsidR="000A5506" w:rsidRPr="004C0D35">
        <w:rPr>
          <w:rFonts w:ascii="Times New Roman" w:hAnsi="Times New Roman" w:cs="Times New Roman"/>
          <w:color w:val="000000"/>
          <w:sz w:val="24"/>
          <w:szCs w:val="24"/>
          <w:shd w:val="clear" w:color="auto" w:fill="FFFFFF"/>
        </w:rPr>
        <w:t xml:space="preserve"> twice,</w:t>
      </w:r>
      <w:r w:rsidR="00726D91" w:rsidRPr="004C0D35">
        <w:rPr>
          <w:rFonts w:ascii="Times New Roman" w:hAnsi="Times New Roman" w:cs="Times New Roman"/>
          <w:color w:val="000000"/>
          <w:sz w:val="24"/>
          <w:szCs w:val="24"/>
          <w:shd w:val="clear" w:color="auto" w:fill="FFFFFF"/>
        </w:rPr>
        <w:t xml:space="preserve"> </w:t>
      </w:r>
      <w:r w:rsidR="000A5506" w:rsidRPr="004C0D35">
        <w:rPr>
          <w:rFonts w:ascii="Times New Roman" w:hAnsi="Times New Roman" w:cs="Times New Roman"/>
          <w:color w:val="000000"/>
          <w:sz w:val="24"/>
          <w:szCs w:val="24"/>
          <w:shd w:val="clear" w:color="auto" w:fill="FFFFFF"/>
        </w:rPr>
        <w:t xml:space="preserve">with each iteration </w:t>
      </w:r>
      <w:r w:rsidR="00726D91" w:rsidRPr="004C0D35">
        <w:rPr>
          <w:rFonts w:ascii="Times New Roman" w:hAnsi="Times New Roman" w:cs="Times New Roman"/>
          <w:color w:val="000000"/>
          <w:sz w:val="24"/>
          <w:szCs w:val="24"/>
          <w:shd w:val="clear" w:color="auto" w:fill="FFFFFF"/>
        </w:rPr>
        <w:t xml:space="preserve">based on </w:t>
      </w:r>
      <w:r w:rsidR="000A5506" w:rsidRPr="004C0D35">
        <w:rPr>
          <w:rFonts w:ascii="Times New Roman" w:hAnsi="Times New Roman" w:cs="Times New Roman"/>
          <w:color w:val="000000"/>
          <w:sz w:val="24"/>
          <w:szCs w:val="24"/>
          <w:shd w:val="clear" w:color="auto" w:fill="FFFFFF"/>
        </w:rPr>
        <w:t>a different</w:t>
      </w:r>
      <w:r w:rsidR="00726D91" w:rsidRPr="004C0D35">
        <w:rPr>
          <w:rFonts w:ascii="Times New Roman" w:hAnsi="Times New Roman" w:cs="Times New Roman"/>
          <w:color w:val="000000"/>
          <w:sz w:val="24"/>
          <w:szCs w:val="24"/>
          <w:shd w:val="clear" w:color="auto" w:fill="FFFFFF"/>
        </w:rPr>
        <w:t xml:space="preserve"> weighting technique. First, I gave all var</w:t>
      </w:r>
      <w:r w:rsidR="002D1381" w:rsidRPr="004C0D35">
        <w:rPr>
          <w:rFonts w:ascii="Times New Roman" w:hAnsi="Times New Roman" w:cs="Times New Roman"/>
          <w:color w:val="000000"/>
          <w:sz w:val="24"/>
          <w:szCs w:val="24"/>
          <w:shd w:val="clear" w:color="auto" w:fill="FFFFFF"/>
        </w:rPr>
        <w:t xml:space="preserve">iables equal weights. Second, I </w:t>
      </w:r>
      <w:r w:rsidR="00681FAD" w:rsidRPr="004C0D35">
        <w:rPr>
          <w:rFonts w:ascii="Times New Roman" w:hAnsi="Times New Roman" w:cs="Times New Roman"/>
          <w:color w:val="000000"/>
          <w:sz w:val="24"/>
          <w:szCs w:val="24"/>
          <w:shd w:val="clear" w:color="auto" w:fill="FFFFFF"/>
        </w:rPr>
        <w:t xml:space="preserve">used the Delphi method, </w:t>
      </w:r>
      <w:r w:rsidR="002D1381" w:rsidRPr="004C0D35">
        <w:rPr>
          <w:rFonts w:ascii="Times New Roman" w:hAnsi="Times New Roman" w:cs="Times New Roman"/>
          <w:color w:val="000000"/>
          <w:sz w:val="24"/>
          <w:szCs w:val="24"/>
          <w:shd w:val="clear" w:color="auto" w:fill="FFFFFF"/>
        </w:rPr>
        <w:t>conduct</w:t>
      </w:r>
      <w:r w:rsidR="00681FAD" w:rsidRPr="004C0D35">
        <w:rPr>
          <w:rFonts w:ascii="Times New Roman" w:hAnsi="Times New Roman" w:cs="Times New Roman"/>
          <w:color w:val="000000"/>
          <w:sz w:val="24"/>
          <w:szCs w:val="24"/>
          <w:shd w:val="clear" w:color="auto" w:fill="FFFFFF"/>
        </w:rPr>
        <w:t>ing</w:t>
      </w:r>
      <w:r w:rsidR="00726D91" w:rsidRPr="004C0D35">
        <w:rPr>
          <w:rFonts w:ascii="Times New Roman" w:hAnsi="Times New Roman" w:cs="Times New Roman"/>
          <w:color w:val="000000"/>
          <w:sz w:val="24"/>
          <w:szCs w:val="24"/>
          <w:shd w:val="clear" w:color="auto" w:fill="FFFFFF"/>
        </w:rPr>
        <w:t xml:space="preserve"> a survey of nineteen trusts experts hailing from </w:t>
      </w:r>
      <w:r w:rsidR="002D1381" w:rsidRPr="004C0D35">
        <w:rPr>
          <w:rFonts w:ascii="Times New Roman" w:hAnsi="Times New Roman" w:cs="Times New Roman"/>
          <w:color w:val="000000"/>
          <w:sz w:val="24"/>
          <w:szCs w:val="24"/>
          <w:shd w:val="clear" w:color="auto" w:fill="FFFFFF"/>
        </w:rPr>
        <w:t>jurisdictions around the world</w:t>
      </w:r>
      <w:r w:rsidR="00893FB5" w:rsidRPr="004C0D35">
        <w:rPr>
          <w:rFonts w:ascii="Times New Roman" w:hAnsi="Times New Roman" w:cs="Times New Roman"/>
          <w:color w:val="000000"/>
          <w:sz w:val="24"/>
          <w:szCs w:val="24"/>
          <w:shd w:val="clear" w:color="auto" w:fill="FFFFFF"/>
        </w:rPr>
        <w:t>,</w:t>
      </w:r>
      <w:r w:rsidR="002D1381" w:rsidRPr="004C0D35">
        <w:rPr>
          <w:rFonts w:ascii="Times New Roman" w:hAnsi="Times New Roman" w:cs="Times New Roman"/>
          <w:color w:val="000000"/>
          <w:sz w:val="24"/>
          <w:szCs w:val="24"/>
          <w:shd w:val="clear" w:color="auto" w:fill="FFFFFF"/>
        </w:rPr>
        <w:t xml:space="preserve"> </w:t>
      </w:r>
      <w:r w:rsidR="00726D91" w:rsidRPr="004C0D35">
        <w:rPr>
          <w:rFonts w:ascii="Times New Roman" w:hAnsi="Times New Roman" w:cs="Times New Roman"/>
          <w:color w:val="000000"/>
          <w:sz w:val="24"/>
          <w:szCs w:val="24"/>
          <w:shd w:val="clear" w:color="auto" w:fill="FFFFFF"/>
        </w:rPr>
        <w:t>asking them to give each variable a weight according to its</w:t>
      </w:r>
      <w:r w:rsidR="00726D91" w:rsidRPr="004C0D35">
        <w:rPr>
          <w:rFonts w:ascii="Times New Roman" w:hAnsi="Times New Roman" w:cs="Times New Roman"/>
          <w:b/>
          <w:bCs/>
          <w:color w:val="222222"/>
          <w:sz w:val="24"/>
          <w:szCs w:val="24"/>
          <w:shd w:val="clear" w:color="auto" w:fill="FFFFFF"/>
        </w:rPr>
        <w:t xml:space="preserve"> </w:t>
      </w:r>
      <w:r w:rsidR="00726D91" w:rsidRPr="004C0D35">
        <w:rPr>
          <w:rFonts w:ascii="Times New Roman" w:hAnsi="Times New Roman" w:cs="Times New Roman"/>
          <w:color w:val="000000"/>
          <w:sz w:val="24"/>
          <w:szCs w:val="24"/>
          <w:shd w:val="clear" w:color="auto" w:fill="FFFFFF"/>
        </w:rPr>
        <w:t xml:space="preserve">relative prominence as part of the ongoing reform of modern trust law. </w:t>
      </w:r>
      <w:r w:rsidR="002D1381" w:rsidRPr="004C0D35">
        <w:rPr>
          <w:rFonts w:ascii="Times New Roman" w:hAnsi="Times New Roman" w:cs="Times New Roman"/>
          <w:color w:val="000000"/>
          <w:sz w:val="24"/>
          <w:szCs w:val="24"/>
          <w:shd w:val="clear" w:color="auto" w:fill="FFFFFF"/>
        </w:rPr>
        <w:t>I then averaged their responses, and</w:t>
      </w:r>
      <w:r w:rsidR="00726D91" w:rsidRPr="004C0D35">
        <w:rPr>
          <w:rFonts w:ascii="Times New Roman" w:hAnsi="Times New Roman" w:cs="Times New Roman"/>
          <w:color w:val="000000"/>
          <w:sz w:val="24"/>
          <w:szCs w:val="24"/>
          <w:shd w:val="clear" w:color="auto" w:fill="FFFFFF"/>
        </w:rPr>
        <w:t xml:space="preserve"> weighted each variable according to the</w:t>
      </w:r>
      <w:r w:rsidR="007B5479" w:rsidRPr="004C0D35">
        <w:rPr>
          <w:rFonts w:ascii="Times New Roman" w:hAnsi="Times New Roman" w:cs="Times New Roman"/>
          <w:color w:val="000000"/>
          <w:sz w:val="24"/>
          <w:szCs w:val="24"/>
          <w:shd w:val="clear" w:color="auto" w:fill="FFFFFF"/>
        </w:rPr>
        <w:t xml:space="preserve"> average </w:t>
      </w:r>
      <w:r w:rsidR="002D1381" w:rsidRPr="004C0D35">
        <w:rPr>
          <w:rFonts w:ascii="Times New Roman" w:hAnsi="Times New Roman" w:cs="Times New Roman"/>
          <w:color w:val="000000"/>
          <w:sz w:val="24"/>
          <w:szCs w:val="24"/>
          <w:shd w:val="clear" w:color="auto" w:fill="FFFFFF"/>
        </w:rPr>
        <w:t xml:space="preserve">weight </w:t>
      </w:r>
      <w:r w:rsidR="007B5479" w:rsidRPr="004C0D35">
        <w:rPr>
          <w:rFonts w:ascii="Times New Roman" w:hAnsi="Times New Roman" w:cs="Times New Roman"/>
          <w:color w:val="000000"/>
          <w:sz w:val="24"/>
          <w:szCs w:val="24"/>
          <w:shd w:val="clear" w:color="auto" w:fill="FFFFFF"/>
        </w:rPr>
        <w:t>the</w:t>
      </w:r>
      <w:r w:rsidR="00726D91" w:rsidRPr="004C0D35">
        <w:rPr>
          <w:rFonts w:ascii="Times New Roman" w:hAnsi="Times New Roman" w:cs="Times New Roman"/>
          <w:color w:val="000000"/>
          <w:sz w:val="24"/>
          <w:szCs w:val="24"/>
          <w:shd w:val="clear" w:color="auto" w:fill="FFFFFF"/>
        </w:rPr>
        <w:t xml:space="preserve"> experts</w:t>
      </w:r>
      <w:r w:rsidR="002D1381" w:rsidRPr="004C0D35">
        <w:rPr>
          <w:rFonts w:ascii="Times New Roman" w:hAnsi="Times New Roman" w:cs="Times New Roman"/>
          <w:color w:val="000000"/>
          <w:sz w:val="24"/>
          <w:szCs w:val="24"/>
          <w:shd w:val="clear" w:color="auto" w:fill="FFFFFF"/>
        </w:rPr>
        <w:t xml:space="preserve"> gave it</w:t>
      </w:r>
      <w:r w:rsidR="007B5479" w:rsidRPr="004C0D35">
        <w:rPr>
          <w:rFonts w:ascii="Times New Roman" w:hAnsi="Times New Roman" w:cs="Times New Roman"/>
          <w:color w:val="000000"/>
          <w:sz w:val="24"/>
          <w:szCs w:val="24"/>
          <w:shd w:val="clear" w:color="auto" w:fill="FFFFFF"/>
        </w:rPr>
        <w:t>.</w:t>
      </w:r>
      <w:r w:rsidR="002050B5">
        <w:rPr>
          <w:rStyle w:val="FootnoteReference"/>
          <w:rFonts w:ascii="Times New Roman" w:hAnsi="Times New Roman" w:cs="Times New Roman"/>
          <w:color w:val="000000"/>
          <w:sz w:val="24"/>
          <w:szCs w:val="24"/>
          <w:shd w:val="clear" w:color="auto" w:fill="FFFFFF"/>
        </w:rPr>
        <w:footnoteReference w:id="47"/>
      </w:r>
      <w:r w:rsidR="00934E54" w:rsidRPr="004C0D35">
        <w:rPr>
          <w:rFonts w:ascii="Times New Roman" w:hAnsi="Times New Roman" w:cs="Times New Roman"/>
          <w:color w:val="000000"/>
          <w:sz w:val="24"/>
          <w:szCs w:val="24"/>
          <w:shd w:val="clear" w:color="auto" w:fill="FFFFFF"/>
        </w:rPr>
        <w:t xml:space="preserve"> </w:t>
      </w:r>
      <w:r w:rsidR="00E26216" w:rsidRPr="004C0D35">
        <w:rPr>
          <w:rFonts w:ascii="Times New Roman" w:hAnsi="Times New Roman" w:cs="Times New Roman"/>
          <w:color w:val="000000"/>
          <w:sz w:val="24"/>
          <w:szCs w:val="24"/>
          <w:shd w:val="clear" w:color="auto" w:fill="FFFFFF"/>
        </w:rPr>
        <w:t>Unfortunately, the experts’ estimates were so diverse</w:t>
      </w:r>
      <w:r w:rsidR="0081733A" w:rsidRPr="004C0D35">
        <w:rPr>
          <w:rFonts w:ascii="Times New Roman" w:hAnsi="Times New Roman" w:cs="Times New Roman"/>
          <w:color w:val="000000"/>
          <w:sz w:val="24"/>
          <w:szCs w:val="24"/>
          <w:shd w:val="clear" w:color="auto" w:fill="FFFFFF"/>
        </w:rPr>
        <w:t xml:space="preserve"> (Cronbach’s alpha = 0.427)</w:t>
      </w:r>
      <w:r w:rsidR="00E26216" w:rsidRPr="004C0D35">
        <w:rPr>
          <w:rFonts w:ascii="Times New Roman" w:hAnsi="Times New Roman" w:cs="Times New Roman"/>
          <w:color w:val="000000"/>
          <w:sz w:val="24"/>
          <w:szCs w:val="24"/>
          <w:shd w:val="clear" w:color="auto" w:fill="FFFFFF"/>
        </w:rPr>
        <w:t xml:space="preserve"> as to render the averaged estimates uninformative: the average between-expert standard deviation of the experts’ estimated weights for</w:t>
      </w:r>
      <w:r w:rsidR="00681FAD" w:rsidRPr="004C0D35">
        <w:rPr>
          <w:rFonts w:ascii="Times New Roman" w:hAnsi="Times New Roman" w:cs="Times New Roman"/>
          <w:color w:val="000000"/>
          <w:sz w:val="24"/>
          <w:szCs w:val="24"/>
          <w:shd w:val="clear" w:color="auto" w:fill="FFFFFF"/>
        </w:rPr>
        <w:t xml:space="preserve"> each variable wa</w:t>
      </w:r>
      <w:r w:rsidR="00E26216" w:rsidRPr="004C0D35">
        <w:rPr>
          <w:rFonts w:ascii="Times New Roman" w:hAnsi="Times New Roman" w:cs="Times New Roman"/>
          <w:color w:val="000000"/>
          <w:sz w:val="24"/>
          <w:szCs w:val="24"/>
          <w:shd w:val="clear" w:color="auto" w:fill="FFFFFF"/>
        </w:rPr>
        <w:t xml:space="preserve">s </w:t>
      </w:r>
      <w:r w:rsidR="0081733A" w:rsidRPr="004C0D35">
        <w:rPr>
          <w:rFonts w:ascii="Times New Roman" w:hAnsi="Times New Roman" w:cs="Times New Roman"/>
          <w:color w:val="000000"/>
          <w:sz w:val="24"/>
          <w:szCs w:val="24"/>
          <w:shd w:val="clear" w:color="auto" w:fill="FFFFFF"/>
        </w:rPr>
        <w:t>more than twice as large as</w:t>
      </w:r>
      <w:r w:rsidR="00E26216" w:rsidRPr="004C0D35">
        <w:rPr>
          <w:rFonts w:ascii="Times New Roman" w:hAnsi="Times New Roman" w:cs="Times New Roman"/>
          <w:color w:val="000000"/>
          <w:sz w:val="24"/>
          <w:szCs w:val="24"/>
          <w:shd w:val="clear" w:color="auto" w:fill="FFFFFF"/>
        </w:rPr>
        <w:t xml:space="preserve"> the between-variable standard devi</w:t>
      </w:r>
      <w:r w:rsidR="00E86262" w:rsidRPr="004C0D35">
        <w:rPr>
          <w:rFonts w:ascii="Times New Roman" w:hAnsi="Times New Roman" w:cs="Times New Roman"/>
          <w:color w:val="000000"/>
          <w:sz w:val="24"/>
          <w:szCs w:val="24"/>
          <w:shd w:val="clear" w:color="auto" w:fill="FFFFFF"/>
        </w:rPr>
        <w:t>ation of the experts’</w:t>
      </w:r>
      <w:r w:rsidR="00496651">
        <w:rPr>
          <w:rFonts w:ascii="Times New Roman" w:hAnsi="Times New Roman" w:cs="Times New Roman"/>
          <w:color w:val="000000"/>
          <w:sz w:val="24"/>
          <w:szCs w:val="24"/>
          <w:shd w:val="clear" w:color="auto" w:fill="FFFFFF"/>
        </w:rPr>
        <w:t xml:space="preserve"> averaged</w:t>
      </w:r>
      <w:r w:rsidR="00E26216" w:rsidRPr="004C0D35">
        <w:rPr>
          <w:rFonts w:ascii="Times New Roman" w:hAnsi="Times New Roman" w:cs="Times New Roman"/>
          <w:color w:val="000000"/>
          <w:sz w:val="24"/>
          <w:szCs w:val="24"/>
          <w:shd w:val="clear" w:color="auto" w:fill="FFFFFF"/>
        </w:rPr>
        <w:t xml:space="preserve"> estimate</w:t>
      </w:r>
      <w:r w:rsidR="0081733A" w:rsidRPr="004C0D35">
        <w:rPr>
          <w:rFonts w:ascii="Times New Roman" w:hAnsi="Times New Roman" w:cs="Times New Roman"/>
          <w:color w:val="000000"/>
          <w:sz w:val="24"/>
          <w:szCs w:val="24"/>
          <w:shd w:val="clear" w:color="auto" w:fill="FFFFFF"/>
        </w:rPr>
        <w:t>s</w:t>
      </w:r>
      <w:r w:rsidR="00E26216" w:rsidRPr="004C0D35">
        <w:rPr>
          <w:rFonts w:ascii="Times New Roman" w:hAnsi="Times New Roman" w:cs="Times New Roman"/>
          <w:color w:val="000000"/>
          <w:sz w:val="24"/>
          <w:szCs w:val="24"/>
          <w:shd w:val="clear" w:color="auto" w:fill="FFFFFF"/>
        </w:rPr>
        <w:t xml:space="preserve">. </w:t>
      </w:r>
      <w:r w:rsidR="00B66069" w:rsidRPr="004C0D35">
        <w:rPr>
          <w:rFonts w:ascii="Times New Roman" w:hAnsi="Times New Roman" w:cs="Times New Roman"/>
          <w:color w:val="000000"/>
          <w:sz w:val="24"/>
          <w:szCs w:val="24"/>
          <w:shd w:val="clear" w:color="auto" w:fill="FFFFFF"/>
        </w:rPr>
        <w:t>The averaged estimated weights we</w:t>
      </w:r>
      <w:r w:rsidR="00E26216" w:rsidRPr="004C0D35">
        <w:rPr>
          <w:rFonts w:ascii="Times New Roman" w:hAnsi="Times New Roman" w:cs="Times New Roman"/>
          <w:color w:val="000000"/>
          <w:sz w:val="24"/>
          <w:szCs w:val="24"/>
          <w:shd w:val="clear" w:color="auto" w:fill="FFFFFF"/>
        </w:rPr>
        <w:t xml:space="preserve">re </w:t>
      </w:r>
      <w:r w:rsidR="0081733A" w:rsidRPr="004C0D35">
        <w:rPr>
          <w:rFonts w:ascii="Times New Roman" w:hAnsi="Times New Roman" w:cs="Times New Roman"/>
          <w:color w:val="000000"/>
          <w:sz w:val="24"/>
          <w:szCs w:val="24"/>
          <w:shd w:val="clear" w:color="auto" w:fill="FFFFFF"/>
        </w:rPr>
        <w:t xml:space="preserve">also </w:t>
      </w:r>
      <w:r w:rsidR="00E26216" w:rsidRPr="004C0D35">
        <w:rPr>
          <w:rFonts w:ascii="Times New Roman" w:hAnsi="Times New Roman" w:cs="Times New Roman"/>
          <w:color w:val="000000"/>
          <w:sz w:val="24"/>
          <w:szCs w:val="24"/>
          <w:shd w:val="clear" w:color="auto" w:fill="FFFFFF"/>
        </w:rPr>
        <w:t xml:space="preserve">not very different from </w:t>
      </w:r>
      <w:r w:rsidR="0081733A" w:rsidRPr="004C0D35">
        <w:rPr>
          <w:rFonts w:ascii="Times New Roman" w:hAnsi="Times New Roman" w:cs="Times New Roman"/>
          <w:color w:val="000000"/>
          <w:sz w:val="24"/>
          <w:szCs w:val="24"/>
          <w:shd w:val="clear" w:color="auto" w:fill="FFFFFF"/>
        </w:rPr>
        <w:t>equal weights.</w:t>
      </w:r>
      <w:r w:rsidR="00E26216" w:rsidRPr="004C0D35">
        <w:rPr>
          <w:rFonts w:ascii="Times New Roman" w:hAnsi="Times New Roman" w:cs="Times New Roman"/>
          <w:color w:val="000000"/>
          <w:sz w:val="24"/>
          <w:szCs w:val="24"/>
          <w:shd w:val="clear" w:color="auto" w:fill="FFFFFF"/>
        </w:rPr>
        <w:t xml:space="preserve"> </w:t>
      </w:r>
      <w:r w:rsidR="00E86262" w:rsidRPr="004C0D35">
        <w:rPr>
          <w:rFonts w:ascii="Times New Roman" w:hAnsi="Times New Roman" w:cs="Times New Roman"/>
          <w:color w:val="000000"/>
          <w:sz w:val="24"/>
          <w:szCs w:val="24"/>
          <w:shd w:val="clear" w:color="auto" w:fill="FFFFFF"/>
        </w:rPr>
        <w:t xml:space="preserve">An attempt to generate an alternate weighting scheme by performing principal component analysis </w:t>
      </w:r>
      <w:r w:rsidR="00777D00" w:rsidRPr="004C0D35">
        <w:rPr>
          <w:rFonts w:ascii="Times New Roman" w:hAnsi="Times New Roman" w:cs="Times New Roman"/>
          <w:color w:val="000000"/>
          <w:sz w:val="24"/>
          <w:szCs w:val="24"/>
          <w:shd w:val="clear" w:color="auto" w:fill="FFFFFF"/>
        </w:rPr>
        <w:t>was discontinued, as</w:t>
      </w:r>
      <w:r w:rsidR="00E86262" w:rsidRPr="004C0D35">
        <w:rPr>
          <w:rFonts w:ascii="Times New Roman" w:hAnsi="Times New Roman" w:cs="Times New Roman"/>
          <w:color w:val="000000"/>
          <w:sz w:val="24"/>
          <w:szCs w:val="24"/>
          <w:shd w:val="clear" w:color="auto" w:fill="FFFFFF"/>
        </w:rPr>
        <w:t xml:space="preserve"> the first principal component explained only 33% of </w:t>
      </w:r>
      <w:r w:rsidR="00FD7CA0" w:rsidRPr="004C0D35">
        <w:rPr>
          <w:rFonts w:ascii="Times New Roman" w:hAnsi="Times New Roman" w:cs="Times New Roman"/>
          <w:color w:val="000000"/>
          <w:sz w:val="24"/>
          <w:szCs w:val="24"/>
          <w:shd w:val="clear" w:color="auto" w:fill="FFFFFF"/>
        </w:rPr>
        <w:t xml:space="preserve">the </w:t>
      </w:r>
      <w:r w:rsidR="00E86262" w:rsidRPr="004C0D35">
        <w:rPr>
          <w:rFonts w:ascii="Times New Roman" w:hAnsi="Times New Roman" w:cs="Times New Roman"/>
          <w:color w:val="000000"/>
          <w:sz w:val="24"/>
          <w:szCs w:val="24"/>
          <w:shd w:val="clear" w:color="auto" w:fill="FFFFFF"/>
        </w:rPr>
        <w:t xml:space="preserve">variation in the </w:t>
      </w:r>
      <w:r w:rsidR="00777D00" w:rsidRPr="004C0D35">
        <w:rPr>
          <w:rFonts w:ascii="Times New Roman" w:hAnsi="Times New Roman" w:cs="Times New Roman"/>
          <w:color w:val="000000"/>
          <w:sz w:val="24"/>
          <w:szCs w:val="24"/>
          <w:shd w:val="clear" w:color="auto" w:fill="FFFFFF"/>
        </w:rPr>
        <w:t xml:space="preserve">database, and the resulting weight for variable 7 was negative, meaning that the more liberal was a jurisdiction’s </w:t>
      </w:r>
      <w:r w:rsidR="008B0310" w:rsidRPr="004C0D35">
        <w:rPr>
          <w:rFonts w:ascii="Times New Roman" w:hAnsi="Times New Roman" w:cs="Times New Roman"/>
          <w:color w:val="000000"/>
          <w:sz w:val="24"/>
          <w:szCs w:val="24"/>
          <w:shd w:val="clear" w:color="auto" w:fill="FFFFFF"/>
        </w:rPr>
        <w:t xml:space="preserve">statute </w:t>
      </w:r>
      <w:r w:rsidR="00777D00" w:rsidRPr="004C0D35">
        <w:rPr>
          <w:rFonts w:ascii="Times New Roman" w:hAnsi="Times New Roman" w:cs="Times New Roman"/>
          <w:color w:val="000000"/>
          <w:sz w:val="24"/>
          <w:szCs w:val="24"/>
          <w:shd w:val="clear" w:color="auto" w:fill="FFFFFF"/>
        </w:rPr>
        <w:t xml:space="preserve">law </w:t>
      </w:r>
      <w:r w:rsidR="00496651">
        <w:rPr>
          <w:rFonts w:ascii="Times New Roman" w:hAnsi="Times New Roman" w:cs="Times New Roman"/>
          <w:color w:val="000000"/>
          <w:sz w:val="24"/>
          <w:szCs w:val="24"/>
          <w:shd w:val="clear" w:color="auto" w:fill="FFFFFF"/>
        </w:rPr>
        <w:t xml:space="preserve">in a given year </w:t>
      </w:r>
      <w:r w:rsidR="00777D00" w:rsidRPr="004C0D35">
        <w:rPr>
          <w:rFonts w:ascii="Times New Roman" w:hAnsi="Times New Roman" w:cs="Times New Roman"/>
          <w:color w:val="000000"/>
          <w:sz w:val="24"/>
          <w:szCs w:val="24"/>
          <w:shd w:val="clear" w:color="auto" w:fill="FFFFFF"/>
        </w:rPr>
        <w:t>governing delegation by one of several</w:t>
      </w:r>
      <w:r w:rsidR="00540803">
        <w:rPr>
          <w:rFonts w:ascii="Times New Roman" w:hAnsi="Times New Roman" w:cs="Times New Roman"/>
          <w:color w:val="000000"/>
          <w:sz w:val="24"/>
          <w:szCs w:val="24"/>
          <w:shd w:val="clear" w:color="auto" w:fill="FFFFFF"/>
        </w:rPr>
        <w:t xml:space="preserve"> trustees for the duration of that trustee’s</w:t>
      </w:r>
      <w:r w:rsidR="00777D00" w:rsidRPr="004C0D35">
        <w:rPr>
          <w:rFonts w:ascii="Times New Roman" w:hAnsi="Times New Roman" w:cs="Times New Roman"/>
          <w:color w:val="000000"/>
          <w:sz w:val="24"/>
          <w:szCs w:val="24"/>
          <w:shd w:val="clear" w:color="auto" w:fill="FFFFFF"/>
        </w:rPr>
        <w:t xml:space="preserve"> absence from the jurisdiction of management, the lower, supposedly, was the overall trust liberality score for that jurisdiction</w:t>
      </w:r>
      <w:r w:rsidR="008B0310" w:rsidRPr="004C0D35">
        <w:rPr>
          <w:rFonts w:ascii="Times New Roman" w:hAnsi="Times New Roman" w:cs="Times New Roman"/>
          <w:color w:val="000000"/>
          <w:sz w:val="24"/>
          <w:szCs w:val="24"/>
          <w:shd w:val="clear" w:color="auto" w:fill="FFFFFF"/>
        </w:rPr>
        <w:t>/year</w:t>
      </w:r>
      <w:r w:rsidR="00777D00" w:rsidRPr="004C0D35">
        <w:rPr>
          <w:rFonts w:ascii="Times New Roman" w:hAnsi="Times New Roman" w:cs="Times New Roman"/>
          <w:color w:val="000000"/>
          <w:sz w:val="24"/>
          <w:szCs w:val="24"/>
          <w:shd w:val="clear" w:color="auto" w:fill="FFFFFF"/>
        </w:rPr>
        <w:t xml:space="preserve">. </w:t>
      </w:r>
    </w:p>
    <w:p w14:paraId="732630E0" w14:textId="58BD58EF" w:rsidR="00783862" w:rsidRPr="004C0D35" w:rsidRDefault="00777D00" w:rsidP="0014003F">
      <w:pPr>
        <w:autoSpaceDE w:val="0"/>
        <w:autoSpaceDN w:val="0"/>
        <w:adjustRightInd w:val="0"/>
        <w:spacing w:after="0" w:line="276" w:lineRule="auto"/>
        <w:ind w:firstLine="72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Given the</w:t>
      </w:r>
      <w:r w:rsidR="0081733A" w:rsidRPr="004C0D35">
        <w:rPr>
          <w:rFonts w:ascii="Times New Roman" w:hAnsi="Times New Roman" w:cs="Times New Roman"/>
          <w:color w:val="000000"/>
          <w:sz w:val="24"/>
          <w:szCs w:val="24"/>
          <w:shd w:val="clear" w:color="auto" w:fill="FFFFFF"/>
        </w:rPr>
        <w:t>s</w:t>
      </w:r>
      <w:r w:rsidRPr="004C0D35">
        <w:rPr>
          <w:rFonts w:ascii="Times New Roman" w:hAnsi="Times New Roman" w:cs="Times New Roman"/>
          <w:color w:val="000000"/>
          <w:sz w:val="24"/>
          <w:szCs w:val="24"/>
          <w:shd w:val="clear" w:color="auto" w:fill="FFFFFF"/>
        </w:rPr>
        <w:t>e</w:t>
      </w:r>
      <w:r w:rsidR="0081733A" w:rsidRPr="004C0D35">
        <w:rPr>
          <w:rFonts w:ascii="Times New Roman" w:hAnsi="Times New Roman" w:cs="Times New Roman"/>
          <w:color w:val="000000"/>
          <w:sz w:val="24"/>
          <w:szCs w:val="24"/>
          <w:shd w:val="clear" w:color="auto" w:fill="FFFFFF"/>
        </w:rPr>
        <w:t xml:space="preserve"> result</w:t>
      </w:r>
      <w:r w:rsidRPr="004C0D35">
        <w:rPr>
          <w:rFonts w:ascii="Times New Roman" w:hAnsi="Times New Roman" w:cs="Times New Roman"/>
          <w:color w:val="000000"/>
          <w:sz w:val="24"/>
          <w:szCs w:val="24"/>
          <w:shd w:val="clear" w:color="auto" w:fill="FFFFFF"/>
        </w:rPr>
        <w:t>s</w:t>
      </w:r>
      <w:r w:rsidR="0081733A" w:rsidRPr="004C0D35">
        <w:rPr>
          <w:rFonts w:ascii="Times New Roman" w:hAnsi="Times New Roman" w:cs="Times New Roman"/>
          <w:color w:val="000000"/>
          <w:sz w:val="24"/>
          <w:szCs w:val="24"/>
          <w:shd w:val="clear" w:color="auto" w:fill="FFFFFF"/>
        </w:rPr>
        <w:t xml:space="preserve">, the analysis in </w:t>
      </w:r>
      <w:r w:rsidR="008318F4" w:rsidRPr="004C0D35">
        <w:rPr>
          <w:rFonts w:ascii="Times New Roman" w:hAnsi="Times New Roman" w:cs="Times New Roman"/>
          <w:color w:val="000000"/>
          <w:sz w:val="24"/>
          <w:szCs w:val="24"/>
          <w:shd w:val="clear" w:color="auto" w:fill="FFFFFF"/>
        </w:rPr>
        <w:t>Part</w:t>
      </w:r>
      <w:r w:rsidR="0081733A" w:rsidRPr="004C0D35">
        <w:rPr>
          <w:rFonts w:ascii="Times New Roman" w:hAnsi="Times New Roman" w:cs="Times New Roman"/>
          <w:color w:val="000000"/>
          <w:sz w:val="24"/>
          <w:szCs w:val="24"/>
          <w:shd w:val="clear" w:color="auto" w:fill="FFFFFF"/>
        </w:rPr>
        <w:t xml:space="preserve"> IV is based on an equal weighting of the 22 variables. </w:t>
      </w:r>
      <w:r w:rsidR="00991FD7" w:rsidRPr="004C0D35">
        <w:rPr>
          <w:rFonts w:ascii="Times New Roman" w:hAnsi="Times New Roman" w:cs="Times New Roman"/>
          <w:color w:val="000000"/>
          <w:sz w:val="24"/>
          <w:szCs w:val="24"/>
          <w:shd w:val="clear" w:color="auto" w:fill="FFFFFF"/>
        </w:rPr>
        <w:t xml:space="preserve">All </w:t>
      </w:r>
      <w:r w:rsidR="0014003F" w:rsidRPr="004C0D35">
        <w:rPr>
          <w:rFonts w:ascii="Times New Roman" w:hAnsi="Times New Roman" w:cs="Times New Roman"/>
          <w:color w:val="000000"/>
          <w:sz w:val="24"/>
          <w:szCs w:val="24"/>
          <w:shd w:val="clear" w:color="auto" w:fill="FFFFFF"/>
        </w:rPr>
        <w:t xml:space="preserve">152 </w:t>
      </w:r>
      <w:r w:rsidR="00991FD7" w:rsidRPr="004C0D35">
        <w:rPr>
          <w:rFonts w:ascii="Times New Roman" w:hAnsi="Times New Roman" w:cs="Times New Roman"/>
          <w:color w:val="000000"/>
          <w:sz w:val="24"/>
          <w:szCs w:val="24"/>
          <w:shd w:val="clear" w:color="auto" w:fill="FFFFFF"/>
        </w:rPr>
        <w:t>jurisdictions’ statutory l</w:t>
      </w:r>
      <w:r w:rsidR="0081733A" w:rsidRPr="004C0D35">
        <w:rPr>
          <w:rFonts w:ascii="Times New Roman" w:hAnsi="Times New Roman" w:cs="Times New Roman"/>
          <w:color w:val="000000"/>
          <w:sz w:val="24"/>
          <w:szCs w:val="24"/>
          <w:shd w:val="clear" w:color="auto" w:fill="FFFFFF"/>
        </w:rPr>
        <w:t>iberalization of the</w:t>
      </w:r>
      <w:r w:rsidR="00991FD7" w:rsidRPr="004C0D35">
        <w:rPr>
          <w:rFonts w:ascii="Times New Roman" w:hAnsi="Times New Roman" w:cs="Times New Roman"/>
          <w:color w:val="000000"/>
          <w:sz w:val="24"/>
          <w:szCs w:val="24"/>
          <w:shd w:val="clear" w:color="auto" w:fill="FFFFFF"/>
        </w:rPr>
        <w:t>ir law respecting the</w:t>
      </w:r>
      <w:r w:rsidR="0081733A" w:rsidRPr="004C0D35">
        <w:rPr>
          <w:rFonts w:ascii="Times New Roman" w:hAnsi="Times New Roman" w:cs="Times New Roman"/>
          <w:color w:val="000000"/>
          <w:sz w:val="24"/>
          <w:szCs w:val="24"/>
          <w:shd w:val="clear" w:color="auto" w:fill="FFFFFF"/>
        </w:rPr>
        <w:t xml:space="preserve"> </w:t>
      </w:r>
      <w:r w:rsidR="0014003F" w:rsidRPr="004C0D35">
        <w:rPr>
          <w:rFonts w:ascii="Times New Roman" w:hAnsi="Times New Roman" w:cs="Times New Roman"/>
          <w:color w:val="000000"/>
          <w:sz w:val="24"/>
          <w:szCs w:val="24"/>
          <w:shd w:val="clear" w:color="auto" w:fill="FFFFFF"/>
        </w:rPr>
        <w:t>22</w:t>
      </w:r>
      <w:r w:rsidR="00991FD7" w:rsidRPr="004C0D35">
        <w:rPr>
          <w:rFonts w:ascii="Times New Roman" w:hAnsi="Times New Roman" w:cs="Times New Roman"/>
          <w:color w:val="000000"/>
          <w:sz w:val="24"/>
          <w:szCs w:val="24"/>
          <w:shd w:val="clear" w:color="auto" w:fill="FFFFFF"/>
        </w:rPr>
        <w:t xml:space="preserve"> </w:t>
      </w:r>
      <w:r w:rsidR="0081733A" w:rsidRPr="004C0D35">
        <w:rPr>
          <w:rFonts w:ascii="Times New Roman" w:hAnsi="Times New Roman" w:cs="Times New Roman"/>
          <w:color w:val="000000"/>
          <w:sz w:val="24"/>
          <w:szCs w:val="24"/>
          <w:shd w:val="clear" w:color="auto" w:fill="FFFFFF"/>
        </w:rPr>
        <w:t xml:space="preserve">variables is itself highly </w:t>
      </w:r>
      <w:r w:rsidR="00991FD7" w:rsidRPr="004C0D35">
        <w:rPr>
          <w:rFonts w:ascii="Times New Roman" w:hAnsi="Times New Roman" w:cs="Times New Roman"/>
          <w:color w:val="000000"/>
          <w:sz w:val="24"/>
          <w:szCs w:val="24"/>
          <w:shd w:val="clear" w:color="auto" w:fill="FFFFFF"/>
        </w:rPr>
        <w:t>consistent</w:t>
      </w:r>
      <w:r w:rsidR="0081733A" w:rsidRPr="004C0D35">
        <w:rPr>
          <w:rFonts w:ascii="Times New Roman" w:hAnsi="Times New Roman" w:cs="Times New Roman"/>
          <w:color w:val="000000"/>
          <w:sz w:val="24"/>
          <w:szCs w:val="24"/>
          <w:shd w:val="clear" w:color="auto" w:fill="FFFFFF"/>
        </w:rPr>
        <w:t xml:space="preserve">: Cronbach’s alpha for each year’s observations </w:t>
      </w:r>
      <w:r w:rsidR="00540803">
        <w:rPr>
          <w:rFonts w:ascii="Times New Roman" w:hAnsi="Times New Roman" w:cs="Times New Roman"/>
          <w:color w:val="000000"/>
          <w:sz w:val="24"/>
          <w:szCs w:val="24"/>
          <w:shd w:val="clear" w:color="auto" w:fill="FFFFFF"/>
        </w:rPr>
        <w:t xml:space="preserve">respecting all 22 variables </w:t>
      </w:r>
      <w:r w:rsidR="0081733A" w:rsidRPr="004C0D35">
        <w:rPr>
          <w:rFonts w:ascii="Times New Roman" w:hAnsi="Times New Roman" w:cs="Times New Roman"/>
          <w:color w:val="000000"/>
          <w:sz w:val="24"/>
          <w:szCs w:val="24"/>
          <w:shd w:val="clear" w:color="auto" w:fill="FFFFFF"/>
        </w:rPr>
        <w:t>has bee</w:t>
      </w:r>
      <w:r w:rsidR="00973375" w:rsidRPr="004C0D35">
        <w:rPr>
          <w:rFonts w:ascii="Times New Roman" w:hAnsi="Times New Roman" w:cs="Times New Roman"/>
          <w:color w:val="000000"/>
          <w:sz w:val="24"/>
          <w:szCs w:val="24"/>
          <w:shd w:val="clear" w:color="auto" w:fill="FFFFFF"/>
        </w:rPr>
        <w:t>n &gt;0.7 since 1992, and was 0.87</w:t>
      </w:r>
      <w:r w:rsidR="00D34AF9" w:rsidRPr="004C0D35">
        <w:rPr>
          <w:rFonts w:ascii="Times New Roman" w:hAnsi="Times New Roman" w:cs="Times New Roman"/>
          <w:color w:val="000000"/>
          <w:sz w:val="24"/>
          <w:szCs w:val="24"/>
          <w:shd w:val="clear" w:color="auto" w:fill="FFFFFF"/>
          <w:rtl/>
        </w:rPr>
        <w:t>7</w:t>
      </w:r>
      <w:r w:rsidR="0081733A" w:rsidRPr="004C0D35">
        <w:rPr>
          <w:rFonts w:ascii="Times New Roman" w:hAnsi="Times New Roman" w:cs="Times New Roman"/>
          <w:color w:val="000000"/>
          <w:sz w:val="24"/>
          <w:szCs w:val="24"/>
          <w:shd w:val="clear" w:color="auto" w:fill="FFFFFF"/>
        </w:rPr>
        <w:t xml:space="preserve"> for 2018, the final year for which data was collected.</w:t>
      </w:r>
      <w:r w:rsidR="00681FAD" w:rsidRPr="004C0D35">
        <w:rPr>
          <w:rStyle w:val="FootnoteReference"/>
          <w:rFonts w:ascii="Times New Roman" w:hAnsi="Times New Roman" w:cs="Times New Roman"/>
          <w:color w:val="000000"/>
          <w:sz w:val="24"/>
          <w:szCs w:val="24"/>
          <w:shd w:val="clear" w:color="auto" w:fill="FFFFFF"/>
        </w:rPr>
        <w:footnoteReference w:id="48"/>
      </w:r>
      <w:r w:rsidR="0081733A" w:rsidRPr="004C0D35">
        <w:rPr>
          <w:rFonts w:ascii="Times New Roman" w:hAnsi="Times New Roman" w:cs="Times New Roman"/>
          <w:color w:val="000000"/>
          <w:sz w:val="24"/>
          <w:szCs w:val="24"/>
          <w:shd w:val="clear" w:color="auto" w:fill="FFFFFF"/>
        </w:rPr>
        <w:t xml:space="preserve"> </w:t>
      </w:r>
    </w:p>
    <w:p w14:paraId="1B2DFBBC" w14:textId="77777777" w:rsidR="00783862" w:rsidRPr="004C0D35" w:rsidRDefault="00205F14" w:rsidP="00EF71B6">
      <w:pPr>
        <w:autoSpaceDE w:val="0"/>
        <w:autoSpaceDN w:val="0"/>
        <w:adjustRightInd w:val="0"/>
        <w:spacing w:after="0" w:line="276" w:lineRule="auto"/>
        <w:jc w:val="both"/>
        <w:rPr>
          <w:rFonts w:ascii="Times New Roman" w:eastAsia="Times New Roman" w:hAnsi="Times New Roman" w:cs="Times New Roman"/>
          <w:color w:val="222222"/>
          <w:sz w:val="24"/>
          <w:szCs w:val="24"/>
        </w:rPr>
      </w:pPr>
      <w:r w:rsidRPr="004C0D35">
        <w:rPr>
          <w:rFonts w:ascii="Times New Roman" w:hAnsi="Times New Roman" w:cs="Times New Roman"/>
          <w:sz w:val="24"/>
          <w:szCs w:val="24"/>
        </w:rPr>
        <w:tab/>
        <w:t xml:space="preserve">Finally, to create </w:t>
      </w:r>
      <w:r w:rsidR="00681FAD" w:rsidRPr="004C0D35">
        <w:rPr>
          <w:rFonts w:ascii="Times New Roman" w:hAnsi="Times New Roman" w:cs="Times New Roman"/>
          <w:sz w:val="24"/>
          <w:szCs w:val="24"/>
        </w:rPr>
        <w:t xml:space="preserve">a single trust </w:t>
      </w:r>
      <w:r w:rsidR="00F2538A" w:rsidRPr="004C0D35">
        <w:rPr>
          <w:rFonts w:ascii="Times New Roman" w:hAnsi="Times New Roman" w:cs="Times New Roman"/>
          <w:sz w:val="24"/>
          <w:szCs w:val="24"/>
        </w:rPr>
        <w:t>liberality</w:t>
      </w:r>
      <w:r w:rsidR="00681FAD" w:rsidRPr="004C0D35">
        <w:rPr>
          <w:rFonts w:ascii="Times New Roman" w:hAnsi="Times New Roman" w:cs="Times New Roman"/>
          <w:sz w:val="24"/>
          <w:szCs w:val="24"/>
        </w:rPr>
        <w:t xml:space="preserve"> score for each jurisdiction/year</w:t>
      </w:r>
      <w:r w:rsidRPr="004C0D35">
        <w:rPr>
          <w:rFonts w:ascii="Times New Roman" w:hAnsi="Times New Roman" w:cs="Times New Roman"/>
          <w:sz w:val="24"/>
          <w:szCs w:val="24"/>
        </w:rPr>
        <w:t>, I created a variable</w:t>
      </w:r>
      <w:r w:rsidR="000A5506" w:rsidRPr="004C0D35">
        <w:rPr>
          <w:rFonts w:ascii="Times New Roman" w:hAnsi="Times New Roman" w:cs="Times New Roman"/>
          <w:sz w:val="24"/>
          <w:szCs w:val="24"/>
        </w:rPr>
        <w:t xml:space="preserve"> entitled</w:t>
      </w:r>
      <w:r w:rsidRPr="004C0D35">
        <w:rPr>
          <w:rFonts w:ascii="Times New Roman" w:hAnsi="Times New Roman" w:cs="Times New Roman"/>
          <w:sz w:val="24"/>
          <w:szCs w:val="24"/>
        </w:rPr>
        <w:t xml:space="preserve"> </w:t>
      </w:r>
      <w:r w:rsidR="00494E19" w:rsidRPr="004C0D35">
        <w:rPr>
          <w:rFonts w:ascii="Times New Roman" w:hAnsi="Times New Roman" w:cs="Times New Roman"/>
          <w:sz w:val="24"/>
          <w:szCs w:val="24"/>
        </w:rPr>
        <w:t>cum_minmax, express</w:t>
      </w:r>
      <w:r w:rsidR="000A5506" w:rsidRPr="004C0D35">
        <w:rPr>
          <w:rFonts w:ascii="Times New Roman" w:hAnsi="Times New Roman" w:cs="Times New Roman"/>
          <w:sz w:val="24"/>
          <w:szCs w:val="24"/>
        </w:rPr>
        <w:t>ing</w:t>
      </w:r>
      <w:r w:rsidR="00494E19" w:rsidRPr="004C0D35">
        <w:rPr>
          <w:rFonts w:ascii="Times New Roman" w:hAnsi="Times New Roman" w:cs="Times New Roman"/>
          <w:sz w:val="24"/>
          <w:szCs w:val="24"/>
        </w:rPr>
        <w:t xml:space="preserve"> the cumulative minmax </w:t>
      </w:r>
      <w:r w:rsidR="002D1381" w:rsidRPr="004C0D35">
        <w:rPr>
          <w:rFonts w:ascii="Times New Roman" w:hAnsi="Times New Roman" w:cs="Times New Roman"/>
          <w:sz w:val="24"/>
          <w:szCs w:val="24"/>
        </w:rPr>
        <w:t xml:space="preserve">trust </w:t>
      </w:r>
      <w:r w:rsidR="00F2538A" w:rsidRPr="004C0D35">
        <w:rPr>
          <w:rFonts w:ascii="Times New Roman" w:hAnsi="Times New Roman" w:cs="Times New Roman"/>
          <w:sz w:val="24"/>
          <w:szCs w:val="24"/>
        </w:rPr>
        <w:t>liberality</w:t>
      </w:r>
      <w:r w:rsidR="002D1381" w:rsidRPr="004C0D35">
        <w:rPr>
          <w:rFonts w:ascii="Times New Roman" w:hAnsi="Times New Roman" w:cs="Times New Roman"/>
          <w:sz w:val="24"/>
          <w:szCs w:val="24"/>
        </w:rPr>
        <w:t xml:space="preserve"> </w:t>
      </w:r>
      <w:r w:rsidR="00494E19" w:rsidRPr="004C0D35">
        <w:rPr>
          <w:rFonts w:ascii="Times New Roman" w:hAnsi="Times New Roman" w:cs="Times New Roman"/>
          <w:sz w:val="24"/>
          <w:szCs w:val="24"/>
        </w:rPr>
        <w:t>score for</w:t>
      </w:r>
      <w:r w:rsidR="009F407A" w:rsidRPr="004C0D35">
        <w:rPr>
          <w:rFonts w:ascii="Times New Roman" w:hAnsi="Times New Roman" w:cs="Times New Roman"/>
          <w:sz w:val="24"/>
          <w:szCs w:val="24"/>
        </w:rPr>
        <w:t xml:space="preserve"> each </w:t>
      </w:r>
      <w:r w:rsidR="00EF71B6" w:rsidRPr="004C0D35">
        <w:rPr>
          <w:rFonts w:ascii="Times New Roman" w:hAnsi="Times New Roman" w:cs="Times New Roman"/>
          <w:sz w:val="24"/>
          <w:szCs w:val="24"/>
        </w:rPr>
        <w:t>jurisdiction/year</w:t>
      </w:r>
      <w:r w:rsidR="004F396B" w:rsidRPr="004C0D35">
        <w:rPr>
          <w:rFonts w:ascii="Times New Roman" w:hAnsi="Times New Roman" w:cs="Times New Roman"/>
          <w:sz w:val="24"/>
          <w:szCs w:val="24"/>
        </w:rPr>
        <w:t>. This was calculated by summing</w:t>
      </w:r>
      <w:r w:rsidR="009F407A" w:rsidRPr="004C0D35">
        <w:rPr>
          <w:rFonts w:ascii="Times New Roman" w:hAnsi="Times New Roman" w:cs="Times New Roman"/>
          <w:sz w:val="24"/>
          <w:szCs w:val="24"/>
        </w:rPr>
        <w:t xml:space="preserve"> </w:t>
      </w:r>
      <w:r w:rsidR="004F396B" w:rsidRPr="004C0D35">
        <w:rPr>
          <w:rFonts w:ascii="Times New Roman" w:hAnsi="Times New Roman" w:cs="Times New Roman"/>
          <w:sz w:val="24"/>
          <w:szCs w:val="24"/>
        </w:rPr>
        <w:t>each</w:t>
      </w:r>
      <w:r w:rsidR="009F407A" w:rsidRPr="004C0D35">
        <w:rPr>
          <w:rFonts w:ascii="Times New Roman" w:hAnsi="Times New Roman" w:cs="Times New Roman"/>
          <w:sz w:val="24"/>
          <w:szCs w:val="24"/>
        </w:rPr>
        <w:t xml:space="preserve"> </w:t>
      </w:r>
      <w:r w:rsidR="00494E19" w:rsidRPr="004C0D35">
        <w:rPr>
          <w:rFonts w:ascii="Times New Roman" w:hAnsi="Times New Roman" w:cs="Times New Roman"/>
          <w:sz w:val="24"/>
          <w:szCs w:val="24"/>
        </w:rPr>
        <w:t xml:space="preserve">jurisdiction’s scores for the variables it had </w:t>
      </w:r>
      <w:r w:rsidR="004F396B" w:rsidRPr="004C0D35">
        <w:rPr>
          <w:rFonts w:ascii="Times New Roman" w:hAnsi="Times New Roman" w:cs="Times New Roman"/>
          <w:sz w:val="24"/>
          <w:szCs w:val="24"/>
        </w:rPr>
        <w:t>addressed statutorily until each</w:t>
      </w:r>
      <w:r w:rsidR="00494E19" w:rsidRPr="004C0D35">
        <w:rPr>
          <w:rFonts w:ascii="Times New Roman" w:hAnsi="Times New Roman" w:cs="Times New Roman"/>
          <w:sz w:val="24"/>
          <w:szCs w:val="24"/>
        </w:rPr>
        <w:t xml:space="preserve"> year (inclusive).</w:t>
      </w:r>
      <w:r w:rsidR="00783862" w:rsidRPr="004C0D35">
        <w:rPr>
          <w:rFonts w:ascii="Times New Roman" w:hAnsi="Times New Roman" w:cs="Times New Roman"/>
          <w:sz w:val="24"/>
          <w:szCs w:val="24"/>
        </w:rPr>
        <w:t xml:space="preserve"> </w:t>
      </w:r>
      <w:r w:rsidR="004F396B" w:rsidRPr="004C0D35">
        <w:rPr>
          <w:rFonts w:ascii="Times New Roman" w:hAnsi="Times New Roman" w:cs="Times New Roman"/>
          <w:sz w:val="24"/>
          <w:szCs w:val="24"/>
        </w:rPr>
        <w:t xml:space="preserve">Where a jurisdiction addressed a variable statutorily more than once, only the statute in force in each year was taken into account in calculating that jurisdiction’s cum_minmax score for that year. </w:t>
      </w:r>
    </w:p>
    <w:p w14:paraId="7950DD90" w14:textId="4232A815" w:rsidR="0067299F" w:rsidRDefault="0067299F" w:rsidP="007A714F">
      <w:pPr>
        <w:spacing w:line="276" w:lineRule="auto"/>
        <w:rPr>
          <w:rFonts w:ascii="Times New Roman" w:hAnsi="Times New Roman" w:cs="Times New Roman"/>
          <w:sz w:val="24"/>
          <w:szCs w:val="24"/>
        </w:rPr>
      </w:pPr>
    </w:p>
    <w:p w14:paraId="2C66FE07" w14:textId="77777777" w:rsidR="00AA478E" w:rsidRPr="004C0D35" w:rsidRDefault="00AA478E" w:rsidP="007A714F">
      <w:pPr>
        <w:spacing w:line="276" w:lineRule="auto"/>
        <w:rPr>
          <w:rFonts w:ascii="Times New Roman" w:hAnsi="Times New Roman" w:cs="Times New Roman"/>
          <w:sz w:val="24"/>
          <w:szCs w:val="24"/>
          <w:rtl/>
        </w:rPr>
      </w:pPr>
    </w:p>
    <w:p w14:paraId="2E50D5F3" w14:textId="77777777" w:rsidR="00F20FB2" w:rsidRPr="002050B5" w:rsidRDefault="00183F91" w:rsidP="002050B5">
      <w:pPr>
        <w:jc w:val="center"/>
        <w:rPr>
          <w:rFonts w:ascii="Times New Roman" w:hAnsi="Times New Roman" w:cs="Times New Roman"/>
          <w:smallCaps/>
          <w:sz w:val="24"/>
          <w:szCs w:val="24"/>
        </w:rPr>
      </w:pPr>
      <w:r w:rsidRPr="002050B5">
        <w:rPr>
          <w:rFonts w:ascii="Times New Roman" w:hAnsi="Times New Roman" w:cs="Times New Roman"/>
          <w:smallCaps/>
          <w:sz w:val="24"/>
          <w:szCs w:val="24"/>
        </w:rPr>
        <w:t xml:space="preserve">IV. </w:t>
      </w:r>
      <w:r w:rsidR="005D56BB" w:rsidRPr="002050B5">
        <w:rPr>
          <w:rFonts w:ascii="Times New Roman" w:hAnsi="Times New Roman" w:cs="Times New Roman"/>
          <w:smallCaps/>
          <w:sz w:val="24"/>
          <w:szCs w:val="24"/>
        </w:rPr>
        <w:t xml:space="preserve">Results and </w:t>
      </w:r>
      <w:r w:rsidR="00213762" w:rsidRPr="002050B5">
        <w:rPr>
          <w:rFonts w:ascii="Times New Roman" w:hAnsi="Times New Roman" w:cs="Times New Roman"/>
          <w:smallCaps/>
          <w:sz w:val="24"/>
          <w:szCs w:val="24"/>
        </w:rPr>
        <w:t>Analysis</w:t>
      </w:r>
    </w:p>
    <w:p w14:paraId="6E2C8FD6" w14:textId="77777777" w:rsidR="00307399" w:rsidRPr="002050B5" w:rsidRDefault="002050B5" w:rsidP="002050B5">
      <w:pPr>
        <w:spacing w:line="276" w:lineRule="auto"/>
        <w:rPr>
          <w:rFonts w:ascii="Times New Roman" w:hAnsi="Times New Roman" w:cs="Times New Roman"/>
          <w:smallCaps/>
          <w:sz w:val="24"/>
          <w:szCs w:val="24"/>
        </w:rPr>
      </w:pPr>
      <w:r>
        <w:rPr>
          <w:rFonts w:ascii="Times New Roman" w:hAnsi="Times New Roman" w:cs="Times New Roman"/>
          <w:smallCaps/>
          <w:sz w:val="24"/>
          <w:szCs w:val="24"/>
        </w:rPr>
        <w:t>A</w:t>
      </w:r>
      <w:r w:rsidR="00307399" w:rsidRPr="002050B5">
        <w:rPr>
          <w:rFonts w:ascii="Times New Roman" w:hAnsi="Times New Roman" w:cs="Times New Roman"/>
          <w:smallCaps/>
          <w:sz w:val="24"/>
          <w:szCs w:val="24"/>
        </w:rPr>
        <w:t xml:space="preserve">. </w:t>
      </w:r>
      <w:r w:rsidR="00CB2DAF" w:rsidRPr="002050B5">
        <w:rPr>
          <w:rFonts w:ascii="Times New Roman" w:hAnsi="Times New Roman" w:cs="Times New Roman"/>
          <w:smallCaps/>
          <w:sz w:val="24"/>
          <w:szCs w:val="24"/>
        </w:rPr>
        <w:t xml:space="preserve">Trust Law </w:t>
      </w:r>
      <w:r w:rsidR="00F2538A" w:rsidRPr="002050B5">
        <w:rPr>
          <w:rFonts w:ascii="Times New Roman" w:hAnsi="Times New Roman" w:cs="Times New Roman"/>
          <w:smallCaps/>
          <w:sz w:val="24"/>
          <w:szCs w:val="24"/>
        </w:rPr>
        <w:t>Liberality</w:t>
      </w:r>
      <w:r w:rsidR="00307399" w:rsidRPr="002050B5">
        <w:rPr>
          <w:rFonts w:ascii="Times New Roman" w:hAnsi="Times New Roman" w:cs="Times New Roman"/>
          <w:smallCaps/>
          <w:sz w:val="24"/>
          <w:szCs w:val="24"/>
        </w:rPr>
        <w:t xml:space="preserve"> by Jurisdiction</w:t>
      </w:r>
      <w:r w:rsidR="00CB2DAF" w:rsidRPr="002050B5">
        <w:rPr>
          <w:rFonts w:ascii="Times New Roman" w:hAnsi="Times New Roman" w:cs="Times New Roman"/>
          <w:smallCaps/>
          <w:sz w:val="24"/>
          <w:szCs w:val="24"/>
        </w:rPr>
        <w:t xml:space="preserve"> and Year</w:t>
      </w:r>
    </w:p>
    <w:p w14:paraId="3E96E64D" w14:textId="2EFB56F4" w:rsidR="00AD10E3" w:rsidRPr="004C0D35" w:rsidRDefault="00307399" w:rsidP="00ED5402">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 xml:space="preserve">Table 1 presents the </w:t>
      </w:r>
      <w:r w:rsidR="008C65C6" w:rsidRPr="004C0D35">
        <w:rPr>
          <w:rFonts w:ascii="Times New Roman" w:hAnsi="Times New Roman" w:cs="Times New Roman"/>
          <w:color w:val="000000"/>
          <w:sz w:val="24"/>
          <w:szCs w:val="24"/>
          <w:shd w:val="clear" w:color="auto" w:fill="FFFFFF"/>
        </w:rPr>
        <w:t xml:space="preserve">cumulative </w:t>
      </w:r>
      <w:r w:rsidRPr="004C0D35">
        <w:rPr>
          <w:rFonts w:ascii="Times New Roman" w:hAnsi="Times New Roman" w:cs="Times New Roman"/>
          <w:color w:val="000000"/>
          <w:sz w:val="24"/>
          <w:szCs w:val="24"/>
          <w:shd w:val="clear" w:color="auto" w:fill="FFFFFF"/>
        </w:rPr>
        <w:t xml:space="preserve">trust </w:t>
      </w:r>
      <w:r w:rsidR="00E84CA7" w:rsidRPr="004C0D35">
        <w:rPr>
          <w:rFonts w:ascii="Times New Roman" w:hAnsi="Times New Roman" w:cs="Times New Roman"/>
          <w:color w:val="000000"/>
          <w:sz w:val="24"/>
          <w:szCs w:val="24"/>
          <w:shd w:val="clear" w:color="auto" w:fill="FFFFFF"/>
        </w:rPr>
        <w:t xml:space="preserve">law </w:t>
      </w:r>
      <w:r w:rsidR="00F2538A" w:rsidRPr="004C0D35">
        <w:rPr>
          <w:rFonts w:ascii="Times New Roman" w:hAnsi="Times New Roman" w:cs="Times New Roman"/>
          <w:color w:val="000000"/>
          <w:sz w:val="24"/>
          <w:szCs w:val="24"/>
          <w:shd w:val="clear" w:color="auto" w:fill="FFFFFF"/>
        </w:rPr>
        <w:t>liberality</w:t>
      </w:r>
      <w:r w:rsidRPr="004C0D35">
        <w:rPr>
          <w:rFonts w:ascii="Times New Roman" w:hAnsi="Times New Roman" w:cs="Times New Roman"/>
          <w:color w:val="000000"/>
          <w:sz w:val="24"/>
          <w:szCs w:val="24"/>
          <w:shd w:val="clear" w:color="auto" w:fill="FFFFFF"/>
        </w:rPr>
        <w:t xml:space="preserve"> </w:t>
      </w:r>
      <w:r w:rsidR="008C65C6" w:rsidRPr="004C0D35">
        <w:rPr>
          <w:rFonts w:ascii="Times New Roman" w:hAnsi="Times New Roman" w:cs="Times New Roman"/>
          <w:color w:val="000000"/>
          <w:sz w:val="24"/>
          <w:szCs w:val="24"/>
          <w:shd w:val="clear" w:color="auto" w:fill="FFFFFF"/>
        </w:rPr>
        <w:t>scores</w:t>
      </w:r>
      <w:r w:rsidRPr="004C0D35">
        <w:rPr>
          <w:rFonts w:ascii="Times New Roman" w:hAnsi="Times New Roman" w:cs="Times New Roman"/>
          <w:color w:val="000000"/>
          <w:sz w:val="24"/>
          <w:szCs w:val="24"/>
          <w:shd w:val="clear" w:color="auto" w:fill="FFFFFF"/>
        </w:rPr>
        <w:t xml:space="preserve"> by jurisdiction for the year 2018, reflecting the r</w:t>
      </w:r>
      <w:r w:rsidR="00E84CA7" w:rsidRPr="004C0D35">
        <w:rPr>
          <w:rFonts w:ascii="Times New Roman" w:hAnsi="Times New Roman" w:cs="Times New Roman"/>
          <w:color w:val="000000"/>
          <w:sz w:val="24"/>
          <w:szCs w:val="24"/>
          <w:shd w:val="clear" w:color="auto" w:fill="FFFFFF"/>
        </w:rPr>
        <w:t>elative extent of liberality</w:t>
      </w:r>
      <w:r w:rsidRPr="004C0D35">
        <w:rPr>
          <w:rFonts w:ascii="Times New Roman" w:hAnsi="Times New Roman" w:cs="Times New Roman"/>
          <w:color w:val="000000"/>
          <w:sz w:val="24"/>
          <w:szCs w:val="24"/>
          <w:shd w:val="clear" w:color="auto" w:fill="FFFFFF"/>
        </w:rPr>
        <w:t xml:space="preserve"> expressed in the </w:t>
      </w:r>
      <w:r w:rsidR="00496651">
        <w:rPr>
          <w:rFonts w:ascii="Times New Roman" w:hAnsi="Times New Roman" w:cs="Times New Roman"/>
          <w:color w:val="000000"/>
          <w:sz w:val="24"/>
          <w:szCs w:val="24"/>
          <w:shd w:val="clear" w:color="auto" w:fill="FFFFFF"/>
        </w:rPr>
        <w:t xml:space="preserve">trust </w:t>
      </w:r>
      <w:r w:rsidRPr="004C0D35">
        <w:rPr>
          <w:rFonts w:ascii="Times New Roman" w:hAnsi="Times New Roman" w:cs="Times New Roman"/>
          <w:color w:val="000000"/>
          <w:sz w:val="24"/>
          <w:szCs w:val="24"/>
          <w:shd w:val="clear" w:color="auto" w:fill="FFFFFF"/>
        </w:rPr>
        <w:t xml:space="preserve">law of each jurisdiction </w:t>
      </w:r>
      <w:r w:rsidR="00E84CA7" w:rsidRPr="004C0D35">
        <w:rPr>
          <w:rFonts w:ascii="Times New Roman" w:hAnsi="Times New Roman" w:cs="Times New Roman"/>
          <w:color w:val="000000"/>
          <w:sz w:val="24"/>
          <w:szCs w:val="24"/>
          <w:shd w:val="clear" w:color="auto" w:fill="FFFFFF"/>
        </w:rPr>
        <w:t>in</w:t>
      </w:r>
      <w:r w:rsidRPr="004C0D35">
        <w:rPr>
          <w:rFonts w:ascii="Times New Roman" w:hAnsi="Times New Roman" w:cs="Times New Roman"/>
          <w:color w:val="000000"/>
          <w:sz w:val="24"/>
          <w:szCs w:val="24"/>
          <w:shd w:val="clear" w:color="auto" w:fill="FFFFFF"/>
        </w:rPr>
        <w:t xml:space="preserve"> that year</w:t>
      </w:r>
      <w:r w:rsidR="00733287" w:rsidRPr="004C0D35">
        <w:rPr>
          <w:rFonts w:ascii="Times New Roman" w:hAnsi="Times New Roman" w:cs="Times New Roman"/>
          <w:color w:val="000000"/>
          <w:sz w:val="24"/>
          <w:szCs w:val="24"/>
          <w:shd w:val="clear" w:color="auto" w:fill="FFFFFF"/>
        </w:rPr>
        <w:t>. Table 1 is</w:t>
      </w:r>
      <w:r w:rsidR="008C65C6" w:rsidRPr="004C0D35">
        <w:rPr>
          <w:rFonts w:ascii="Times New Roman" w:hAnsi="Times New Roman" w:cs="Times New Roman"/>
          <w:color w:val="000000"/>
          <w:sz w:val="24"/>
          <w:szCs w:val="24"/>
          <w:shd w:val="clear" w:color="auto" w:fill="FFFFFF"/>
        </w:rPr>
        <w:t xml:space="preserve"> based on the full database, which includes both legislation which changed the law and legislation which merely gave new form to pre-existing law</w:t>
      </w:r>
      <w:r w:rsidRPr="004C0D35">
        <w:rPr>
          <w:rFonts w:ascii="Times New Roman" w:hAnsi="Times New Roman" w:cs="Times New Roman"/>
          <w:color w:val="000000"/>
          <w:sz w:val="24"/>
          <w:szCs w:val="24"/>
          <w:shd w:val="clear" w:color="auto" w:fill="FFFFFF"/>
        </w:rPr>
        <w:t>.</w:t>
      </w:r>
      <w:r w:rsidR="00150FE1" w:rsidRPr="004C0D35">
        <w:rPr>
          <w:rFonts w:ascii="Times New Roman" w:hAnsi="Times New Roman" w:cs="Times New Roman"/>
          <w:color w:val="000000"/>
          <w:sz w:val="24"/>
          <w:szCs w:val="24"/>
          <w:shd w:val="clear" w:color="auto" w:fill="FFFFFF"/>
        </w:rPr>
        <w:t xml:space="preserve"> Figure 1 presents the same results, plotted on a world map.</w:t>
      </w:r>
      <w:r w:rsidRPr="004C0D35">
        <w:rPr>
          <w:rFonts w:ascii="Times New Roman" w:hAnsi="Times New Roman" w:cs="Times New Roman"/>
          <w:color w:val="000000"/>
          <w:sz w:val="24"/>
          <w:szCs w:val="24"/>
          <w:shd w:val="clear" w:color="auto" w:fill="FFFFFF"/>
        </w:rPr>
        <w:t xml:space="preserve"> </w:t>
      </w:r>
      <w:r w:rsidR="00E61509" w:rsidRPr="004C0D35">
        <w:rPr>
          <w:rFonts w:ascii="Times New Roman" w:hAnsi="Times New Roman" w:cs="Times New Roman"/>
          <w:color w:val="000000"/>
          <w:sz w:val="24"/>
          <w:szCs w:val="24"/>
          <w:shd w:val="clear" w:color="auto" w:fill="FFFFFF"/>
        </w:rPr>
        <w:t xml:space="preserve">One key finding is </w:t>
      </w:r>
      <w:r w:rsidR="003217D8" w:rsidRPr="004C0D35">
        <w:rPr>
          <w:rFonts w:ascii="Times New Roman" w:hAnsi="Times New Roman" w:cs="Times New Roman"/>
          <w:color w:val="000000"/>
          <w:sz w:val="24"/>
          <w:szCs w:val="24"/>
          <w:shd w:val="clear" w:color="auto" w:fill="FFFFFF"/>
        </w:rPr>
        <w:t>that the United States is the global leader in trust</w:t>
      </w:r>
      <w:r w:rsidR="00E84CA7" w:rsidRPr="004C0D35">
        <w:rPr>
          <w:rFonts w:ascii="Times New Roman" w:hAnsi="Times New Roman" w:cs="Times New Roman"/>
          <w:color w:val="000000"/>
          <w:sz w:val="24"/>
          <w:szCs w:val="24"/>
          <w:shd w:val="clear" w:color="auto" w:fill="FFFFFF"/>
        </w:rPr>
        <w:t xml:space="preserve"> law</w:t>
      </w:r>
      <w:r w:rsidR="00B7430A" w:rsidRPr="004C0D35">
        <w:rPr>
          <w:rFonts w:ascii="Times New Roman" w:hAnsi="Times New Roman" w:cs="Times New Roman"/>
          <w:color w:val="000000"/>
          <w:sz w:val="24"/>
          <w:szCs w:val="24"/>
          <w:shd w:val="clear" w:color="auto" w:fill="FFFFFF"/>
        </w:rPr>
        <w:t xml:space="preserve"> </w:t>
      </w:r>
      <w:r w:rsidR="00453AA3" w:rsidRPr="004C0D35">
        <w:rPr>
          <w:rFonts w:ascii="Times New Roman" w:hAnsi="Times New Roman" w:cs="Times New Roman"/>
          <w:color w:val="000000"/>
          <w:sz w:val="24"/>
          <w:szCs w:val="24"/>
          <w:shd w:val="clear" w:color="auto" w:fill="FFFFFF"/>
        </w:rPr>
        <w:t>liberalization</w:t>
      </w:r>
      <w:r w:rsidR="003217D8" w:rsidRPr="004C0D35">
        <w:rPr>
          <w:rFonts w:ascii="Times New Roman" w:hAnsi="Times New Roman" w:cs="Times New Roman"/>
          <w:color w:val="000000"/>
          <w:sz w:val="24"/>
          <w:szCs w:val="24"/>
          <w:shd w:val="clear" w:color="auto" w:fill="FFFFFF"/>
        </w:rPr>
        <w:t xml:space="preserve">. </w:t>
      </w:r>
      <w:r w:rsidR="0096349C" w:rsidRPr="004C0D35">
        <w:rPr>
          <w:rFonts w:ascii="Times New Roman" w:hAnsi="Times New Roman" w:cs="Times New Roman"/>
          <w:color w:val="000000"/>
          <w:sz w:val="24"/>
          <w:szCs w:val="24"/>
          <w:shd w:val="clear" w:color="auto" w:fill="FFFFFF"/>
        </w:rPr>
        <w:t>Eight</w:t>
      </w:r>
      <w:r w:rsidR="003217D8" w:rsidRPr="004C0D35">
        <w:rPr>
          <w:rFonts w:ascii="Times New Roman" w:hAnsi="Times New Roman" w:cs="Times New Roman"/>
          <w:color w:val="000000"/>
          <w:sz w:val="24"/>
          <w:szCs w:val="24"/>
          <w:shd w:val="clear" w:color="auto" w:fill="FFFFFF"/>
        </w:rPr>
        <w:t xml:space="preserve"> of the ten jurisdictions </w:t>
      </w:r>
      <w:r w:rsidR="00B7430A" w:rsidRPr="004C0D35">
        <w:rPr>
          <w:rFonts w:ascii="Times New Roman" w:hAnsi="Times New Roman" w:cs="Times New Roman"/>
          <w:color w:val="000000"/>
          <w:sz w:val="24"/>
          <w:szCs w:val="24"/>
          <w:shd w:val="clear" w:color="auto" w:fill="FFFFFF"/>
        </w:rPr>
        <w:t>whic</w:t>
      </w:r>
      <w:r w:rsidR="003217D8" w:rsidRPr="004C0D35">
        <w:rPr>
          <w:rFonts w:ascii="Times New Roman" w:hAnsi="Times New Roman" w:cs="Times New Roman"/>
          <w:color w:val="000000"/>
          <w:sz w:val="24"/>
          <w:szCs w:val="24"/>
          <w:shd w:val="clear" w:color="auto" w:fill="FFFFFF"/>
        </w:rPr>
        <w:t xml:space="preserve">h have </w:t>
      </w:r>
      <w:r w:rsidR="00B7430A" w:rsidRPr="004C0D35">
        <w:rPr>
          <w:rFonts w:ascii="Times New Roman" w:hAnsi="Times New Roman" w:cs="Times New Roman"/>
          <w:color w:val="000000"/>
          <w:sz w:val="24"/>
          <w:szCs w:val="24"/>
          <w:shd w:val="clear" w:color="auto" w:fill="FFFFFF"/>
        </w:rPr>
        <w:t>the most permissive</w:t>
      </w:r>
      <w:r w:rsidR="003217D8" w:rsidRPr="004C0D35">
        <w:rPr>
          <w:rFonts w:ascii="Times New Roman" w:hAnsi="Times New Roman" w:cs="Times New Roman"/>
          <w:color w:val="000000"/>
          <w:sz w:val="24"/>
          <w:szCs w:val="24"/>
          <w:shd w:val="clear" w:color="auto" w:fill="FFFFFF"/>
        </w:rPr>
        <w:t xml:space="preserve"> </w:t>
      </w:r>
      <w:r w:rsidR="00B7430A" w:rsidRPr="004C0D35">
        <w:rPr>
          <w:rFonts w:ascii="Times New Roman" w:hAnsi="Times New Roman" w:cs="Times New Roman"/>
          <w:color w:val="000000"/>
          <w:sz w:val="24"/>
          <w:szCs w:val="24"/>
          <w:shd w:val="clear" w:color="auto" w:fill="FFFFFF"/>
        </w:rPr>
        <w:t>trust</w:t>
      </w:r>
      <w:r w:rsidR="003217D8" w:rsidRPr="004C0D35">
        <w:rPr>
          <w:rFonts w:ascii="Times New Roman" w:hAnsi="Times New Roman" w:cs="Times New Roman"/>
          <w:color w:val="000000"/>
          <w:sz w:val="24"/>
          <w:szCs w:val="24"/>
          <w:shd w:val="clear" w:color="auto" w:fill="FFFFFF"/>
        </w:rPr>
        <w:t xml:space="preserve"> law</w:t>
      </w:r>
      <w:r w:rsidR="00B7430A" w:rsidRPr="004C0D35">
        <w:rPr>
          <w:rFonts w:ascii="Times New Roman" w:hAnsi="Times New Roman" w:cs="Times New Roman"/>
          <w:color w:val="000000"/>
          <w:sz w:val="24"/>
          <w:szCs w:val="24"/>
          <w:shd w:val="clear" w:color="auto" w:fill="FFFFFF"/>
        </w:rPr>
        <w:t xml:space="preserve"> of all</w:t>
      </w:r>
      <w:r w:rsidR="003217D8" w:rsidRPr="004C0D35">
        <w:rPr>
          <w:rFonts w:ascii="Times New Roman" w:hAnsi="Times New Roman" w:cs="Times New Roman"/>
          <w:color w:val="000000"/>
          <w:sz w:val="24"/>
          <w:szCs w:val="24"/>
          <w:shd w:val="clear" w:color="auto" w:fill="FFFFFF"/>
        </w:rPr>
        <w:t xml:space="preserve"> </w:t>
      </w:r>
      <w:r w:rsidR="002870C0" w:rsidRPr="004C0D35">
        <w:rPr>
          <w:rFonts w:ascii="Times New Roman" w:hAnsi="Times New Roman" w:cs="Times New Roman"/>
          <w:color w:val="000000"/>
          <w:sz w:val="24"/>
          <w:szCs w:val="24"/>
          <w:shd w:val="clear" w:color="auto" w:fill="FFFFFF"/>
        </w:rPr>
        <w:t>are American states, as are 1</w:t>
      </w:r>
      <w:r w:rsidR="0096349C" w:rsidRPr="004C0D35">
        <w:rPr>
          <w:rFonts w:ascii="Times New Roman" w:hAnsi="Times New Roman" w:cs="Times New Roman"/>
          <w:color w:val="000000"/>
          <w:sz w:val="24"/>
          <w:szCs w:val="24"/>
          <w:shd w:val="clear" w:color="auto" w:fill="FFFFFF"/>
        </w:rPr>
        <w:t>7</w:t>
      </w:r>
      <w:r w:rsidR="003217D8" w:rsidRPr="004C0D35">
        <w:rPr>
          <w:rFonts w:ascii="Times New Roman" w:hAnsi="Times New Roman" w:cs="Times New Roman"/>
          <w:color w:val="000000"/>
          <w:sz w:val="24"/>
          <w:szCs w:val="24"/>
          <w:shd w:val="clear" w:color="auto" w:fill="FFFFFF"/>
        </w:rPr>
        <w:t xml:space="preserve"> of the </w:t>
      </w:r>
      <w:r w:rsidR="000D402A" w:rsidRPr="004C0D35">
        <w:rPr>
          <w:rFonts w:ascii="Times New Roman" w:hAnsi="Times New Roman" w:cs="Times New Roman"/>
          <w:color w:val="000000"/>
          <w:sz w:val="24"/>
          <w:szCs w:val="24"/>
          <w:shd w:val="clear" w:color="auto" w:fill="FFFFFF"/>
        </w:rPr>
        <w:t xml:space="preserve">top 20 jurisdictions. The </w:t>
      </w:r>
      <w:r w:rsidR="002870C0" w:rsidRPr="004C0D35">
        <w:rPr>
          <w:rFonts w:ascii="Times New Roman" w:hAnsi="Times New Roman" w:cs="Times New Roman"/>
          <w:color w:val="000000"/>
          <w:sz w:val="24"/>
          <w:szCs w:val="24"/>
          <w:shd w:val="clear" w:color="auto" w:fill="FFFFFF"/>
        </w:rPr>
        <w:t xml:space="preserve">highest-ranking non-U.S. jurisdictions are </w:t>
      </w:r>
      <w:r w:rsidR="0096349C" w:rsidRPr="004C0D35">
        <w:rPr>
          <w:rFonts w:ascii="Times New Roman" w:hAnsi="Times New Roman" w:cs="Times New Roman"/>
          <w:color w:val="000000"/>
          <w:sz w:val="24"/>
          <w:szCs w:val="24"/>
          <w:shd w:val="clear" w:color="auto" w:fill="FFFFFF"/>
        </w:rPr>
        <w:t xml:space="preserve">Brunei, </w:t>
      </w:r>
      <w:r w:rsidR="000D402A" w:rsidRPr="004C0D35">
        <w:rPr>
          <w:rFonts w:ascii="Times New Roman" w:hAnsi="Times New Roman" w:cs="Times New Roman"/>
          <w:color w:val="000000"/>
          <w:sz w:val="24"/>
          <w:szCs w:val="24"/>
          <w:shd w:val="clear" w:color="auto" w:fill="FFFFFF"/>
        </w:rPr>
        <w:t xml:space="preserve">Guernsey, Labuan, </w:t>
      </w:r>
      <w:r w:rsidR="00ED5402" w:rsidRPr="004C0D35">
        <w:rPr>
          <w:rFonts w:ascii="Times New Roman" w:hAnsi="Times New Roman" w:cs="Times New Roman"/>
          <w:color w:val="000000"/>
          <w:sz w:val="24"/>
          <w:szCs w:val="24"/>
          <w:shd w:val="clear" w:color="auto" w:fill="FFFFFF"/>
        </w:rPr>
        <w:t xml:space="preserve">Samoa, </w:t>
      </w:r>
      <w:r w:rsidR="000D402A" w:rsidRPr="004C0D35">
        <w:rPr>
          <w:rFonts w:ascii="Times New Roman" w:hAnsi="Times New Roman" w:cs="Times New Roman"/>
          <w:color w:val="000000"/>
          <w:sz w:val="24"/>
          <w:szCs w:val="24"/>
          <w:shd w:val="clear" w:color="auto" w:fill="FFFFFF"/>
        </w:rPr>
        <w:t xml:space="preserve">Mauritius, </w:t>
      </w:r>
      <w:r w:rsidR="005F5E60" w:rsidRPr="004C0D35">
        <w:rPr>
          <w:rFonts w:ascii="Times New Roman" w:hAnsi="Times New Roman" w:cs="Times New Roman"/>
          <w:color w:val="000000"/>
          <w:sz w:val="24"/>
          <w:szCs w:val="24"/>
          <w:shd w:val="clear" w:color="auto" w:fill="FFFFFF"/>
        </w:rPr>
        <w:t>the Bahamas</w:t>
      </w:r>
      <w:r w:rsidR="0096349C" w:rsidRPr="004C0D35">
        <w:rPr>
          <w:rFonts w:ascii="Times New Roman" w:hAnsi="Times New Roman" w:cs="Times New Roman"/>
          <w:color w:val="000000"/>
          <w:sz w:val="24"/>
          <w:szCs w:val="24"/>
          <w:shd w:val="clear" w:color="auto" w:fill="FFFFFF"/>
        </w:rPr>
        <w:t>, Niue,</w:t>
      </w:r>
      <w:r w:rsidR="005F5E60" w:rsidRPr="004C0D35">
        <w:rPr>
          <w:rFonts w:ascii="Times New Roman" w:hAnsi="Times New Roman" w:cs="Times New Roman"/>
          <w:color w:val="000000"/>
          <w:sz w:val="24"/>
          <w:szCs w:val="24"/>
          <w:shd w:val="clear" w:color="auto" w:fill="FFFFFF"/>
        </w:rPr>
        <w:t xml:space="preserve"> and </w:t>
      </w:r>
      <w:r w:rsidR="000D402A" w:rsidRPr="004C0D35">
        <w:rPr>
          <w:rFonts w:ascii="Times New Roman" w:hAnsi="Times New Roman" w:cs="Times New Roman"/>
          <w:color w:val="000000"/>
          <w:sz w:val="24"/>
          <w:szCs w:val="24"/>
          <w:shd w:val="clear" w:color="auto" w:fill="FFFFFF"/>
        </w:rPr>
        <w:t>Jersey</w:t>
      </w:r>
      <w:r w:rsidR="00AD10E3" w:rsidRPr="004C0D35">
        <w:rPr>
          <w:rFonts w:ascii="Times New Roman" w:hAnsi="Times New Roman" w:cs="Times New Roman"/>
          <w:color w:val="000000"/>
          <w:sz w:val="24"/>
          <w:szCs w:val="24"/>
          <w:shd w:val="clear" w:color="auto" w:fill="FFFFFF"/>
        </w:rPr>
        <w:t xml:space="preserve">, all offshore both geographically, being </w:t>
      </w:r>
      <w:r w:rsidR="0096349C" w:rsidRPr="004C0D35">
        <w:rPr>
          <w:rFonts w:ascii="Times New Roman" w:hAnsi="Times New Roman" w:cs="Times New Roman"/>
          <w:color w:val="000000"/>
          <w:sz w:val="24"/>
          <w:szCs w:val="24"/>
          <w:shd w:val="clear" w:color="auto" w:fill="FFFFFF"/>
        </w:rPr>
        <w:t xml:space="preserve">either </w:t>
      </w:r>
      <w:r w:rsidR="00AD10E3" w:rsidRPr="004C0D35">
        <w:rPr>
          <w:rFonts w:ascii="Times New Roman" w:hAnsi="Times New Roman" w:cs="Times New Roman"/>
          <w:color w:val="000000"/>
          <w:sz w:val="24"/>
          <w:szCs w:val="24"/>
          <w:shd w:val="clear" w:color="auto" w:fill="FFFFFF"/>
        </w:rPr>
        <w:t>small islands</w:t>
      </w:r>
      <w:r w:rsidR="0096349C" w:rsidRPr="004C0D35">
        <w:rPr>
          <w:rFonts w:ascii="Times New Roman" w:hAnsi="Times New Roman" w:cs="Times New Roman"/>
          <w:color w:val="000000"/>
          <w:sz w:val="24"/>
          <w:szCs w:val="24"/>
          <w:shd w:val="clear" w:color="auto" w:fill="FFFFFF"/>
        </w:rPr>
        <w:t xml:space="preserve"> or seaside geographical enclaves</w:t>
      </w:r>
      <w:r w:rsidR="00AD10E3" w:rsidRPr="004C0D35">
        <w:rPr>
          <w:rFonts w:ascii="Times New Roman" w:hAnsi="Times New Roman" w:cs="Times New Roman"/>
          <w:color w:val="000000"/>
          <w:sz w:val="24"/>
          <w:szCs w:val="24"/>
          <w:shd w:val="clear" w:color="auto" w:fill="FFFFFF"/>
        </w:rPr>
        <w:t>, and in the functional sense of authoring some of their laws for use by non-residents</w:t>
      </w:r>
      <w:r w:rsidR="000D402A" w:rsidRPr="004C0D35">
        <w:rPr>
          <w:rFonts w:ascii="Times New Roman" w:hAnsi="Times New Roman" w:cs="Times New Roman"/>
          <w:color w:val="000000"/>
          <w:sz w:val="24"/>
          <w:szCs w:val="24"/>
          <w:shd w:val="clear" w:color="auto" w:fill="FFFFFF"/>
        </w:rPr>
        <w:t>.</w:t>
      </w:r>
    </w:p>
    <w:p w14:paraId="3E0DDEA1" w14:textId="7309BB16" w:rsidR="00AD10E3" w:rsidRPr="004C0D35" w:rsidRDefault="00E84CA7" w:rsidP="00280247">
      <w:pPr>
        <w:spacing w:after="0" w:line="276" w:lineRule="auto"/>
        <w:ind w:firstLine="72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That trust law</w:t>
      </w:r>
      <w:r w:rsidR="000D402A" w:rsidRPr="004C0D35">
        <w:rPr>
          <w:rFonts w:ascii="Times New Roman" w:hAnsi="Times New Roman" w:cs="Times New Roman"/>
          <w:color w:val="000000"/>
          <w:sz w:val="24"/>
          <w:szCs w:val="24"/>
          <w:shd w:val="clear" w:color="auto" w:fill="FFFFFF"/>
        </w:rPr>
        <w:t xml:space="preserve"> liberalit</w:t>
      </w:r>
      <w:r w:rsidR="00B7430A" w:rsidRPr="004C0D35">
        <w:rPr>
          <w:rFonts w:ascii="Times New Roman" w:hAnsi="Times New Roman" w:cs="Times New Roman"/>
          <w:color w:val="000000"/>
          <w:sz w:val="24"/>
          <w:szCs w:val="24"/>
          <w:shd w:val="clear" w:color="auto" w:fill="FFFFFF"/>
        </w:rPr>
        <w:t>y</w:t>
      </w:r>
      <w:r w:rsidR="000D402A" w:rsidRPr="004C0D35">
        <w:rPr>
          <w:rFonts w:ascii="Times New Roman" w:hAnsi="Times New Roman" w:cs="Times New Roman"/>
          <w:color w:val="000000"/>
          <w:sz w:val="24"/>
          <w:szCs w:val="24"/>
          <w:shd w:val="clear" w:color="auto" w:fill="FFFFFF"/>
        </w:rPr>
        <w:t xml:space="preserve"> has advanced further in the U.S. than in other jurisdictions </w:t>
      </w:r>
      <w:r w:rsidR="000B14D2" w:rsidRPr="004C0D35">
        <w:rPr>
          <w:rFonts w:ascii="Times New Roman" w:hAnsi="Times New Roman" w:cs="Times New Roman"/>
          <w:color w:val="000000"/>
          <w:sz w:val="24"/>
          <w:szCs w:val="24"/>
          <w:shd w:val="clear" w:color="auto" w:fill="FFFFFF"/>
        </w:rPr>
        <w:t>is apparent from the database</w:t>
      </w:r>
      <w:r w:rsidR="00AD10E3" w:rsidRPr="004C0D35">
        <w:rPr>
          <w:rFonts w:ascii="Times New Roman" w:hAnsi="Times New Roman" w:cs="Times New Roman"/>
          <w:color w:val="000000"/>
          <w:sz w:val="24"/>
          <w:szCs w:val="24"/>
          <w:shd w:val="clear" w:color="auto" w:fill="FFFFFF"/>
        </w:rPr>
        <w:t xml:space="preserve">. </w:t>
      </w:r>
      <w:r w:rsidR="00C76E61" w:rsidRPr="004C0D35">
        <w:rPr>
          <w:rFonts w:ascii="Times New Roman" w:hAnsi="Times New Roman" w:cs="Times New Roman"/>
          <w:color w:val="000000"/>
          <w:sz w:val="24"/>
          <w:szCs w:val="24"/>
          <w:shd w:val="clear" w:color="auto" w:fill="FFFFFF"/>
        </w:rPr>
        <w:t>F</w:t>
      </w:r>
      <w:r w:rsidR="00E975FA" w:rsidRPr="004C0D35">
        <w:rPr>
          <w:rFonts w:ascii="Times New Roman" w:hAnsi="Times New Roman" w:cs="Times New Roman"/>
          <w:color w:val="000000"/>
          <w:sz w:val="24"/>
          <w:szCs w:val="24"/>
          <w:shd w:val="clear" w:color="auto" w:fill="FFFFFF"/>
        </w:rPr>
        <w:t>or example,</w:t>
      </w:r>
      <w:r w:rsidR="00AD10E3" w:rsidRPr="004C0D35">
        <w:rPr>
          <w:rFonts w:ascii="Times New Roman" w:hAnsi="Times New Roman" w:cs="Times New Roman"/>
          <w:color w:val="000000"/>
          <w:sz w:val="24"/>
          <w:szCs w:val="24"/>
          <w:shd w:val="clear" w:color="auto" w:fill="FFFFFF"/>
        </w:rPr>
        <w:t xml:space="preserve"> while the validity of trust settlors </w:t>
      </w:r>
      <w:r w:rsidR="00280247">
        <w:rPr>
          <w:rFonts w:ascii="Times New Roman" w:hAnsi="Times New Roman" w:cs="Times New Roman"/>
          <w:color w:val="000000"/>
          <w:sz w:val="24"/>
          <w:szCs w:val="24"/>
          <w:shd w:val="clear" w:color="auto" w:fill="FFFFFF"/>
        </w:rPr>
        <w:t xml:space="preserve">reserving powers following trust creation </w:t>
      </w:r>
      <w:r w:rsidR="00AD10E3" w:rsidRPr="004C0D35">
        <w:rPr>
          <w:rFonts w:ascii="Times New Roman" w:hAnsi="Times New Roman" w:cs="Times New Roman"/>
          <w:color w:val="000000"/>
          <w:sz w:val="24"/>
          <w:szCs w:val="24"/>
          <w:shd w:val="clear" w:color="auto" w:fill="FFFFFF"/>
        </w:rPr>
        <w:t>has been statutorily confirmed in several offshore jurisdictions,</w:t>
      </w:r>
      <w:r w:rsidR="00234526">
        <w:rPr>
          <w:rStyle w:val="FootnoteReference"/>
          <w:rFonts w:ascii="Times New Roman" w:hAnsi="Times New Roman" w:cs="Times New Roman"/>
          <w:color w:val="000000"/>
          <w:sz w:val="24"/>
          <w:szCs w:val="24"/>
          <w:shd w:val="clear" w:color="auto" w:fill="FFFFFF"/>
        </w:rPr>
        <w:footnoteReference w:id="49"/>
      </w:r>
      <w:r w:rsidR="00AD10E3" w:rsidRPr="004C0D35">
        <w:rPr>
          <w:rFonts w:ascii="Times New Roman" w:hAnsi="Times New Roman" w:cs="Times New Roman"/>
          <w:color w:val="000000"/>
          <w:sz w:val="24"/>
          <w:szCs w:val="24"/>
          <w:shd w:val="clear" w:color="auto" w:fill="FFFFFF"/>
        </w:rPr>
        <w:t xml:space="preserve"> most U.S. states have turned the settlor’s power to revoke or amend the trust into a default position.</w:t>
      </w:r>
      <w:r w:rsidR="00234526">
        <w:rPr>
          <w:rStyle w:val="FootnoteReference"/>
          <w:rFonts w:ascii="Times New Roman" w:hAnsi="Times New Roman" w:cs="Times New Roman"/>
          <w:color w:val="000000"/>
          <w:sz w:val="24"/>
          <w:szCs w:val="24"/>
          <w:shd w:val="clear" w:color="auto" w:fill="FFFFFF"/>
        </w:rPr>
        <w:footnoteReference w:id="50"/>
      </w:r>
      <w:r w:rsidR="00AD10E3" w:rsidRPr="004C0D35">
        <w:rPr>
          <w:rFonts w:ascii="Times New Roman" w:hAnsi="Times New Roman" w:cs="Times New Roman"/>
          <w:color w:val="000000"/>
          <w:sz w:val="24"/>
          <w:szCs w:val="24"/>
          <w:shd w:val="clear" w:color="auto" w:fill="FFFFFF"/>
        </w:rPr>
        <w:t xml:space="preserve"> </w:t>
      </w:r>
      <w:r w:rsidRPr="004C0D35">
        <w:rPr>
          <w:rFonts w:ascii="Times New Roman" w:hAnsi="Times New Roman" w:cs="Times New Roman"/>
          <w:color w:val="000000"/>
          <w:sz w:val="24"/>
          <w:szCs w:val="24"/>
          <w:shd w:val="clear" w:color="auto" w:fill="FFFFFF"/>
        </w:rPr>
        <w:t>Another dimension of trust law</w:t>
      </w:r>
      <w:r w:rsidR="00E975FA" w:rsidRPr="004C0D35">
        <w:rPr>
          <w:rFonts w:ascii="Times New Roman" w:hAnsi="Times New Roman" w:cs="Times New Roman"/>
          <w:color w:val="000000"/>
          <w:sz w:val="24"/>
          <w:szCs w:val="24"/>
          <w:shd w:val="clear" w:color="auto" w:fill="FFFFFF"/>
        </w:rPr>
        <w:t xml:space="preserve"> liberalit</w:t>
      </w:r>
      <w:r w:rsidR="00B7430A" w:rsidRPr="004C0D35">
        <w:rPr>
          <w:rFonts w:ascii="Times New Roman" w:hAnsi="Times New Roman" w:cs="Times New Roman"/>
          <w:color w:val="000000"/>
          <w:sz w:val="24"/>
          <w:szCs w:val="24"/>
          <w:shd w:val="clear" w:color="auto" w:fill="FFFFFF"/>
        </w:rPr>
        <w:t>y</w:t>
      </w:r>
      <w:r w:rsidR="00E975FA" w:rsidRPr="004C0D35">
        <w:rPr>
          <w:rFonts w:ascii="Times New Roman" w:hAnsi="Times New Roman" w:cs="Times New Roman"/>
          <w:color w:val="000000"/>
          <w:sz w:val="24"/>
          <w:szCs w:val="24"/>
          <w:shd w:val="clear" w:color="auto" w:fill="FFFFFF"/>
        </w:rPr>
        <w:t xml:space="preserve"> which is particularly advanced in the U.S. is trustees’ power to delegate: </w:t>
      </w:r>
      <w:r w:rsidR="00055BD7" w:rsidRPr="004C0D35">
        <w:rPr>
          <w:rFonts w:ascii="Times New Roman" w:hAnsi="Times New Roman" w:cs="Times New Roman"/>
          <w:color w:val="000000"/>
          <w:sz w:val="24"/>
          <w:szCs w:val="24"/>
          <w:shd w:val="clear" w:color="auto" w:fill="FFFFFF"/>
        </w:rPr>
        <w:t>while outside the U.S., many jurisdictions only allow delegation of trustees’ investment or administrative functions,</w:t>
      </w:r>
      <w:r w:rsidR="00C76E61" w:rsidRPr="004C0D35">
        <w:rPr>
          <w:rFonts w:ascii="Times New Roman" w:hAnsi="Times New Roman" w:cs="Times New Roman"/>
          <w:color w:val="000000"/>
          <w:sz w:val="24"/>
          <w:szCs w:val="24"/>
          <w:shd w:val="clear" w:color="auto" w:fill="FFFFFF"/>
        </w:rPr>
        <w:t xml:space="preserve"> and do not allow delegation of their dispositive functions,</w:t>
      </w:r>
      <w:r w:rsidR="00055BD7" w:rsidRPr="004C0D35">
        <w:rPr>
          <w:rFonts w:ascii="Times New Roman" w:hAnsi="Times New Roman" w:cs="Times New Roman"/>
          <w:color w:val="000000"/>
          <w:sz w:val="24"/>
          <w:szCs w:val="24"/>
          <w:shd w:val="clear" w:color="auto" w:fill="FFFFFF"/>
        </w:rPr>
        <w:t xml:space="preserve"> </w:t>
      </w:r>
      <w:r w:rsidR="00E975FA" w:rsidRPr="004C0D35">
        <w:rPr>
          <w:rFonts w:ascii="Times New Roman" w:hAnsi="Times New Roman" w:cs="Times New Roman"/>
          <w:color w:val="000000"/>
          <w:sz w:val="24"/>
          <w:szCs w:val="24"/>
          <w:shd w:val="clear" w:color="auto" w:fill="FFFFFF"/>
        </w:rPr>
        <w:t>many U.S. states provide that trustees “may delegate [any] duties and powers that a prudent trustee of comparable skills could properly del</w:t>
      </w:r>
      <w:r w:rsidR="00742261">
        <w:rPr>
          <w:rFonts w:ascii="Times New Roman" w:hAnsi="Times New Roman" w:cs="Times New Roman"/>
          <w:color w:val="000000"/>
          <w:sz w:val="24"/>
          <w:szCs w:val="24"/>
          <w:shd w:val="clear" w:color="auto" w:fill="FFFFFF"/>
        </w:rPr>
        <w:t>egate under the circumstances”</w:t>
      </w:r>
      <w:r w:rsidR="00E975FA" w:rsidRPr="004C0D35">
        <w:rPr>
          <w:rFonts w:ascii="Times New Roman" w:hAnsi="Times New Roman" w:cs="Times New Roman"/>
          <w:color w:val="000000"/>
          <w:sz w:val="24"/>
          <w:szCs w:val="24"/>
          <w:shd w:val="clear" w:color="auto" w:fill="FFFFFF"/>
        </w:rPr>
        <w:t>.</w:t>
      </w:r>
      <w:r w:rsidR="00742261">
        <w:rPr>
          <w:rStyle w:val="FootnoteReference"/>
          <w:rFonts w:ascii="Times New Roman" w:hAnsi="Times New Roman" w:cs="Times New Roman"/>
          <w:color w:val="000000"/>
          <w:sz w:val="24"/>
          <w:szCs w:val="24"/>
          <w:shd w:val="clear" w:color="auto" w:fill="FFFFFF"/>
        </w:rPr>
        <w:footnoteReference w:id="51"/>
      </w:r>
      <w:r w:rsidR="00E975FA" w:rsidRPr="004C0D35">
        <w:rPr>
          <w:rFonts w:ascii="Times New Roman" w:hAnsi="Times New Roman" w:cs="Times New Roman"/>
          <w:color w:val="000000"/>
          <w:sz w:val="24"/>
          <w:szCs w:val="24"/>
          <w:shd w:val="clear" w:color="auto" w:fill="FFFFFF"/>
        </w:rPr>
        <w:t xml:space="preserve"> </w:t>
      </w:r>
      <w:r w:rsidR="00055BD7" w:rsidRPr="004C0D35">
        <w:rPr>
          <w:rFonts w:ascii="Times New Roman" w:hAnsi="Times New Roman" w:cs="Times New Roman"/>
          <w:color w:val="000000"/>
          <w:sz w:val="24"/>
          <w:szCs w:val="24"/>
          <w:shd w:val="clear" w:color="auto" w:fill="FFFFFF"/>
        </w:rPr>
        <w:t xml:space="preserve">A third dimension of trust </w:t>
      </w:r>
      <w:r w:rsidRPr="004C0D35">
        <w:rPr>
          <w:rFonts w:ascii="Times New Roman" w:hAnsi="Times New Roman" w:cs="Times New Roman"/>
          <w:color w:val="000000"/>
          <w:sz w:val="24"/>
          <w:szCs w:val="24"/>
          <w:shd w:val="clear" w:color="auto" w:fill="FFFFFF"/>
        </w:rPr>
        <w:t xml:space="preserve">law </w:t>
      </w:r>
      <w:r w:rsidR="00055BD7" w:rsidRPr="004C0D35">
        <w:rPr>
          <w:rFonts w:ascii="Times New Roman" w:hAnsi="Times New Roman" w:cs="Times New Roman"/>
          <w:color w:val="000000"/>
          <w:sz w:val="24"/>
          <w:szCs w:val="24"/>
          <w:shd w:val="clear" w:color="auto" w:fill="FFFFFF"/>
        </w:rPr>
        <w:t>liberalit</w:t>
      </w:r>
      <w:r w:rsidR="00B7430A" w:rsidRPr="004C0D35">
        <w:rPr>
          <w:rFonts w:ascii="Times New Roman" w:hAnsi="Times New Roman" w:cs="Times New Roman"/>
          <w:color w:val="000000"/>
          <w:sz w:val="24"/>
          <w:szCs w:val="24"/>
          <w:shd w:val="clear" w:color="auto" w:fill="FFFFFF"/>
        </w:rPr>
        <w:t>y</w:t>
      </w:r>
      <w:r w:rsidR="00055BD7" w:rsidRPr="004C0D35">
        <w:rPr>
          <w:rFonts w:ascii="Times New Roman" w:hAnsi="Times New Roman" w:cs="Times New Roman"/>
          <w:color w:val="000000"/>
          <w:sz w:val="24"/>
          <w:szCs w:val="24"/>
          <w:shd w:val="clear" w:color="auto" w:fill="FFFFFF"/>
        </w:rPr>
        <w:t xml:space="preserve"> which is more advanced in the U.S. than elsewhere is trustees’ entitlement to remuneration. While jurisdictions outside the U.S. often merely provide that trustees have a right to have their remuneration set by </w:t>
      </w:r>
      <w:r w:rsidR="00742261">
        <w:rPr>
          <w:rFonts w:ascii="Times New Roman" w:hAnsi="Times New Roman" w:cs="Times New Roman"/>
          <w:color w:val="000000"/>
          <w:sz w:val="24"/>
          <w:szCs w:val="24"/>
          <w:shd w:val="clear" w:color="auto" w:fill="FFFFFF"/>
        </w:rPr>
        <w:t>the court</w:t>
      </w:r>
      <w:r w:rsidR="006105AC" w:rsidRPr="004C0D35">
        <w:rPr>
          <w:rFonts w:ascii="Times New Roman" w:hAnsi="Times New Roman" w:cs="Times New Roman"/>
          <w:color w:val="000000"/>
          <w:sz w:val="24"/>
          <w:szCs w:val="24"/>
          <w:shd w:val="clear" w:color="auto" w:fill="FFFFFF"/>
        </w:rPr>
        <w:t>,</w:t>
      </w:r>
      <w:r w:rsidR="00742261">
        <w:rPr>
          <w:rStyle w:val="FootnoteReference"/>
          <w:rFonts w:ascii="Times New Roman" w:hAnsi="Times New Roman" w:cs="Times New Roman"/>
          <w:color w:val="000000"/>
          <w:sz w:val="24"/>
          <w:szCs w:val="24"/>
          <w:shd w:val="clear" w:color="auto" w:fill="FFFFFF"/>
        </w:rPr>
        <w:footnoteReference w:id="52"/>
      </w:r>
      <w:r w:rsidR="00055BD7" w:rsidRPr="004C0D35">
        <w:rPr>
          <w:rFonts w:ascii="Times New Roman" w:hAnsi="Times New Roman" w:cs="Times New Roman"/>
          <w:color w:val="000000"/>
          <w:sz w:val="24"/>
          <w:szCs w:val="24"/>
          <w:shd w:val="clear" w:color="auto" w:fill="FFFFFF"/>
        </w:rPr>
        <w:t xml:space="preserve"> </w:t>
      </w:r>
      <w:r w:rsidR="006105AC" w:rsidRPr="004C0D35">
        <w:rPr>
          <w:rFonts w:ascii="Times New Roman" w:hAnsi="Times New Roman" w:cs="Times New Roman"/>
          <w:color w:val="000000"/>
          <w:sz w:val="24"/>
          <w:szCs w:val="24"/>
          <w:shd w:val="clear" w:color="auto" w:fill="FFFFFF"/>
        </w:rPr>
        <w:t>m</w:t>
      </w:r>
      <w:r w:rsidR="00055BD7" w:rsidRPr="004C0D35">
        <w:rPr>
          <w:rFonts w:ascii="Times New Roman" w:hAnsi="Times New Roman" w:cs="Times New Roman"/>
          <w:color w:val="000000"/>
          <w:sz w:val="24"/>
          <w:szCs w:val="24"/>
          <w:shd w:val="clear" w:color="auto" w:fill="FFFFFF"/>
        </w:rPr>
        <w:t>any U.S. states enacted statutory provisions saying that “</w:t>
      </w:r>
      <w:r w:rsidR="006105AC" w:rsidRPr="004C0D35">
        <w:rPr>
          <w:rFonts w:ascii="Times New Roman" w:hAnsi="Times New Roman" w:cs="Times New Roman"/>
          <w:color w:val="000000"/>
          <w:sz w:val="24"/>
          <w:szCs w:val="24"/>
          <w:shd w:val="clear" w:color="auto" w:fill="FFFFFF"/>
        </w:rPr>
        <w:t>i</w:t>
      </w:r>
      <w:r w:rsidR="00055BD7" w:rsidRPr="004C0D35">
        <w:rPr>
          <w:rFonts w:ascii="Times New Roman" w:hAnsi="Times New Roman" w:cs="Times New Roman"/>
          <w:color w:val="000000"/>
          <w:sz w:val="24"/>
          <w:szCs w:val="24"/>
          <w:shd w:val="clear" w:color="auto" w:fill="FFFFFF"/>
        </w:rPr>
        <w:t>f the terms of a trust do not specify the trustee's compensation, then a trustee is entitled to compensation that is reasonable under the circumstances”.</w:t>
      </w:r>
      <w:r w:rsidR="00742261">
        <w:rPr>
          <w:rStyle w:val="FootnoteReference"/>
          <w:rFonts w:ascii="Times New Roman" w:hAnsi="Times New Roman" w:cs="Times New Roman"/>
          <w:color w:val="000000"/>
          <w:sz w:val="24"/>
          <w:szCs w:val="24"/>
          <w:shd w:val="clear" w:color="auto" w:fill="FFFFFF"/>
        </w:rPr>
        <w:footnoteReference w:id="53"/>
      </w:r>
      <w:r w:rsidR="00055BD7" w:rsidRPr="004C0D35">
        <w:rPr>
          <w:rFonts w:ascii="Times New Roman" w:hAnsi="Times New Roman" w:cs="Times New Roman"/>
          <w:color w:val="000000"/>
          <w:sz w:val="24"/>
          <w:szCs w:val="24"/>
          <w:shd w:val="clear" w:color="auto" w:fill="FFFFFF"/>
        </w:rPr>
        <w:t xml:space="preserve"> </w:t>
      </w:r>
    </w:p>
    <w:p w14:paraId="3522AB58" w14:textId="61FD9EB4" w:rsidR="00701AD8" w:rsidRPr="004C0D35" w:rsidRDefault="006F045A" w:rsidP="00B76536">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t>Some of the highly liberal nature of the trust law of many U.S. states is a result of the success</w:t>
      </w:r>
      <w:r w:rsidR="002A57C7">
        <w:rPr>
          <w:rFonts w:ascii="Times New Roman" w:hAnsi="Times New Roman" w:cs="Times New Roman"/>
          <w:color w:val="000000"/>
          <w:sz w:val="24"/>
          <w:szCs w:val="24"/>
          <w:shd w:val="clear" w:color="auto" w:fill="FFFFFF"/>
        </w:rPr>
        <w:t xml:space="preserve"> of</w:t>
      </w:r>
      <w:r w:rsidRPr="004C0D35">
        <w:rPr>
          <w:rFonts w:ascii="Times New Roman" w:hAnsi="Times New Roman" w:cs="Times New Roman"/>
          <w:color w:val="000000"/>
          <w:sz w:val="24"/>
          <w:szCs w:val="24"/>
          <w:shd w:val="clear" w:color="auto" w:fill="FFFFFF"/>
        </w:rPr>
        <w:t xml:space="preserve"> the Uniform Trust Code, t</w:t>
      </w:r>
      <w:r w:rsidR="00E84CA7" w:rsidRPr="004C0D35">
        <w:rPr>
          <w:rFonts w:ascii="Times New Roman" w:hAnsi="Times New Roman" w:cs="Times New Roman"/>
          <w:color w:val="000000"/>
          <w:sz w:val="24"/>
          <w:szCs w:val="24"/>
          <w:shd w:val="clear" w:color="auto" w:fill="FFFFFF"/>
        </w:rPr>
        <w:t>he Uniform Law Commission’s</w:t>
      </w:r>
      <w:r w:rsidRPr="004C0D35">
        <w:rPr>
          <w:rFonts w:ascii="Times New Roman" w:hAnsi="Times New Roman" w:cs="Times New Roman"/>
          <w:color w:val="000000"/>
          <w:sz w:val="24"/>
          <w:szCs w:val="24"/>
          <w:shd w:val="clear" w:color="auto" w:fill="FFFFFF"/>
        </w:rPr>
        <w:t xml:space="preserve"> recent attempt at unifying U.S. tru</w:t>
      </w:r>
      <w:r w:rsidR="00E84CA7" w:rsidRPr="004C0D35">
        <w:rPr>
          <w:rFonts w:ascii="Times New Roman" w:hAnsi="Times New Roman" w:cs="Times New Roman"/>
          <w:color w:val="000000"/>
          <w:sz w:val="24"/>
          <w:szCs w:val="24"/>
          <w:shd w:val="clear" w:color="auto" w:fill="FFFFFF"/>
        </w:rPr>
        <w:t>st law as a whole.</w:t>
      </w:r>
      <w:r w:rsidR="006150BE">
        <w:rPr>
          <w:rStyle w:val="FootnoteReference"/>
          <w:rFonts w:ascii="Times New Roman" w:hAnsi="Times New Roman" w:cs="Times New Roman"/>
          <w:color w:val="000000"/>
          <w:sz w:val="24"/>
          <w:szCs w:val="24"/>
          <w:shd w:val="clear" w:color="auto" w:fill="FFFFFF"/>
        </w:rPr>
        <w:footnoteReference w:id="54"/>
      </w:r>
      <w:r w:rsidR="00E84CA7" w:rsidRPr="004C0D35">
        <w:rPr>
          <w:rFonts w:ascii="Times New Roman" w:hAnsi="Times New Roman" w:cs="Times New Roman"/>
          <w:color w:val="000000"/>
          <w:sz w:val="24"/>
          <w:szCs w:val="24"/>
          <w:shd w:val="clear" w:color="auto" w:fill="FFFFFF"/>
        </w:rPr>
        <w:t xml:space="preserve"> Enacted by 3</w:t>
      </w:r>
      <w:r w:rsidR="00EF5332" w:rsidRPr="004C0D35">
        <w:rPr>
          <w:rFonts w:ascii="Times New Roman" w:hAnsi="Times New Roman" w:cs="Times New Roman"/>
          <w:color w:val="000000"/>
          <w:sz w:val="24"/>
          <w:szCs w:val="24"/>
          <w:shd w:val="clear" w:color="auto" w:fill="FFFFFF"/>
        </w:rPr>
        <w:t>5</w:t>
      </w:r>
      <w:r w:rsidRPr="004C0D35">
        <w:rPr>
          <w:rFonts w:ascii="Times New Roman" w:hAnsi="Times New Roman" w:cs="Times New Roman"/>
          <w:color w:val="000000"/>
          <w:sz w:val="24"/>
          <w:szCs w:val="24"/>
          <w:shd w:val="clear" w:color="auto" w:fill="FFFFFF"/>
        </w:rPr>
        <w:t xml:space="preserve"> stat</w:t>
      </w:r>
      <w:r w:rsidR="005E7C7C" w:rsidRPr="004C0D35">
        <w:rPr>
          <w:rFonts w:ascii="Times New Roman" w:hAnsi="Times New Roman" w:cs="Times New Roman"/>
          <w:color w:val="000000"/>
          <w:sz w:val="24"/>
          <w:szCs w:val="24"/>
          <w:shd w:val="clear" w:color="auto" w:fill="FFFFFF"/>
        </w:rPr>
        <w:t>es and the District of Columbia</w:t>
      </w:r>
      <w:r w:rsidR="00FB36A0" w:rsidRPr="004C0D35">
        <w:rPr>
          <w:rFonts w:ascii="Times New Roman" w:hAnsi="Times New Roman" w:cs="Times New Roman"/>
          <w:color w:val="000000"/>
          <w:sz w:val="24"/>
          <w:szCs w:val="24"/>
          <w:shd w:val="clear" w:color="auto" w:fill="FFFFFF"/>
        </w:rPr>
        <w:t>,</w:t>
      </w:r>
      <w:r w:rsidR="00742261">
        <w:rPr>
          <w:rStyle w:val="FootnoteReference"/>
          <w:rFonts w:ascii="Times New Roman" w:hAnsi="Times New Roman" w:cs="Times New Roman"/>
          <w:color w:val="000000"/>
          <w:sz w:val="24"/>
          <w:szCs w:val="24"/>
          <w:shd w:val="clear" w:color="auto" w:fill="FFFFFF"/>
        </w:rPr>
        <w:footnoteReference w:id="55"/>
      </w:r>
      <w:r w:rsidRPr="004C0D35">
        <w:rPr>
          <w:rFonts w:ascii="Times New Roman" w:hAnsi="Times New Roman" w:cs="Times New Roman"/>
          <w:color w:val="000000"/>
          <w:sz w:val="24"/>
          <w:szCs w:val="24"/>
          <w:shd w:val="clear" w:color="auto" w:fill="FFFFFF"/>
        </w:rPr>
        <w:t xml:space="preserve"> the UTC i</w:t>
      </w:r>
      <w:r w:rsidR="00AF6126" w:rsidRPr="004C0D35">
        <w:rPr>
          <w:rFonts w:ascii="Times New Roman" w:hAnsi="Times New Roman" w:cs="Times New Roman"/>
          <w:color w:val="000000"/>
          <w:sz w:val="24"/>
          <w:szCs w:val="24"/>
          <w:shd w:val="clear" w:color="auto" w:fill="FFFFFF"/>
        </w:rPr>
        <w:t>ncludes many highly liberal positions, including all three liberal positions mentioned in the last paragraph.</w:t>
      </w:r>
      <w:r w:rsidR="00292285">
        <w:rPr>
          <w:rStyle w:val="FootnoteReference"/>
          <w:rFonts w:ascii="Times New Roman" w:hAnsi="Times New Roman" w:cs="Times New Roman"/>
          <w:color w:val="000000"/>
          <w:sz w:val="24"/>
          <w:szCs w:val="24"/>
          <w:shd w:val="clear" w:color="auto" w:fill="FFFFFF"/>
        </w:rPr>
        <w:footnoteReference w:id="56"/>
      </w:r>
      <w:r w:rsidR="00AF6126" w:rsidRPr="004C0D35">
        <w:rPr>
          <w:rFonts w:ascii="Times New Roman" w:hAnsi="Times New Roman" w:cs="Times New Roman"/>
          <w:color w:val="000000"/>
          <w:sz w:val="24"/>
          <w:szCs w:val="24"/>
          <w:shd w:val="clear" w:color="auto" w:fill="FFFFFF"/>
        </w:rPr>
        <w:t xml:space="preserve"> The widespread adoption of the UTC thus resulted in a widespread adoption of highly liberal positions across the U.S. On top of the </w:t>
      </w:r>
      <w:r w:rsidR="003A49EF" w:rsidRPr="004C0D35">
        <w:rPr>
          <w:rFonts w:ascii="Times New Roman" w:hAnsi="Times New Roman" w:cs="Times New Roman"/>
          <w:color w:val="000000"/>
          <w:sz w:val="24"/>
          <w:szCs w:val="24"/>
          <w:shd w:val="clear" w:color="auto" w:fill="FFFFFF"/>
        </w:rPr>
        <w:t xml:space="preserve">liberalization created as a result of </w:t>
      </w:r>
      <w:r w:rsidR="00C76E61" w:rsidRPr="004C0D35">
        <w:rPr>
          <w:rFonts w:ascii="Times New Roman" w:hAnsi="Times New Roman" w:cs="Times New Roman"/>
          <w:color w:val="000000"/>
          <w:sz w:val="24"/>
          <w:szCs w:val="24"/>
          <w:shd w:val="clear" w:color="auto" w:fill="FFFFFF"/>
        </w:rPr>
        <w:t>adopting the UTC</w:t>
      </w:r>
      <w:r w:rsidR="003A49EF" w:rsidRPr="004C0D35">
        <w:rPr>
          <w:rFonts w:ascii="Times New Roman" w:hAnsi="Times New Roman" w:cs="Times New Roman"/>
          <w:color w:val="000000"/>
          <w:sz w:val="24"/>
          <w:szCs w:val="24"/>
          <w:shd w:val="clear" w:color="auto" w:fill="FFFFFF"/>
        </w:rPr>
        <w:t xml:space="preserve">, some U.S. states have </w:t>
      </w:r>
      <w:r w:rsidR="00BA4B56" w:rsidRPr="004C0D35">
        <w:rPr>
          <w:rFonts w:ascii="Times New Roman" w:hAnsi="Times New Roman" w:cs="Times New Roman"/>
          <w:color w:val="000000"/>
          <w:sz w:val="24"/>
          <w:szCs w:val="24"/>
          <w:shd w:val="clear" w:color="auto" w:fill="FFFFFF"/>
        </w:rPr>
        <w:t>enacted</w:t>
      </w:r>
      <w:r w:rsidR="003A49EF" w:rsidRPr="004C0D35">
        <w:rPr>
          <w:rFonts w:ascii="Times New Roman" w:hAnsi="Times New Roman" w:cs="Times New Roman"/>
          <w:color w:val="000000"/>
          <w:sz w:val="24"/>
          <w:szCs w:val="24"/>
          <w:shd w:val="clear" w:color="auto" w:fill="FFFFFF"/>
        </w:rPr>
        <w:t xml:space="preserve"> </w:t>
      </w:r>
      <w:r w:rsidR="00C76E61" w:rsidRPr="004C0D35">
        <w:rPr>
          <w:rFonts w:ascii="Times New Roman" w:hAnsi="Times New Roman" w:cs="Times New Roman"/>
          <w:color w:val="000000"/>
          <w:sz w:val="24"/>
          <w:szCs w:val="24"/>
          <w:shd w:val="clear" w:color="auto" w:fill="FFFFFF"/>
        </w:rPr>
        <w:t xml:space="preserve">additional </w:t>
      </w:r>
      <w:r w:rsidR="003A49EF" w:rsidRPr="004C0D35">
        <w:rPr>
          <w:rFonts w:ascii="Times New Roman" w:hAnsi="Times New Roman" w:cs="Times New Roman"/>
          <w:color w:val="000000"/>
          <w:sz w:val="24"/>
          <w:szCs w:val="24"/>
          <w:shd w:val="clear" w:color="auto" w:fill="FFFFFF"/>
        </w:rPr>
        <w:t xml:space="preserve">liberal rules in order to </w:t>
      </w:r>
      <w:r w:rsidR="00FB36A0" w:rsidRPr="004C0D35">
        <w:rPr>
          <w:rFonts w:ascii="Times New Roman" w:hAnsi="Times New Roman" w:cs="Times New Roman"/>
          <w:color w:val="000000"/>
          <w:sz w:val="24"/>
          <w:szCs w:val="24"/>
          <w:shd w:val="clear" w:color="auto" w:fill="FFFFFF"/>
        </w:rPr>
        <w:t>attract</w:t>
      </w:r>
      <w:r w:rsidR="003A49EF" w:rsidRPr="004C0D35">
        <w:rPr>
          <w:rFonts w:ascii="Times New Roman" w:hAnsi="Times New Roman" w:cs="Times New Roman"/>
          <w:color w:val="000000"/>
          <w:sz w:val="24"/>
          <w:szCs w:val="24"/>
          <w:shd w:val="clear" w:color="auto" w:fill="FFFFFF"/>
        </w:rPr>
        <w:t xml:space="preserve"> non-resident </w:t>
      </w:r>
      <w:r w:rsidR="00BF5536" w:rsidRPr="004C0D35">
        <w:rPr>
          <w:rFonts w:ascii="Times New Roman" w:hAnsi="Times New Roman" w:cs="Times New Roman"/>
          <w:color w:val="000000"/>
          <w:sz w:val="24"/>
          <w:szCs w:val="24"/>
          <w:shd w:val="clear" w:color="auto" w:fill="FFFFFF"/>
        </w:rPr>
        <w:t>clients</w:t>
      </w:r>
      <w:r w:rsidR="003A49EF" w:rsidRPr="004C0D35">
        <w:rPr>
          <w:rFonts w:ascii="Times New Roman" w:hAnsi="Times New Roman" w:cs="Times New Roman"/>
          <w:color w:val="000000"/>
          <w:sz w:val="24"/>
          <w:szCs w:val="24"/>
          <w:shd w:val="clear" w:color="auto" w:fill="FFFFFF"/>
        </w:rPr>
        <w:t xml:space="preserve"> to </w:t>
      </w:r>
      <w:r w:rsidR="00F62331" w:rsidRPr="004C0D35">
        <w:rPr>
          <w:rFonts w:ascii="Times New Roman" w:hAnsi="Times New Roman" w:cs="Times New Roman"/>
          <w:color w:val="000000"/>
          <w:sz w:val="24"/>
          <w:szCs w:val="24"/>
          <w:shd w:val="clear" w:color="auto" w:fill="FFFFFF"/>
        </w:rPr>
        <w:t>resident</w:t>
      </w:r>
      <w:r w:rsidR="00FB36A0" w:rsidRPr="004C0D35">
        <w:rPr>
          <w:rFonts w:ascii="Times New Roman" w:hAnsi="Times New Roman" w:cs="Times New Roman"/>
          <w:color w:val="000000"/>
          <w:sz w:val="24"/>
          <w:szCs w:val="24"/>
          <w:shd w:val="clear" w:color="auto" w:fill="FFFFFF"/>
        </w:rPr>
        <w:t xml:space="preserve"> legal and financial service providers</w:t>
      </w:r>
      <w:r w:rsidR="00F36757" w:rsidRPr="004C0D35">
        <w:rPr>
          <w:rFonts w:ascii="Times New Roman" w:hAnsi="Times New Roman" w:cs="Times New Roman"/>
          <w:color w:val="000000"/>
          <w:sz w:val="24"/>
          <w:szCs w:val="24"/>
          <w:shd w:val="clear" w:color="auto" w:fill="FFFFFF"/>
        </w:rPr>
        <w:t>,</w:t>
      </w:r>
      <w:r w:rsidR="00FB36A0" w:rsidRPr="004C0D35">
        <w:rPr>
          <w:rFonts w:ascii="Times New Roman" w:hAnsi="Times New Roman" w:cs="Times New Roman"/>
          <w:color w:val="000000"/>
          <w:sz w:val="24"/>
          <w:szCs w:val="24"/>
          <w:shd w:val="clear" w:color="auto" w:fill="FFFFFF"/>
        </w:rPr>
        <w:t xml:space="preserve"> </w:t>
      </w:r>
      <w:r w:rsidR="00F36757" w:rsidRPr="004C0D35">
        <w:rPr>
          <w:rFonts w:ascii="Times New Roman" w:hAnsi="Times New Roman" w:cs="Times New Roman"/>
          <w:color w:val="000000"/>
          <w:sz w:val="24"/>
          <w:szCs w:val="24"/>
          <w:shd w:val="clear" w:color="auto" w:fill="FFFFFF"/>
        </w:rPr>
        <w:t>rendering themselves offshore jurisdictions in the functional sense.</w:t>
      </w:r>
      <w:r w:rsidR="00701AD8">
        <w:rPr>
          <w:rStyle w:val="FootnoteReference"/>
          <w:rFonts w:ascii="Times New Roman" w:hAnsi="Times New Roman" w:cs="Times New Roman"/>
          <w:color w:val="000000"/>
          <w:sz w:val="24"/>
          <w:szCs w:val="24"/>
          <w:shd w:val="clear" w:color="auto" w:fill="FFFFFF"/>
        </w:rPr>
        <w:footnoteReference w:id="57"/>
      </w:r>
      <w:r w:rsidR="00F36757" w:rsidRPr="004C0D35">
        <w:rPr>
          <w:rFonts w:ascii="Times New Roman" w:hAnsi="Times New Roman" w:cs="Times New Roman"/>
          <w:color w:val="000000"/>
          <w:sz w:val="24"/>
          <w:szCs w:val="24"/>
          <w:shd w:val="clear" w:color="auto" w:fill="FFFFFF"/>
        </w:rPr>
        <w:t xml:space="preserve"> </w:t>
      </w:r>
      <w:r w:rsidR="00BF5536" w:rsidRPr="004C0D35">
        <w:rPr>
          <w:rFonts w:ascii="Times New Roman" w:hAnsi="Times New Roman" w:cs="Times New Roman"/>
          <w:color w:val="000000"/>
          <w:sz w:val="24"/>
          <w:szCs w:val="24"/>
          <w:shd w:val="clear" w:color="auto" w:fill="FFFFFF"/>
        </w:rPr>
        <w:t>Many practitioners and policy makers expect that enacting rules clients are likely to find attractive will attract non-resident clients to resident professionals</w:t>
      </w:r>
      <w:r w:rsidR="00CE5204">
        <w:rPr>
          <w:rFonts w:ascii="Times New Roman" w:hAnsi="Times New Roman" w:cs="Times New Roman"/>
          <w:color w:val="000000"/>
          <w:sz w:val="24"/>
          <w:szCs w:val="24"/>
          <w:shd w:val="clear" w:color="auto" w:fill="FFFFFF"/>
        </w:rPr>
        <w:t xml:space="preserve">. This expectation is rooted in </w:t>
      </w:r>
      <w:r w:rsidR="00B76536">
        <w:rPr>
          <w:rFonts w:ascii="Times New Roman" w:hAnsi="Times New Roman" w:cs="Times New Roman"/>
          <w:color w:val="000000"/>
          <w:sz w:val="24"/>
          <w:szCs w:val="24"/>
          <w:shd w:val="clear" w:color="auto" w:fill="FFFFFF"/>
        </w:rPr>
        <w:t>the view</w:t>
      </w:r>
      <w:r w:rsidR="00CE5204">
        <w:rPr>
          <w:rFonts w:ascii="Times New Roman" w:hAnsi="Times New Roman" w:cs="Times New Roman"/>
          <w:color w:val="000000"/>
          <w:sz w:val="24"/>
          <w:szCs w:val="24"/>
          <w:shd w:val="clear" w:color="auto" w:fill="FFFFFF"/>
        </w:rPr>
        <w:t xml:space="preserve"> that</w:t>
      </w:r>
      <w:r w:rsidR="00BF5536" w:rsidRPr="004C0D35">
        <w:rPr>
          <w:rFonts w:ascii="Times New Roman" w:hAnsi="Times New Roman" w:cs="Times New Roman"/>
          <w:color w:val="000000"/>
          <w:sz w:val="24"/>
          <w:szCs w:val="24"/>
          <w:shd w:val="clear" w:color="auto" w:fill="FFFFFF"/>
        </w:rPr>
        <w:t xml:space="preserve"> l</w:t>
      </w:r>
      <w:r w:rsidR="00F36757" w:rsidRPr="004C0D35">
        <w:rPr>
          <w:rFonts w:ascii="Times New Roman" w:hAnsi="Times New Roman" w:cs="Times New Roman"/>
          <w:color w:val="000000"/>
          <w:sz w:val="24"/>
          <w:szCs w:val="24"/>
          <w:shd w:val="clear" w:color="auto" w:fill="FFFFFF"/>
        </w:rPr>
        <w:t xml:space="preserve">egal and financial service providers resident in each jurisdiction </w:t>
      </w:r>
      <w:r w:rsidR="00FB36A0" w:rsidRPr="004C0D35">
        <w:rPr>
          <w:rFonts w:ascii="Times New Roman" w:hAnsi="Times New Roman" w:cs="Times New Roman"/>
          <w:color w:val="000000"/>
          <w:sz w:val="24"/>
          <w:szCs w:val="24"/>
          <w:shd w:val="clear" w:color="auto" w:fill="FFFFFF"/>
        </w:rPr>
        <w:t xml:space="preserve">are better </w:t>
      </w:r>
      <w:r w:rsidR="00F62331" w:rsidRPr="004C0D35">
        <w:rPr>
          <w:rFonts w:ascii="Times New Roman" w:hAnsi="Times New Roman" w:cs="Times New Roman"/>
          <w:color w:val="000000"/>
          <w:sz w:val="24"/>
          <w:szCs w:val="24"/>
          <w:shd w:val="clear" w:color="auto" w:fill="FFFFFF"/>
        </w:rPr>
        <w:t xml:space="preserve">informed about </w:t>
      </w:r>
      <w:r w:rsidR="00F36757" w:rsidRPr="004C0D35">
        <w:rPr>
          <w:rFonts w:ascii="Times New Roman" w:hAnsi="Times New Roman" w:cs="Times New Roman"/>
          <w:color w:val="000000"/>
          <w:sz w:val="24"/>
          <w:szCs w:val="24"/>
          <w:shd w:val="clear" w:color="auto" w:fill="FFFFFF"/>
        </w:rPr>
        <w:t>its</w:t>
      </w:r>
      <w:r w:rsidR="00F62331" w:rsidRPr="004C0D35">
        <w:rPr>
          <w:rFonts w:ascii="Times New Roman" w:hAnsi="Times New Roman" w:cs="Times New Roman"/>
          <w:color w:val="000000"/>
          <w:sz w:val="24"/>
          <w:szCs w:val="24"/>
          <w:shd w:val="clear" w:color="auto" w:fill="FFFFFF"/>
        </w:rPr>
        <w:t xml:space="preserve"> law than their competitors </w:t>
      </w:r>
      <w:r w:rsidR="00BF5536" w:rsidRPr="004C0D35">
        <w:rPr>
          <w:rFonts w:ascii="Times New Roman" w:hAnsi="Times New Roman" w:cs="Times New Roman"/>
          <w:color w:val="000000"/>
          <w:sz w:val="24"/>
          <w:szCs w:val="24"/>
          <w:shd w:val="clear" w:color="auto" w:fill="FFFFFF"/>
        </w:rPr>
        <w:t xml:space="preserve">who reside elsewhere, as well as </w:t>
      </w:r>
      <w:r w:rsidR="00CE5204">
        <w:rPr>
          <w:rFonts w:ascii="Times New Roman" w:hAnsi="Times New Roman" w:cs="Times New Roman"/>
          <w:color w:val="000000"/>
          <w:sz w:val="24"/>
          <w:szCs w:val="24"/>
          <w:shd w:val="clear" w:color="auto" w:fill="FFFFFF"/>
        </w:rPr>
        <w:t>in the view that</w:t>
      </w:r>
      <w:r w:rsidR="00CE5204" w:rsidRPr="004C0D35">
        <w:rPr>
          <w:rFonts w:ascii="Times New Roman" w:hAnsi="Times New Roman" w:cs="Times New Roman"/>
          <w:color w:val="000000"/>
          <w:sz w:val="24"/>
          <w:szCs w:val="24"/>
          <w:shd w:val="clear" w:color="auto" w:fill="FFFFFF"/>
        </w:rPr>
        <w:t xml:space="preserve"> </w:t>
      </w:r>
      <w:r w:rsidR="00F62331" w:rsidRPr="004C0D35">
        <w:rPr>
          <w:rFonts w:ascii="Times New Roman" w:hAnsi="Times New Roman" w:cs="Times New Roman"/>
          <w:color w:val="000000"/>
          <w:sz w:val="24"/>
          <w:szCs w:val="24"/>
          <w:shd w:val="clear" w:color="auto" w:fill="FFFFFF"/>
        </w:rPr>
        <w:t xml:space="preserve">using </w:t>
      </w:r>
      <w:r w:rsidR="00BF5536" w:rsidRPr="004C0D35">
        <w:rPr>
          <w:rFonts w:ascii="Times New Roman" w:hAnsi="Times New Roman" w:cs="Times New Roman"/>
          <w:color w:val="000000"/>
          <w:sz w:val="24"/>
          <w:szCs w:val="24"/>
          <w:shd w:val="clear" w:color="auto" w:fill="FFFFFF"/>
        </w:rPr>
        <w:t>local professionals</w:t>
      </w:r>
      <w:r w:rsidR="00F62331" w:rsidRPr="004C0D35">
        <w:rPr>
          <w:rFonts w:ascii="Times New Roman" w:hAnsi="Times New Roman" w:cs="Times New Roman"/>
          <w:color w:val="000000"/>
          <w:sz w:val="24"/>
          <w:szCs w:val="24"/>
          <w:shd w:val="clear" w:color="auto" w:fill="FFFFFF"/>
        </w:rPr>
        <w:t xml:space="preserve"> may improve the </w:t>
      </w:r>
      <w:r w:rsidR="00BF5536" w:rsidRPr="004C0D35">
        <w:rPr>
          <w:rFonts w:ascii="Times New Roman" w:hAnsi="Times New Roman" w:cs="Times New Roman"/>
          <w:color w:val="000000"/>
          <w:sz w:val="24"/>
          <w:szCs w:val="24"/>
          <w:shd w:val="clear" w:color="auto" w:fill="FFFFFF"/>
        </w:rPr>
        <w:t>likelihood of</w:t>
      </w:r>
      <w:r w:rsidR="00F62331" w:rsidRPr="004C0D35">
        <w:rPr>
          <w:rFonts w:ascii="Times New Roman" w:hAnsi="Times New Roman" w:cs="Times New Roman"/>
          <w:color w:val="000000"/>
          <w:sz w:val="24"/>
          <w:szCs w:val="24"/>
          <w:shd w:val="clear" w:color="auto" w:fill="FFFFFF"/>
        </w:rPr>
        <w:t xml:space="preserve"> the choice of</w:t>
      </w:r>
      <w:r w:rsidR="00BF5536" w:rsidRPr="004C0D35">
        <w:rPr>
          <w:rFonts w:ascii="Times New Roman" w:hAnsi="Times New Roman" w:cs="Times New Roman"/>
          <w:color w:val="000000"/>
          <w:sz w:val="24"/>
          <w:szCs w:val="24"/>
          <w:shd w:val="clear" w:color="auto" w:fill="FFFFFF"/>
        </w:rPr>
        <w:t xml:space="preserve"> the client-friendly</w:t>
      </w:r>
      <w:r w:rsidR="00F62331" w:rsidRPr="004C0D35">
        <w:rPr>
          <w:rFonts w:ascii="Times New Roman" w:hAnsi="Times New Roman" w:cs="Times New Roman"/>
          <w:color w:val="000000"/>
          <w:sz w:val="24"/>
          <w:szCs w:val="24"/>
          <w:shd w:val="clear" w:color="auto" w:fill="FFFFFF"/>
        </w:rPr>
        <w:t xml:space="preserve"> governing</w:t>
      </w:r>
      <w:r w:rsidR="00F36757" w:rsidRPr="004C0D35">
        <w:rPr>
          <w:rFonts w:ascii="Times New Roman" w:hAnsi="Times New Roman" w:cs="Times New Roman"/>
          <w:color w:val="000000"/>
          <w:sz w:val="24"/>
          <w:szCs w:val="24"/>
          <w:shd w:val="clear" w:color="auto" w:fill="FFFFFF"/>
        </w:rPr>
        <w:t xml:space="preserve"> law being respected by a court</w:t>
      </w:r>
      <w:r w:rsidR="00D512D5" w:rsidRPr="004C0D35">
        <w:rPr>
          <w:rFonts w:ascii="Times New Roman" w:hAnsi="Times New Roman" w:cs="Times New Roman"/>
          <w:color w:val="000000"/>
          <w:sz w:val="24"/>
          <w:szCs w:val="24"/>
          <w:shd w:val="clear" w:color="auto" w:fill="FFFFFF"/>
        </w:rPr>
        <w:t>. Among the U.S.</w:t>
      </w:r>
      <w:r w:rsidR="00EA53E3" w:rsidRPr="004C0D35">
        <w:rPr>
          <w:rFonts w:ascii="Times New Roman" w:hAnsi="Times New Roman" w:cs="Times New Roman"/>
          <w:color w:val="000000"/>
          <w:sz w:val="24"/>
          <w:szCs w:val="24"/>
          <w:shd w:val="clear" w:color="auto" w:fill="FFFFFF"/>
        </w:rPr>
        <w:t xml:space="preserve"> states</w:t>
      </w:r>
      <w:r w:rsidR="00D512D5" w:rsidRPr="004C0D35">
        <w:rPr>
          <w:rFonts w:ascii="Times New Roman" w:hAnsi="Times New Roman" w:cs="Times New Roman"/>
          <w:color w:val="000000"/>
          <w:sz w:val="24"/>
          <w:szCs w:val="24"/>
          <w:shd w:val="clear" w:color="auto" w:fill="FFFFFF"/>
        </w:rPr>
        <w:t xml:space="preserve"> that have liberalized their law of trusts on the offshore pattern</w:t>
      </w:r>
      <w:r w:rsidR="00EA53E3" w:rsidRPr="004C0D35">
        <w:rPr>
          <w:rFonts w:ascii="Times New Roman" w:hAnsi="Times New Roman" w:cs="Times New Roman"/>
          <w:color w:val="000000"/>
          <w:sz w:val="24"/>
          <w:szCs w:val="24"/>
          <w:shd w:val="clear" w:color="auto" w:fill="FFFFFF"/>
        </w:rPr>
        <w:t xml:space="preserve"> </w:t>
      </w:r>
      <w:r w:rsidR="00DC5EC0" w:rsidRPr="004C0D35">
        <w:rPr>
          <w:rFonts w:ascii="Times New Roman" w:hAnsi="Times New Roman" w:cs="Times New Roman"/>
          <w:color w:val="000000"/>
          <w:sz w:val="24"/>
          <w:szCs w:val="24"/>
          <w:shd w:val="clear" w:color="auto" w:fill="FFFFFF"/>
        </w:rPr>
        <w:t>are</w:t>
      </w:r>
      <w:r w:rsidR="005F5E60" w:rsidRPr="004C0D35">
        <w:rPr>
          <w:rFonts w:ascii="Times New Roman" w:hAnsi="Times New Roman" w:cs="Times New Roman"/>
          <w:color w:val="000000"/>
          <w:sz w:val="24"/>
          <w:szCs w:val="24"/>
          <w:shd w:val="clear" w:color="auto" w:fill="FFFFFF"/>
        </w:rPr>
        <w:t xml:space="preserve"> the world leader</w:t>
      </w:r>
      <w:r w:rsidR="00DC5EC0" w:rsidRPr="004C0D35">
        <w:rPr>
          <w:rFonts w:ascii="Times New Roman" w:hAnsi="Times New Roman" w:cs="Times New Roman"/>
          <w:color w:val="000000"/>
          <w:sz w:val="24"/>
          <w:szCs w:val="24"/>
          <w:shd w:val="clear" w:color="auto" w:fill="FFFFFF"/>
        </w:rPr>
        <w:t>s</w:t>
      </w:r>
      <w:r w:rsidR="005F5E60" w:rsidRPr="004C0D35">
        <w:rPr>
          <w:rFonts w:ascii="Times New Roman" w:hAnsi="Times New Roman" w:cs="Times New Roman"/>
          <w:color w:val="000000"/>
          <w:sz w:val="24"/>
          <w:szCs w:val="24"/>
          <w:shd w:val="clear" w:color="auto" w:fill="FFFFFF"/>
        </w:rPr>
        <w:t xml:space="preserve"> in trusts liberali</w:t>
      </w:r>
      <w:r w:rsidR="00353D78" w:rsidRPr="004C0D35">
        <w:rPr>
          <w:rFonts w:ascii="Times New Roman" w:hAnsi="Times New Roman" w:cs="Times New Roman"/>
          <w:color w:val="000000"/>
          <w:sz w:val="24"/>
          <w:szCs w:val="24"/>
          <w:shd w:val="clear" w:color="auto" w:fill="FFFFFF"/>
        </w:rPr>
        <w:t>ty</w:t>
      </w:r>
      <w:r w:rsidR="005F5E60" w:rsidRPr="004C0D35">
        <w:rPr>
          <w:rFonts w:ascii="Times New Roman" w:hAnsi="Times New Roman" w:cs="Times New Roman"/>
          <w:color w:val="000000"/>
          <w:sz w:val="24"/>
          <w:szCs w:val="24"/>
          <w:shd w:val="clear" w:color="auto" w:fill="FFFFFF"/>
        </w:rPr>
        <w:t>,</w:t>
      </w:r>
      <w:r w:rsidR="00742261">
        <w:rPr>
          <w:rFonts w:ascii="Times New Roman" w:hAnsi="Times New Roman" w:cs="Times New Roman"/>
          <w:color w:val="000000"/>
          <w:sz w:val="24"/>
          <w:szCs w:val="24"/>
          <w:shd w:val="clear" w:color="auto" w:fill="FFFFFF"/>
        </w:rPr>
        <w:t xml:space="preserve"> New Hampshire</w:t>
      </w:r>
      <w:r w:rsidR="00742261">
        <w:rPr>
          <w:rStyle w:val="FootnoteReference"/>
          <w:rFonts w:ascii="Times New Roman" w:hAnsi="Times New Roman" w:cs="Times New Roman"/>
          <w:color w:val="000000"/>
          <w:sz w:val="24"/>
          <w:szCs w:val="24"/>
          <w:shd w:val="clear" w:color="auto" w:fill="FFFFFF"/>
        </w:rPr>
        <w:footnoteReference w:id="58"/>
      </w:r>
      <w:r w:rsidR="00DC5EC0" w:rsidRPr="004C0D35">
        <w:rPr>
          <w:rFonts w:ascii="Times New Roman" w:hAnsi="Times New Roman" w:cs="Times New Roman"/>
          <w:color w:val="000000"/>
          <w:sz w:val="24"/>
          <w:szCs w:val="24"/>
          <w:shd w:val="clear" w:color="auto" w:fill="FFFFFF"/>
        </w:rPr>
        <w:t xml:space="preserve"> and Tennessee</w:t>
      </w:r>
      <w:r w:rsidR="00EA53E3" w:rsidRPr="004C0D35">
        <w:rPr>
          <w:rFonts w:ascii="Times New Roman" w:hAnsi="Times New Roman" w:cs="Times New Roman"/>
          <w:color w:val="000000"/>
          <w:sz w:val="24"/>
          <w:szCs w:val="24"/>
          <w:shd w:val="clear" w:color="auto" w:fill="FFFFFF"/>
        </w:rPr>
        <w:t>.</w:t>
      </w:r>
      <w:r w:rsidR="00100933">
        <w:rPr>
          <w:rStyle w:val="FootnoteReference"/>
          <w:rFonts w:ascii="Times New Roman" w:hAnsi="Times New Roman" w:cs="Times New Roman"/>
          <w:color w:val="000000"/>
          <w:sz w:val="24"/>
          <w:szCs w:val="24"/>
          <w:shd w:val="clear" w:color="auto" w:fill="FFFFFF"/>
        </w:rPr>
        <w:footnoteReference w:id="59"/>
      </w:r>
      <w:r w:rsidR="00EA53E3" w:rsidRPr="004C0D35">
        <w:rPr>
          <w:rFonts w:ascii="Times New Roman" w:hAnsi="Times New Roman" w:cs="Times New Roman"/>
          <w:color w:val="000000"/>
          <w:sz w:val="24"/>
          <w:szCs w:val="24"/>
          <w:shd w:val="clear" w:color="auto" w:fill="FFFFFF"/>
        </w:rPr>
        <w:t xml:space="preserve"> </w:t>
      </w:r>
      <w:r w:rsidR="00BA4B56" w:rsidRPr="004C0D35">
        <w:rPr>
          <w:rFonts w:ascii="Times New Roman" w:hAnsi="Times New Roman" w:cs="Times New Roman"/>
          <w:color w:val="000000"/>
          <w:sz w:val="24"/>
          <w:szCs w:val="24"/>
          <w:shd w:val="clear" w:color="auto" w:fill="FFFFFF"/>
        </w:rPr>
        <w:t xml:space="preserve">Finally, another reason for many U.S. states’ high </w:t>
      </w:r>
      <w:r w:rsidR="00F2538A" w:rsidRPr="004C0D35">
        <w:rPr>
          <w:rFonts w:ascii="Times New Roman" w:hAnsi="Times New Roman" w:cs="Times New Roman"/>
          <w:color w:val="000000"/>
          <w:sz w:val="24"/>
          <w:szCs w:val="24"/>
          <w:shd w:val="clear" w:color="auto" w:fill="FFFFFF"/>
        </w:rPr>
        <w:t>liberality</w:t>
      </w:r>
      <w:r w:rsidR="00BA4B56" w:rsidRPr="004C0D35">
        <w:rPr>
          <w:rFonts w:ascii="Times New Roman" w:hAnsi="Times New Roman" w:cs="Times New Roman"/>
          <w:color w:val="000000"/>
          <w:sz w:val="24"/>
          <w:szCs w:val="24"/>
          <w:shd w:val="clear" w:color="auto" w:fill="FFFFFF"/>
        </w:rPr>
        <w:t xml:space="preserve"> scores is the relative paucity of reporting requirements applicable to trusts under American law. The </w:t>
      </w:r>
      <w:r w:rsidR="00766F5E" w:rsidRPr="004C0D35">
        <w:rPr>
          <w:rFonts w:ascii="Times New Roman" w:hAnsi="Times New Roman" w:cs="Times New Roman"/>
          <w:color w:val="000000"/>
          <w:sz w:val="24"/>
          <w:szCs w:val="24"/>
          <w:shd w:val="clear" w:color="auto" w:fill="FFFFFF"/>
        </w:rPr>
        <w:t>U.S. income tax return for estates and trusts</w:t>
      </w:r>
      <w:r w:rsidR="00F64FE8" w:rsidRPr="004C0D35">
        <w:rPr>
          <w:rFonts w:ascii="Times New Roman" w:hAnsi="Times New Roman" w:cs="Times New Roman"/>
          <w:color w:val="000000"/>
          <w:sz w:val="24"/>
          <w:szCs w:val="24"/>
          <w:shd w:val="clear" w:color="auto" w:fill="FFFFFF"/>
        </w:rPr>
        <w:t xml:space="preserve"> (Form 1041)</w:t>
      </w:r>
      <w:r w:rsidR="00766F5E" w:rsidRPr="004C0D35">
        <w:rPr>
          <w:rFonts w:ascii="Times New Roman" w:hAnsi="Times New Roman" w:cs="Times New Roman"/>
          <w:color w:val="000000"/>
          <w:sz w:val="24"/>
          <w:szCs w:val="24"/>
          <w:shd w:val="clear" w:color="auto" w:fill="FFFFFF"/>
        </w:rPr>
        <w:t xml:space="preserve"> requires the reporting of financial information, but not per</w:t>
      </w:r>
      <w:r w:rsidR="00F64FE8" w:rsidRPr="004C0D35">
        <w:rPr>
          <w:rFonts w:ascii="Times New Roman" w:hAnsi="Times New Roman" w:cs="Times New Roman"/>
          <w:color w:val="000000"/>
          <w:sz w:val="24"/>
          <w:szCs w:val="24"/>
          <w:shd w:val="clear" w:color="auto" w:fill="FFFFFF"/>
        </w:rPr>
        <w:t xml:space="preserve">sonal information regarding </w:t>
      </w:r>
      <w:r w:rsidR="00766F5E" w:rsidRPr="004C0D35">
        <w:rPr>
          <w:rFonts w:ascii="Times New Roman" w:hAnsi="Times New Roman" w:cs="Times New Roman"/>
          <w:color w:val="000000"/>
          <w:sz w:val="24"/>
          <w:szCs w:val="24"/>
          <w:shd w:val="clear" w:color="auto" w:fill="FFFFFF"/>
        </w:rPr>
        <w:t>settlors or beneficiaries.</w:t>
      </w:r>
      <w:r w:rsidR="00CE5204">
        <w:rPr>
          <w:rStyle w:val="FootnoteReference"/>
          <w:rFonts w:ascii="Times New Roman" w:hAnsi="Times New Roman" w:cs="Times New Roman"/>
          <w:color w:val="000000"/>
          <w:sz w:val="24"/>
          <w:szCs w:val="24"/>
          <w:shd w:val="clear" w:color="auto" w:fill="FFFFFF"/>
        </w:rPr>
        <w:footnoteReference w:id="60"/>
      </w:r>
      <w:r w:rsidR="00766F5E" w:rsidRPr="004C0D35">
        <w:rPr>
          <w:rFonts w:ascii="Times New Roman" w:hAnsi="Times New Roman" w:cs="Times New Roman"/>
          <w:color w:val="000000"/>
          <w:sz w:val="24"/>
          <w:szCs w:val="24"/>
          <w:shd w:val="clear" w:color="auto" w:fill="FFFFFF"/>
        </w:rPr>
        <w:t xml:space="preserve"> The </w:t>
      </w:r>
      <w:r w:rsidR="00BA4B56" w:rsidRPr="004C0D35">
        <w:rPr>
          <w:rFonts w:ascii="Times New Roman" w:hAnsi="Times New Roman" w:cs="Times New Roman"/>
          <w:color w:val="000000"/>
          <w:sz w:val="24"/>
          <w:szCs w:val="24"/>
          <w:shd w:val="clear" w:color="auto" w:fill="FFFFFF"/>
        </w:rPr>
        <w:t xml:space="preserve">U.S. </w:t>
      </w:r>
      <w:r w:rsidR="00766F5E" w:rsidRPr="004C0D35">
        <w:rPr>
          <w:rFonts w:ascii="Times New Roman" w:hAnsi="Times New Roman" w:cs="Times New Roman"/>
          <w:color w:val="000000"/>
          <w:sz w:val="24"/>
          <w:szCs w:val="24"/>
          <w:shd w:val="clear" w:color="auto" w:fill="FFFFFF"/>
        </w:rPr>
        <w:t>is</w:t>
      </w:r>
      <w:r w:rsidR="00BA4B56" w:rsidRPr="004C0D35">
        <w:rPr>
          <w:rFonts w:ascii="Times New Roman" w:hAnsi="Times New Roman" w:cs="Times New Roman"/>
          <w:color w:val="000000"/>
          <w:sz w:val="24"/>
          <w:szCs w:val="24"/>
          <w:shd w:val="clear" w:color="auto" w:fill="FFFFFF"/>
        </w:rPr>
        <w:t xml:space="preserve"> </w:t>
      </w:r>
      <w:r w:rsidR="00F64FE8" w:rsidRPr="004C0D35">
        <w:rPr>
          <w:rFonts w:ascii="Times New Roman" w:hAnsi="Times New Roman" w:cs="Times New Roman"/>
          <w:color w:val="000000"/>
          <w:sz w:val="24"/>
          <w:szCs w:val="24"/>
          <w:shd w:val="clear" w:color="auto" w:fill="FFFFFF"/>
        </w:rPr>
        <w:t xml:space="preserve">also </w:t>
      </w:r>
      <w:r w:rsidR="00BA4B56" w:rsidRPr="004C0D35">
        <w:rPr>
          <w:rFonts w:ascii="Times New Roman" w:hAnsi="Times New Roman" w:cs="Times New Roman"/>
          <w:color w:val="000000"/>
          <w:sz w:val="24"/>
          <w:szCs w:val="24"/>
          <w:shd w:val="clear" w:color="auto" w:fill="FFFFFF"/>
        </w:rPr>
        <w:t>amo</w:t>
      </w:r>
      <w:r w:rsidR="00F62331" w:rsidRPr="004C0D35">
        <w:rPr>
          <w:rFonts w:ascii="Times New Roman" w:hAnsi="Times New Roman" w:cs="Times New Roman"/>
          <w:color w:val="000000"/>
          <w:sz w:val="24"/>
          <w:szCs w:val="24"/>
          <w:shd w:val="clear" w:color="auto" w:fill="FFFFFF"/>
        </w:rPr>
        <w:t>ng the minority of nations that</w:t>
      </w:r>
      <w:r w:rsidR="00BA4B56" w:rsidRPr="004C0D35">
        <w:rPr>
          <w:rFonts w:ascii="Times New Roman" w:hAnsi="Times New Roman" w:cs="Times New Roman"/>
          <w:color w:val="000000"/>
          <w:sz w:val="24"/>
          <w:szCs w:val="24"/>
          <w:shd w:val="clear" w:color="auto" w:fill="FFFFFF"/>
        </w:rPr>
        <w:t xml:space="preserve"> have not adopted the OECD’s Common Reporting Standard</w:t>
      </w:r>
      <w:r w:rsidR="00766F5E" w:rsidRPr="004C0D35">
        <w:rPr>
          <w:rFonts w:ascii="Times New Roman" w:hAnsi="Times New Roman" w:cs="Times New Roman"/>
          <w:color w:val="000000"/>
          <w:sz w:val="24"/>
          <w:szCs w:val="24"/>
          <w:shd w:val="clear" w:color="auto" w:fill="FFFFFF"/>
        </w:rPr>
        <w:t>, which requires the annual reporting of considerable information regarding all the parties to the trust.</w:t>
      </w:r>
      <w:r w:rsidR="00742261">
        <w:rPr>
          <w:rStyle w:val="FootnoteReference"/>
          <w:rFonts w:ascii="Times New Roman" w:hAnsi="Times New Roman" w:cs="Times New Roman"/>
          <w:color w:val="000000"/>
          <w:sz w:val="24"/>
          <w:szCs w:val="24"/>
          <w:shd w:val="clear" w:color="auto" w:fill="FFFFFF"/>
        </w:rPr>
        <w:footnoteReference w:id="61"/>
      </w:r>
      <w:r w:rsidR="0044377F">
        <w:rPr>
          <w:rFonts w:ascii="Times New Roman" w:hAnsi="Times New Roman" w:cs="Times New Roman"/>
          <w:color w:val="000000"/>
          <w:sz w:val="24"/>
          <w:szCs w:val="24"/>
          <w:shd w:val="clear" w:color="auto" w:fill="FFFFFF"/>
        </w:rPr>
        <w:t xml:space="preserve"> </w:t>
      </w:r>
    </w:p>
    <w:p w14:paraId="0E14152E" w14:textId="3F02698C" w:rsidR="00EC67AD" w:rsidRPr="004C0D35" w:rsidRDefault="00EA53E3" w:rsidP="00DC5EC0">
      <w:pPr>
        <w:spacing w:after="0" w:line="276" w:lineRule="auto"/>
        <w:ind w:firstLine="72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The</w:t>
      </w:r>
      <w:r w:rsidR="00AD10E3" w:rsidRPr="004C0D35">
        <w:rPr>
          <w:rFonts w:ascii="Times New Roman" w:hAnsi="Times New Roman" w:cs="Times New Roman"/>
          <w:color w:val="000000"/>
          <w:sz w:val="24"/>
          <w:szCs w:val="24"/>
          <w:shd w:val="clear" w:color="auto" w:fill="FFFFFF"/>
        </w:rPr>
        <w:t xml:space="preserve"> bottom end of </w:t>
      </w:r>
      <w:r w:rsidRPr="004C0D35">
        <w:rPr>
          <w:rFonts w:ascii="Times New Roman" w:hAnsi="Times New Roman" w:cs="Times New Roman"/>
          <w:color w:val="000000"/>
          <w:sz w:val="24"/>
          <w:szCs w:val="24"/>
          <w:shd w:val="clear" w:color="auto" w:fill="FFFFFF"/>
        </w:rPr>
        <w:t>T</w:t>
      </w:r>
      <w:r w:rsidR="00AD10E3" w:rsidRPr="004C0D35">
        <w:rPr>
          <w:rFonts w:ascii="Times New Roman" w:hAnsi="Times New Roman" w:cs="Times New Roman"/>
          <w:color w:val="000000"/>
          <w:sz w:val="24"/>
          <w:szCs w:val="24"/>
          <w:shd w:val="clear" w:color="auto" w:fill="FFFFFF"/>
        </w:rPr>
        <w:t>able</w:t>
      </w:r>
      <w:r w:rsidRPr="004C0D35">
        <w:rPr>
          <w:rFonts w:ascii="Times New Roman" w:hAnsi="Times New Roman" w:cs="Times New Roman"/>
          <w:color w:val="000000"/>
          <w:sz w:val="24"/>
          <w:szCs w:val="24"/>
          <w:shd w:val="clear" w:color="auto" w:fill="FFFFFF"/>
        </w:rPr>
        <w:t xml:space="preserve"> 1 is populated by jurisdictions which have enacted perfunctory statutes on trusts, running to only a few sections (e.g., Moldova, [European] Georgia, and the </w:t>
      </w:r>
      <w:r w:rsidR="00DC5EC0" w:rsidRPr="004C0D35">
        <w:rPr>
          <w:rFonts w:ascii="Times New Roman" w:hAnsi="Times New Roman" w:cs="Times New Roman"/>
          <w:color w:val="000000"/>
          <w:sz w:val="24"/>
          <w:szCs w:val="24"/>
          <w:shd w:val="clear" w:color="auto" w:fill="FFFFFF"/>
        </w:rPr>
        <w:t>Philippines</w:t>
      </w:r>
      <w:r w:rsidRPr="004C0D35">
        <w:rPr>
          <w:rFonts w:ascii="Times New Roman" w:hAnsi="Times New Roman" w:cs="Times New Roman"/>
          <w:color w:val="000000"/>
          <w:sz w:val="24"/>
          <w:szCs w:val="24"/>
          <w:shd w:val="clear" w:color="auto" w:fill="FFFFFF"/>
        </w:rPr>
        <w:t>), jurisdictions which have retained the text of the English Trustee Act 1925 largely unchanged (e.g., Malawi, Malaysia),</w:t>
      </w:r>
      <w:r w:rsidR="00DC5EC0" w:rsidRPr="004C0D35">
        <w:rPr>
          <w:rFonts w:ascii="Times New Roman" w:hAnsi="Times New Roman" w:cs="Times New Roman"/>
          <w:color w:val="000000"/>
          <w:sz w:val="24"/>
          <w:szCs w:val="24"/>
          <w:shd w:val="clear" w:color="auto" w:fill="FFFFFF"/>
        </w:rPr>
        <w:t xml:space="preserve"> </w:t>
      </w:r>
      <w:r w:rsidR="00AA1F99" w:rsidRPr="004C0D35">
        <w:rPr>
          <w:rFonts w:ascii="Times New Roman" w:hAnsi="Times New Roman" w:cs="Times New Roman"/>
          <w:color w:val="000000"/>
          <w:sz w:val="24"/>
          <w:szCs w:val="24"/>
          <w:shd w:val="clear" w:color="auto" w:fill="FFFFFF"/>
        </w:rPr>
        <w:t>onshor</w:t>
      </w:r>
      <w:r w:rsidR="00DF281E" w:rsidRPr="004C0D35">
        <w:rPr>
          <w:rFonts w:ascii="Times New Roman" w:hAnsi="Times New Roman" w:cs="Times New Roman"/>
          <w:color w:val="000000"/>
          <w:sz w:val="24"/>
          <w:szCs w:val="24"/>
          <w:shd w:val="clear" w:color="auto" w:fill="FFFFFF"/>
        </w:rPr>
        <w:t xml:space="preserve">e </w:t>
      </w:r>
      <w:r w:rsidR="00DC5EC0" w:rsidRPr="004C0D35">
        <w:rPr>
          <w:rFonts w:ascii="Times New Roman" w:hAnsi="Times New Roman" w:cs="Times New Roman"/>
          <w:color w:val="000000"/>
          <w:sz w:val="24"/>
          <w:szCs w:val="24"/>
          <w:shd w:val="clear" w:color="auto" w:fill="FFFFFF"/>
        </w:rPr>
        <w:t>British Commonwealth jurisdictions which retain traditional English trust law</w:t>
      </w:r>
      <w:r w:rsidRPr="004C0D35">
        <w:rPr>
          <w:rFonts w:ascii="Times New Roman" w:hAnsi="Times New Roman" w:cs="Times New Roman"/>
          <w:color w:val="000000"/>
          <w:sz w:val="24"/>
          <w:szCs w:val="24"/>
          <w:shd w:val="clear" w:color="auto" w:fill="FFFFFF"/>
        </w:rPr>
        <w:t xml:space="preserve"> </w:t>
      </w:r>
      <w:r w:rsidR="00DC5EC0" w:rsidRPr="004C0D35">
        <w:rPr>
          <w:rFonts w:ascii="Times New Roman" w:hAnsi="Times New Roman" w:cs="Times New Roman"/>
          <w:color w:val="000000"/>
          <w:sz w:val="24"/>
          <w:szCs w:val="24"/>
          <w:shd w:val="clear" w:color="auto" w:fill="FFFFFF"/>
        </w:rPr>
        <w:t xml:space="preserve">principles with relatively few changes (e.g., Ontario, Yukon, Newfoundland and Labrador) </w:t>
      </w:r>
      <w:r w:rsidRPr="004C0D35">
        <w:rPr>
          <w:rFonts w:ascii="Times New Roman" w:hAnsi="Times New Roman" w:cs="Times New Roman"/>
          <w:color w:val="000000"/>
          <w:sz w:val="24"/>
          <w:szCs w:val="24"/>
          <w:shd w:val="clear" w:color="auto" w:fill="FFFFFF"/>
        </w:rPr>
        <w:t>and civil law jurisdictions</w:t>
      </w:r>
      <w:r w:rsidR="00BA4B56" w:rsidRPr="004C0D35">
        <w:rPr>
          <w:rFonts w:ascii="Times New Roman" w:hAnsi="Times New Roman" w:cs="Times New Roman"/>
          <w:color w:val="000000"/>
          <w:sz w:val="24"/>
          <w:szCs w:val="24"/>
          <w:shd w:val="clear" w:color="auto" w:fill="FFFFFF"/>
        </w:rPr>
        <w:t xml:space="preserve"> which enacted restrictive trust regimes, allowing relatively short-term commercial trusts exclusively (e.g., Costa Rica, Mexico). </w:t>
      </w:r>
    </w:p>
    <w:p w14:paraId="337D40C1" w14:textId="77777777" w:rsidR="00D13C83" w:rsidRDefault="00733287" w:rsidP="00377B51">
      <w:pPr>
        <w:spacing w:after="0" w:line="276" w:lineRule="auto"/>
        <w:ind w:firstLine="72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 xml:space="preserve">Once legislation which merely gave new form to pre-existing law is excised from the database, </w:t>
      </w:r>
      <w:r w:rsidR="00377B51" w:rsidRPr="004C0D35">
        <w:rPr>
          <w:rFonts w:ascii="Times New Roman" w:hAnsi="Times New Roman" w:cs="Times New Roman"/>
          <w:color w:val="000000"/>
          <w:sz w:val="24"/>
          <w:szCs w:val="24"/>
          <w:shd w:val="clear" w:color="auto" w:fill="FFFFFF"/>
        </w:rPr>
        <w:t>limiting it to statutes which actively changed the law</w:t>
      </w:r>
      <w:r w:rsidRPr="004C0D35">
        <w:rPr>
          <w:rFonts w:ascii="Times New Roman" w:hAnsi="Times New Roman" w:cs="Times New Roman"/>
          <w:color w:val="000000"/>
          <w:sz w:val="24"/>
          <w:szCs w:val="24"/>
          <w:shd w:val="clear" w:color="auto" w:fill="FFFFFF"/>
        </w:rPr>
        <w:t>, the ranking order</w:t>
      </w:r>
      <w:r w:rsidR="008E60E0" w:rsidRPr="004C0D35">
        <w:rPr>
          <w:rFonts w:ascii="Times New Roman" w:hAnsi="Times New Roman" w:cs="Times New Roman"/>
          <w:color w:val="000000"/>
          <w:sz w:val="24"/>
          <w:szCs w:val="24"/>
          <w:shd w:val="clear" w:color="auto" w:fill="FFFFFF"/>
        </w:rPr>
        <w:t xml:space="preserve"> of jurisdictions changes</w:t>
      </w:r>
      <w:r w:rsidR="00D13C83" w:rsidRPr="004C0D35">
        <w:rPr>
          <w:rFonts w:ascii="Times New Roman" w:hAnsi="Times New Roman" w:cs="Times New Roman"/>
          <w:color w:val="000000"/>
          <w:sz w:val="24"/>
          <w:szCs w:val="24"/>
          <w:shd w:val="clear" w:color="auto" w:fill="FFFFFF"/>
        </w:rPr>
        <w:t xml:space="preserve"> slightly</w:t>
      </w:r>
      <w:r w:rsidR="008E60E0" w:rsidRPr="004C0D35">
        <w:rPr>
          <w:rFonts w:ascii="Times New Roman" w:hAnsi="Times New Roman" w:cs="Times New Roman"/>
          <w:color w:val="000000"/>
          <w:sz w:val="24"/>
          <w:szCs w:val="24"/>
          <w:shd w:val="clear" w:color="auto" w:fill="FFFFFF"/>
        </w:rPr>
        <w:t xml:space="preserve">. </w:t>
      </w:r>
      <w:r w:rsidR="00700891" w:rsidRPr="004C0D35">
        <w:rPr>
          <w:rFonts w:ascii="Times New Roman" w:hAnsi="Times New Roman" w:cs="Times New Roman"/>
          <w:color w:val="000000"/>
          <w:sz w:val="24"/>
          <w:szCs w:val="24"/>
          <w:shd w:val="clear" w:color="auto" w:fill="FFFFFF"/>
        </w:rPr>
        <w:t xml:space="preserve">Table 1a, available in the online supplement to this </w:t>
      </w:r>
      <w:r w:rsidR="00377B51" w:rsidRPr="004C0D35">
        <w:rPr>
          <w:rFonts w:ascii="Times New Roman" w:hAnsi="Times New Roman" w:cs="Times New Roman"/>
          <w:color w:val="000000"/>
          <w:sz w:val="24"/>
          <w:szCs w:val="24"/>
          <w:shd w:val="clear" w:color="auto" w:fill="FFFFFF"/>
        </w:rPr>
        <w:t>article</w:t>
      </w:r>
      <w:r w:rsidR="00700891" w:rsidRPr="004C0D35">
        <w:rPr>
          <w:rFonts w:ascii="Times New Roman" w:hAnsi="Times New Roman" w:cs="Times New Roman"/>
          <w:color w:val="000000"/>
          <w:sz w:val="24"/>
          <w:szCs w:val="24"/>
          <w:shd w:val="clear" w:color="auto" w:fill="FFFFFF"/>
        </w:rPr>
        <w:t>,</w:t>
      </w:r>
      <w:r w:rsidR="00700891" w:rsidRPr="004C0D35">
        <w:rPr>
          <w:rStyle w:val="FootnoteReference"/>
          <w:rFonts w:ascii="Times New Roman" w:hAnsi="Times New Roman" w:cs="Times New Roman"/>
          <w:color w:val="000000"/>
          <w:sz w:val="24"/>
          <w:szCs w:val="24"/>
          <w:shd w:val="clear" w:color="auto" w:fill="FFFFFF"/>
        </w:rPr>
        <w:footnoteReference w:id="62"/>
      </w:r>
      <w:r w:rsidR="008E60E0" w:rsidRPr="004C0D35">
        <w:rPr>
          <w:rFonts w:ascii="Times New Roman" w:hAnsi="Times New Roman" w:cs="Times New Roman"/>
          <w:color w:val="000000"/>
          <w:sz w:val="24"/>
          <w:szCs w:val="24"/>
          <w:shd w:val="clear" w:color="auto" w:fill="FFFFFF"/>
        </w:rPr>
        <w:t xml:space="preserve"> presents the cumulative trust law liberality scores by jurisdiction for the year 2018, </w:t>
      </w:r>
      <w:r w:rsidR="00700891" w:rsidRPr="004C0D35">
        <w:rPr>
          <w:rFonts w:ascii="Times New Roman" w:hAnsi="Times New Roman" w:cs="Times New Roman"/>
          <w:color w:val="000000"/>
          <w:sz w:val="24"/>
          <w:szCs w:val="24"/>
          <w:shd w:val="clear" w:color="auto" w:fill="FFFFFF"/>
        </w:rPr>
        <w:t xml:space="preserve">based on the database version which only includes legislation </w:t>
      </w:r>
      <w:r w:rsidR="00EF39D4" w:rsidRPr="004C0D35">
        <w:rPr>
          <w:rFonts w:ascii="Times New Roman" w:hAnsi="Times New Roman" w:cs="Times New Roman"/>
          <w:color w:val="000000"/>
          <w:sz w:val="24"/>
          <w:szCs w:val="24"/>
          <w:shd w:val="clear" w:color="auto" w:fill="FFFFFF"/>
        </w:rPr>
        <w:t>that</w:t>
      </w:r>
      <w:r w:rsidR="00700891" w:rsidRPr="004C0D35">
        <w:rPr>
          <w:rFonts w:ascii="Times New Roman" w:hAnsi="Times New Roman" w:cs="Times New Roman"/>
          <w:color w:val="000000"/>
          <w:sz w:val="24"/>
          <w:szCs w:val="24"/>
          <w:shd w:val="clear" w:color="auto" w:fill="FFFFFF"/>
        </w:rPr>
        <w:t xml:space="preserve"> changed the law.</w:t>
      </w:r>
      <w:r w:rsidR="002C6E32" w:rsidRPr="004C0D35">
        <w:rPr>
          <w:rFonts w:ascii="Times New Roman" w:hAnsi="Times New Roman" w:cs="Times New Roman"/>
          <w:color w:val="000000"/>
          <w:sz w:val="24"/>
          <w:szCs w:val="24"/>
          <w:shd w:val="clear" w:color="auto" w:fill="FFFFFF"/>
        </w:rPr>
        <w:t xml:space="preserve"> </w:t>
      </w:r>
      <w:r w:rsidR="00D13C83" w:rsidRPr="004C0D35">
        <w:rPr>
          <w:rFonts w:ascii="Times New Roman" w:hAnsi="Times New Roman" w:cs="Times New Roman"/>
          <w:color w:val="000000"/>
          <w:sz w:val="24"/>
          <w:szCs w:val="24"/>
          <w:shd w:val="clear" w:color="auto" w:fill="FFFFFF"/>
        </w:rPr>
        <w:t>While t</w:t>
      </w:r>
      <w:r w:rsidR="002C6E32" w:rsidRPr="004C0D35">
        <w:rPr>
          <w:rFonts w:ascii="Times New Roman" w:hAnsi="Times New Roman" w:cs="Times New Roman"/>
          <w:color w:val="000000"/>
          <w:sz w:val="24"/>
          <w:szCs w:val="24"/>
          <w:shd w:val="clear" w:color="auto" w:fill="FFFFFF"/>
        </w:rPr>
        <w:t xml:space="preserve">he ranking order is now led by </w:t>
      </w:r>
      <w:r w:rsidR="00D13C83" w:rsidRPr="004C0D35">
        <w:rPr>
          <w:rFonts w:ascii="Times New Roman" w:hAnsi="Times New Roman" w:cs="Times New Roman"/>
          <w:color w:val="000000"/>
          <w:sz w:val="24"/>
          <w:szCs w:val="24"/>
          <w:shd w:val="clear" w:color="auto" w:fill="FFFFFF"/>
        </w:rPr>
        <w:t>Brunei, U.S. states still</w:t>
      </w:r>
      <w:r w:rsidR="002C6E32" w:rsidRPr="004C0D35">
        <w:rPr>
          <w:rFonts w:ascii="Times New Roman" w:hAnsi="Times New Roman" w:cs="Times New Roman"/>
          <w:color w:val="000000"/>
          <w:sz w:val="24"/>
          <w:szCs w:val="24"/>
          <w:shd w:val="clear" w:color="auto" w:fill="FFFFFF"/>
        </w:rPr>
        <w:t xml:space="preserve"> make </w:t>
      </w:r>
      <w:r w:rsidR="00D13C83" w:rsidRPr="004C0D35">
        <w:rPr>
          <w:rFonts w:ascii="Times New Roman" w:hAnsi="Times New Roman" w:cs="Times New Roman"/>
          <w:color w:val="000000"/>
          <w:sz w:val="24"/>
          <w:szCs w:val="24"/>
          <w:shd w:val="clear" w:color="auto" w:fill="FFFFFF"/>
        </w:rPr>
        <w:t>seven of the top ten</w:t>
      </w:r>
      <w:r w:rsidR="00665107" w:rsidRPr="004C0D35">
        <w:rPr>
          <w:rFonts w:ascii="Times New Roman" w:hAnsi="Times New Roman" w:cs="Times New Roman"/>
          <w:color w:val="000000"/>
          <w:sz w:val="24"/>
          <w:szCs w:val="24"/>
          <w:shd w:val="clear" w:color="auto" w:fill="FFFFFF"/>
        </w:rPr>
        <w:t xml:space="preserve"> </w:t>
      </w:r>
      <w:r w:rsidR="00D13C83" w:rsidRPr="004C0D35">
        <w:rPr>
          <w:rFonts w:ascii="Times New Roman" w:hAnsi="Times New Roman" w:cs="Times New Roman"/>
          <w:color w:val="000000"/>
          <w:sz w:val="24"/>
          <w:szCs w:val="24"/>
          <w:shd w:val="clear" w:color="auto" w:fill="FFFFFF"/>
        </w:rPr>
        <w:t>and 15</w:t>
      </w:r>
      <w:r w:rsidR="00665107" w:rsidRPr="004C0D35">
        <w:rPr>
          <w:rFonts w:ascii="Times New Roman" w:hAnsi="Times New Roman" w:cs="Times New Roman"/>
          <w:color w:val="000000"/>
          <w:sz w:val="24"/>
          <w:szCs w:val="24"/>
          <w:shd w:val="clear" w:color="auto" w:fill="FFFFFF"/>
        </w:rPr>
        <w:t xml:space="preserve"> of the top 20 jurisdictions. It therefore appears that U.S. states </w:t>
      </w:r>
      <w:r w:rsidR="00D13C83" w:rsidRPr="004C0D35">
        <w:rPr>
          <w:rFonts w:ascii="Times New Roman" w:hAnsi="Times New Roman" w:cs="Times New Roman"/>
          <w:color w:val="000000"/>
          <w:sz w:val="24"/>
          <w:szCs w:val="24"/>
          <w:shd w:val="clear" w:color="auto" w:fill="FFFFFF"/>
        </w:rPr>
        <w:t xml:space="preserve">have done more by statute to liberalize their trust laws than all other states, except a small group of </w:t>
      </w:r>
      <w:r w:rsidR="0077436A" w:rsidRPr="004C0D35">
        <w:rPr>
          <w:rFonts w:ascii="Times New Roman" w:hAnsi="Times New Roman" w:cs="Times New Roman"/>
          <w:color w:val="000000"/>
          <w:sz w:val="24"/>
          <w:szCs w:val="24"/>
          <w:shd w:val="clear" w:color="auto" w:fill="FFFFFF"/>
        </w:rPr>
        <w:t>offshore jurisdictions.</w:t>
      </w:r>
    </w:p>
    <w:p w14:paraId="672A0B0C" w14:textId="59BE5B05" w:rsidR="0044377F" w:rsidRPr="004C0D35" w:rsidRDefault="00521B38" w:rsidP="00817512">
      <w:pPr>
        <w:spacing w:after="0" w:line="276" w:lineRule="auto"/>
        <w:ind w:firstLine="720"/>
        <w:jc w:val="both"/>
        <w:rPr>
          <w:rFonts w:ascii="Times New Roman" w:hAnsi="Times New Roman" w:cs="Times New Roman"/>
          <w:color w:val="000000"/>
          <w:sz w:val="24"/>
          <w:szCs w:val="24"/>
          <w:shd w:val="clear" w:color="auto" w:fill="FFFFFF"/>
          <w:rtl/>
        </w:rPr>
      </w:pPr>
      <w:r>
        <w:rPr>
          <w:rFonts w:ascii="Times New Roman" w:hAnsi="Times New Roman" w:cs="Times New Roman"/>
          <w:color w:val="000000"/>
          <w:sz w:val="24"/>
          <w:szCs w:val="24"/>
          <w:shd w:val="clear" w:color="auto" w:fill="FFFFFF"/>
        </w:rPr>
        <w:t>O</w:t>
      </w:r>
      <w:r w:rsidR="0044377F">
        <w:rPr>
          <w:rFonts w:ascii="Times New Roman" w:hAnsi="Times New Roman" w:cs="Times New Roman"/>
          <w:color w:val="000000"/>
          <w:sz w:val="24"/>
          <w:szCs w:val="24"/>
          <w:shd w:val="clear" w:color="auto" w:fill="FFFFFF"/>
        </w:rPr>
        <w:t>nce jurisdictions are ranked not according to liberality scores taking into account the state of their law on all 22 doctrinal variables examined, but according to</w:t>
      </w:r>
      <w:r w:rsidR="00E90023">
        <w:rPr>
          <w:rFonts w:ascii="Times New Roman" w:hAnsi="Times New Roman" w:cs="Times New Roman"/>
          <w:color w:val="000000"/>
          <w:sz w:val="24"/>
          <w:szCs w:val="24"/>
          <w:shd w:val="clear" w:color="auto" w:fill="FFFFFF"/>
        </w:rPr>
        <w:t xml:space="preserve"> liberality scores recalculated to express only legislation respecting those of the 22 variables which protect and </w:t>
      </w:r>
      <w:r w:rsidR="00817512">
        <w:rPr>
          <w:rFonts w:ascii="Times New Roman" w:hAnsi="Times New Roman" w:cs="Times New Roman"/>
          <w:color w:val="000000"/>
          <w:sz w:val="24"/>
          <w:szCs w:val="24"/>
          <w:shd w:val="clear" w:color="auto" w:fill="FFFFFF"/>
        </w:rPr>
        <w:t>empower</w:t>
      </w:r>
      <w:r w:rsidR="00E90023">
        <w:rPr>
          <w:rFonts w:ascii="Times New Roman" w:hAnsi="Times New Roman" w:cs="Times New Roman"/>
          <w:color w:val="000000"/>
          <w:sz w:val="24"/>
          <w:szCs w:val="24"/>
          <w:shd w:val="clear" w:color="auto" w:fill="FFFFFF"/>
        </w:rPr>
        <w:t xml:space="preserve"> settlors and beneficiaries, rather than legislation which protects trustees,</w:t>
      </w:r>
      <w:r w:rsidR="00817512">
        <w:rPr>
          <w:rStyle w:val="FootnoteReference"/>
          <w:rFonts w:ascii="Times New Roman" w:hAnsi="Times New Roman" w:cs="Times New Roman"/>
          <w:color w:val="000000"/>
          <w:sz w:val="24"/>
          <w:szCs w:val="24"/>
          <w:shd w:val="clear" w:color="auto" w:fill="FFFFFF"/>
        </w:rPr>
        <w:footnoteReference w:id="63"/>
      </w:r>
      <w:r w:rsidR="00E90023">
        <w:rPr>
          <w:rFonts w:ascii="Times New Roman" w:hAnsi="Times New Roman" w:cs="Times New Roman"/>
          <w:color w:val="000000"/>
          <w:sz w:val="24"/>
          <w:szCs w:val="24"/>
          <w:shd w:val="clear" w:color="auto" w:fill="FFFFFF"/>
        </w:rPr>
        <w:t xml:space="preserve"> 11 non-U.S. offshore jurisdictions top the ranking</w:t>
      </w:r>
      <w:r w:rsidR="00817512">
        <w:rPr>
          <w:rFonts w:ascii="Times New Roman" w:hAnsi="Times New Roman" w:cs="Times New Roman"/>
          <w:color w:val="000000"/>
          <w:sz w:val="24"/>
          <w:szCs w:val="24"/>
          <w:shd w:val="clear" w:color="auto" w:fill="FFFFFF"/>
        </w:rPr>
        <w:t xml:space="preserve"> (led by the Bahamas, Guernsey and Labuan, in that order)</w:t>
      </w:r>
      <w:r w:rsidR="00E90023">
        <w:rPr>
          <w:rFonts w:ascii="Times New Roman" w:hAnsi="Times New Roman" w:cs="Times New Roman"/>
          <w:color w:val="000000"/>
          <w:sz w:val="24"/>
          <w:szCs w:val="24"/>
          <w:shd w:val="clear" w:color="auto" w:fill="FFFFFF"/>
        </w:rPr>
        <w:t>, with the highest-ranked U.S. jurisdiction, Missouri, in 12</w:t>
      </w:r>
      <w:r w:rsidR="00E90023" w:rsidRPr="00E90023">
        <w:rPr>
          <w:rFonts w:ascii="Times New Roman" w:hAnsi="Times New Roman" w:cs="Times New Roman"/>
          <w:color w:val="000000"/>
          <w:sz w:val="24"/>
          <w:szCs w:val="24"/>
          <w:shd w:val="clear" w:color="auto" w:fill="FFFFFF"/>
          <w:vertAlign w:val="superscript"/>
        </w:rPr>
        <w:t>th</w:t>
      </w:r>
      <w:r w:rsidR="00E90023">
        <w:rPr>
          <w:rFonts w:ascii="Times New Roman" w:hAnsi="Times New Roman" w:cs="Times New Roman"/>
          <w:color w:val="000000"/>
          <w:sz w:val="24"/>
          <w:szCs w:val="24"/>
          <w:shd w:val="clear" w:color="auto" w:fill="FFFFFF"/>
        </w:rPr>
        <w:t xml:space="preserve"> place, immediately followed by New Hampshire. The top 20 jurisdictions, on this recalculation, include only</w:t>
      </w:r>
      <w:r w:rsidR="002A003F">
        <w:rPr>
          <w:rFonts w:ascii="Times New Roman" w:hAnsi="Times New Roman" w:cs="Times New Roman"/>
          <w:color w:val="000000"/>
          <w:sz w:val="24"/>
          <w:szCs w:val="24"/>
          <w:shd w:val="clear" w:color="auto" w:fill="FFFFFF"/>
        </w:rPr>
        <w:t xml:space="preserve"> six</w:t>
      </w:r>
      <w:r w:rsidR="00E90023">
        <w:rPr>
          <w:rFonts w:ascii="Times New Roman" w:hAnsi="Times New Roman" w:cs="Times New Roman"/>
          <w:color w:val="000000"/>
          <w:sz w:val="24"/>
          <w:szCs w:val="24"/>
          <w:shd w:val="clear" w:color="auto" w:fill="FFFFFF"/>
        </w:rPr>
        <w:t xml:space="preserve"> U.S. </w:t>
      </w:r>
      <w:r w:rsidR="002A003F">
        <w:rPr>
          <w:rFonts w:ascii="Times New Roman" w:hAnsi="Times New Roman" w:cs="Times New Roman"/>
          <w:color w:val="000000"/>
          <w:sz w:val="24"/>
          <w:szCs w:val="24"/>
          <w:shd w:val="clear" w:color="auto" w:fill="FFFFFF"/>
        </w:rPr>
        <w:t>states.</w:t>
      </w:r>
      <w:r>
        <w:rPr>
          <w:rFonts w:ascii="Times New Roman" w:hAnsi="Times New Roman" w:cs="Times New Roman"/>
          <w:color w:val="000000"/>
          <w:sz w:val="24"/>
          <w:szCs w:val="24"/>
          <w:shd w:val="clear" w:color="auto" w:fill="FFFFFF"/>
        </w:rPr>
        <w:t xml:space="preserve"> The difference between this recalculated ranking and the ranking in Table 1 is explained by several reforms which protect and </w:t>
      </w:r>
      <w:r w:rsidR="00817512">
        <w:rPr>
          <w:rFonts w:ascii="Times New Roman" w:hAnsi="Times New Roman" w:cs="Times New Roman"/>
          <w:color w:val="000000"/>
          <w:sz w:val="24"/>
          <w:szCs w:val="24"/>
          <w:shd w:val="clear" w:color="auto" w:fill="FFFFFF"/>
        </w:rPr>
        <w:t>empower</w:t>
      </w:r>
      <w:r>
        <w:rPr>
          <w:rFonts w:ascii="Times New Roman" w:hAnsi="Times New Roman" w:cs="Times New Roman"/>
          <w:color w:val="000000"/>
          <w:sz w:val="24"/>
          <w:szCs w:val="24"/>
          <w:shd w:val="clear" w:color="auto" w:fill="FFFFFF"/>
        </w:rPr>
        <w:t xml:space="preserve"> settlors and beneficiaries having been adopted by non-U.S. offshores exclusively, notably legislative references to letters of wishes (variable 2) and so-called offshore “firewalls”, which </w:t>
      </w:r>
      <w:r w:rsidRPr="004C0D35">
        <w:rPr>
          <w:rFonts w:ascii="Times New Roman" w:hAnsi="Times New Roman" w:cs="Times New Roman"/>
          <w:color w:val="000000"/>
          <w:sz w:val="24"/>
          <w:szCs w:val="24"/>
          <w:shd w:val="clear" w:color="auto" w:fill="FFFFFF"/>
        </w:rPr>
        <w:t>blo</w:t>
      </w:r>
      <w:r>
        <w:rPr>
          <w:rFonts w:ascii="Times New Roman" w:hAnsi="Times New Roman" w:cs="Times New Roman"/>
          <w:color w:val="000000"/>
          <w:sz w:val="24"/>
          <w:szCs w:val="24"/>
          <w:shd w:val="clear" w:color="auto" w:fill="FFFFFF"/>
        </w:rPr>
        <w:t>ck</w:t>
      </w:r>
      <w:r w:rsidRPr="004C0D35">
        <w:rPr>
          <w:rFonts w:ascii="Times New Roman" w:hAnsi="Times New Roman" w:cs="Times New Roman"/>
          <w:color w:val="000000"/>
          <w:sz w:val="24"/>
          <w:szCs w:val="24"/>
          <w:shd w:val="clear" w:color="auto" w:fill="FFFFFF"/>
        </w:rPr>
        <w:t>, in a trust context, the recognition and enforcement of foreign law and/or foreign judicial decisions by local courts</w:t>
      </w:r>
      <w:r>
        <w:rPr>
          <w:rFonts w:ascii="Times New Roman" w:hAnsi="Times New Roman" w:cs="Times New Roman"/>
          <w:color w:val="000000"/>
          <w:sz w:val="24"/>
          <w:szCs w:val="24"/>
          <w:shd w:val="clear" w:color="auto" w:fill="FFFFFF"/>
        </w:rPr>
        <w:t xml:space="preserve"> (variable 20).</w:t>
      </w:r>
    </w:p>
    <w:p w14:paraId="52F6AA84" w14:textId="77777777" w:rsidR="00700891" w:rsidRPr="004C0D35" w:rsidRDefault="00700891" w:rsidP="00700891">
      <w:pPr>
        <w:spacing w:after="0" w:line="276" w:lineRule="auto"/>
        <w:ind w:firstLine="720"/>
        <w:jc w:val="both"/>
        <w:rPr>
          <w:rFonts w:ascii="Times New Roman" w:hAnsi="Times New Roman" w:cs="Times New Roman"/>
          <w:color w:val="000000"/>
          <w:sz w:val="24"/>
          <w:szCs w:val="24"/>
          <w:shd w:val="clear" w:color="auto" w:fill="FFFFFF"/>
          <w:rtl/>
        </w:rPr>
      </w:pPr>
    </w:p>
    <w:tbl>
      <w:tblPr>
        <w:tblW w:w="10102" w:type="dxa"/>
        <w:tblLook w:val="04A0" w:firstRow="1" w:lastRow="0" w:firstColumn="1" w:lastColumn="0" w:noHBand="0" w:noVBand="1"/>
      </w:tblPr>
      <w:tblGrid>
        <w:gridCol w:w="10102"/>
      </w:tblGrid>
      <w:tr w:rsidR="00C448F5" w:rsidRPr="004C0D35" w14:paraId="67074727" w14:textId="77777777" w:rsidTr="00C448F5">
        <w:trPr>
          <w:trHeight w:val="375"/>
        </w:trPr>
        <w:tc>
          <w:tcPr>
            <w:tcW w:w="10102" w:type="dxa"/>
            <w:tcBorders>
              <w:top w:val="nil"/>
              <w:left w:val="nil"/>
              <w:bottom w:val="nil"/>
              <w:right w:val="nil"/>
            </w:tcBorders>
            <w:shd w:val="clear" w:color="auto" w:fill="auto"/>
            <w:noWrap/>
            <w:hideMark/>
          </w:tcPr>
          <w:p w14:paraId="5BF87E04" w14:textId="77777777" w:rsidR="00C448F5" w:rsidRPr="004F781B" w:rsidRDefault="00C448F5" w:rsidP="00742261">
            <w:pPr>
              <w:rPr>
                <w:rFonts w:ascii="Times New Roman" w:hAnsi="Times New Roman" w:cs="Times New Roman"/>
                <w:sz w:val="24"/>
                <w:szCs w:val="24"/>
              </w:rPr>
            </w:pPr>
            <w:r w:rsidRPr="004F781B">
              <w:rPr>
                <w:rFonts w:ascii="Times New Roman" w:hAnsi="Times New Roman" w:cs="Times New Roman"/>
                <w:color w:val="000000"/>
                <w:sz w:val="24"/>
                <w:szCs w:val="24"/>
                <w:shd w:val="clear" w:color="auto" w:fill="FFFFFF"/>
              </w:rPr>
              <w:t>Table 1. Trust</w:t>
            </w:r>
            <w:r w:rsidR="00CB2DAF" w:rsidRPr="004F781B">
              <w:rPr>
                <w:rFonts w:ascii="Times New Roman" w:hAnsi="Times New Roman" w:cs="Times New Roman"/>
                <w:color w:val="000000"/>
                <w:sz w:val="24"/>
                <w:szCs w:val="24"/>
                <w:shd w:val="clear" w:color="auto" w:fill="FFFFFF"/>
              </w:rPr>
              <w:t xml:space="preserve"> Law</w:t>
            </w:r>
            <w:r w:rsidRPr="004F781B">
              <w:rPr>
                <w:rFonts w:ascii="Times New Roman" w:hAnsi="Times New Roman" w:cs="Times New Roman"/>
                <w:color w:val="000000"/>
                <w:sz w:val="24"/>
                <w:szCs w:val="24"/>
                <w:shd w:val="clear" w:color="auto" w:fill="FFFFFF"/>
              </w:rPr>
              <w:t xml:space="preserve"> </w:t>
            </w:r>
            <w:r w:rsidR="00F2538A" w:rsidRPr="004F781B">
              <w:rPr>
                <w:rFonts w:ascii="Times New Roman" w:hAnsi="Times New Roman" w:cs="Times New Roman"/>
                <w:color w:val="000000"/>
                <w:sz w:val="24"/>
                <w:szCs w:val="24"/>
                <w:shd w:val="clear" w:color="auto" w:fill="FFFFFF"/>
              </w:rPr>
              <w:t>Liberality</w:t>
            </w:r>
            <w:r w:rsidR="00255208" w:rsidRPr="004F781B">
              <w:rPr>
                <w:rFonts w:ascii="Times New Roman" w:hAnsi="Times New Roman" w:cs="Times New Roman"/>
                <w:color w:val="000000"/>
                <w:sz w:val="24"/>
                <w:szCs w:val="24"/>
                <w:shd w:val="clear" w:color="auto" w:fill="FFFFFF"/>
              </w:rPr>
              <w:t xml:space="preserve"> by Jurisdiction</w:t>
            </w:r>
            <w:r w:rsidRPr="004F781B">
              <w:rPr>
                <w:rFonts w:ascii="Times New Roman" w:hAnsi="Times New Roman" w:cs="Times New Roman"/>
                <w:color w:val="000000"/>
                <w:sz w:val="24"/>
                <w:szCs w:val="24"/>
                <w:shd w:val="clear" w:color="auto" w:fill="FFFFFF"/>
              </w:rPr>
              <w:t xml:space="preserve"> </w:t>
            </w:r>
            <w:r w:rsidR="00742261" w:rsidRPr="004F781B">
              <w:rPr>
                <w:rFonts w:ascii="Times New Roman" w:hAnsi="Times New Roman" w:cs="Times New Roman"/>
                <w:color w:val="000000"/>
                <w:sz w:val="24"/>
                <w:szCs w:val="24"/>
                <w:shd w:val="clear" w:color="auto" w:fill="FFFFFF"/>
              </w:rPr>
              <w:t>Accumulated to 2018 (inclusive)</w:t>
            </w:r>
          </w:p>
        </w:tc>
      </w:tr>
    </w:tbl>
    <w:p w14:paraId="1D418BFF" w14:textId="77777777" w:rsidR="00C448F5" w:rsidRPr="004C0D35" w:rsidRDefault="00730E17" w:rsidP="00730E17">
      <w:pPr>
        <w:spacing w:after="0" w:line="240" w:lineRule="auto"/>
        <w:rPr>
          <w:rFonts w:ascii="Times New Roman" w:eastAsia="Times New Roman" w:hAnsi="Times New Roman" w:cs="Times New Roman"/>
          <w:b/>
          <w:bCs/>
          <w:color w:val="000000"/>
          <w:sz w:val="24"/>
          <w:szCs w:val="24"/>
        </w:rPr>
        <w:sectPr w:rsidR="00C448F5" w:rsidRPr="004C0D35" w:rsidSect="00A97803">
          <w:headerReference w:type="default" r:id="rId8"/>
          <w:footerReference w:type="default" r:id="rId9"/>
          <w:headerReference w:type="first" r:id="rId10"/>
          <w:pgSz w:w="12240" w:h="15840"/>
          <w:pgMar w:top="1440" w:right="1800" w:bottom="1440" w:left="1800" w:header="720" w:footer="720" w:gutter="0"/>
          <w:cols w:space="720"/>
          <w:titlePg/>
          <w:docGrid w:linePitch="360"/>
        </w:sectPr>
      </w:pPr>
      <w:r w:rsidRPr="004C0D35">
        <w:rPr>
          <w:rFonts w:ascii="Times New Roman" w:eastAsia="Times New Roman" w:hAnsi="Times New Roman" w:cs="Times New Roman"/>
          <w:b/>
          <w:bCs/>
          <w:color w:val="000000"/>
          <w:sz w:val="24"/>
          <w:szCs w:val="24"/>
        </w:rPr>
        <w:t xml:space="preserve">   </w:t>
      </w:r>
      <w:r w:rsidRPr="004C0D35">
        <w:rPr>
          <w:rFonts w:ascii="Times New Roman" w:eastAsia="Times New Roman" w:hAnsi="Times New Roman" w:cs="Times New Roman"/>
          <w:b/>
          <w:bCs/>
          <w:color w:val="000000"/>
          <w:sz w:val="24"/>
          <w:szCs w:val="24"/>
        </w:rPr>
        <w:tab/>
        <w:t xml:space="preserve">  </w:t>
      </w:r>
    </w:p>
    <w:tbl>
      <w:tblPr>
        <w:tblW w:w="3989" w:type="dxa"/>
        <w:tblLook w:val="04A0" w:firstRow="1" w:lastRow="0" w:firstColumn="1" w:lastColumn="0" w:noHBand="0" w:noVBand="1"/>
      </w:tblPr>
      <w:tblGrid>
        <w:gridCol w:w="2160"/>
        <w:gridCol w:w="1829"/>
      </w:tblGrid>
      <w:tr w:rsidR="00730E17" w:rsidRPr="004C0D35" w14:paraId="4662E544" w14:textId="77777777" w:rsidTr="00730E17">
        <w:trPr>
          <w:trHeight w:val="285"/>
        </w:trPr>
        <w:tc>
          <w:tcPr>
            <w:tcW w:w="2160" w:type="dxa"/>
            <w:shd w:val="clear" w:color="auto" w:fill="auto"/>
          </w:tcPr>
          <w:p w14:paraId="76A46D88" w14:textId="77777777" w:rsidR="00730E17" w:rsidRPr="004C0D35" w:rsidRDefault="00730E17" w:rsidP="00730E17">
            <w:pPr>
              <w:spacing w:after="0" w:line="240" w:lineRule="auto"/>
              <w:rPr>
                <w:rFonts w:ascii="Times New Roman" w:hAnsi="Times New Roman" w:cs="Times New Roman"/>
                <w:sz w:val="24"/>
                <w:szCs w:val="24"/>
              </w:rPr>
            </w:pPr>
            <w:r w:rsidRPr="004C0D35">
              <w:rPr>
                <w:rFonts w:ascii="Times New Roman" w:eastAsia="Times New Roman" w:hAnsi="Times New Roman" w:cs="Times New Roman"/>
                <w:b/>
                <w:bCs/>
                <w:color w:val="000000"/>
                <w:sz w:val="24"/>
                <w:szCs w:val="24"/>
              </w:rPr>
              <w:t>Jurisdiction</w:t>
            </w:r>
          </w:p>
        </w:tc>
        <w:tc>
          <w:tcPr>
            <w:tcW w:w="1829" w:type="dxa"/>
            <w:shd w:val="clear" w:color="auto" w:fill="auto"/>
          </w:tcPr>
          <w:p w14:paraId="1D0AE794" w14:textId="77777777" w:rsidR="00730E17" w:rsidRPr="004C0D35" w:rsidRDefault="00730E17" w:rsidP="003B31F2">
            <w:pPr>
              <w:spacing w:after="0" w:line="240" w:lineRule="auto"/>
              <w:jc w:val="right"/>
              <w:rPr>
                <w:rFonts w:ascii="Times New Roman" w:hAnsi="Times New Roman" w:cs="Times New Roman"/>
                <w:sz w:val="24"/>
                <w:szCs w:val="24"/>
              </w:rPr>
            </w:pPr>
            <w:r w:rsidRPr="004C0D35">
              <w:rPr>
                <w:rFonts w:ascii="Times New Roman" w:eastAsia="Times New Roman" w:hAnsi="Times New Roman" w:cs="Times New Roman"/>
                <w:b/>
                <w:bCs/>
                <w:color w:val="000000"/>
                <w:sz w:val="24"/>
                <w:szCs w:val="24"/>
              </w:rPr>
              <w:t>Score</w:t>
            </w:r>
          </w:p>
        </w:tc>
      </w:tr>
      <w:tr w:rsidR="003B31F2" w:rsidRPr="004C0D35" w14:paraId="72564C88" w14:textId="77777777" w:rsidTr="00A16754">
        <w:trPr>
          <w:trHeight w:val="285"/>
        </w:trPr>
        <w:tc>
          <w:tcPr>
            <w:tcW w:w="2160" w:type="dxa"/>
            <w:tcBorders>
              <w:top w:val="nil"/>
              <w:left w:val="nil"/>
              <w:bottom w:val="nil"/>
              <w:right w:val="nil"/>
            </w:tcBorders>
            <w:shd w:val="clear" w:color="auto" w:fill="auto"/>
            <w:vAlign w:val="bottom"/>
          </w:tcPr>
          <w:p w14:paraId="5B024D0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 Hampshire</w:t>
            </w:r>
          </w:p>
        </w:tc>
        <w:tc>
          <w:tcPr>
            <w:tcW w:w="1829" w:type="dxa"/>
            <w:tcBorders>
              <w:top w:val="nil"/>
              <w:left w:val="nil"/>
              <w:bottom w:val="nil"/>
              <w:right w:val="nil"/>
            </w:tcBorders>
            <w:shd w:val="clear" w:color="auto" w:fill="auto"/>
            <w:vAlign w:val="bottom"/>
          </w:tcPr>
          <w:p w14:paraId="0250D70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15.416667</w:t>
            </w:r>
          </w:p>
        </w:tc>
      </w:tr>
      <w:tr w:rsidR="003B31F2" w:rsidRPr="004C0D35" w14:paraId="6E268642" w14:textId="77777777" w:rsidTr="00A16754">
        <w:trPr>
          <w:trHeight w:val="285"/>
        </w:trPr>
        <w:tc>
          <w:tcPr>
            <w:tcW w:w="2160" w:type="dxa"/>
            <w:tcBorders>
              <w:top w:val="nil"/>
              <w:left w:val="nil"/>
              <w:bottom w:val="nil"/>
              <w:right w:val="nil"/>
            </w:tcBorders>
            <w:shd w:val="clear" w:color="auto" w:fill="auto"/>
            <w:vAlign w:val="bottom"/>
          </w:tcPr>
          <w:p w14:paraId="73C2FC8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Tennessee</w:t>
            </w:r>
          </w:p>
        </w:tc>
        <w:tc>
          <w:tcPr>
            <w:tcW w:w="1829" w:type="dxa"/>
            <w:tcBorders>
              <w:top w:val="nil"/>
              <w:left w:val="nil"/>
              <w:bottom w:val="nil"/>
              <w:right w:val="nil"/>
            </w:tcBorders>
            <w:shd w:val="clear" w:color="auto" w:fill="auto"/>
            <w:vAlign w:val="bottom"/>
          </w:tcPr>
          <w:p w14:paraId="1A5FF42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15.416667</w:t>
            </w:r>
          </w:p>
        </w:tc>
      </w:tr>
      <w:tr w:rsidR="003B31F2" w:rsidRPr="004C0D35" w14:paraId="37C3FBF7" w14:textId="77777777" w:rsidTr="00A16754">
        <w:trPr>
          <w:trHeight w:val="297"/>
        </w:trPr>
        <w:tc>
          <w:tcPr>
            <w:tcW w:w="2160" w:type="dxa"/>
            <w:tcBorders>
              <w:top w:val="nil"/>
              <w:left w:val="nil"/>
              <w:bottom w:val="nil"/>
              <w:right w:val="nil"/>
            </w:tcBorders>
            <w:shd w:val="clear" w:color="auto" w:fill="auto"/>
            <w:vAlign w:val="bottom"/>
          </w:tcPr>
          <w:p w14:paraId="56F9891D"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Brunei</w:t>
            </w:r>
          </w:p>
        </w:tc>
        <w:tc>
          <w:tcPr>
            <w:tcW w:w="1829" w:type="dxa"/>
            <w:tcBorders>
              <w:top w:val="nil"/>
              <w:left w:val="nil"/>
              <w:bottom w:val="nil"/>
              <w:right w:val="nil"/>
            </w:tcBorders>
            <w:shd w:val="clear" w:color="auto" w:fill="auto"/>
            <w:vAlign w:val="bottom"/>
          </w:tcPr>
          <w:p w14:paraId="3E0DF02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15.333333</w:t>
            </w:r>
          </w:p>
        </w:tc>
      </w:tr>
      <w:tr w:rsidR="003B31F2" w:rsidRPr="004C0D35" w14:paraId="07F220A7" w14:textId="77777777" w:rsidTr="00A16754">
        <w:trPr>
          <w:trHeight w:val="315"/>
        </w:trPr>
        <w:tc>
          <w:tcPr>
            <w:tcW w:w="2160" w:type="dxa"/>
            <w:tcBorders>
              <w:top w:val="nil"/>
              <w:left w:val="nil"/>
              <w:bottom w:val="nil"/>
              <w:right w:val="nil"/>
            </w:tcBorders>
            <w:shd w:val="clear" w:color="auto" w:fill="auto"/>
            <w:vAlign w:val="bottom"/>
          </w:tcPr>
          <w:p w14:paraId="74A5F1BE"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Missouri</w:t>
            </w:r>
          </w:p>
        </w:tc>
        <w:tc>
          <w:tcPr>
            <w:tcW w:w="1829" w:type="dxa"/>
            <w:tcBorders>
              <w:top w:val="nil"/>
              <w:left w:val="nil"/>
              <w:bottom w:val="nil"/>
              <w:right w:val="nil"/>
            </w:tcBorders>
            <w:shd w:val="clear" w:color="auto" w:fill="auto"/>
            <w:vAlign w:val="bottom"/>
          </w:tcPr>
          <w:p w14:paraId="1D37FD0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14.916667</w:t>
            </w:r>
          </w:p>
        </w:tc>
      </w:tr>
      <w:tr w:rsidR="003B31F2" w:rsidRPr="004C0D35" w14:paraId="2A8B3FBD" w14:textId="77777777" w:rsidTr="00A16754">
        <w:trPr>
          <w:trHeight w:val="315"/>
        </w:trPr>
        <w:tc>
          <w:tcPr>
            <w:tcW w:w="2160" w:type="dxa"/>
            <w:tcBorders>
              <w:top w:val="nil"/>
              <w:left w:val="nil"/>
              <w:bottom w:val="nil"/>
              <w:right w:val="nil"/>
            </w:tcBorders>
            <w:shd w:val="clear" w:color="auto" w:fill="auto"/>
            <w:vAlign w:val="bottom"/>
          </w:tcPr>
          <w:p w14:paraId="6EDB61D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Guernsey</w:t>
            </w:r>
          </w:p>
        </w:tc>
        <w:tc>
          <w:tcPr>
            <w:tcW w:w="1829" w:type="dxa"/>
            <w:tcBorders>
              <w:top w:val="nil"/>
              <w:left w:val="nil"/>
              <w:bottom w:val="nil"/>
              <w:right w:val="nil"/>
            </w:tcBorders>
            <w:shd w:val="clear" w:color="auto" w:fill="auto"/>
            <w:vAlign w:val="bottom"/>
          </w:tcPr>
          <w:p w14:paraId="714621C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14.833333</w:t>
            </w:r>
          </w:p>
        </w:tc>
      </w:tr>
      <w:tr w:rsidR="003B31F2" w:rsidRPr="004C0D35" w14:paraId="517F3AB7" w14:textId="77777777" w:rsidTr="00A16754">
        <w:trPr>
          <w:trHeight w:val="315"/>
        </w:trPr>
        <w:tc>
          <w:tcPr>
            <w:tcW w:w="2160" w:type="dxa"/>
            <w:tcBorders>
              <w:top w:val="nil"/>
              <w:left w:val="nil"/>
              <w:bottom w:val="nil"/>
              <w:right w:val="nil"/>
            </w:tcBorders>
            <w:shd w:val="clear" w:color="auto" w:fill="auto"/>
            <w:vAlign w:val="bottom"/>
          </w:tcPr>
          <w:p w14:paraId="3B190B2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Kentucky</w:t>
            </w:r>
          </w:p>
        </w:tc>
        <w:tc>
          <w:tcPr>
            <w:tcW w:w="1829" w:type="dxa"/>
            <w:tcBorders>
              <w:top w:val="nil"/>
              <w:left w:val="nil"/>
              <w:bottom w:val="nil"/>
              <w:right w:val="nil"/>
            </w:tcBorders>
            <w:shd w:val="clear" w:color="auto" w:fill="auto"/>
            <w:vAlign w:val="bottom"/>
          </w:tcPr>
          <w:p w14:paraId="4ACDBAA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14.75</w:t>
            </w:r>
          </w:p>
        </w:tc>
      </w:tr>
      <w:tr w:rsidR="003B31F2" w:rsidRPr="004C0D35" w14:paraId="1CC625EF" w14:textId="77777777" w:rsidTr="00A16754">
        <w:trPr>
          <w:trHeight w:val="315"/>
        </w:trPr>
        <w:tc>
          <w:tcPr>
            <w:tcW w:w="2160" w:type="dxa"/>
            <w:tcBorders>
              <w:top w:val="nil"/>
              <w:left w:val="nil"/>
              <w:bottom w:val="nil"/>
              <w:right w:val="nil"/>
            </w:tcBorders>
            <w:shd w:val="clear" w:color="auto" w:fill="auto"/>
            <w:vAlign w:val="bottom"/>
          </w:tcPr>
          <w:p w14:paraId="18FC5D5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North Carolina</w:t>
            </w:r>
          </w:p>
        </w:tc>
        <w:tc>
          <w:tcPr>
            <w:tcW w:w="1829" w:type="dxa"/>
            <w:tcBorders>
              <w:top w:val="nil"/>
              <w:left w:val="nil"/>
              <w:bottom w:val="nil"/>
              <w:right w:val="nil"/>
            </w:tcBorders>
            <w:shd w:val="clear" w:color="auto" w:fill="auto"/>
            <w:vAlign w:val="bottom"/>
          </w:tcPr>
          <w:p w14:paraId="2495AAC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14.75</w:t>
            </w:r>
          </w:p>
        </w:tc>
      </w:tr>
      <w:tr w:rsidR="003B31F2" w:rsidRPr="004C0D35" w14:paraId="1C5573CD" w14:textId="77777777" w:rsidTr="00A16754">
        <w:trPr>
          <w:trHeight w:val="315"/>
        </w:trPr>
        <w:tc>
          <w:tcPr>
            <w:tcW w:w="2160" w:type="dxa"/>
            <w:tcBorders>
              <w:top w:val="nil"/>
              <w:left w:val="nil"/>
              <w:bottom w:val="nil"/>
              <w:right w:val="nil"/>
            </w:tcBorders>
            <w:shd w:val="clear" w:color="auto" w:fill="auto"/>
            <w:vAlign w:val="bottom"/>
          </w:tcPr>
          <w:p w14:paraId="78AA02C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Virginia</w:t>
            </w:r>
          </w:p>
        </w:tc>
        <w:tc>
          <w:tcPr>
            <w:tcW w:w="1829" w:type="dxa"/>
            <w:tcBorders>
              <w:top w:val="nil"/>
              <w:left w:val="nil"/>
              <w:bottom w:val="nil"/>
              <w:right w:val="nil"/>
            </w:tcBorders>
            <w:shd w:val="clear" w:color="auto" w:fill="auto"/>
            <w:vAlign w:val="bottom"/>
          </w:tcPr>
          <w:p w14:paraId="2D39C55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14.75</w:t>
            </w:r>
          </w:p>
        </w:tc>
      </w:tr>
      <w:tr w:rsidR="003B31F2" w:rsidRPr="004C0D35" w14:paraId="18AE44DB" w14:textId="77777777" w:rsidTr="00A16754">
        <w:trPr>
          <w:trHeight w:val="315"/>
        </w:trPr>
        <w:tc>
          <w:tcPr>
            <w:tcW w:w="2160" w:type="dxa"/>
            <w:tcBorders>
              <w:top w:val="nil"/>
              <w:left w:val="nil"/>
              <w:bottom w:val="nil"/>
              <w:right w:val="nil"/>
            </w:tcBorders>
            <w:shd w:val="clear" w:color="auto" w:fill="auto"/>
            <w:vAlign w:val="bottom"/>
          </w:tcPr>
          <w:p w14:paraId="1548525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Wyoming</w:t>
            </w:r>
          </w:p>
        </w:tc>
        <w:tc>
          <w:tcPr>
            <w:tcW w:w="1829" w:type="dxa"/>
            <w:tcBorders>
              <w:top w:val="nil"/>
              <w:left w:val="nil"/>
              <w:bottom w:val="nil"/>
              <w:right w:val="nil"/>
            </w:tcBorders>
            <w:shd w:val="clear" w:color="auto" w:fill="auto"/>
            <w:vAlign w:val="bottom"/>
          </w:tcPr>
          <w:p w14:paraId="128BCFC4"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14.416667</w:t>
            </w:r>
          </w:p>
        </w:tc>
      </w:tr>
      <w:tr w:rsidR="003B31F2" w:rsidRPr="004C0D35" w14:paraId="6A2715EA" w14:textId="77777777" w:rsidTr="00A16754">
        <w:trPr>
          <w:trHeight w:val="315"/>
        </w:trPr>
        <w:tc>
          <w:tcPr>
            <w:tcW w:w="2160" w:type="dxa"/>
            <w:tcBorders>
              <w:top w:val="nil"/>
              <w:left w:val="nil"/>
              <w:bottom w:val="nil"/>
              <w:right w:val="nil"/>
            </w:tcBorders>
            <w:shd w:val="clear" w:color="auto" w:fill="auto"/>
            <w:vAlign w:val="bottom"/>
          </w:tcPr>
          <w:p w14:paraId="7094574D"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Wisconsin</w:t>
            </w:r>
          </w:p>
        </w:tc>
        <w:tc>
          <w:tcPr>
            <w:tcW w:w="1829" w:type="dxa"/>
            <w:tcBorders>
              <w:top w:val="nil"/>
              <w:left w:val="nil"/>
              <w:bottom w:val="nil"/>
              <w:right w:val="nil"/>
            </w:tcBorders>
            <w:shd w:val="clear" w:color="auto" w:fill="auto"/>
            <w:vAlign w:val="bottom"/>
          </w:tcPr>
          <w:p w14:paraId="05E62BB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14.25</w:t>
            </w:r>
          </w:p>
        </w:tc>
      </w:tr>
      <w:tr w:rsidR="003B31F2" w:rsidRPr="004C0D35" w14:paraId="458F9505" w14:textId="77777777" w:rsidTr="00A16754">
        <w:trPr>
          <w:trHeight w:val="315"/>
        </w:trPr>
        <w:tc>
          <w:tcPr>
            <w:tcW w:w="2160" w:type="dxa"/>
            <w:tcBorders>
              <w:top w:val="nil"/>
              <w:left w:val="nil"/>
              <w:bottom w:val="nil"/>
              <w:right w:val="nil"/>
            </w:tcBorders>
            <w:shd w:val="clear" w:color="auto" w:fill="auto"/>
            <w:vAlign w:val="bottom"/>
          </w:tcPr>
          <w:p w14:paraId="7880B26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Minnesota</w:t>
            </w:r>
          </w:p>
        </w:tc>
        <w:tc>
          <w:tcPr>
            <w:tcW w:w="1829" w:type="dxa"/>
            <w:tcBorders>
              <w:top w:val="nil"/>
              <w:left w:val="nil"/>
              <w:bottom w:val="nil"/>
              <w:right w:val="nil"/>
            </w:tcBorders>
            <w:shd w:val="clear" w:color="auto" w:fill="auto"/>
            <w:vAlign w:val="bottom"/>
          </w:tcPr>
          <w:p w14:paraId="7C4A32E6"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14.083333</w:t>
            </w:r>
          </w:p>
        </w:tc>
      </w:tr>
      <w:tr w:rsidR="003B31F2" w:rsidRPr="004C0D35" w14:paraId="10DA1BD0" w14:textId="77777777" w:rsidTr="00A16754">
        <w:trPr>
          <w:trHeight w:val="315"/>
        </w:trPr>
        <w:tc>
          <w:tcPr>
            <w:tcW w:w="2160" w:type="dxa"/>
            <w:tcBorders>
              <w:top w:val="nil"/>
              <w:left w:val="nil"/>
              <w:bottom w:val="nil"/>
              <w:right w:val="nil"/>
            </w:tcBorders>
            <w:shd w:val="clear" w:color="auto" w:fill="auto"/>
            <w:vAlign w:val="bottom"/>
          </w:tcPr>
          <w:p w14:paraId="3054B73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 Mexico</w:t>
            </w:r>
          </w:p>
        </w:tc>
        <w:tc>
          <w:tcPr>
            <w:tcW w:w="1829" w:type="dxa"/>
            <w:tcBorders>
              <w:top w:val="nil"/>
              <w:left w:val="nil"/>
              <w:bottom w:val="nil"/>
              <w:right w:val="nil"/>
            </w:tcBorders>
            <w:shd w:val="clear" w:color="auto" w:fill="auto"/>
            <w:vAlign w:val="bottom"/>
          </w:tcPr>
          <w:p w14:paraId="3D0556A7"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14.083333</w:t>
            </w:r>
          </w:p>
        </w:tc>
      </w:tr>
      <w:tr w:rsidR="003B31F2" w:rsidRPr="004C0D35" w14:paraId="58B01CD7" w14:textId="77777777" w:rsidTr="00A16754">
        <w:trPr>
          <w:trHeight w:val="315"/>
        </w:trPr>
        <w:tc>
          <w:tcPr>
            <w:tcW w:w="2160" w:type="dxa"/>
            <w:tcBorders>
              <w:top w:val="nil"/>
              <w:left w:val="nil"/>
              <w:bottom w:val="nil"/>
              <w:right w:val="nil"/>
            </w:tcBorders>
            <w:shd w:val="clear" w:color="auto" w:fill="auto"/>
            <w:vAlign w:val="bottom"/>
          </w:tcPr>
          <w:p w14:paraId="1A69B78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South Dakota</w:t>
            </w:r>
          </w:p>
        </w:tc>
        <w:tc>
          <w:tcPr>
            <w:tcW w:w="1829" w:type="dxa"/>
            <w:tcBorders>
              <w:top w:val="nil"/>
              <w:left w:val="nil"/>
              <w:bottom w:val="nil"/>
              <w:right w:val="nil"/>
            </w:tcBorders>
            <w:shd w:val="clear" w:color="auto" w:fill="auto"/>
            <w:vAlign w:val="bottom"/>
          </w:tcPr>
          <w:p w14:paraId="64B396E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14.083333</w:t>
            </w:r>
          </w:p>
        </w:tc>
      </w:tr>
      <w:tr w:rsidR="003B31F2" w:rsidRPr="004C0D35" w14:paraId="2C889D88" w14:textId="77777777" w:rsidTr="00A16754">
        <w:trPr>
          <w:trHeight w:val="315"/>
        </w:trPr>
        <w:tc>
          <w:tcPr>
            <w:tcW w:w="2160" w:type="dxa"/>
            <w:tcBorders>
              <w:top w:val="nil"/>
              <w:left w:val="nil"/>
              <w:bottom w:val="nil"/>
              <w:right w:val="nil"/>
            </w:tcBorders>
            <w:shd w:val="clear" w:color="auto" w:fill="auto"/>
            <w:vAlign w:val="bottom"/>
          </w:tcPr>
          <w:p w14:paraId="774F3B8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Alabama</w:t>
            </w:r>
          </w:p>
        </w:tc>
        <w:tc>
          <w:tcPr>
            <w:tcW w:w="1829" w:type="dxa"/>
            <w:tcBorders>
              <w:top w:val="nil"/>
              <w:left w:val="nil"/>
              <w:bottom w:val="nil"/>
              <w:right w:val="nil"/>
            </w:tcBorders>
            <w:shd w:val="clear" w:color="auto" w:fill="auto"/>
            <w:vAlign w:val="bottom"/>
          </w:tcPr>
          <w:p w14:paraId="35AC42B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13.916667</w:t>
            </w:r>
          </w:p>
        </w:tc>
      </w:tr>
      <w:tr w:rsidR="003B31F2" w:rsidRPr="004C0D35" w14:paraId="09824972" w14:textId="77777777" w:rsidTr="00A16754">
        <w:trPr>
          <w:trHeight w:val="315"/>
        </w:trPr>
        <w:tc>
          <w:tcPr>
            <w:tcW w:w="2160" w:type="dxa"/>
            <w:tcBorders>
              <w:top w:val="nil"/>
              <w:left w:val="nil"/>
              <w:bottom w:val="nil"/>
              <w:right w:val="nil"/>
            </w:tcBorders>
            <w:shd w:val="clear" w:color="auto" w:fill="auto"/>
            <w:vAlign w:val="bottom"/>
          </w:tcPr>
          <w:p w14:paraId="10103A95"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Florida</w:t>
            </w:r>
          </w:p>
        </w:tc>
        <w:tc>
          <w:tcPr>
            <w:tcW w:w="1829" w:type="dxa"/>
            <w:tcBorders>
              <w:top w:val="nil"/>
              <w:left w:val="nil"/>
              <w:bottom w:val="nil"/>
              <w:right w:val="nil"/>
            </w:tcBorders>
            <w:shd w:val="clear" w:color="auto" w:fill="auto"/>
            <w:vAlign w:val="bottom"/>
          </w:tcPr>
          <w:p w14:paraId="59A4273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13.916667</w:t>
            </w:r>
          </w:p>
        </w:tc>
      </w:tr>
      <w:tr w:rsidR="003B31F2" w:rsidRPr="004C0D35" w14:paraId="14D3B067" w14:textId="77777777" w:rsidTr="00A16754">
        <w:trPr>
          <w:trHeight w:val="315"/>
        </w:trPr>
        <w:tc>
          <w:tcPr>
            <w:tcW w:w="2160" w:type="dxa"/>
            <w:tcBorders>
              <w:top w:val="nil"/>
              <w:left w:val="nil"/>
              <w:bottom w:val="nil"/>
              <w:right w:val="nil"/>
            </w:tcBorders>
            <w:shd w:val="clear" w:color="auto" w:fill="auto"/>
            <w:vAlign w:val="bottom"/>
          </w:tcPr>
          <w:p w14:paraId="66485EA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Michigan</w:t>
            </w:r>
          </w:p>
        </w:tc>
        <w:tc>
          <w:tcPr>
            <w:tcW w:w="1829" w:type="dxa"/>
            <w:tcBorders>
              <w:top w:val="nil"/>
              <w:left w:val="nil"/>
              <w:bottom w:val="nil"/>
              <w:right w:val="nil"/>
            </w:tcBorders>
            <w:shd w:val="clear" w:color="auto" w:fill="auto"/>
            <w:vAlign w:val="bottom"/>
          </w:tcPr>
          <w:p w14:paraId="0164D88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13.75</w:t>
            </w:r>
          </w:p>
        </w:tc>
      </w:tr>
      <w:tr w:rsidR="003B31F2" w:rsidRPr="004C0D35" w14:paraId="57AB4846" w14:textId="77777777" w:rsidTr="00A16754">
        <w:trPr>
          <w:trHeight w:val="315"/>
        </w:trPr>
        <w:tc>
          <w:tcPr>
            <w:tcW w:w="2160" w:type="dxa"/>
            <w:tcBorders>
              <w:top w:val="nil"/>
              <w:left w:val="nil"/>
              <w:bottom w:val="nil"/>
              <w:right w:val="nil"/>
            </w:tcBorders>
            <w:shd w:val="clear" w:color="auto" w:fill="auto"/>
            <w:vAlign w:val="bottom"/>
          </w:tcPr>
          <w:p w14:paraId="18230E7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Ohio</w:t>
            </w:r>
          </w:p>
        </w:tc>
        <w:tc>
          <w:tcPr>
            <w:tcW w:w="1829" w:type="dxa"/>
            <w:tcBorders>
              <w:top w:val="nil"/>
              <w:left w:val="nil"/>
              <w:bottom w:val="nil"/>
              <w:right w:val="nil"/>
            </w:tcBorders>
            <w:shd w:val="clear" w:color="auto" w:fill="auto"/>
            <w:vAlign w:val="bottom"/>
          </w:tcPr>
          <w:p w14:paraId="13EF1FFF"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13.75</w:t>
            </w:r>
          </w:p>
        </w:tc>
      </w:tr>
      <w:tr w:rsidR="003B31F2" w:rsidRPr="004C0D35" w14:paraId="3E3BC69B" w14:textId="77777777" w:rsidTr="00A16754">
        <w:trPr>
          <w:trHeight w:val="315"/>
        </w:trPr>
        <w:tc>
          <w:tcPr>
            <w:tcW w:w="2160" w:type="dxa"/>
            <w:tcBorders>
              <w:top w:val="nil"/>
              <w:left w:val="nil"/>
              <w:bottom w:val="nil"/>
              <w:right w:val="nil"/>
            </w:tcBorders>
            <w:shd w:val="clear" w:color="auto" w:fill="auto"/>
            <w:vAlign w:val="bottom"/>
          </w:tcPr>
          <w:p w14:paraId="6100845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Arizona</w:t>
            </w:r>
          </w:p>
        </w:tc>
        <w:tc>
          <w:tcPr>
            <w:tcW w:w="1829" w:type="dxa"/>
            <w:tcBorders>
              <w:top w:val="nil"/>
              <w:left w:val="nil"/>
              <w:bottom w:val="nil"/>
              <w:right w:val="nil"/>
            </w:tcBorders>
            <w:shd w:val="clear" w:color="auto" w:fill="auto"/>
            <w:vAlign w:val="bottom"/>
          </w:tcPr>
          <w:p w14:paraId="6BE1530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13.583333</w:t>
            </w:r>
          </w:p>
        </w:tc>
      </w:tr>
      <w:tr w:rsidR="003B31F2" w:rsidRPr="004C0D35" w14:paraId="16BBEDA5" w14:textId="77777777" w:rsidTr="00A16754">
        <w:trPr>
          <w:trHeight w:val="315"/>
        </w:trPr>
        <w:tc>
          <w:tcPr>
            <w:tcW w:w="2160" w:type="dxa"/>
            <w:tcBorders>
              <w:top w:val="nil"/>
              <w:left w:val="nil"/>
              <w:bottom w:val="nil"/>
              <w:right w:val="nil"/>
            </w:tcBorders>
            <w:shd w:val="clear" w:color="auto" w:fill="auto"/>
            <w:vAlign w:val="bottom"/>
          </w:tcPr>
          <w:p w14:paraId="163EFAA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South Carolina</w:t>
            </w:r>
          </w:p>
        </w:tc>
        <w:tc>
          <w:tcPr>
            <w:tcW w:w="1829" w:type="dxa"/>
            <w:tcBorders>
              <w:top w:val="nil"/>
              <w:left w:val="nil"/>
              <w:bottom w:val="nil"/>
              <w:right w:val="nil"/>
            </w:tcBorders>
            <w:shd w:val="clear" w:color="auto" w:fill="auto"/>
            <w:vAlign w:val="bottom"/>
          </w:tcPr>
          <w:p w14:paraId="0922CA6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13.583333</w:t>
            </w:r>
          </w:p>
        </w:tc>
      </w:tr>
      <w:tr w:rsidR="003B31F2" w:rsidRPr="004C0D35" w14:paraId="0F26B78B" w14:textId="77777777" w:rsidTr="00A16754">
        <w:trPr>
          <w:trHeight w:val="315"/>
        </w:trPr>
        <w:tc>
          <w:tcPr>
            <w:tcW w:w="2160" w:type="dxa"/>
            <w:tcBorders>
              <w:top w:val="nil"/>
              <w:left w:val="nil"/>
              <w:bottom w:val="nil"/>
              <w:right w:val="nil"/>
            </w:tcBorders>
            <w:shd w:val="clear" w:color="auto" w:fill="auto"/>
            <w:vAlign w:val="bottom"/>
          </w:tcPr>
          <w:p w14:paraId="4298A21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Labuan</w:t>
            </w:r>
          </w:p>
        </w:tc>
        <w:tc>
          <w:tcPr>
            <w:tcW w:w="1829" w:type="dxa"/>
            <w:tcBorders>
              <w:top w:val="nil"/>
              <w:left w:val="nil"/>
              <w:bottom w:val="nil"/>
              <w:right w:val="nil"/>
            </w:tcBorders>
            <w:shd w:val="clear" w:color="auto" w:fill="auto"/>
            <w:vAlign w:val="bottom"/>
          </w:tcPr>
          <w:p w14:paraId="748E38D2"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13.5</w:t>
            </w:r>
          </w:p>
        </w:tc>
      </w:tr>
      <w:tr w:rsidR="003B31F2" w:rsidRPr="004C0D35" w14:paraId="46F43E52" w14:textId="77777777" w:rsidTr="00A16754">
        <w:trPr>
          <w:trHeight w:val="315"/>
        </w:trPr>
        <w:tc>
          <w:tcPr>
            <w:tcW w:w="2160" w:type="dxa"/>
            <w:tcBorders>
              <w:top w:val="nil"/>
              <w:left w:val="nil"/>
              <w:bottom w:val="nil"/>
              <w:right w:val="nil"/>
            </w:tcBorders>
            <w:shd w:val="clear" w:color="auto" w:fill="auto"/>
            <w:vAlign w:val="bottom"/>
          </w:tcPr>
          <w:p w14:paraId="5B5C0EA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Nevada</w:t>
            </w:r>
          </w:p>
        </w:tc>
        <w:tc>
          <w:tcPr>
            <w:tcW w:w="1829" w:type="dxa"/>
            <w:tcBorders>
              <w:top w:val="nil"/>
              <w:left w:val="nil"/>
              <w:bottom w:val="nil"/>
              <w:right w:val="nil"/>
            </w:tcBorders>
            <w:shd w:val="clear" w:color="auto" w:fill="auto"/>
            <w:vAlign w:val="bottom"/>
          </w:tcPr>
          <w:p w14:paraId="75AB47F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13.416667</w:t>
            </w:r>
          </w:p>
        </w:tc>
      </w:tr>
      <w:tr w:rsidR="003B31F2" w:rsidRPr="004C0D35" w14:paraId="4E8EC0D2" w14:textId="77777777" w:rsidTr="00A16754">
        <w:trPr>
          <w:trHeight w:val="315"/>
        </w:trPr>
        <w:tc>
          <w:tcPr>
            <w:tcW w:w="2160" w:type="dxa"/>
            <w:tcBorders>
              <w:top w:val="nil"/>
              <w:left w:val="nil"/>
              <w:bottom w:val="nil"/>
              <w:right w:val="nil"/>
            </w:tcBorders>
            <w:shd w:val="clear" w:color="auto" w:fill="auto"/>
            <w:vAlign w:val="bottom"/>
          </w:tcPr>
          <w:p w14:paraId="2307B22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Samoa</w:t>
            </w:r>
          </w:p>
        </w:tc>
        <w:tc>
          <w:tcPr>
            <w:tcW w:w="1829" w:type="dxa"/>
            <w:tcBorders>
              <w:top w:val="nil"/>
              <w:left w:val="nil"/>
              <w:bottom w:val="nil"/>
              <w:right w:val="nil"/>
            </w:tcBorders>
            <w:shd w:val="clear" w:color="auto" w:fill="auto"/>
            <w:vAlign w:val="bottom"/>
          </w:tcPr>
          <w:p w14:paraId="794B086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13.416667</w:t>
            </w:r>
          </w:p>
        </w:tc>
      </w:tr>
      <w:tr w:rsidR="003B31F2" w:rsidRPr="004C0D35" w14:paraId="44447048" w14:textId="77777777" w:rsidTr="00A16754">
        <w:trPr>
          <w:trHeight w:val="315"/>
        </w:trPr>
        <w:tc>
          <w:tcPr>
            <w:tcW w:w="2160" w:type="dxa"/>
            <w:tcBorders>
              <w:top w:val="nil"/>
              <w:left w:val="nil"/>
              <w:bottom w:val="nil"/>
              <w:right w:val="nil"/>
            </w:tcBorders>
            <w:shd w:val="clear" w:color="auto" w:fill="auto"/>
            <w:vAlign w:val="bottom"/>
          </w:tcPr>
          <w:p w14:paraId="55880AE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North Dakota</w:t>
            </w:r>
          </w:p>
        </w:tc>
        <w:tc>
          <w:tcPr>
            <w:tcW w:w="1829" w:type="dxa"/>
            <w:tcBorders>
              <w:top w:val="nil"/>
              <w:left w:val="nil"/>
              <w:bottom w:val="nil"/>
              <w:right w:val="nil"/>
            </w:tcBorders>
            <w:shd w:val="clear" w:color="auto" w:fill="auto"/>
            <w:vAlign w:val="bottom"/>
          </w:tcPr>
          <w:p w14:paraId="5F185A1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13.25</w:t>
            </w:r>
          </w:p>
        </w:tc>
      </w:tr>
      <w:tr w:rsidR="003B31F2" w:rsidRPr="004C0D35" w14:paraId="06B9E28A" w14:textId="77777777" w:rsidTr="00A16754">
        <w:trPr>
          <w:trHeight w:val="315"/>
        </w:trPr>
        <w:tc>
          <w:tcPr>
            <w:tcW w:w="2160" w:type="dxa"/>
            <w:tcBorders>
              <w:top w:val="nil"/>
              <w:left w:val="nil"/>
              <w:bottom w:val="nil"/>
              <w:right w:val="nil"/>
            </w:tcBorders>
            <w:shd w:val="clear" w:color="auto" w:fill="auto"/>
            <w:vAlign w:val="bottom"/>
          </w:tcPr>
          <w:p w14:paraId="10944AC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Colorado</w:t>
            </w:r>
          </w:p>
        </w:tc>
        <w:tc>
          <w:tcPr>
            <w:tcW w:w="1829" w:type="dxa"/>
            <w:tcBorders>
              <w:top w:val="nil"/>
              <w:left w:val="nil"/>
              <w:bottom w:val="nil"/>
              <w:right w:val="nil"/>
            </w:tcBorders>
            <w:shd w:val="clear" w:color="auto" w:fill="auto"/>
            <w:vAlign w:val="bottom"/>
          </w:tcPr>
          <w:p w14:paraId="24059F3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13.083333</w:t>
            </w:r>
          </w:p>
        </w:tc>
      </w:tr>
      <w:tr w:rsidR="003B31F2" w:rsidRPr="004C0D35" w14:paraId="318CD696" w14:textId="77777777" w:rsidTr="00A16754">
        <w:trPr>
          <w:trHeight w:val="315"/>
        </w:trPr>
        <w:tc>
          <w:tcPr>
            <w:tcW w:w="2160" w:type="dxa"/>
            <w:tcBorders>
              <w:top w:val="nil"/>
              <w:left w:val="nil"/>
              <w:bottom w:val="nil"/>
              <w:right w:val="nil"/>
            </w:tcBorders>
            <w:shd w:val="clear" w:color="auto" w:fill="auto"/>
            <w:vAlign w:val="bottom"/>
          </w:tcPr>
          <w:p w14:paraId="24348EA4"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Kansas</w:t>
            </w:r>
          </w:p>
        </w:tc>
        <w:tc>
          <w:tcPr>
            <w:tcW w:w="1829" w:type="dxa"/>
            <w:tcBorders>
              <w:top w:val="nil"/>
              <w:left w:val="nil"/>
              <w:bottom w:val="nil"/>
              <w:right w:val="nil"/>
            </w:tcBorders>
            <w:shd w:val="clear" w:color="auto" w:fill="auto"/>
            <w:vAlign w:val="bottom"/>
          </w:tcPr>
          <w:p w14:paraId="0F51008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13.083333</w:t>
            </w:r>
          </w:p>
        </w:tc>
      </w:tr>
      <w:tr w:rsidR="003B31F2" w:rsidRPr="004C0D35" w14:paraId="623756AA" w14:textId="77777777" w:rsidTr="00A16754">
        <w:trPr>
          <w:trHeight w:val="315"/>
        </w:trPr>
        <w:tc>
          <w:tcPr>
            <w:tcW w:w="2160" w:type="dxa"/>
            <w:tcBorders>
              <w:top w:val="nil"/>
              <w:left w:val="nil"/>
              <w:bottom w:val="nil"/>
              <w:right w:val="nil"/>
            </w:tcBorders>
            <w:shd w:val="clear" w:color="auto" w:fill="auto"/>
            <w:vAlign w:val="bottom"/>
          </w:tcPr>
          <w:p w14:paraId="0311192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Mississippi</w:t>
            </w:r>
          </w:p>
        </w:tc>
        <w:tc>
          <w:tcPr>
            <w:tcW w:w="1829" w:type="dxa"/>
            <w:tcBorders>
              <w:top w:val="nil"/>
              <w:left w:val="nil"/>
              <w:bottom w:val="nil"/>
              <w:right w:val="nil"/>
            </w:tcBorders>
            <w:shd w:val="clear" w:color="auto" w:fill="auto"/>
            <w:vAlign w:val="bottom"/>
          </w:tcPr>
          <w:p w14:paraId="41FEACC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13.083333</w:t>
            </w:r>
          </w:p>
        </w:tc>
      </w:tr>
      <w:tr w:rsidR="003B31F2" w:rsidRPr="004C0D35" w14:paraId="43311E9E" w14:textId="77777777" w:rsidTr="00A16754">
        <w:trPr>
          <w:trHeight w:val="315"/>
        </w:trPr>
        <w:tc>
          <w:tcPr>
            <w:tcW w:w="2160" w:type="dxa"/>
            <w:tcBorders>
              <w:top w:val="nil"/>
              <w:left w:val="nil"/>
              <w:bottom w:val="nil"/>
              <w:right w:val="nil"/>
            </w:tcBorders>
            <w:shd w:val="clear" w:color="auto" w:fill="auto"/>
            <w:vAlign w:val="bottom"/>
          </w:tcPr>
          <w:p w14:paraId="000498B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 Jersey</w:t>
            </w:r>
          </w:p>
        </w:tc>
        <w:tc>
          <w:tcPr>
            <w:tcW w:w="1829" w:type="dxa"/>
            <w:tcBorders>
              <w:top w:val="nil"/>
              <w:left w:val="nil"/>
              <w:bottom w:val="nil"/>
              <w:right w:val="nil"/>
            </w:tcBorders>
            <w:shd w:val="clear" w:color="auto" w:fill="auto"/>
            <w:vAlign w:val="bottom"/>
          </w:tcPr>
          <w:p w14:paraId="4B637FF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13.083333</w:t>
            </w:r>
          </w:p>
        </w:tc>
      </w:tr>
      <w:tr w:rsidR="003B31F2" w:rsidRPr="004C0D35" w14:paraId="1A567589" w14:textId="77777777" w:rsidTr="00A16754">
        <w:trPr>
          <w:trHeight w:val="315"/>
        </w:trPr>
        <w:tc>
          <w:tcPr>
            <w:tcW w:w="2160" w:type="dxa"/>
            <w:tcBorders>
              <w:top w:val="nil"/>
              <w:left w:val="nil"/>
              <w:bottom w:val="nil"/>
              <w:right w:val="nil"/>
            </w:tcBorders>
            <w:shd w:val="clear" w:color="auto" w:fill="auto"/>
            <w:vAlign w:val="bottom"/>
          </w:tcPr>
          <w:p w14:paraId="4E706CB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Oregon</w:t>
            </w:r>
          </w:p>
        </w:tc>
        <w:tc>
          <w:tcPr>
            <w:tcW w:w="1829" w:type="dxa"/>
            <w:tcBorders>
              <w:top w:val="nil"/>
              <w:left w:val="nil"/>
              <w:bottom w:val="nil"/>
              <w:right w:val="nil"/>
            </w:tcBorders>
            <w:shd w:val="clear" w:color="auto" w:fill="auto"/>
            <w:vAlign w:val="bottom"/>
          </w:tcPr>
          <w:p w14:paraId="4A076FBD"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13.083333</w:t>
            </w:r>
          </w:p>
        </w:tc>
      </w:tr>
      <w:tr w:rsidR="003B31F2" w:rsidRPr="004C0D35" w14:paraId="4D540E22" w14:textId="77777777" w:rsidTr="00A16754">
        <w:trPr>
          <w:trHeight w:val="315"/>
        </w:trPr>
        <w:tc>
          <w:tcPr>
            <w:tcW w:w="2160" w:type="dxa"/>
            <w:tcBorders>
              <w:top w:val="nil"/>
              <w:left w:val="nil"/>
              <w:bottom w:val="nil"/>
              <w:right w:val="nil"/>
            </w:tcBorders>
            <w:shd w:val="clear" w:color="auto" w:fill="auto"/>
            <w:vAlign w:val="bottom"/>
          </w:tcPr>
          <w:p w14:paraId="01E7D46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Utah</w:t>
            </w:r>
          </w:p>
        </w:tc>
        <w:tc>
          <w:tcPr>
            <w:tcW w:w="1829" w:type="dxa"/>
            <w:tcBorders>
              <w:top w:val="nil"/>
              <w:left w:val="nil"/>
              <w:bottom w:val="nil"/>
              <w:right w:val="nil"/>
            </w:tcBorders>
            <w:shd w:val="clear" w:color="auto" w:fill="auto"/>
            <w:vAlign w:val="bottom"/>
          </w:tcPr>
          <w:p w14:paraId="35CB24E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13.083333</w:t>
            </w:r>
          </w:p>
        </w:tc>
      </w:tr>
      <w:tr w:rsidR="003B31F2" w:rsidRPr="004C0D35" w14:paraId="1006A3A4" w14:textId="77777777" w:rsidTr="00A16754">
        <w:trPr>
          <w:trHeight w:val="315"/>
        </w:trPr>
        <w:tc>
          <w:tcPr>
            <w:tcW w:w="2160" w:type="dxa"/>
            <w:tcBorders>
              <w:top w:val="nil"/>
              <w:left w:val="nil"/>
              <w:bottom w:val="nil"/>
              <w:right w:val="nil"/>
            </w:tcBorders>
            <w:shd w:val="clear" w:color="auto" w:fill="auto"/>
            <w:vAlign w:val="bottom"/>
          </w:tcPr>
          <w:p w14:paraId="2CAF192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Vermont</w:t>
            </w:r>
          </w:p>
        </w:tc>
        <w:tc>
          <w:tcPr>
            <w:tcW w:w="1829" w:type="dxa"/>
            <w:tcBorders>
              <w:top w:val="nil"/>
              <w:left w:val="nil"/>
              <w:bottom w:val="nil"/>
              <w:right w:val="nil"/>
            </w:tcBorders>
            <w:shd w:val="clear" w:color="auto" w:fill="auto"/>
            <w:vAlign w:val="bottom"/>
          </w:tcPr>
          <w:p w14:paraId="5463B43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13.083333</w:t>
            </w:r>
          </w:p>
        </w:tc>
      </w:tr>
      <w:tr w:rsidR="003B31F2" w:rsidRPr="004C0D35" w14:paraId="31FF973A" w14:textId="77777777" w:rsidTr="00A16754">
        <w:trPr>
          <w:trHeight w:val="288"/>
        </w:trPr>
        <w:tc>
          <w:tcPr>
            <w:tcW w:w="2160" w:type="dxa"/>
            <w:tcBorders>
              <w:top w:val="nil"/>
              <w:left w:val="nil"/>
              <w:bottom w:val="nil"/>
              <w:right w:val="nil"/>
            </w:tcBorders>
            <w:shd w:val="clear" w:color="auto" w:fill="auto"/>
            <w:vAlign w:val="bottom"/>
          </w:tcPr>
          <w:p w14:paraId="69C07A6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Mauritius</w:t>
            </w:r>
          </w:p>
        </w:tc>
        <w:tc>
          <w:tcPr>
            <w:tcW w:w="1829" w:type="dxa"/>
            <w:tcBorders>
              <w:top w:val="nil"/>
              <w:left w:val="nil"/>
              <w:bottom w:val="nil"/>
              <w:right w:val="nil"/>
            </w:tcBorders>
            <w:shd w:val="clear" w:color="auto" w:fill="auto"/>
            <w:vAlign w:val="bottom"/>
          </w:tcPr>
          <w:p w14:paraId="1823D71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13</w:t>
            </w:r>
          </w:p>
        </w:tc>
      </w:tr>
      <w:tr w:rsidR="003B31F2" w:rsidRPr="004C0D35" w14:paraId="0114218E" w14:textId="77777777" w:rsidTr="00A16754">
        <w:trPr>
          <w:trHeight w:val="315"/>
        </w:trPr>
        <w:tc>
          <w:tcPr>
            <w:tcW w:w="2160" w:type="dxa"/>
            <w:tcBorders>
              <w:top w:val="nil"/>
              <w:left w:val="nil"/>
              <w:bottom w:val="nil"/>
              <w:right w:val="nil"/>
            </w:tcBorders>
            <w:shd w:val="clear" w:color="auto" w:fill="auto"/>
            <w:vAlign w:val="bottom"/>
          </w:tcPr>
          <w:p w14:paraId="355947F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Bahamas</w:t>
            </w:r>
          </w:p>
        </w:tc>
        <w:tc>
          <w:tcPr>
            <w:tcW w:w="1829" w:type="dxa"/>
            <w:tcBorders>
              <w:top w:val="nil"/>
              <w:left w:val="nil"/>
              <w:bottom w:val="nil"/>
              <w:right w:val="nil"/>
            </w:tcBorders>
            <w:shd w:val="clear" w:color="auto" w:fill="auto"/>
            <w:vAlign w:val="bottom"/>
          </w:tcPr>
          <w:p w14:paraId="3D29A10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12.833333</w:t>
            </w:r>
          </w:p>
        </w:tc>
      </w:tr>
      <w:tr w:rsidR="003B31F2" w:rsidRPr="004C0D35" w14:paraId="358BEAC0" w14:textId="77777777" w:rsidTr="00A16754">
        <w:trPr>
          <w:trHeight w:val="315"/>
        </w:trPr>
        <w:tc>
          <w:tcPr>
            <w:tcW w:w="2160" w:type="dxa"/>
            <w:tcBorders>
              <w:top w:val="nil"/>
              <w:left w:val="nil"/>
              <w:bottom w:val="nil"/>
              <w:right w:val="nil"/>
            </w:tcBorders>
            <w:shd w:val="clear" w:color="auto" w:fill="auto"/>
            <w:vAlign w:val="bottom"/>
          </w:tcPr>
          <w:p w14:paraId="7C57F00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Alaska</w:t>
            </w:r>
          </w:p>
        </w:tc>
        <w:tc>
          <w:tcPr>
            <w:tcW w:w="1829" w:type="dxa"/>
            <w:tcBorders>
              <w:top w:val="nil"/>
              <w:left w:val="nil"/>
              <w:bottom w:val="nil"/>
              <w:right w:val="nil"/>
            </w:tcBorders>
            <w:shd w:val="clear" w:color="auto" w:fill="auto"/>
            <w:vAlign w:val="bottom"/>
          </w:tcPr>
          <w:p w14:paraId="54A0BD5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12.75</w:t>
            </w:r>
          </w:p>
        </w:tc>
      </w:tr>
      <w:tr w:rsidR="003B31F2" w:rsidRPr="004C0D35" w14:paraId="7C4EF441" w14:textId="77777777" w:rsidTr="00A16754">
        <w:trPr>
          <w:trHeight w:val="315"/>
        </w:trPr>
        <w:tc>
          <w:tcPr>
            <w:tcW w:w="2160" w:type="dxa"/>
            <w:tcBorders>
              <w:top w:val="nil"/>
              <w:left w:val="nil"/>
              <w:bottom w:val="nil"/>
              <w:right w:val="nil"/>
            </w:tcBorders>
            <w:shd w:val="clear" w:color="auto" w:fill="auto"/>
            <w:vAlign w:val="bottom"/>
          </w:tcPr>
          <w:p w14:paraId="53B99A2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Maine</w:t>
            </w:r>
          </w:p>
        </w:tc>
        <w:tc>
          <w:tcPr>
            <w:tcW w:w="1829" w:type="dxa"/>
            <w:tcBorders>
              <w:top w:val="nil"/>
              <w:left w:val="nil"/>
              <w:bottom w:val="nil"/>
              <w:right w:val="nil"/>
            </w:tcBorders>
            <w:shd w:val="clear" w:color="auto" w:fill="auto"/>
            <w:vAlign w:val="bottom"/>
          </w:tcPr>
          <w:p w14:paraId="125C5C55"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12.75</w:t>
            </w:r>
          </w:p>
        </w:tc>
      </w:tr>
      <w:tr w:rsidR="003B31F2" w:rsidRPr="004C0D35" w14:paraId="5EFA7201" w14:textId="77777777" w:rsidTr="00A16754">
        <w:trPr>
          <w:trHeight w:val="315"/>
        </w:trPr>
        <w:tc>
          <w:tcPr>
            <w:tcW w:w="2160" w:type="dxa"/>
            <w:tcBorders>
              <w:top w:val="nil"/>
              <w:left w:val="nil"/>
              <w:bottom w:val="nil"/>
              <w:right w:val="nil"/>
            </w:tcBorders>
            <w:shd w:val="clear" w:color="auto" w:fill="auto"/>
            <w:vAlign w:val="bottom"/>
          </w:tcPr>
          <w:p w14:paraId="7BFD577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Pennsylvania</w:t>
            </w:r>
          </w:p>
        </w:tc>
        <w:tc>
          <w:tcPr>
            <w:tcW w:w="1829" w:type="dxa"/>
            <w:tcBorders>
              <w:top w:val="nil"/>
              <w:left w:val="nil"/>
              <w:bottom w:val="nil"/>
              <w:right w:val="nil"/>
            </w:tcBorders>
            <w:shd w:val="clear" w:color="auto" w:fill="auto"/>
            <w:vAlign w:val="bottom"/>
          </w:tcPr>
          <w:p w14:paraId="4111B285"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12.75</w:t>
            </w:r>
          </w:p>
        </w:tc>
      </w:tr>
      <w:tr w:rsidR="003B31F2" w:rsidRPr="004C0D35" w14:paraId="4AA015FA" w14:textId="77777777" w:rsidTr="00A16754">
        <w:trPr>
          <w:trHeight w:val="315"/>
        </w:trPr>
        <w:tc>
          <w:tcPr>
            <w:tcW w:w="2160" w:type="dxa"/>
            <w:tcBorders>
              <w:top w:val="nil"/>
              <w:left w:val="nil"/>
              <w:bottom w:val="nil"/>
              <w:right w:val="nil"/>
            </w:tcBorders>
            <w:shd w:val="clear" w:color="auto" w:fill="auto"/>
            <w:vAlign w:val="bottom"/>
          </w:tcPr>
          <w:p w14:paraId="48F47A7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District of Columbia</w:t>
            </w:r>
          </w:p>
        </w:tc>
        <w:tc>
          <w:tcPr>
            <w:tcW w:w="1829" w:type="dxa"/>
            <w:tcBorders>
              <w:top w:val="nil"/>
              <w:left w:val="nil"/>
              <w:bottom w:val="nil"/>
              <w:right w:val="nil"/>
            </w:tcBorders>
            <w:shd w:val="clear" w:color="auto" w:fill="auto"/>
            <w:vAlign w:val="bottom"/>
          </w:tcPr>
          <w:p w14:paraId="660AE27F"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12.583333</w:t>
            </w:r>
          </w:p>
        </w:tc>
      </w:tr>
      <w:tr w:rsidR="003B31F2" w:rsidRPr="004C0D35" w14:paraId="27A72DD8" w14:textId="77777777" w:rsidTr="00A16754">
        <w:trPr>
          <w:trHeight w:val="315"/>
        </w:trPr>
        <w:tc>
          <w:tcPr>
            <w:tcW w:w="2160" w:type="dxa"/>
            <w:tcBorders>
              <w:top w:val="nil"/>
              <w:left w:val="nil"/>
              <w:bottom w:val="nil"/>
              <w:right w:val="nil"/>
            </w:tcBorders>
            <w:shd w:val="clear" w:color="auto" w:fill="auto"/>
            <w:vAlign w:val="bottom"/>
          </w:tcPr>
          <w:p w14:paraId="7A77EA9D"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Washington</w:t>
            </w:r>
          </w:p>
        </w:tc>
        <w:tc>
          <w:tcPr>
            <w:tcW w:w="1829" w:type="dxa"/>
            <w:tcBorders>
              <w:top w:val="nil"/>
              <w:left w:val="nil"/>
              <w:bottom w:val="nil"/>
              <w:right w:val="nil"/>
            </w:tcBorders>
            <w:shd w:val="clear" w:color="auto" w:fill="auto"/>
            <w:vAlign w:val="bottom"/>
          </w:tcPr>
          <w:p w14:paraId="65707E3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12.583333</w:t>
            </w:r>
          </w:p>
        </w:tc>
      </w:tr>
      <w:tr w:rsidR="003B31F2" w:rsidRPr="004C0D35" w14:paraId="68303941" w14:textId="77777777" w:rsidTr="00A16754">
        <w:trPr>
          <w:trHeight w:val="315"/>
        </w:trPr>
        <w:tc>
          <w:tcPr>
            <w:tcW w:w="2160" w:type="dxa"/>
            <w:tcBorders>
              <w:top w:val="nil"/>
              <w:left w:val="nil"/>
              <w:bottom w:val="nil"/>
              <w:right w:val="nil"/>
            </w:tcBorders>
            <w:shd w:val="clear" w:color="auto" w:fill="auto"/>
            <w:vAlign w:val="bottom"/>
          </w:tcPr>
          <w:p w14:paraId="539688D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Nebraska</w:t>
            </w:r>
          </w:p>
        </w:tc>
        <w:tc>
          <w:tcPr>
            <w:tcW w:w="1829" w:type="dxa"/>
            <w:tcBorders>
              <w:top w:val="nil"/>
              <w:left w:val="nil"/>
              <w:bottom w:val="nil"/>
              <w:right w:val="nil"/>
            </w:tcBorders>
            <w:shd w:val="clear" w:color="auto" w:fill="auto"/>
            <w:vAlign w:val="bottom"/>
          </w:tcPr>
          <w:p w14:paraId="510C83F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12.416667</w:t>
            </w:r>
          </w:p>
        </w:tc>
      </w:tr>
      <w:tr w:rsidR="003B31F2" w:rsidRPr="004C0D35" w14:paraId="3004F6B7" w14:textId="77777777" w:rsidTr="00A16754">
        <w:trPr>
          <w:trHeight w:val="315"/>
        </w:trPr>
        <w:tc>
          <w:tcPr>
            <w:tcW w:w="2160" w:type="dxa"/>
            <w:tcBorders>
              <w:top w:val="nil"/>
              <w:left w:val="nil"/>
              <w:bottom w:val="nil"/>
              <w:right w:val="nil"/>
            </w:tcBorders>
            <w:shd w:val="clear" w:color="auto" w:fill="auto"/>
            <w:vAlign w:val="bottom"/>
          </w:tcPr>
          <w:p w14:paraId="1D11633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Niue</w:t>
            </w:r>
          </w:p>
        </w:tc>
        <w:tc>
          <w:tcPr>
            <w:tcW w:w="1829" w:type="dxa"/>
            <w:tcBorders>
              <w:top w:val="nil"/>
              <w:left w:val="nil"/>
              <w:bottom w:val="nil"/>
              <w:right w:val="nil"/>
            </w:tcBorders>
            <w:shd w:val="clear" w:color="auto" w:fill="auto"/>
            <w:vAlign w:val="bottom"/>
          </w:tcPr>
          <w:p w14:paraId="3F18A87F"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12.25</w:t>
            </w:r>
          </w:p>
        </w:tc>
      </w:tr>
      <w:tr w:rsidR="003B31F2" w:rsidRPr="004C0D35" w14:paraId="5ECC5FF4" w14:textId="77777777" w:rsidTr="00A16754">
        <w:trPr>
          <w:trHeight w:val="315"/>
        </w:trPr>
        <w:tc>
          <w:tcPr>
            <w:tcW w:w="2160" w:type="dxa"/>
            <w:tcBorders>
              <w:top w:val="nil"/>
              <w:left w:val="nil"/>
              <w:bottom w:val="nil"/>
              <w:right w:val="nil"/>
            </w:tcBorders>
            <w:shd w:val="clear" w:color="auto" w:fill="auto"/>
            <w:vAlign w:val="bottom"/>
          </w:tcPr>
          <w:p w14:paraId="49799782"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Jersey</w:t>
            </w:r>
          </w:p>
        </w:tc>
        <w:tc>
          <w:tcPr>
            <w:tcW w:w="1829" w:type="dxa"/>
            <w:tcBorders>
              <w:top w:val="nil"/>
              <w:left w:val="nil"/>
              <w:bottom w:val="nil"/>
              <w:right w:val="nil"/>
            </w:tcBorders>
            <w:shd w:val="clear" w:color="auto" w:fill="auto"/>
            <w:vAlign w:val="bottom"/>
          </w:tcPr>
          <w:p w14:paraId="58B6259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12.166667</w:t>
            </w:r>
          </w:p>
        </w:tc>
      </w:tr>
      <w:tr w:rsidR="003B31F2" w:rsidRPr="004C0D35" w14:paraId="5D129BEA" w14:textId="77777777" w:rsidTr="00A16754">
        <w:trPr>
          <w:trHeight w:val="315"/>
        </w:trPr>
        <w:tc>
          <w:tcPr>
            <w:tcW w:w="2160" w:type="dxa"/>
            <w:tcBorders>
              <w:top w:val="nil"/>
              <w:left w:val="nil"/>
              <w:bottom w:val="nil"/>
              <w:right w:val="nil"/>
            </w:tcBorders>
            <w:shd w:val="clear" w:color="auto" w:fill="auto"/>
            <w:vAlign w:val="bottom"/>
          </w:tcPr>
          <w:p w14:paraId="6189EE8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Massachusetts</w:t>
            </w:r>
          </w:p>
        </w:tc>
        <w:tc>
          <w:tcPr>
            <w:tcW w:w="1829" w:type="dxa"/>
            <w:tcBorders>
              <w:top w:val="nil"/>
              <w:left w:val="nil"/>
              <w:bottom w:val="nil"/>
              <w:right w:val="nil"/>
            </w:tcBorders>
            <w:shd w:val="clear" w:color="auto" w:fill="auto"/>
            <w:vAlign w:val="bottom"/>
          </w:tcPr>
          <w:p w14:paraId="0390978D"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12.083333</w:t>
            </w:r>
          </w:p>
        </w:tc>
      </w:tr>
      <w:tr w:rsidR="003B31F2" w:rsidRPr="004C0D35" w14:paraId="0EA4CC92" w14:textId="77777777" w:rsidTr="00A16754">
        <w:trPr>
          <w:trHeight w:val="315"/>
        </w:trPr>
        <w:tc>
          <w:tcPr>
            <w:tcW w:w="2160" w:type="dxa"/>
            <w:tcBorders>
              <w:top w:val="nil"/>
              <w:left w:val="nil"/>
              <w:bottom w:val="nil"/>
              <w:right w:val="nil"/>
            </w:tcBorders>
            <w:shd w:val="clear" w:color="auto" w:fill="auto"/>
            <w:vAlign w:val="bottom"/>
          </w:tcPr>
          <w:p w14:paraId="2DF459D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Montana</w:t>
            </w:r>
          </w:p>
        </w:tc>
        <w:tc>
          <w:tcPr>
            <w:tcW w:w="1829" w:type="dxa"/>
            <w:tcBorders>
              <w:top w:val="nil"/>
              <w:left w:val="nil"/>
              <w:bottom w:val="nil"/>
              <w:right w:val="nil"/>
            </w:tcBorders>
            <w:shd w:val="clear" w:color="auto" w:fill="auto"/>
            <w:vAlign w:val="bottom"/>
          </w:tcPr>
          <w:p w14:paraId="1227744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12.083333</w:t>
            </w:r>
          </w:p>
        </w:tc>
      </w:tr>
      <w:tr w:rsidR="003B31F2" w:rsidRPr="004C0D35" w14:paraId="700077F2" w14:textId="77777777" w:rsidTr="00A16754">
        <w:trPr>
          <w:trHeight w:val="315"/>
        </w:trPr>
        <w:tc>
          <w:tcPr>
            <w:tcW w:w="2160" w:type="dxa"/>
            <w:tcBorders>
              <w:top w:val="nil"/>
              <w:left w:val="nil"/>
              <w:bottom w:val="nil"/>
              <w:right w:val="nil"/>
            </w:tcBorders>
            <w:shd w:val="clear" w:color="auto" w:fill="auto"/>
            <w:vAlign w:val="bottom"/>
          </w:tcPr>
          <w:p w14:paraId="6348AB6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West Virginia</w:t>
            </w:r>
          </w:p>
        </w:tc>
        <w:tc>
          <w:tcPr>
            <w:tcW w:w="1829" w:type="dxa"/>
            <w:tcBorders>
              <w:top w:val="nil"/>
              <w:left w:val="nil"/>
              <w:bottom w:val="nil"/>
              <w:right w:val="nil"/>
            </w:tcBorders>
            <w:shd w:val="clear" w:color="auto" w:fill="auto"/>
            <w:vAlign w:val="bottom"/>
          </w:tcPr>
          <w:p w14:paraId="75E5126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12.083333</w:t>
            </w:r>
          </w:p>
        </w:tc>
      </w:tr>
      <w:tr w:rsidR="003B31F2" w:rsidRPr="004C0D35" w14:paraId="5A1FD354" w14:textId="77777777" w:rsidTr="00A16754">
        <w:trPr>
          <w:trHeight w:val="315"/>
        </w:trPr>
        <w:tc>
          <w:tcPr>
            <w:tcW w:w="2160" w:type="dxa"/>
            <w:tcBorders>
              <w:top w:val="nil"/>
              <w:left w:val="nil"/>
              <w:bottom w:val="nil"/>
              <w:right w:val="nil"/>
            </w:tcBorders>
            <w:shd w:val="clear" w:color="auto" w:fill="auto"/>
            <w:vAlign w:val="bottom"/>
          </w:tcPr>
          <w:p w14:paraId="5D06807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Belize</w:t>
            </w:r>
          </w:p>
        </w:tc>
        <w:tc>
          <w:tcPr>
            <w:tcW w:w="1829" w:type="dxa"/>
            <w:tcBorders>
              <w:top w:val="nil"/>
              <w:left w:val="nil"/>
              <w:bottom w:val="nil"/>
              <w:right w:val="nil"/>
            </w:tcBorders>
            <w:shd w:val="clear" w:color="auto" w:fill="auto"/>
            <w:vAlign w:val="bottom"/>
          </w:tcPr>
          <w:p w14:paraId="5D7B315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12</w:t>
            </w:r>
          </w:p>
        </w:tc>
      </w:tr>
      <w:tr w:rsidR="003B31F2" w:rsidRPr="004C0D35" w14:paraId="63EF3776" w14:textId="77777777" w:rsidTr="00A16754">
        <w:trPr>
          <w:trHeight w:val="315"/>
        </w:trPr>
        <w:tc>
          <w:tcPr>
            <w:tcW w:w="2160" w:type="dxa"/>
            <w:tcBorders>
              <w:top w:val="nil"/>
              <w:left w:val="nil"/>
              <w:bottom w:val="nil"/>
              <w:right w:val="nil"/>
            </w:tcBorders>
            <w:shd w:val="clear" w:color="auto" w:fill="auto"/>
            <w:vAlign w:val="bottom"/>
          </w:tcPr>
          <w:p w14:paraId="11FB34B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Maryland</w:t>
            </w:r>
          </w:p>
        </w:tc>
        <w:tc>
          <w:tcPr>
            <w:tcW w:w="1829" w:type="dxa"/>
            <w:tcBorders>
              <w:top w:val="nil"/>
              <w:left w:val="nil"/>
              <w:bottom w:val="nil"/>
              <w:right w:val="nil"/>
            </w:tcBorders>
            <w:shd w:val="clear" w:color="auto" w:fill="auto"/>
            <w:vAlign w:val="bottom"/>
          </w:tcPr>
          <w:p w14:paraId="6D229D0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11.916667</w:t>
            </w:r>
          </w:p>
        </w:tc>
      </w:tr>
      <w:tr w:rsidR="003B31F2" w:rsidRPr="004C0D35" w14:paraId="2DAE4578" w14:textId="77777777" w:rsidTr="00A16754">
        <w:trPr>
          <w:trHeight w:val="315"/>
        </w:trPr>
        <w:tc>
          <w:tcPr>
            <w:tcW w:w="2160" w:type="dxa"/>
            <w:tcBorders>
              <w:top w:val="nil"/>
              <w:left w:val="nil"/>
              <w:bottom w:val="nil"/>
              <w:right w:val="nil"/>
            </w:tcBorders>
            <w:shd w:val="clear" w:color="auto" w:fill="auto"/>
            <w:vAlign w:val="bottom"/>
          </w:tcPr>
          <w:p w14:paraId="6B2F97E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Dubai IFC</w:t>
            </w:r>
          </w:p>
        </w:tc>
        <w:tc>
          <w:tcPr>
            <w:tcW w:w="1829" w:type="dxa"/>
            <w:tcBorders>
              <w:top w:val="nil"/>
              <w:left w:val="nil"/>
              <w:bottom w:val="nil"/>
              <w:right w:val="nil"/>
            </w:tcBorders>
            <w:shd w:val="clear" w:color="auto" w:fill="auto"/>
            <w:vAlign w:val="bottom"/>
          </w:tcPr>
          <w:p w14:paraId="1BE4A58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11.75</w:t>
            </w:r>
          </w:p>
        </w:tc>
      </w:tr>
      <w:tr w:rsidR="003B31F2" w:rsidRPr="004C0D35" w14:paraId="52F2604F" w14:textId="77777777" w:rsidTr="00A16754">
        <w:trPr>
          <w:trHeight w:val="315"/>
        </w:trPr>
        <w:tc>
          <w:tcPr>
            <w:tcW w:w="2160" w:type="dxa"/>
            <w:tcBorders>
              <w:top w:val="nil"/>
              <w:left w:val="nil"/>
              <w:bottom w:val="nil"/>
              <w:right w:val="nil"/>
            </w:tcBorders>
            <w:shd w:val="clear" w:color="auto" w:fill="auto"/>
            <w:vAlign w:val="bottom"/>
          </w:tcPr>
          <w:p w14:paraId="11ABCCE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Oklahoma</w:t>
            </w:r>
          </w:p>
        </w:tc>
        <w:tc>
          <w:tcPr>
            <w:tcW w:w="1829" w:type="dxa"/>
            <w:tcBorders>
              <w:top w:val="nil"/>
              <w:left w:val="nil"/>
              <w:bottom w:val="nil"/>
              <w:right w:val="nil"/>
            </w:tcBorders>
            <w:shd w:val="clear" w:color="auto" w:fill="auto"/>
            <w:vAlign w:val="bottom"/>
          </w:tcPr>
          <w:p w14:paraId="06DFCE1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11.75</w:t>
            </w:r>
          </w:p>
        </w:tc>
      </w:tr>
      <w:tr w:rsidR="003B31F2" w:rsidRPr="004C0D35" w14:paraId="54F4AEAB" w14:textId="77777777" w:rsidTr="00A16754">
        <w:trPr>
          <w:trHeight w:val="315"/>
        </w:trPr>
        <w:tc>
          <w:tcPr>
            <w:tcW w:w="2160" w:type="dxa"/>
            <w:tcBorders>
              <w:top w:val="nil"/>
              <w:left w:val="nil"/>
              <w:bottom w:val="nil"/>
              <w:right w:val="nil"/>
            </w:tcBorders>
            <w:shd w:val="clear" w:color="auto" w:fill="auto"/>
            <w:vAlign w:val="bottom"/>
          </w:tcPr>
          <w:p w14:paraId="37659EA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Turks and Caicos Islands</w:t>
            </w:r>
          </w:p>
        </w:tc>
        <w:tc>
          <w:tcPr>
            <w:tcW w:w="1829" w:type="dxa"/>
            <w:tcBorders>
              <w:top w:val="nil"/>
              <w:left w:val="nil"/>
              <w:bottom w:val="nil"/>
              <w:right w:val="nil"/>
            </w:tcBorders>
            <w:shd w:val="clear" w:color="auto" w:fill="auto"/>
            <w:vAlign w:val="bottom"/>
          </w:tcPr>
          <w:p w14:paraId="5083377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11.666667</w:t>
            </w:r>
          </w:p>
        </w:tc>
      </w:tr>
      <w:tr w:rsidR="003B31F2" w:rsidRPr="004C0D35" w14:paraId="2F6D3F2D" w14:textId="77777777" w:rsidTr="00A16754">
        <w:trPr>
          <w:trHeight w:val="288"/>
        </w:trPr>
        <w:tc>
          <w:tcPr>
            <w:tcW w:w="2160" w:type="dxa"/>
            <w:tcBorders>
              <w:top w:val="nil"/>
              <w:left w:val="nil"/>
              <w:bottom w:val="nil"/>
              <w:right w:val="nil"/>
            </w:tcBorders>
            <w:shd w:val="clear" w:color="auto" w:fill="auto"/>
            <w:vAlign w:val="bottom"/>
          </w:tcPr>
          <w:p w14:paraId="49DDC46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Arkansas</w:t>
            </w:r>
          </w:p>
        </w:tc>
        <w:tc>
          <w:tcPr>
            <w:tcW w:w="1829" w:type="dxa"/>
            <w:tcBorders>
              <w:top w:val="nil"/>
              <w:left w:val="nil"/>
              <w:bottom w:val="nil"/>
              <w:right w:val="nil"/>
            </w:tcBorders>
            <w:shd w:val="clear" w:color="auto" w:fill="auto"/>
            <w:vAlign w:val="bottom"/>
          </w:tcPr>
          <w:p w14:paraId="5BC4FEB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11.583333</w:t>
            </w:r>
          </w:p>
        </w:tc>
      </w:tr>
      <w:tr w:rsidR="003B31F2" w:rsidRPr="004C0D35" w14:paraId="5111DD34" w14:textId="77777777" w:rsidTr="00A16754">
        <w:trPr>
          <w:trHeight w:val="315"/>
        </w:trPr>
        <w:tc>
          <w:tcPr>
            <w:tcW w:w="2160" w:type="dxa"/>
            <w:tcBorders>
              <w:top w:val="nil"/>
              <w:left w:val="nil"/>
              <w:bottom w:val="nil"/>
              <w:right w:val="nil"/>
            </w:tcBorders>
            <w:shd w:val="clear" w:color="auto" w:fill="auto"/>
            <w:vAlign w:val="bottom"/>
          </w:tcPr>
          <w:p w14:paraId="0D1D62C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Delaware</w:t>
            </w:r>
          </w:p>
        </w:tc>
        <w:tc>
          <w:tcPr>
            <w:tcW w:w="1829" w:type="dxa"/>
            <w:tcBorders>
              <w:top w:val="nil"/>
              <w:left w:val="nil"/>
              <w:bottom w:val="nil"/>
              <w:right w:val="nil"/>
            </w:tcBorders>
            <w:shd w:val="clear" w:color="auto" w:fill="auto"/>
            <w:vAlign w:val="bottom"/>
          </w:tcPr>
          <w:p w14:paraId="3B629C45"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11.583333</w:t>
            </w:r>
          </w:p>
        </w:tc>
      </w:tr>
      <w:tr w:rsidR="003B31F2" w:rsidRPr="004C0D35" w14:paraId="60850CF1" w14:textId="77777777" w:rsidTr="00A16754">
        <w:trPr>
          <w:trHeight w:val="315"/>
        </w:trPr>
        <w:tc>
          <w:tcPr>
            <w:tcW w:w="2160" w:type="dxa"/>
            <w:tcBorders>
              <w:top w:val="nil"/>
              <w:left w:val="nil"/>
              <w:bottom w:val="nil"/>
              <w:right w:val="nil"/>
            </w:tcBorders>
            <w:shd w:val="clear" w:color="auto" w:fill="auto"/>
            <w:vAlign w:val="bottom"/>
          </w:tcPr>
          <w:p w14:paraId="3560017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Anguilla</w:t>
            </w:r>
          </w:p>
        </w:tc>
        <w:tc>
          <w:tcPr>
            <w:tcW w:w="1829" w:type="dxa"/>
            <w:tcBorders>
              <w:top w:val="nil"/>
              <w:left w:val="nil"/>
              <w:bottom w:val="nil"/>
              <w:right w:val="nil"/>
            </w:tcBorders>
            <w:shd w:val="clear" w:color="auto" w:fill="auto"/>
            <w:vAlign w:val="bottom"/>
          </w:tcPr>
          <w:p w14:paraId="3F23EE9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11.333333</w:t>
            </w:r>
          </w:p>
        </w:tc>
      </w:tr>
      <w:tr w:rsidR="003B31F2" w:rsidRPr="004C0D35" w14:paraId="2AE91BAC" w14:textId="77777777" w:rsidTr="00A16754">
        <w:trPr>
          <w:trHeight w:val="315"/>
        </w:trPr>
        <w:tc>
          <w:tcPr>
            <w:tcW w:w="2160" w:type="dxa"/>
            <w:tcBorders>
              <w:top w:val="nil"/>
              <w:left w:val="nil"/>
              <w:bottom w:val="nil"/>
              <w:right w:val="nil"/>
            </w:tcBorders>
            <w:shd w:val="clear" w:color="auto" w:fill="auto"/>
            <w:vAlign w:val="bottom"/>
          </w:tcPr>
          <w:p w14:paraId="6B4E5D94"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California</w:t>
            </w:r>
          </w:p>
        </w:tc>
        <w:tc>
          <w:tcPr>
            <w:tcW w:w="1829" w:type="dxa"/>
            <w:tcBorders>
              <w:top w:val="nil"/>
              <w:left w:val="nil"/>
              <w:bottom w:val="nil"/>
              <w:right w:val="nil"/>
            </w:tcBorders>
            <w:shd w:val="clear" w:color="auto" w:fill="auto"/>
            <w:vAlign w:val="bottom"/>
          </w:tcPr>
          <w:p w14:paraId="3868E36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11.25</w:t>
            </w:r>
          </w:p>
        </w:tc>
      </w:tr>
      <w:tr w:rsidR="003B31F2" w:rsidRPr="004C0D35" w14:paraId="4900C444" w14:textId="77777777" w:rsidTr="00A16754">
        <w:trPr>
          <w:trHeight w:val="315"/>
        </w:trPr>
        <w:tc>
          <w:tcPr>
            <w:tcW w:w="2160" w:type="dxa"/>
            <w:tcBorders>
              <w:top w:val="nil"/>
              <w:left w:val="nil"/>
              <w:bottom w:val="nil"/>
              <w:right w:val="nil"/>
            </w:tcBorders>
            <w:shd w:val="clear" w:color="auto" w:fill="auto"/>
            <w:vAlign w:val="bottom"/>
          </w:tcPr>
          <w:p w14:paraId="4BD757D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Texas</w:t>
            </w:r>
          </w:p>
        </w:tc>
        <w:tc>
          <w:tcPr>
            <w:tcW w:w="1829" w:type="dxa"/>
            <w:tcBorders>
              <w:top w:val="nil"/>
              <w:left w:val="nil"/>
              <w:bottom w:val="nil"/>
              <w:right w:val="nil"/>
            </w:tcBorders>
            <w:shd w:val="clear" w:color="auto" w:fill="auto"/>
            <w:vAlign w:val="bottom"/>
          </w:tcPr>
          <w:p w14:paraId="1F52DD4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11.083333</w:t>
            </w:r>
          </w:p>
        </w:tc>
      </w:tr>
      <w:tr w:rsidR="003B31F2" w:rsidRPr="004C0D35" w14:paraId="01F12B22" w14:textId="77777777" w:rsidTr="00A16754">
        <w:trPr>
          <w:trHeight w:val="315"/>
        </w:trPr>
        <w:tc>
          <w:tcPr>
            <w:tcW w:w="2160" w:type="dxa"/>
            <w:tcBorders>
              <w:top w:val="nil"/>
              <w:left w:val="nil"/>
              <w:bottom w:val="nil"/>
              <w:right w:val="nil"/>
            </w:tcBorders>
            <w:shd w:val="clear" w:color="auto" w:fill="auto"/>
            <w:vAlign w:val="bottom"/>
          </w:tcPr>
          <w:p w14:paraId="3D7630C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Indiana</w:t>
            </w:r>
          </w:p>
        </w:tc>
        <w:tc>
          <w:tcPr>
            <w:tcW w:w="1829" w:type="dxa"/>
            <w:tcBorders>
              <w:top w:val="nil"/>
              <w:left w:val="nil"/>
              <w:bottom w:val="nil"/>
              <w:right w:val="nil"/>
            </w:tcBorders>
            <w:shd w:val="clear" w:color="auto" w:fill="auto"/>
            <w:vAlign w:val="bottom"/>
          </w:tcPr>
          <w:p w14:paraId="7A3943F6"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w:t>
            </w:r>
          </w:p>
        </w:tc>
      </w:tr>
      <w:tr w:rsidR="003B31F2" w:rsidRPr="004C0D35" w14:paraId="4C0259CC" w14:textId="77777777" w:rsidTr="00A16754">
        <w:trPr>
          <w:trHeight w:val="315"/>
        </w:trPr>
        <w:tc>
          <w:tcPr>
            <w:tcW w:w="2160" w:type="dxa"/>
            <w:tcBorders>
              <w:top w:val="nil"/>
              <w:left w:val="nil"/>
              <w:bottom w:val="nil"/>
              <w:right w:val="nil"/>
            </w:tcBorders>
            <w:shd w:val="clear" w:color="auto" w:fill="auto"/>
            <w:vAlign w:val="bottom"/>
          </w:tcPr>
          <w:p w14:paraId="1C106715"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Malta</w:t>
            </w:r>
          </w:p>
        </w:tc>
        <w:tc>
          <w:tcPr>
            <w:tcW w:w="1829" w:type="dxa"/>
            <w:tcBorders>
              <w:top w:val="nil"/>
              <w:left w:val="nil"/>
              <w:bottom w:val="nil"/>
              <w:right w:val="nil"/>
            </w:tcBorders>
            <w:shd w:val="clear" w:color="auto" w:fill="auto"/>
            <w:vAlign w:val="bottom"/>
          </w:tcPr>
          <w:p w14:paraId="3C4F5F2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11</w:t>
            </w:r>
          </w:p>
        </w:tc>
      </w:tr>
      <w:tr w:rsidR="003B31F2" w:rsidRPr="004C0D35" w14:paraId="27A5A833" w14:textId="77777777" w:rsidTr="00A16754">
        <w:trPr>
          <w:trHeight w:val="315"/>
        </w:trPr>
        <w:tc>
          <w:tcPr>
            <w:tcW w:w="2160" w:type="dxa"/>
            <w:tcBorders>
              <w:top w:val="nil"/>
              <w:left w:val="nil"/>
              <w:bottom w:val="nil"/>
              <w:right w:val="nil"/>
            </w:tcBorders>
            <w:shd w:val="clear" w:color="auto" w:fill="auto"/>
            <w:vAlign w:val="bottom"/>
          </w:tcPr>
          <w:p w14:paraId="113BBFE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Bermuda</w:t>
            </w:r>
          </w:p>
        </w:tc>
        <w:tc>
          <w:tcPr>
            <w:tcW w:w="1829" w:type="dxa"/>
            <w:tcBorders>
              <w:top w:val="nil"/>
              <w:left w:val="nil"/>
              <w:bottom w:val="nil"/>
              <w:right w:val="nil"/>
            </w:tcBorders>
            <w:shd w:val="clear" w:color="auto" w:fill="auto"/>
            <w:vAlign w:val="bottom"/>
          </w:tcPr>
          <w:p w14:paraId="3C3DBDC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10.583333</w:t>
            </w:r>
          </w:p>
        </w:tc>
      </w:tr>
      <w:tr w:rsidR="003B31F2" w:rsidRPr="004C0D35" w14:paraId="15F26148" w14:textId="77777777" w:rsidTr="00A16754">
        <w:trPr>
          <w:trHeight w:val="315"/>
        </w:trPr>
        <w:tc>
          <w:tcPr>
            <w:tcW w:w="2160" w:type="dxa"/>
            <w:tcBorders>
              <w:top w:val="nil"/>
              <w:left w:val="nil"/>
              <w:bottom w:val="nil"/>
              <w:right w:val="nil"/>
            </w:tcBorders>
            <w:shd w:val="clear" w:color="auto" w:fill="auto"/>
            <w:vAlign w:val="bottom"/>
          </w:tcPr>
          <w:p w14:paraId="1932758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Iowa</w:t>
            </w:r>
          </w:p>
        </w:tc>
        <w:tc>
          <w:tcPr>
            <w:tcW w:w="1829" w:type="dxa"/>
            <w:tcBorders>
              <w:top w:val="nil"/>
              <w:left w:val="nil"/>
              <w:bottom w:val="nil"/>
              <w:right w:val="nil"/>
            </w:tcBorders>
            <w:shd w:val="clear" w:color="auto" w:fill="auto"/>
            <w:vAlign w:val="bottom"/>
          </w:tcPr>
          <w:p w14:paraId="3FD2D2E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10.583333</w:t>
            </w:r>
          </w:p>
        </w:tc>
      </w:tr>
      <w:tr w:rsidR="003B31F2" w:rsidRPr="004C0D35" w14:paraId="5BD29414" w14:textId="77777777" w:rsidTr="00A16754">
        <w:trPr>
          <w:trHeight w:val="315"/>
        </w:trPr>
        <w:tc>
          <w:tcPr>
            <w:tcW w:w="2160" w:type="dxa"/>
            <w:tcBorders>
              <w:top w:val="nil"/>
              <w:left w:val="nil"/>
              <w:bottom w:val="nil"/>
              <w:right w:val="nil"/>
            </w:tcBorders>
            <w:shd w:val="clear" w:color="auto" w:fill="auto"/>
            <w:vAlign w:val="bottom"/>
          </w:tcPr>
          <w:p w14:paraId="0E8ACDD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Illinois</w:t>
            </w:r>
          </w:p>
        </w:tc>
        <w:tc>
          <w:tcPr>
            <w:tcW w:w="1829" w:type="dxa"/>
            <w:tcBorders>
              <w:top w:val="nil"/>
              <w:left w:val="nil"/>
              <w:bottom w:val="nil"/>
              <w:right w:val="nil"/>
            </w:tcBorders>
            <w:shd w:val="clear" w:color="auto" w:fill="auto"/>
            <w:vAlign w:val="bottom"/>
          </w:tcPr>
          <w:p w14:paraId="7E06896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10.5</w:t>
            </w:r>
          </w:p>
        </w:tc>
      </w:tr>
      <w:tr w:rsidR="003B31F2" w:rsidRPr="004C0D35" w14:paraId="057F06ED" w14:textId="77777777" w:rsidTr="00A16754">
        <w:trPr>
          <w:trHeight w:val="315"/>
        </w:trPr>
        <w:tc>
          <w:tcPr>
            <w:tcW w:w="2160" w:type="dxa"/>
            <w:tcBorders>
              <w:top w:val="nil"/>
              <w:left w:val="nil"/>
              <w:bottom w:val="nil"/>
              <w:right w:val="nil"/>
            </w:tcBorders>
            <w:shd w:val="clear" w:color="auto" w:fill="auto"/>
            <w:vAlign w:val="bottom"/>
          </w:tcPr>
          <w:p w14:paraId="3887A4C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Georgia (US)</w:t>
            </w:r>
          </w:p>
        </w:tc>
        <w:tc>
          <w:tcPr>
            <w:tcW w:w="1829" w:type="dxa"/>
            <w:tcBorders>
              <w:top w:val="nil"/>
              <w:left w:val="nil"/>
              <w:bottom w:val="nil"/>
              <w:right w:val="nil"/>
            </w:tcBorders>
            <w:shd w:val="clear" w:color="auto" w:fill="auto"/>
            <w:vAlign w:val="bottom"/>
          </w:tcPr>
          <w:p w14:paraId="46C8194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10.416667</w:t>
            </w:r>
          </w:p>
        </w:tc>
      </w:tr>
      <w:tr w:rsidR="003B31F2" w:rsidRPr="004C0D35" w14:paraId="4660E388" w14:textId="77777777" w:rsidTr="00A16754">
        <w:trPr>
          <w:trHeight w:val="315"/>
        </w:trPr>
        <w:tc>
          <w:tcPr>
            <w:tcW w:w="2160" w:type="dxa"/>
            <w:tcBorders>
              <w:top w:val="nil"/>
              <w:left w:val="nil"/>
              <w:bottom w:val="nil"/>
              <w:right w:val="nil"/>
            </w:tcBorders>
            <w:shd w:val="clear" w:color="auto" w:fill="auto"/>
            <w:vAlign w:val="bottom"/>
          </w:tcPr>
          <w:p w14:paraId="753959C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Korea</w:t>
            </w:r>
          </w:p>
        </w:tc>
        <w:tc>
          <w:tcPr>
            <w:tcW w:w="1829" w:type="dxa"/>
            <w:tcBorders>
              <w:top w:val="nil"/>
              <w:left w:val="nil"/>
              <w:bottom w:val="nil"/>
              <w:right w:val="nil"/>
            </w:tcBorders>
            <w:shd w:val="clear" w:color="auto" w:fill="auto"/>
            <w:vAlign w:val="bottom"/>
          </w:tcPr>
          <w:p w14:paraId="34373E6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10.166667</w:t>
            </w:r>
          </w:p>
        </w:tc>
      </w:tr>
      <w:tr w:rsidR="003B31F2" w:rsidRPr="004C0D35" w14:paraId="039639FD" w14:textId="77777777" w:rsidTr="00A16754">
        <w:trPr>
          <w:trHeight w:val="315"/>
        </w:trPr>
        <w:tc>
          <w:tcPr>
            <w:tcW w:w="2160" w:type="dxa"/>
            <w:tcBorders>
              <w:top w:val="nil"/>
              <w:left w:val="nil"/>
              <w:bottom w:val="nil"/>
              <w:right w:val="nil"/>
            </w:tcBorders>
            <w:shd w:val="clear" w:color="auto" w:fill="auto"/>
            <w:vAlign w:val="bottom"/>
          </w:tcPr>
          <w:p w14:paraId="0E05BF8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 York</w:t>
            </w:r>
          </w:p>
        </w:tc>
        <w:tc>
          <w:tcPr>
            <w:tcW w:w="1829" w:type="dxa"/>
            <w:tcBorders>
              <w:top w:val="nil"/>
              <w:left w:val="nil"/>
              <w:bottom w:val="nil"/>
              <w:right w:val="nil"/>
            </w:tcBorders>
            <w:shd w:val="clear" w:color="auto" w:fill="auto"/>
            <w:vAlign w:val="bottom"/>
          </w:tcPr>
          <w:p w14:paraId="0D90B5A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9.9166667</w:t>
            </w:r>
          </w:p>
        </w:tc>
      </w:tr>
      <w:tr w:rsidR="003B31F2" w:rsidRPr="004C0D35" w14:paraId="3C0E7FC5" w14:textId="77777777" w:rsidTr="00A16754">
        <w:trPr>
          <w:trHeight w:val="288"/>
        </w:trPr>
        <w:tc>
          <w:tcPr>
            <w:tcW w:w="2160" w:type="dxa"/>
            <w:tcBorders>
              <w:top w:val="nil"/>
              <w:left w:val="nil"/>
              <w:bottom w:val="nil"/>
              <w:right w:val="nil"/>
            </w:tcBorders>
            <w:shd w:val="clear" w:color="auto" w:fill="auto"/>
            <w:vAlign w:val="bottom"/>
          </w:tcPr>
          <w:p w14:paraId="353B62B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British Virgin Islands</w:t>
            </w:r>
          </w:p>
        </w:tc>
        <w:tc>
          <w:tcPr>
            <w:tcW w:w="1829" w:type="dxa"/>
            <w:tcBorders>
              <w:top w:val="nil"/>
              <w:left w:val="nil"/>
              <w:bottom w:val="nil"/>
              <w:right w:val="nil"/>
            </w:tcBorders>
            <w:shd w:val="clear" w:color="auto" w:fill="auto"/>
            <w:vAlign w:val="bottom"/>
          </w:tcPr>
          <w:p w14:paraId="42471572"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9.8333333</w:t>
            </w:r>
          </w:p>
        </w:tc>
      </w:tr>
      <w:tr w:rsidR="003B31F2" w:rsidRPr="004C0D35" w14:paraId="7F26E842" w14:textId="77777777" w:rsidTr="00A16754">
        <w:trPr>
          <w:trHeight w:val="315"/>
        </w:trPr>
        <w:tc>
          <w:tcPr>
            <w:tcW w:w="2160" w:type="dxa"/>
            <w:tcBorders>
              <w:top w:val="nil"/>
              <w:left w:val="nil"/>
              <w:bottom w:val="nil"/>
              <w:right w:val="nil"/>
            </w:tcBorders>
            <w:shd w:val="clear" w:color="auto" w:fill="auto"/>
            <w:vAlign w:val="bottom"/>
          </w:tcPr>
          <w:p w14:paraId="13487BBD"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St. Christopher and Nevis</w:t>
            </w:r>
          </w:p>
        </w:tc>
        <w:tc>
          <w:tcPr>
            <w:tcW w:w="1829" w:type="dxa"/>
            <w:tcBorders>
              <w:top w:val="nil"/>
              <w:left w:val="nil"/>
              <w:bottom w:val="nil"/>
              <w:right w:val="nil"/>
            </w:tcBorders>
            <w:shd w:val="clear" w:color="auto" w:fill="auto"/>
            <w:vAlign w:val="bottom"/>
          </w:tcPr>
          <w:p w14:paraId="5EBFCCF6"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9.8333333</w:t>
            </w:r>
          </w:p>
        </w:tc>
      </w:tr>
      <w:tr w:rsidR="003B31F2" w:rsidRPr="004C0D35" w14:paraId="5666AC7B" w14:textId="77777777" w:rsidTr="00A16754">
        <w:trPr>
          <w:trHeight w:val="315"/>
        </w:trPr>
        <w:tc>
          <w:tcPr>
            <w:tcW w:w="2160" w:type="dxa"/>
            <w:tcBorders>
              <w:top w:val="nil"/>
              <w:left w:val="nil"/>
              <w:bottom w:val="nil"/>
              <w:right w:val="nil"/>
            </w:tcBorders>
            <w:shd w:val="clear" w:color="auto" w:fill="auto"/>
            <w:vAlign w:val="bottom"/>
          </w:tcPr>
          <w:p w14:paraId="12A9259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Rhode Island</w:t>
            </w:r>
          </w:p>
        </w:tc>
        <w:tc>
          <w:tcPr>
            <w:tcW w:w="1829" w:type="dxa"/>
            <w:tcBorders>
              <w:top w:val="nil"/>
              <w:left w:val="nil"/>
              <w:bottom w:val="nil"/>
              <w:right w:val="nil"/>
            </w:tcBorders>
            <w:shd w:val="clear" w:color="auto" w:fill="auto"/>
            <w:vAlign w:val="bottom"/>
          </w:tcPr>
          <w:p w14:paraId="7E13BDD6"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9.5</w:t>
            </w:r>
          </w:p>
        </w:tc>
      </w:tr>
      <w:tr w:rsidR="003B31F2" w:rsidRPr="004C0D35" w14:paraId="15B64EFA" w14:textId="77777777" w:rsidTr="00A16754">
        <w:trPr>
          <w:trHeight w:val="288"/>
        </w:trPr>
        <w:tc>
          <w:tcPr>
            <w:tcW w:w="2160" w:type="dxa"/>
            <w:tcBorders>
              <w:top w:val="nil"/>
              <w:left w:val="nil"/>
              <w:bottom w:val="nil"/>
              <w:right w:val="nil"/>
            </w:tcBorders>
            <w:shd w:val="clear" w:color="auto" w:fill="auto"/>
            <w:vAlign w:val="bottom"/>
          </w:tcPr>
          <w:p w14:paraId="3BF3E0B2"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Marshall Islands</w:t>
            </w:r>
          </w:p>
        </w:tc>
        <w:tc>
          <w:tcPr>
            <w:tcW w:w="1829" w:type="dxa"/>
            <w:tcBorders>
              <w:top w:val="nil"/>
              <w:left w:val="nil"/>
              <w:bottom w:val="nil"/>
              <w:right w:val="nil"/>
            </w:tcBorders>
            <w:shd w:val="clear" w:color="auto" w:fill="auto"/>
            <w:vAlign w:val="bottom"/>
          </w:tcPr>
          <w:p w14:paraId="15FFE9B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9.4583333</w:t>
            </w:r>
          </w:p>
        </w:tc>
      </w:tr>
      <w:tr w:rsidR="003B31F2" w:rsidRPr="004C0D35" w14:paraId="51A191E1" w14:textId="77777777" w:rsidTr="00A16754">
        <w:trPr>
          <w:trHeight w:val="315"/>
        </w:trPr>
        <w:tc>
          <w:tcPr>
            <w:tcW w:w="2160" w:type="dxa"/>
            <w:tcBorders>
              <w:top w:val="nil"/>
              <w:left w:val="nil"/>
              <w:bottom w:val="nil"/>
              <w:right w:val="nil"/>
            </w:tcBorders>
            <w:shd w:val="clear" w:color="auto" w:fill="auto"/>
            <w:vAlign w:val="bottom"/>
          </w:tcPr>
          <w:p w14:paraId="0E008E7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Idaho</w:t>
            </w:r>
          </w:p>
        </w:tc>
        <w:tc>
          <w:tcPr>
            <w:tcW w:w="1829" w:type="dxa"/>
            <w:tcBorders>
              <w:top w:val="nil"/>
              <w:left w:val="nil"/>
              <w:bottom w:val="nil"/>
              <w:right w:val="nil"/>
            </w:tcBorders>
            <w:shd w:val="clear" w:color="auto" w:fill="auto"/>
            <w:vAlign w:val="bottom"/>
          </w:tcPr>
          <w:p w14:paraId="4665FCD7"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9.0833333</w:t>
            </w:r>
          </w:p>
        </w:tc>
      </w:tr>
      <w:tr w:rsidR="003B31F2" w:rsidRPr="004C0D35" w14:paraId="2531F0AF" w14:textId="77777777" w:rsidTr="00A16754">
        <w:trPr>
          <w:trHeight w:val="315"/>
        </w:trPr>
        <w:tc>
          <w:tcPr>
            <w:tcW w:w="2160" w:type="dxa"/>
            <w:tcBorders>
              <w:top w:val="nil"/>
              <w:left w:val="nil"/>
              <w:bottom w:val="nil"/>
              <w:right w:val="nil"/>
            </w:tcBorders>
            <w:shd w:val="clear" w:color="auto" w:fill="auto"/>
            <w:vAlign w:val="bottom"/>
          </w:tcPr>
          <w:p w14:paraId="3E66536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Isle of Man</w:t>
            </w:r>
          </w:p>
        </w:tc>
        <w:tc>
          <w:tcPr>
            <w:tcW w:w="1829" w:type="dxa"/>
            <w:tcBorders>
              <w:top w:val="nil"/>
              <w:left w:val="nil"/>
              <w:bottom w:val="nil"/>
              <w:right w:val="nil"/>
            </w:tcBorders>
            <w:shd w:val="clear" w:color="auto" w:fill="auto"/>
            <w:vAlign w:val="bottom"/>
          </w:tcPr>
          <w:p w14:paraId="769AA17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8.9166667</w:t>
            </w:r>
          </w:p>
        </w:tc>
      </w:tr>
      <w:tr w:rsidR="003B31F2" w:rsidRPr="004C0D35" w14:paraId="61E3A5E6" w14:textId="77777777" w:rsidTr="00A16754">
        <w:trPr>
          <w:trHeight w:val="315"/>
        </w:trPr>
        <w:tc>
          <w:tcPr>
            <w:tcW w:w="2160" w:type="dxa"/>
            <w:tcBorders>
              <w:top w:val="nil"/>
              <w:left w:val="nil"/>
              <w:bottom w:val="nil"/>
              <w:right w:val="nil"/>
            </w:tcBorders>
            <w:shd w:val="clear" w:color="auto" w:fill="auto"/>
            <w:vAlign w:val="bottom"/>
          </w:tcPr>
          <w:p w14:paraId="07EB2CF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Hawaii</w:t>
            </w:r>
          </w:p>
        </w:tc>
        <w:tc>
          <w:tcPr>
            <w:tcW w:w="1829" w:type="dxa"/>
            <w:tcBorders>
              <w:top w:val="nil"/>
              <w:left w:val="nil"/>
              <w:bottom w:val="nil"/>
              <w:right w:val="nil"/>
            </w:tcBorders>
            <w:shd w:val="clear" w:color="auto" w:fill="auto"/>
            <w:vAlign w:val="bottom"/>
          </w:tcPr>
          <w:p w14:paraId="6427B1F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8.75</w:t>
            </w:r>
          </w:p>
        </w:tc>
      </w:tr>
      <w:tr w:rsidR="003B31F2" w:rsidRPr="004C0D35" w14:paraId="5BE0CE47" w14:textId="77777777" w:rsidTr="00A16754">
        <w:trPr>
          <w:trHeight w:val="315"/>
        </w:trPr>
        <w:tc>
          <w:tcPr>
            <w:tcW w:w="2160" w:type="dxa"/>
            <w:tcBorders>
              <w:top w:val="nil"/>
              <w:left w:val="nil"/>
              <w:bottom w:val="nil"/>
              <w:right w:val="nil"/>
            </w:tcBorders>
            <w:shd w:val="clear" w:color="auto" w:fill="auto"/>
            <w:vAlign w:val="bottom"/>
          </w:tcPr>
          <w:p w14:paraId="75605FD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Japan</w:t>
            </w:r>
          </w:p>
        </w:tc>
        <w:tc>
          <w:tcPr>
            <w:tcW w:w="1829" w:type="dxa"/>
            <w:tcBorders>
              <w:top w:val="nil"/>
              <w:left w:val="nil"/>
              <w:bottom w:val="nil"/>
              <w:right w:val="nil"/>
            </w:tcBorders>
            <w:shd w:val="clear" w:color="auto" w:fill="auto"/>
            <w:vAlign w:val="bottom"/>
          </w:tcPr>
          <w:p w14:paraId="0D499B8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8.75</w:t>
            </w:r>
          </w:p>
        </w:tc>
      </w:tr>
      <w:tr w:rsidR="003B31F2" w:rsidRPr="004C0D35" w14:paraId="262A9EF2" w14:textId="77777777" w:rsidTr="00A16754">
        <w:trPr>
          <w:trHeight w:val="315"/>
        </w:trPr>
        <w:tc>
          <w:tcPr>
            <w:tcW w:w="2160" w:type="dxa"/>
            <w:tcBorders>
              <w:top w:val="nil"/>
              <w:left w:val="nil"/>
              <w:bottom w:val="nil"/>
              <w:right w:val="nil"/>
            </w:tcBorders>
            <w:shd w:val="clear" w:color="auto" w:fill="auto"/>
            <w:vAlign w:val="bottom"/>
          </w:tcPr>
          <w:p w14:paraId="5A566F2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Grenada</w:t>
            </w:r>
          </w:p>
        </w:tc>
        <w:tc>
          <w:tcPr>
            <w:tcW w:w="1829" w:type="dxa"/>
            <w:tcBorders>
              <w:top w:val="nil"/>
              <w:left w:val="nil"/>
              <w:bottom w:val="nil"/>
              <w:right w:val="nil"/>
            </w:tcBorders>
            <w:shd w:val="clear" w:color="auto" w:fill="auto"/>
            <w:vAlign w:val="bottom"/>
          </w:tcPr>
          <w:p w14:paraId="40F2301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8.6666667</w:t>
            </w:r>
          </w:p>
        </w:tc>
      </w:tr>
      <w:tr w:rsidR="003B31F2" w:rsidRPr="004C0D35" w14:paraId="296844A6" w14:textId="77777777" w:rsidTr="00A16754">
        <w:trPr>
          <w:trHeight w:val="315"/>
        </w:trPr>
        <w:tc>
          <w:tcPr>
            <w:tcW w:w="2160" w:type="dxa"/>
            <w:tcBorders>
              <w:top w:val="nil"/>
              <w:left w:val="nil"/>
              <w:bottom w:val="nil"/>
              <w:right w:val="nil"/>
            </w:tcBorders>
            <w:shd w:val="clear" w:color="auto" w:fill="auto"/>
            <w:vAlign w:val="bottom"/>
          </w:tcPr>
          <w:p w14:paraId="4C20682E"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Antigua and Barbuda</w:t>
            </w:r>
          </w:p>
        </w:tc>
        <w:tc>
          <w:tcPr>
            <w:tcW w:w="1829" w:type="dxa"/>
            <w:tcBorders>
              <w:top w:val="nil"/>
              <w:left w:val="nil"/>
              <w:bottom w:val="nil"/>
              <w:right w:val="nil"/>
            </w:tcBorders>
            <w:shd w:val="clear" w:color="auto" w:fill="auto"/>
            <w:vAlign w:val="bottom"/>
          </w:tcPr>
          <w:p w14:paraId="1249846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8.5</w:t>
            </w:r>
          </w:p>
        </w:tc>
      </w:tr>
      <w:tr w:rsidR="003B31F2" w:rsidRPr="004C0D35" w14:paraId="33657D1C" w14:textId="77777777" w:rsidTr="00A16754">
        <w:trPr>
          <w:trHeight w:val="288"/>
        </w:trPr>
        <w:tc>
          <w:tcPr>
            <w:tcW w:w="2160" w:type="dxa"/>
            <w:tcBorders>
              <w:top w:val="nil"/>
              <w:left w:val="nil"/>
              <w:bottom w:val="nil"/>
              <w:right w:val="nil"/>
            </w:tcBorders>
            <w:shd w:val="clear" w:color="auto" w:fill="auto"/>
            <w:vAlign w:val="bottom"/>
          </w:tcPr>
          <w:p w14:paraId="201E4BC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San Marino</w:t>
            </w:r>
          </w:p>
        </w:tc>
        <w:tc>
          <w:tcPr>
            <w:tcW w:w="1829" w:type="dxa"/>
            <w:tcBorders>
              <w:top w:val="nil"/>
              <w:left w:val="nil"/>
              <w:bottom w:val="nil"/>
              <w:right w:val="nil"/>
            </w:tcBorders>
            <w:shd w:val="clear" w:color="auto" w:fill="auto"/>
            <w:vAlign w:val="bottom"/>
          </w:tcPr>
          <w:p w14:paraId="454CEE7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8.5</w:t>
            </w:r>
          </w:p>
        </w:tc>
      </w:tr>
      <w:tr w:rsidR="003B31F2" w:rsidRPr="004C0D35" w14:paraId="65372333" w14:textId="77777777" w:rsidTr="00A16754">
        <w:trPr>
          <w:trHeight w:val="315"/>
        </w:trPr>
        <w:tc>
          <w:tcPr>
            <w:tcW w:w="2160" w:type="dxa"/>
            <w:tcBorders>
              <w:top w:val="nil"/>
              <w:left w:val="nil"/>
              <w:bottom w:val="nil"/>
              <w:right w:val="nil"/>
            </w:tcBorders>
            <w:shd w:val="clear" w:color="auto" w:fill="auto"/>
            <w:vAlign w:val="bottom"/>
          </w:tcPr>
          <w:p w14:paraId="577D7D4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South Australia</w:t>
            </w:r>
          </w:p>
        </w:tc>
        <w:tc>
          <w:tcPr>
            <w:tcW w:w="1829" w:type="dxa"/>
            <w:tcBorders>
              <w:top w:val="nil"/>
              <w:left w:val="nil"/>
              <w:bottom w:val="nil"/>
              <w:right w:val="nil"/>
            </w:tcBorders>
            <w:shd w:val="clear" w:color="auto" w:fill="auto"/>
            <w:vAlign w:val="bottom"/>
          </w:tcPr>
          <w:p w14:paraId="043AF78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8.3333333</w:t>
            </w:r>
          </w:p>
        </w:tc>
      </w:tr>
      <w:tr w:rsidR="003B31F2" w:rsidRPr="004C0D35" w14:paraId="656A3C7D" w14:textId="77777777" w:rsidTr="00A16754">
        <w:trPr>
          <w:trHeight w:val="315"/>
        </w:trPr>
        <w:tc>
          <w:tcPr>
            <w:tcW w:w="2160" w:type="dxa"/>
            <w:tcBorders>
              <w:top w:val="nil"/>
              <w:left w:val="nil"/>
              <w:bottom w:val="nil"/>
              <w:right w:val="nil"/>
            </w:tcBorders>
            <w:shd w:val="clear" w:color="auto" w:fill="auto"/>
            <w:vAlign w:val="bottom"/>
          </w:tcPr>
          <w:p w14:paraId="0F4E52F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Louisiana</w:t>
            </w:r>
          </w:p>
        </w:tc>
        <w:tc>
          <w:tcPr>
            <w:tcW w:w="1829" w:type="dxa"/>
            <w:tcBorders>
              <w:top w:val="nil"/>
              <w:left w:val="nil"/>
              <w:bottom w:val="nil"/>
              <w:right w:val="nil"/>
            </w:tcBorders>
            <w:shd w:val="clear" w:color="auto" w:fill="auto"/>
            <w:vAlign w:val="bottom"/>
          </w:tcPr>
          <w:p w14:paraId="4AD195B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8.1666667</w:t>
            </w:r>
          </w:p>
        </w:tc>
      </w:tr>
      <w:tr w:rsidR="003B31F2" w:rsidRPr="004C0D35" w14:paraId="51A1A112" w14:textId="77777777" w:rsidTr="00A16754">
        <w:trPr>
          <w:trHeight w:val="315"/>
        </w:trPr>
        <w:tc>
          <w:tcPr>
            <w:tcW w:w="2160" w:type="dxa"/>
            <w:tcBorders>
              <w:top w:val="nil"/>
              <w:left w:val="nil"/>
              <w:bottom w:val="nil"/>
              <w:right w:val="nil"/>
            </w:tcBorders>
            <w:shd w:val="clear" w:color="auto" w:fill="auto"/>
            <w:vAlign w:val="bottom"/>
          </w:tcPr>
          <w:p w14:paraId="379F768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Cyprus</w:t>
            </w:r>
          </w:p>
        </w:tc>
        <w:tc>
          <w:tcPr>
            <w:tcW w:w="1829" w:type="dxa"/>
            <w:tcBorders>
              <w:top w:val="nil"/>
              <w:left w:val="nil"/>
              <w:bottom w:val="nil"/>
              <w:right w:val="nil"/>
            </w:tcBorders>
            <w:shd w:val="clear" w:color="auto" w:fill="auto"/>
            <w:vAlign w:val="bottom"/>
          </w:tcPr>
          <w:p w14:paraId="7B93013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8.125</w:t>
            </w:r>
          </w:p>
        </w:tc>
      </w:tr>
      <w:tr w:rsidR="003B31F2" w:rsidRPr="004C0D35" w14:paraId="008CA094" w14:textId="77777777" w:rsidTr="00A16754">
        <w:trPr>
          <w:trHeight w:val="315"/>
        </w:trPr>
        <w:tc>
          <w:tcPr>
            <w:tcW w:w="2160" w:type="dxa"/>
            <w:tcBorders>
              <w:top w:val="nil"/>
              <w:left w:val="nil"/>
              <w:bottom w:val="nil"/>
              <w:right w:val="nil"/>
            </w:tcBorders>
            <w:shd w:val="clear" w:color="auto" w:fill="auto"/>
            <w:vAlign w:val="bottom"/>
          </w:tcPr>
          <w:p w14:paraId="40AD1B8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Connecticut</w:t>
            </w:r>
          </w:p>
        </w:tc>
        <w:tc>
          <w:tcPr>
            <w:tcW w:w="1829" w:type="dxa"/>
            <w:tcBorders>
              <w:top w:val="nil"/>
              <w:left w:val="nil"/>
              <w:bottom w:val="nil"/>
              <w:right w:val="nil"/>
            </w:tcBorders>
            <w:shd w:val="clear" w:color="auto" w:fill="auto"/>
            <w:vAlign w:val="bottom"/>
          </w:tcPr>
          <w:p w14:paraId="4C05409D"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8.0833333</w:t>
            </w:r>
          </w:p>
        </w:tc>
      </w:tr>
      <w:tr w:rsidR="003B31F2" w:rsidRPr="004C0D35" w14:paraId="420A2AAA" w14:textId="77777777" w:rsidTr="00A16754">
        <w:trPr>
          <w:trHeight w:val="315"/>
        </w:trPr>
        <w:tc>
          <w:tcPr>
            <w:tcW w:w="2160" w:type="dxa"/>
            <w:tcBorders>
              <w:top w:val="nil"/>
              <w:left w:val="nil"/>
              <w:bottom w:val="nil"/>
              <w:right w:val="nil"/>
            </w:tcBorders>
            <w:shd w:val="clear" w:color="auto" w:fill="auto"/>
            <w:vAlign w:val="bottom"/>
          </w:tcPr>
          <w:p w14:paraId="2DF9039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Seychelles</w:t>
            </w:r>
          </w:p>
        </w:tc>
        <w:tc>
          <w:tcPr>
            <w:tcW w:w="1829" w:type="dxa"/>
            <w:tcBorders>
              <w:top w:val="nil"/>
              <w:left w:val="nil"/>
              <w:bottom w:val="nil"/>
              <w:right w:val="nil"/>
            </w:tcBorders>
            <w:shd w:val="clear" w:color="auto" w:fill="auto"/>
            <w:vAlign w:val="bottom"/>
          </w:tcPr>
          <w:p w14:paraId="450A953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8</w:t>
            </w:r>
          </w:p>
        </w:tc>
      </w:tr>
      <w:tr w:rsidR="003B31F2" w:rsidRPr="004C0D35" w14:paraId="27709FAF" w14:textId="77777777" w:rsidTr="00A16754">
        <w:trPr>
          <w:trHeight w:val="315"/>
        </w:trPr>
        <w:tc>
          <w:tcPr>
            <w:tcW w:w="2160" w:type="dxa"/>
            <w:tcBorders>
              <w:top w:val="nil"/>
              <w:left w:val="nil"/>
              <w:bottom w:val="nil"/>
              <w:right w:val="nil"/>
            </w:tcBorders>
            <w:shd w:val="clear" w:color="auto" w:fill="auto"/>
            <w:vAlign w:val="bottom"/>
          </w:tcPr>
          <w:p w14:paraId="1B13A43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 Zealand</w:t>
            </w:r>
          </w:p>
        </w:tc>
        <w:tc>
          <w:tcPr>
            <w:tcW w:w="1829" w:type="dxa"/>
            <w:tcBorders>
              <w:top w:val="nil"/>
              <w:left w:val="nil"/>
              <w:bottom w:val="nil"/>
              <w:right w:val="nil"/>
            </w:tcBorders>
            <w:shd w:val="clear" w:color="auto" w:fill="auto"/>
            <w:vAlign w:val="bottom"/>
          </w:tcPr>
          <w:p w14:paraId="5B8F670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7.91667</w:t>
            </w:r>
          </w:p>
        </w:tc>
      </w:tr>
      <w:tr w:rsidR="003B31F2" w:rsidRPr="004C0D35" w14:paraId="7D3CC667" w14:textId="77777777" w:rsidTr="00A16754">
        <w:trPr>
          <w:trHeight w:val="315"/>
        </w:trPr>
        <w:tc>
          <w:tcPr>
            <w:tcW w:w="2160" w:type="dxa"/>
            <w:tcBorders>
              <w:top w:val="nil"/>
              <w:left w:val="nil"/>
              <w:bottom w:val="nil"/>
              <w:right w:val="nil"/>
            </w:tcBorders>
            <w:shd w:val="clear" w:color="auto" w:fill="auto"/>
            <w:vAlign w:val="bottom"/>
          </w:tcPr>
          <w:p w14:paraId="26AAC72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Nevis</w:t>
            </w:r>
          </w:p>
        </w:tc>
        <w:tc>
          <w:tcPr>
            <w:tcW w:w="1829" w:type="dxa"/>
            <w:tcBorders>
              <w:top w:val="nil"/>
              <w:left w:val="nil"/>
              <w:bottom w:val="nil"/>
              <w:right w:val="nil"/>
            </w:tcBorders>
            <w:shd w:val="clear" w:color="auto" w:fill="auto"/>
            <w:vAlign w:val="bottom"/>
          </w:tcPr>
          <w:p w14:paraId="00A60C9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7.79167</w:t>
            </w:r>
          </w:p>
        </w:tc>
      </w:tr>
      <w:tr w:rsidR="003B31F2" w:rsidRPr="004C0D35" w14:paraId="1543A84F" w14:textId="77777777" w:rsidTr="00A16754">
        <w:trPr>
          <w:trHeight w:val="315"/>
        </w:trPr>
        <w:tc>
          <w:tcPr>
            <w:tcW w:w="2160" w:type="dxa"/>
            <w:tcBorders>
              <w:top w:val="nil"/>
              <w:left w:val="nil"/>
              <w:bottom w:val="nil"/>
              <w:right w:val="nil"/>
            </w:tcBorders>
            <w:shd w:val="clear" w:color="auto" w:fill="auto"/>
            <w:vAlign w:val="bottom"/>
          </w:tcPr>
          <w:p w14:paraId="1F94524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Queensland</w:t>
            </w:r>
          </w:p>
        </w:tc>
        <w:tc>
          <w:tcPr>
            <w:tcW w:w="1829" w:type="dxa"/>
            <w:tcBorders>
              <w:top w:val="nil"/>
              <w:left w:val="nil"/>
              <w:bottom w:val="nil"/>
              <w:right w:val="nil"/>
            </w:tcBorders>
            <w:shd w:val="clear" w:color="auto" w:fill="auto"/>
            <w:vAlign w:val="bottom"/>
          </w:tcPr>
          <w:p w14:paraId="18266D8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7.75</w:t>
            </w:r>
          </w:p>
        </w:tc>
      </w:tr>
      <w:tr w:rsidR="003B31F2" w:rsidRPr="004C0D35" w14:paraId="57F97D28" w14:textId="77777777" w:rsidTr="00A16754">
        <w:trPr>
          <w:trHeight w:val="315"/>
        </w:trPr>
        <w:tc>
          <w:tcPr>
            <w:tcW w:w="2160" w:type="dxa"/>
            <w:tcBorders>
              <w:top w:val="nil"/>
              <w:left w:val="nil"/>
              <w:bottom w:val="nil"/>
              <w:right w:val="nil"/>
            </w:tcBorders>
            <w:shd w:val="clear" w:color="auto" w:fill="auto"/>
            <w:vAlign w:val="bottom"/>
          </w:tcPr>
          <w:p w14:paraId="5F9CAC4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Cook Islands</w:t>
            </w:r>
          </w:p>
        </w:tc>
        <w:tc>
          <w:tcPr>
            <w:tcW w:w="1829" w:type="dxa"/>
            <w:tcBorders>
              <w:top w:val="nil"/>
              <w:left w:val="nil"/>
              <w:bottom w:val="nil"/>
              <w:right w:val="nil"/>
            </w:tcBorders>
            <w:shd w:val="clear" w:color="auto" w:fill="auto"/>
            <w:vAlign w:val="bottom"/>
          </w:tcPr>
          <w:p w14:paraId="1888ED04"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7.5</w:t>
            </w:r>
          </w:p>
        </w:tc>
      </w:tr>
      <w:tr w:rsidR="003B31F2" w:rsidRPr="004C0D35" w14:paraId="0F41481C" w14:textId="77777777" w:rsidTr="00A16754">
        <w:trPr>
          <w:trHeight w:val="315"/>
        </w:trPr>
        <w:tc>
          <w:tcPr>
            <w:tcW w:w="2160" w:type="dxa"/>
            <w:tcBorders>
              <w:top w:val="nil"/>
              <w:left w:val="nil"/>
              <w:bottom w:val="nil"/>
              <w:right w:val="nil"/>
            </w:tcBorders>
            <w:shd w:val="clear" w:color="auto" w:fill="auto"/>
            <w:vAlign w:val="bottom"/>
          </w:tcPr>
          <w:p w14:paraId="1943450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Australian Capital Territory</w:t>
            </w:r>
          </w:p>
        </w:tc>
        <w:tc>
          <w:tcPr>
            <w:tcW w:w="1829" w:type="dxa"/>
            <w:tcBorders>
              <w:top w:val="nil"/>
              <w:left w:val="nil"/>
              <w:bottom w:val="nil"/>
              <w:right w:val="nil"/>
            </w:tcBorders>
            <w:shd w:val="clear" w:color="auto" w:fill="auto"/>
            <w:vAlign w:val="bottom"/>
          </w:tcPr>
          <w:p w14:paraId="44BC84D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7.33333</w:t>
            </w:r>
          </w:p>
        </w:tc>
      </w:tr>
      <w:tr w:rsidR="003B31F2" w:rsidRPr="004C0D35" w14:paraId="0DC60C5F" w14:textId="77777777" w:rsidTr="00A16754">
        <w:trPr>
          <w:trHeight w:val="315"/>
        </w:trPr>
        <w:tc>
          <w:tcPr>
            <w:tcW w:w="2160" w:type="dxa"/>
            <w:tcBorders>
              <w:top w:val="nil"/>
              <w:left w:val="nil"/>
              <w:bottom w:val="nil"/>
              <w:right w:val="nil"/>
            </w:tcBorders>
            <w:shd w:val="clear" w:color="auto" w:fill="auto"/>
            <w:vAlign w:val="bottom"/>
          </w:tcPr>
          <w:p w14:paraId="56781464"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Western Australia</w:t>
            </w:r>
          </w:p>
        </w:tc>
        <w:tc>
          <w:tcPr>
            <w:tcW w:w="1829" w:type="dxa"/>
            <w:tcBorders>
              <w:top w:val="nil"/>
              <w:left w:val="nil"/>
              <w:bottom w:val="nil"/>
              <w:right w:val="nil"/>
            </w:tcBorders>
            <w:shd w:val="clear" w:color="auto" w:fill="auto"/>
            <w:vAlign w:val="bottom"/>
          </w:tcPr>
          <w:p w14:paraId="57B31F56"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7.25</w:t>
            </w:r>
          </w:p>
        </w:tc>
      </w:tr>
      <w:tr w:rsidR="003B31F2" w:rsidRPr="004C0D35" w14:paraId="754E0543" w14:textId="77777777" w:rsidTr="00A16754">
        <w:trPr>
          <w:trHeight w:val="315"/>
        </w:trPr>
        <w:tc>
          <w:tcPr>
            <w:tcW w:w="2160" w:type="dxa"/>
            <w:tcBorders>
              <w:top w:val="nil"/>
              <w:left w:val="nil"/>
              <w:bottom w:val="nil"/>
              <w:right w:val="nil"/>
            </w:tcBorders>
            <w:shd w:val="clear" w:color="auto" w:fill="auto"/>
            <w:vAlign w:val="bottom"/>
          </w:tcPr>
          <w:p w14:paraId="01D5621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Hong Kong</w:t>
            </w:r>
          </w:p>
        </w:tc>
        <w:tc>
          <w:tcPr>
            <w:tcW w:w="1829" w:type="dxa"/>
            <w:tcBorders>
              <w:top w:val="nil"/>
              <w:left w:val="nil"/>
              <w:bottom w:val="nil"/>
              <w:right w:val="nil"/>
            </w:tcBorders>
            <w:shd w:val="clear" w:color="auto" w:fill="auto"/>
            <w:vAlign w:val="bottom"/>
          </w:tcPr>
          <w:p w14:paraId="7220F46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7.16667</w:t>
            </w:r>
          </w:p>
        </w:tc>
      </w:tr>
      <w:tr w:rsidR="003B31F2" w:rsidRPr="004C0D35" w14:paraId="312879D3" w14:textId="77777777" w:rsidTr="00A16754">
        <w:trPr>
          <w:trHeight w:val="315"/>
        </w:trPr>
        <w:tc>
          <w:tcPr>
            <w:tcW w:w="2160" w:type="dxa"/>
            <w:tcBorders>
              <w:top w:val="nil"/>
              <w:left w:val="nil"/>
              <w:bottom w:val="nil"/>
              <w:right w:val="nil"/>
            </w:tcBorders>
            <w:shd w:val="clear" w:color="auto" w:fill="auto"/>
            <w:vAlign w:val="bottom"/>
          </w:tcPr>
          <w:p w14:paraId="4D2CE26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Northern Ireland</w:t>
            </w:r>
          </w:p>
        </w:tc>
        <w:tc>
          <w:tcPr>
            <w:tcW w:w="1829" w:type="dxa"/>
            <w:tcBorders>
              <w:top w:val="nil"/>
              <w:left w:val="nil"/>
              <w:bottom w:val="nil"/>
              <w:right w:val="nil"/>
            </w:tcBorders>
            <w:shd w:val="clear" w:color="auto" w:fill="auto"/>
            <w:vAlign w:val="bottom"/>
          </w:tcPr>
          <w:p w14:paraId="4DF7A95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7.16667</w:t>
            </w:r>
          </w:p>
        </w:tc>
      </w:tr>
      <w:tr w:rsidR="003B31F2" w:rsidRPr="004C0D35" w14:paraId="4FF82B73" w14:textId="77777777" w:rsidTr="00A16754">
        <w:trPr>
          <w:trHeight w:val="315"/>
        </w:trPr>
        <w:tc>
          <w:tcPr>
            <w:tcW w:w="2160" w:type="dxa"/>
            <w:tcBorders>
              <w:top w:val="nil"/>
              <w:left w:val="nil"/>
              <w:bottom w:val="nil"/>
              <w:right w:val="nil"/>
            </w:tcBorders>
            <w:shd w:val="clear" w:color="auto" w:fill="auto"/>
            <w:vAlign w:val="bottom"/>
          </w:tcPr>
          <w:p w14:paraId="78D659D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 Brunswick</w:t>
            </w:r>
          </w:p>
        </w:tc>
        <w:tc>
          <w:tcPr>
            <w:tcW w:w="1829" w:type="dxa"/>
            <w:tcBorders>
              <w:top w:val="nil"/>
              <w:left w:val="nil"/>
              <w:bottom w:val="nil"/>
              <w:right w:val="nil"/>
            </w:tcBorders>
            <w:shd w:val="clear" w:color="auto" w:fill="auto"/>
            <w:vAlign w:val="bottom"/>
          </w:tcPr>
          <w:p w14:paraId="52422E54"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7</w:t>
            </w:r>
          </w:p>
        </w:tc>
      </w:tr>
      <w:tr w:rsidR="003B31F2" w:rsidRPr="004C0D35" w14:paraId="0543613F" w14:textId="77777777" w:rsidTr="00A16754">
        <w:trPr>
          <w:trHeight w:val="315"/>
        </w:trPr>
        <w:tc>
          <w:tcPr>
            <w:tcW w:w="2160" w:type="dxa"/>
            <w:tcBorders>
              <w:top w:val="nil"/>
              <w:left w:val="nil"/>
              <w:bottom w:val="nil"/>
              <w:right w:val="nil"/>
            </w:tcBorders>
            <w:shd w:val="clear" w:color="auto" w:fill="auto"/>
            <w:vAlign w:val="bottom"/>
          </w:tcPr>
          <w:p w14:paraId="7EA7B9E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Barbados</w:t>
            </w:r>
          </w:p>
        </w:tc>
        <w:tc>
          <w:tcPr>
            <w:tcW w:w="1829" w:type="dxa"/>
            <w:tcBorders>
              <w:top w:val="nil"/>
              <w:left w:val="nil"/>
              <w:bottom w:val="nil"/>
              <w:right w:val="nil"/>
            </w:tcBorders>
            <w:shd w:val="clear" w:color="auto" w:fill="auto"/>
            <w:vAlign w:val="bottom"/>
          </w:tcPr>
          <w:p w14:paraId="0394F9E4"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6.95833</w:t>
            </w:r>
          </w:p>
        </w:tc>
      </w:tr>
      <w:tr w:rsidR="003B31F2" w:rsidRPr="004C0D35" w14:paraId="404F11D7" w14:textId="77777777" w:rsidTr="00A16754">
        <w:trPr>
          <w:trHeight w:val="315"/>
        </w:trPr>
        <w:tc>
          <w:tcPr>
            <w:tcW w:w="2160" w:type="dxa"/>
            <w:tcBorders>
              <w:top w:val="nil"/>
              <w:left w:val="nil"/>
              <w:bottom w:val="nil"/>
              <w:right w:val="nil"/>
            </w:tcBorders>
            <w:shd w:val="clear" w:color="auto" w:fill="auto"/>
            <w:vAlign w:val="bottom"/>
          </w:tcPr>
          <w:p w14:paraId="04F650F5"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Saint Lucia</w:t>
            </w:r>
          </w:p>
        </w:tc>
        <w:tc>
          <w:tcPr>
            <w:tcW w:w="1829" w:type="dxa"/>
            <w:tcBorders>
              <w:top w:val="nil"/>
              <w:left w:val="nil"/>
              <w:bottom w:val="nil"/>
              <w:right w:val="nil"/>
            </w:tcBorders>
            <w:shd w:val="clear" w:color="auto" w:fill="auto"/>
            <w:vAlign w:val="bottom"/>
          </w:tcPr>
          <w:p w14:paraId="788C7AC7"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6.95833</w:t>
            </w:r>
          </w:p>
        </w:tc>
      </w:tr>
      <w:tr w:rsidR="003B31F2" w:rsidRPr="004C0D35" w14:paraId="1C3BFB60" w14:textId="77777777" w:rsidTr="00A16754">
        <w:trPr>
          <w:trHeight w:val="315"/>
        </w:trPr>
        <w:tc>
          <w:tcPr>
            <w:tcW w:w="2160" w:type="dxa"/>
            <w:tcBorders>
              <w:top w:val="nil"/>
              <w:left w:val="nil"/>
              <w:bottom w:val="nil"/>
              <w:right w:val="nil"/>
            </w:tcBorders>
            <w:shd w:val="clear" w:color="auto" w:fill="auto"/>
            <w:vAlign w:val="bottom"/>
          </w:tcPr>
          <w:p w14:paraId="346C2E2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Puerto Rico</w:t>
            </w:r>
          </w:p>
        </w:tc>
        <w:tc>
          <w:tcPr>
            <w:tcW w:w="1829" w:type="dxa"/>
            <w:tcBorders>
              <w:top w:val="nil"/>
              <w:left w:val="nil"/>
              <w:bottom w:val="nil"/>
              <w:right w:val="nil"/>
            </w:tcBorders>
            <w:shd w:val="clear" w:color="auto" w:fill="auto"/>
            <w:vAlign w:val="bottom"/>
          </w:tcPr>
          <w:p w14:paraId="3533B88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6.83333</w:t>
            </w:r>
          </w:p>
        </w:tc>
      </w:tr>
      <w:tr w:rsidR="003B31F2" w:rsidRPr="004C0D35" w14:paraId="44CD6800" w14:textId="77777777" w:rsidTr="00A16754">
        <w:trPr>
          <w:trHeight w:val="315"/>
        </w:trPr>
        <w:tc>
          <w:tcPr>
            <w:tcW w:w="2160" w:type="dxa"/>
            <w:tcBorders>
              <w:top w:val="nil"/>
              <w:left w:val="nil"/>
              <w:bottom w:val="nil"/>
              <w:right w:val="nil"/>
            </w:tcBorders>
            <w:shd w:val="clear" w:color="auto" w:fill="auto"/>
            <w:vAlign w:val="bottom"/>
          </w:tcPr>
          <w:p w14:paraId="442758E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Cayman Islands</w:t>
            </w:r>
          </w:p>
        </w:tc>
        <w:tc>
          <w:tcPr>
            <w:tcW w:w="1829" w:type="dxa"/>
            <w:tcBorders>
              <w:top w:val="nil"/>
              <w:left w:val="nil"/>
              <w:bottom w:val="nil"/>
              <w:right w:val="nil"/>
            </w:tcBorders>
            <w:shd w:val="clear" w:color="auto" w:fill="auto"/>
            <w:vAlign w:val="bottom"/>
          </w:tcPr>
          <w:p w14:paraId="348A9D9D"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6.75</w:t>
            </w:r>
          </w:p>
        </w:tc>
      </w:tr>
      <w:tr w:rsidR="003B31F2" w:rsidRPr="004C0D35" w14:paraId="1A1377E9" w14:textId="77777777" w:rsidTr="00A16754">
        <w:trPr>
          <w:trHeight w:val="315"/>
        </w:trPr>
        <w:tc>
          <w:tcPr>
            <w:tcW w:w="2160" w:type="dxa"/>
            <w:tcBorders>
              <w:top w:val="nil"/>
              <w:left w:val="nil"/>
              <w:bottom w:val="nil"/>
              <w:right w:val="nil"/>
            </w:tcBorders>
            <w:shd w:val="clear" w:color="auto" w:fill="auto"/>
            <w:vAlign w:val="bottom"/>
          </w:tcPr>
          <w:p w14:paraId="171BAB4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Dominican Republic</w:t>
            </w:r>
          </w:p>
        </w:tc>
        <w:tc>
          <w:tcPr>
            <w:tcW w:w="1829" w:type="dxa"/>
            <w:tcBorders>
              <w:top w:val="nil"/>
              <w:left w:val="nil"/>
              <w:bottom w:val="nil"/>
              <w:right w:val="nil"/>
            </w:tcBorders>
            <w:shd w:val="clear" w:color="auto" w:fill="auto"/>
            <w:vAlign w:val="bottom"/>
          </w:tcPr>
          <w:p w14:paraId="1B86B67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6.66667</w:t>
            </w:r>
          </w:p>
        </w:tc>
      </w:tr>
      <w:tr w:rsidR="003B31F2" w:rsidRPr="004C0D35" w14:paraId="46419B56" w14:textId="77777777" w:rsidTr="00A16754">
        <w:trPr>
          <w:trHeight w:val="315"/>
        </w:trPr>
        <w:tc>
          <w:tcPr>
            <w:tcW w:w="2160" w:type="dxa"/>
            <w:tcBorders>
              <w:top w:val="nil"/>
              <w:left w:val="nil"/>
              <w:bottom w:val="nil"/>
              <w:right w:val="nil"/>
            </w:tcBorders>
            <w:shd w:val="clear" w:color="auto" w:fill="auto"/>
            <w:vAlign w:val="bottom"/>
          </w:tcPr>
          <w:p w14:paraId="77EBD65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Israel</w:t>
            </w:r>
          </w:p>
        </w:tc>
        <w:tc>
          <w:tcPr>
            <w:tcW w:w="1829" w:type="dxa"/>
            <w:tcBorders>
              <w:top w:val="nil"/>
              <w:left w:val="nil"/>
              <w:bottom w:val="nil"/>
              <w:right w:val="nil"/>
            </w:tcBorders>
            <w:shd w:val="clear" w:color="auto" w:fill="auto"/>
            <w:vAlign w:val="bottom"/>
          </w:tcPr>
          <w:p w14:paraId="2D8AF0B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6.58333</w:t>
            </w:r>
          </w:p>
        </w:tc>
      </w:tr>
      <w:tr w:rsidR="003B31F2" w:rsidRPr="004C0D35" w14:paraId="14BD5F5F" w14:textId="77777777" w:rsidTr="00A16754">
        <w:trPr>
          <w:trHeight w:val="315"/>
        </w:trPr>
        <w:tc>
          <w:tcPr>
            <w:tcW w:w="2160" w:type="dxa"/>
            <w:tcBorders>
              <w:top w:val="nil"/>
              <w:left w:val="nil"/>
              <w:bottom w:val="nil"/>
              <w:right w:val="nil"/>
            </w:tcBorders>
            <w:shd w:val="clear" w:color="auto" w:fill="auto"/>
            <w:vAlign w:val="bottom"/>
          </w:tcPr>
          <w:p w14:paraId="5DF0F99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Victoria</w:t>
            </w:r>
          </w:p>
        </w:tc>
        <w:tc>
          <w:tcPr>
            <w:tcW w:w="1829" w:type="dxa"/>
            <w:tcBorders>
              <w:top w:val="nil"/>
              <w:left w:val="nil"/>
              <w:bottom w:val="nil"/>
              <w:right w:val="nil"/>
            </w:tcBorders>
            <w:shd w:val="clear" w:color="auto" w:fill="auto"/>
            <w:vAlign w:val="bottom"/>
          </w:tcPr>
          <w:p w14:paraId="00A3534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6.58333</w:t>
            </w:r>
          </w:p>
        </w:tc>
      </w:tr>
      <w:tr w:rsidR="003B31F2" w:rsidRPr="004C0D35" w14:paraId="0CB83EAB" w14:textId="77777777" w:rsidTr="00A16754">
        <w:trPr>
          <w:trHeight w:val="315"/>
        </w:trPr>
        <w:tc>
          <w:tcPr>
            <w:tcW w:w="2160" w:type="dxa"/>
            <w:tcBorders>
              <w:top w:val="nil"/>
              <w:left w:val="nil"/>
              <w:bottom w:val="nil"/>
              <w:right w:val="nil"/>
            </w:tcBorders>
            <w:shd w:val="clear" w:color="auto" w:fill="auto"/>
            <w:vAlign w:val="bottom"/>
          </w:tcPr>
          <w:p w14:paraId="40007DEE"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Saint Vincent and the Grenadines</w:t>
            </w:r>
          </w:p>
        </w:tc>
        <w:tc>
          <w:tcPr>
            <w:tcW w:w="1829" w:type="dxa"/>
            <w:tcBorders>
              <w:top w:val="nil"/>
              <w:left w:val="nil"/>
              <w:bottom w:val="nil"/>
              <w:right w:val="nil"/>
            </w:tcBorders>
            <w:shd w:val="clear" w:color="auto" w:fill="auto"/>
            <w:vAlign w:val="bottom"/>
          </w:tcPr>
          <w:p w14:paraId="6DEBDE3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6.41667</w:t>
            </w:r>
          </w:p>
        </w:tc>
      </w:tr>
      <w:tr w:rsidR="003B31F2" w:rsidRPr="004C0D35" w14:paraId="35D82C64" w14:textId="77777777" w:rsidTr="00A16754">
        <w:trPr>
          <w:trHeight w:val="315"/>
        </w:trPr>
        <w:tc>
          <w:tcPr>
            <w:tcW w:w="2160" w:type="dxa"/>
            <w:tcBorders>
              <w:top w:val="nil"/>
              <w:left w:val="nil"/>
              <w:bottom w:val="nil"/>
              <w:right w:val="nil"/>
            </w:tcBorders>
            <w:shd w:val="clear" w:color="auto" w:fill="auto"/>
            <w:vAlign w:val="bottom"/>
          </w:tcPr>
          <w:p w14:paraId="1348EE94"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England and Wales</w:t>
            </w:r>
          </w:p>
        </w:tc>
        <w:tc>
          <w:tcPr>
            <w:tcW w:w="1829" w:type="dxa"/>
            <w:tcBorders>
              <w:top w:val="nil"/>
              <w:left w:val="nil"/>
              <w:bottom w:val="nil"/>
              <w:right w:val="nil"/>
            </w:tcBorders>
            <w:shd w:val="clear" w:color="auto" w:fill="auto"/>
            <w:vAlign w:val="bottom"/>
          </w:tcPr>
          <w:p w14:paraId="6FF5700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6.25</w:t>
            </w:r>
          </w:p>
        </w:tc>
      </w:tr>
      <w:tr w:rsidR="003B31F2" w:rsidRPr="004C0D35" w14:paraId="14B75B59" w14:textId="77777777" w:rsidTr="00A16754">
        <w:trPr>
          <w:trHeight w:val="315"/>
        </w:trPr>
        <w:tc>
          <w:tcPr>
            <w:tcW w:w="2160" w:type="dxa"/>
            <w:tcBorders>
              <w:top w:val="nil"/>
              <w:left w:val="nil"/>
              <w:bottom w:val="nil"/>
              <w:right w:val="nil"/>
            </w:tcBorders>
            <w:shd w:val="clear" w:color="auto" w:fill="auto"/>
            <w:vAlign w:val="bottom"/>
          </w:tcPr>
          <w:p w14:paraId="412BBC7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Taiwan</w:t>
            </w:r>
          </w:p>
        </w:tc>
        <w:tc>
          <w:tcPr>
            <w:tcW w:w="1829" w:type="dxa"/>
            <w:tcBorders>
              <w:top w:val="nil"/>
              <w:left w:val="nil"/>
              <w:bottom w:val="nil"/>
              <w:right w:val="nil"/>
            </w:tcBorders>
            <w:shd w:val="clear" w:color="auto" w:fill="auto"/>
            <w:vAlign w:val="bottom"/>
          </w:tcPr>
          <w:p w14:paraId="45E8F2C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6.16667</w:t>
            </w:r>
          </w:p>
        </w:tc>
      </w:tr>
      <w:tr w:rsidR="003B31F2" w:rsidRPr="004C0D35" w14:paraId="21A74FF3" w14:textId="77777777" w:rsidTr="00A16754">
        <w:trPr>
          <w:trHeight w:val="315"/>
        </w:trPr>
        <w:tc>
          <w:tcPr>
            <w:tcW w:w="2160" w:type="dxa"/>
            <w:tcBorders>
              <w:top w:val="nil"/>
              <w:left w:val="nil"/>
              <w:bottom w:val="nil"/>
              <w:right w:val="nil"/>
            </w:tcBorders>
            <w:shd w:val="clear" w:color="auto" w:fill="auto"/>
            <w:vAlign w:val="bottom"/>
          </w:tcPr>
          <w:p w14:paraId="593813A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Singapore</w:t>
            </w:r>
          </w:p>
        </w:tc>
        <w:tc>
          <w:tcPr>
            <w:tcW w:w="1829" w:type="dxa"/>
            <w:tcBorders>
              <w:top w:val="nil"/>
              <w:left w:val="nil"/>
              <w:bottom w:val="nil"/>
              <w:right w:val="nil"/>
            </w:tcBorders>
            <w:shd w:val="clear" w:color="auto" w:fill="auto"/>
            <w:vAlign w:val="bottom"/>
          </w:tcPr>
          <w:p w14:paraId="575637C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6.08333</w:t>
            </w:r>
          </w:p>
        </w:tc>
      </w:tr>
      <w:tr w:rsidR="003B31F2" w:rsidRPr="004C0D35" w14:paraId="10A4E81A" w14:textId="77777777" w:rsidTr="00A16754">
        <w:trPr>
          <w:trHeight w:val="315"/>
        </w:trPr>
        <w:tc>
          <w:tcPr>
            <w:tcW w:w="2160" w:type="dxa"/>
            <w:tcBorders>
              <w:top w:val="nil"/>
              <w:left w:val="nil"/>
              <w:bottom w:val="nil"/>
              <w:right w:val="nil"/>
            </w:tcBorders>
            <w:shd w:val="clear" w:color="auto" w:fill="auto"/>
            <w:vAlign w:val="bottom"/>
          </w:tcPr>
          <w:p w14:paraId="2AB2D1A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 South Wales</w:t>
            </w:r>
          </w:p>
        </w:tc>
        <w:tc>
          <w:tcPr>
            <w:tcW w:w="1829" w:type="dxa"/>
            <w:tcBorders>
              <w:top w:val="nil"/>
              <w:left w:val="nil"/>
              <w:bottom w:val="nil"/>
              <w:right w:val="nil"/>
            </w:tcBorders>
            <w:shd w:val="clear" w:color="auto" w:fill="auto"/>
            <w:vAlign w:val="bottom"/>
          </w:tcPr>
          <w:p w14:paraId="2921CC3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5.83333</w:t>
            </w:r>
          </w:p>
        </w:tc>
      </w:tr>
      <w:tr w:rsidR="003B31F2" w:rsidRPr="004C0D35" w14:paraId="7F2E168E" w14:textId="77777777" w:rsidTr="00A16754">
        <w:trPr>
          <w:trHeight w:val="315"/>
        </w:trPr>
        <w:tc>
          <w:tcPr>
            <w:tcW w:w="2160" w:type="dxa"/>
            <w:tcBorders>
              <w:top w:val="nil"/>
              <w:left w:val="nil"/>
              <w:bottom w:val="nil"/>
              <w:right w:val="nil"/>
            </w:tcBorders>
            <w:shd w:val="clear" w:color="auto" w:fill="auto"/>
            <w:vAlign w:val="bottom"/>
          </w:tcPr>
          <w:p w14:paraId="2168D9CE"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Uruguay</w:t>
            </w:r>
          </w:p>
        </w:tc>
        <w:tc>
          <w:tcPr>
            <w:tcW w:w="1829" w:type="dxa"/>
            <w:tcBorders>
              <w:top w:val="nil"/>
              <w:left w:val="nil"/>
              <w:bottom w:val="nil"/>
              <w:right w:val="nil"/>
            </w:tcBorders>
            <w:shd w:val="clear" w:color="auto" w:fill="auto"/>
            <w:vAlign w:val="bottom"/>
          </w:tcPr>
          <w:p w14:paraId="4E787BB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5.75</w:t>
            </w:r>
          </w:p>
        </w:tc>
      </w:tr>
      <w:tr w:rsidR="003B31F2" w:rsidRPr="004C0D35" w14:paraId="3F198B40" w14:textId="77777777" w:rsidTr="00A16754">
        <w:trPr>
          <w:trHeight w:val="315"/>
        </w:trPr>
        <w:tc>
          <w:tcPr>
            <w:tcW w:w="2160" w:type="dxa"/>
            <w:tcBorders>
              <w:top w:val="nil"/>
              <w:left w:val="nil"/>
              <w:bottom w:val="nil"/>
              <w:right w:val="nil"/>
            </w:tcBorders>
            <w:shd w:val="clear" w:color="auto" w:fill="auto"/>
            <w:vAlign w:val="bottom"/>
          </w:tcPr>
          <w:p w14:paraId="26243CF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China</w:t>
            </w:r>
          </w:p>
        </w:tc>
        <w:tc>
          <w:tcPr>
            <w:tcW w:w="1829" w:type="dxa"/>
            <w:tcBorders>
              <w:top w:val="nil"/>
              <w:left w:val="nil"/>
              <w:bottom w:val="nil"/>
              <w:right w:val="nil"/>
            </w:tcBorders>
            <w:shd w:val="clear" w:color="auto" w:fill="auto"/>
            <w:vAlign w:val="bottom"/>
          </w:tcPr>
          <w:p w14:paraId="5742F764"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5.66667</w:t>
            </w:r>
          </w:p>
        </w:tc>
      </w:tr>
      <w:tr w:rsidR="003B31F2" w:rsidRPr="004C0D35" w14:paraId="30FAE96C" w14:textId="77777777" w:rsidTr="00A16754">
        <w:trPr>
          <w:trHeight w:val="315"/>
        </w:trPr>
        <w:tc>
          <w:tcPr>
            <w:tcW w:w="2160" w:type="dxa"/>
            <w:tcBorders>
              <w:top w:val="nil"/>
              <w:left w:val="nil"/>
              <w:bottom w:val="nil"/>
              <w:right w:val="nil"/>
            </w:tcBorders>
            <w:shd w:val="clear" w:color="auto" w:fill="auto"/>
            <w:vAlign w:val="bottom"/>
          </w:tcPr>
          <w:p w14:paraId="51FFDA82"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Saskatchewan</w:t>
            </w:r>
          </w:p>
        </w:tc>
        <w:tc>
          <w:tcPr>
            <w:tcW w:w="1829" w:type="dxa"/>
            <w:tcBorders>
              <w:top w:val="nil"/>
              <w:left w:val="nil"/>
              <w:bottom w:val="nil"/>
              <w:right w:val="nil"/>
            </w:tcBorders>
            <w:shd w:val="clear" w:color="auto" w:fill="auto"/>
            <w:vAlign w:val="bottom"/>
          </w:tcPr>
          <w:p w14:paraId="5F6E9946"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5.66667</w:t>
            </w:r>
          </w:p>
        </w:tc>
      </w:tr>
      <w:tr w:rsidR="003B31F2" w:rsidRPr="004C0D35" w14:paraId="4F34D93E" w14:textId="77777777" w:rsidTr="00A16754">
        <w:trPr>
          <w:trHeight w:val="315"/>
        </w:trPr>
        <w:tc>
          <w:tcPr>
            <w:tcW w:w="2160" w:type="dxa"/>
            <w:tcBorders>
              <w:top w:val="nil"/>
              <w:left w:val="nil"/>
              <w:bottom w:val="nil"/>
              <w:right w:val="nil"/>
            </w:tcBorders>
            <w:shd w:val="clear" w:color="auto" w:fill="auto"/>
            <w:vAlign w:val="bottom"/>
          </w:tcPr>
          <w:p w14:paraId="24D9A9A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Dominica</w:t>
            </w:r>
          </w:p>
        </w:tc>
        <w:tc>
          <w:tcPr>
            <w:tcW w:w="1829" w:type="dxa"/>
            <w:tcBorders>
              <w:top w:val="nil"/>
              <w:left w:val="nil"/>
              <w:bottom w:val="nil"/>
              <w:right w:val="nil"/>
            </w:tcBorders>
            <w:shd w:val="clear" w:color="auto" w:fill="auto"/>
            <w:vAlign w:val="bottom"/>
          </w:tcPr>
          <w:p w14:paraId="4D4E4834"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5.58333</w:t>
            </w:r>
          </w:p>
        </w:tc>
      </w:tr>
      <w:tr w:rsidR="003B31F2" w:rsidRPr="004C0D35" w14:paraId="4B10A51D" w14:textId="77777777" w:rsidTr="00A16754">
        <w:trPr>
          <w:trHeight w:val="315"/>
        </w:trPr>
        <w:tc>
          <w:tcPr>
            <w:tcW w:w="2160" w:type="dxa"/>
            <w:tcBorders>
              <w:top w:val="nil"/>
              <w:left w:val="nil"/>
              <w:bottom w:val="nil"/>
              <w:right w:val="nil"/>
            </w:tcBorders>
            <w:shd w:val="clear" w:color="auto" w:fill="auto"/>
            <w:vAlign w:val="bottom"/>
          </w:tcPr>
          <w:p w14:paraId="397EFE02"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Quebec</w:t>
            </w:r>
          </w:p>
        </w:tc>
        <w:tc>
          <w:tcPr>
            <w:tcW w:w="1829" w:type="dxa"/>
            <w:tcBorders>
              <w:top w:val="nil"/>
              <w:left w:val="nil"/>
              <w:bottom w:val="nil"/>
              <w:right w:val="nil"/>
            </w:tcBorders>
            <w:shd w:val="clear" w:color="auto" w:fill="auto"/>
            <w:vAlign w:val="bottom"/>
          </w:tcPr>
          <w:p w14:paraId="57E36E7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5.5</w:t>
            </w:r>
          </w:p>
        </w:tc>
      </w:tr>
      <w:tr w:rsidR="003B31F2" w:rsidRPr="004C0D35" w14:paraId="7A03504C" w14:textId="77777777" w:rsidTr="00A16754">
        <w:trPr>
          <w:trHeight w:val="315"/>
        </w:trPr>
        <w:tc>
          <w:tcPr>
            <w:tcW w:w="2160" w:type="dxa"/>
            <w:tcBorders>
              <w:top w:val="nil"/>
              <w:left w:val="nil"/>
              <w:bottom w:val="nil"/>
              <w:right w:val="nil"/>
            </w:tcBorders>
            <w:shd w:val="clear" w:color="auto" w:fill="auto"/>
            <w:vAlign w:val="bottom"/>
          </w:tcPr>
          <w:p w14:paraId="589B2EFD"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Trinidad and Tobago</w:t>
            </w:r>
          </w:p>
        </w:tc>
        <w:tc>
          <w:tcPr>
            <w:tcW w:w="1829" w:type="dxa"/>
            <w:tcBorders>
              <w:top w:val="nil"/>
              <w:left w:val="nil"/>
              <w:bottom w:val="nil"/>
              <w:right w:val="nil"/>
            </w:tcBorders>
            <w:shd w:val="clear" w:color="auto" w:fill="auto"/>
            <w:vAlign w:val="bottom"/>
          </w:tcPr>
          <w:p w14:paraId="5466778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5.5</w:t>
            </w:r>
          </w:p>
        </w:tc>
      </w:tr>
      <w:tr w:rsidR="003B31F2" w:rsidRPr="004C0D35" w14:paraId="14239754" w14:textId="77777777" w:rsidTr="00A16754">
        <w:trPr>
          <w:trHeight w:val="315"/>
        </w:trPr>
        <w:tc>
          <w:tcPr>
            <w:tcW w:w="2160" w:type="dxa"/>
            <w:tcBorders>
              <w:top w:val="nil"/>
              <w:left w:val="nil"/>
              <w:bottom w:val="nil"/>
              <w:right w:val="nil"/>
            </w:tcBorders>
            <w:shd w:val="clear" w:color="auto" w:fill="auto"/>
            <w:vAlign w:val="bottom"/>
          </w:tcPr>
          <w:p w14:paraId="6C2C7BE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Fiji Islands</w:t>
            </w:r>
          </w:p>
        </w:tc>
        <w:tc>
          <w:tcPr>
            <w:tcW w:w="1829" w:type="dxa"/>
            <w:tcBorders>
              <w:top w:val="nil"/>
              <w:left w:val="nil"/>
              <w:bottom w:val="nil"/>
              <w:right w:val="nil"/>
            </w:tcBorders>
            <w:shd w:val="clear" w:color="auto" w:fill="auto"/>
            <w:vAlign w:val="bottom"/>
          </w:tcPr>
          <w:p w14:paraId="019A365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5.41667</w:t>
            </w:r>
          </w:p>
        </w:tc>
      </w:tr>
      <w:tr w:rsidR="003B31F2" w:rsidRPr="004C0D35" w14:paraId="45BA8A2F" w14:textId="77777777" w:rsidTr="00A16754">
        <w:trPr>
          <w:trHeight w:val="315"/>
        </w:trPr>
        <w:tc>
          <w:tcPr>
            <w:tcW w:w="2160" w:type="dxa"/>
            <w:tcBorders>
              <w:top w:val="nil"/>
              <w:left w:val="nil"/>
              <w:bottom w:val="nil"/>
              <w:right w:val="nil"/>
            </w:tcBorders>
            <w:shd w:val="clear" w:color="auto" w:fill="auto"/>
            <w:vAlign w:val="bottom"/>
          </w:tcPr>
          <w:p w14:paraId="34711E5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Tasmania</w:t>
            </w:r>
          </w:p>
        </w:tc>
        <w:tc>
          <w:tcPr>
            <w:tcW w:w="1829" w:type="dxa"/>
            <w:tcBorders>
              <w:top w:val="nil"/>
              <w:left w:val="nil"/>
              <w:bottom w:val="nil"/>
              <w:right w:val="nil"/>
            </w:tcBorders>
            <w:shd w:val="clear" w:color="auto" w:fill="auto"/>
            <w:vAlign w:val="bottom"/>
          </w:tcPr>
          <w:p w14:paraId="72A52CF4"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5.41667</w:t>
            </w:r>
          </w:p>
        </w:tc>
      </w:tr>
      <w:tr w:rsidR="003B31F2" w:rsidRPr="004C0D35" w14:paraId="28F0D191" w14:textId="77777777" w:rsidTr="00A16754">
        <w:trPr>
          <w:trHeight w:val="315"/>
        </w:trPr>
        <w:tc>
          <w:tcPr>
            <w:tcW w:w="2160" w:type="dxa"/>
            <w:tcBorders>
              <w:top w:val="nil"/>
              <w:left w:val="nil"/>
              <w:bottom w:val="nil"/>
              <w:right w:val="nil"/>
            </w:tcBorders>
            <w:shd w:val="clear" w:color="auto" w:fill="auto"/>
            <w:vAlign w:val="bottom"/>
          </w:tcPr>
          <w:p w14:paraId="205400C5"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Argentina</w:t>
            </w:r>
          </w:p>
        </w:tc>
        <w:tc>
          <w:tcPr>
            <w:tcW w:w="1829" w:type="dxa"/>
            <w:tcBorders>
              <w:top w:val="nil"/>
              <w:left w:val="nil"/>
              <w:bottom w:val="nil"/>
              <w:right w:val="nil"/>
            </w:tcBorders>
            <w:shd w:val="clear" w:color="auto" w:fill="auto"/>
            <w:vAlign w:val="bottom"/>
          </w:tcPr>
          <w:p w14:paraId="51AE5B4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5.16667</w:t>
            </w:r>
          </w:p>
        </w:tc>
      </w:tr>
      <w:tr w:rsidR="003B31F2" w:rsidRPr="004C0D35" w14:paraId="6C84C54F" w14:textId="77777777" w:rsidTr="00A16754">
        <w:trPr>
          <w:trHeight w:val="315"/>
        </w:trPr>
        <w:tc>
          <w:tcPr>
            <w:tcW w:w="2160" w:type="dxa"/>
            <w:tcBorders>
              <w:top w:val="nil"/>
              <w:left w:val="nil"/>
              <w:bottom w:val="nil"/>
              <w:right w:val="nil"/>
            </w:tcBorders>
            <w:shd w:val="clear" w:color="auto" w:fill="auto"/>
            <w:vAlign w:val="bottom"/>
          </w:tcPr>
          <w:p w14:paraId="39A47D8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Manitoba</w:t>
            </w:r>
          </w:p>
        </w:tc>
        <w:tc>
          <w:tcPr>
            <w:tcW w:w="1829" w:type="dxa"/>
            <w:tcBorders>
              <w:top w:val="nil"/>
              <w:left w:val="nil"/>
              <w:bottom w:val="nil"/>
              <w:right w:val="nil"/>
            </w:tcBorders>
            <w:shd w:val="clear" w:color="auto" w:fill="auto"/>
            <w:vAlign w:val="bottom"/>
          </w:tcPr>
          <w:p w14:paraId="76711D7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5.16667</w:t>
            </w:r>
          </w:p>
        </w:tc>
      </w:tr>
      <w:tr w:rsidR="003B31F2" w:rsidRPr="004C0D35" w14:paraId="1853D20A" w14:textId="77777777" w:rsidTr="00A16754">
        <w:trPr>
          <w:trHeight w:val="315"/>
        </w:trPr>
        <w:tc>
          <w:tcPr>
            <w:tcW w:w="2160" w:type="dxa"/>
            <w:tcBorders>
              <w:top w:val="nil"/>
              <w:left w:val="nil"/>
              <w:bottom w:val="nil"/>
              <w:right w:val="nil"/>
            </w:tcBorders>
            <w:shd w:val="clear" w:color="auto" w:fill="auto"/>
            <w:vAlign w:val="bottom"/>
          </w:tcPr>
          <w:p w14:paraId="3C92486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Czech Republic</w:t>
            </w:r>
          </w:p>
        </w:tc>
        <w:tc>
          <w:tcPr>
            <w:tcW w:w="1829" w:type="dxa"/>
            <w:tcBorders>
              <w:top w:val="nil"/>
              <w:left w:val="nil"/>
              <w:bottom w:val="nil"/>
              <w:right w:val="nil"/>
            </w:tcBorders>
            <w:shd w:val="clear" w:color="auto" w:fill="auto"/>
            <w:vAlign w:val="bottom"/>
          </w:tcPr>
          <w:p w14:paraId="52F190F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5</w:t>
            </w:r>
          </w:p>
        </w:tc>
      </w:tr>
      <w:tr w:rsidR="003B31F2" w:rsidRPr="004C0D35" w14:paraId="7A10DC85" w14:textId="77777777" w:rsidTr="00A16754">
        <w:trPr>
          <w:trHeight w:val="315"/>
        </w:trPr>
        <w:tc>
          <w:tcPr>
            <w:tcW w:w="2160" w:type="dxa"/>
            <w:tcBorders>
              <w:top w:val="nil"/>
              <w:left w:val="nil"/>
              <w:bottom w:val="nil"/>
              <w:right w:val="nil"/>
            </w:tcBorders>
            <w:shd w:val="clear" w:color="auto" w:fill="auto"/>
            <w:vAlign w:val="bottom"/>
          </w:tcPr>
          <w:p w14:paraId="62AD8FD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Liechtenstein</w:t>
            </w:r>
          </w:p>
        </w:tc>
        <w:tc>
          <w:tcPr>
            <w:tcW w:w="1829" w:type="dxa"/>
            <w:tcBorders>
              <w:top w:val="nil"/>
              <w:left w:val="nil"/>
              <w:bottom w:val="nil"/>
              <w:right w:val="nil"/>
            </w:tcBorders>
            <w:shd w:val="clear" w:color="auto" w:fill="auto"/>
            <w:vAlign w:val="bottom"/>
          </w:tcPr>
          <w:p w14:paraId="37740C8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4.91667</w:t>
            </w:r>
          </w:p>
        </w:tc>
      </w:tr>
      <w:tr w:rsidR="003B31F2" w:rsidRPr="004C0D35" w14:paraId="78C46E5A" w14:textId="77777777" w:rsidTr="00A16754">
        <w:trPr>
          <w:trHeight w:val="315"/>
        </w:trPr>
        <w:tc>
          <w:tcPr>
            <w:tcW w:w="2160" w:type="dxa"/>
            <w:tcBorders>
              <w:top w:val="nil"/>
              <w:left w:val="nil"/>
              <w:bottom w:val="nil"/>
              <w:right w:val="nil"/>
            </w:tcBorders>
            <w:shd w:val="clear" w:color="auto" w:fill="auto"/>
            <w:vAlign w:val="bottom"/>
          </w:tcPr>
          <w:p w14:paraId="73E8DFD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Ethiopia</w:t>
            </w:r>
          </w:p>
        </w:tc>
        <w:tc>
          <w:tcPr>
            <w:tcW w:w="1829" w:type="dxa"/>
            <w:tcBorders>
              <w:top w:val="nil"/>
              <w:left w:val="nil"/>
              <w:bottom w:val="nil"/>
              <w:right w:val="nil"/>
            </w:tcBorders>
            <w:shd w:val="clear" w:color="auto" w:fill="auto"/>
            <w:vAlign w:val="bottom"/>
          </w:tcPr>
          <w:p w14:paraId="47E008F5"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4.875</w:t>
            </w:r>
          </w:p>
        </w:tc>
      </w:tr>
      <w:tr w:rsidR="003B31F2" w:rsidRPr="004C0D35" w14:paraId="1CBE3B2D" w14:textId="77777777" w:rsidTr="00A16754">
        <w:trPr>
          <w:trHeight w:val="315"/>
        </w:trPr>
        <w:tc>
          <w:tcPr>
            <w:tcW w:w="2160" w:type="dxa"/>
            <w:tcBorders>
              <w:top w:val="nil"/>
              <w:left w:val="nil"/>
              <w:bottom w:val="nil"/>
              <w:right w:val="nil"/>
            </w:tcBorders>
            <w:shd w:val="clear" w:color="auto" w:fill="auto"/>
            <w:vAlign w:val="bottom"/>
          </w:tcPr>
          <w:p w14:paraId="22CA5A4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Northern Territory of Australia</w:t>
            </w:r>
          </w:p>
        </w:tc>
        <w:tc>
          <w:tcPr>
            <w:tcW w:w="1829" w:type="dxa"/>
            <w:tcBorders>
              <w:top w:val="nil"/>
              <w:left w:val="nil"/>
              <w:bottom w:val="nil"/>
              <w:right w:val="nil"/>
            </w:tcBorders>
            <w:shd w:val="clear" w:color="auto" w:fill="auto"/>
            <w:vAlign w:val="bottom"/>
          </w:tcPr>
          <w:p w14:paraId="47F4FDED"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4.83333</w:t>
            </w:r>
          </w:p>
        </w:tc>
      </w:tr>
      <w:tr w:rsidR="003B31F2" w:rsidRPr="004C0D35" w14:paraId="3F52EE74" w14:textId="77777777" w:rsidTr="00A16754">
        <w:trPr>
          <w:trHeight w:val="315"/>
        </w:trPr>
        <w:tc>
          <w:tcPr>
            <w:tcW w:w="2160" w:type="dxa"/>
            <w:tcBorders>
              <w:top w:val="nil"/>
              <w:left w:val="nil"/>
              <w:bottom w:val="nil"/>
              <w:right w:val="nil"/>
            </w:tcBorders>
            <w:shd w:val="clear" w:color="auto" w:fill="auto"/>
            <w:vAlign w:val="bottom"/>
          </w:tcPr>
          <w:p w14:paraId="48F0EB2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Gibraltar</w:t>
            </w:r>
          </w:p>
        </w:tc>
        <w:tc>
          <w:tcPr>
            <w:tcW w:w="1829" w:type="dxa"/>
            <w:tcBorders>
              <w:top w:val="nil"/>
              <w:left w:val="nil"/>
              <w:bottom w:val="nil"/>
              <w:right w:val="nil"/>
            </w:tcBorders>
            <w:shd w:val="clear" w:color="auto" w:fill="auto"/>
            <w:vAlign w:val="bottom"/>
          </w:tcPr>
          <w:p w14:paraId="5D7A7E7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4.66667</w:t>
            </w:r>
          </w:p>
        </w:tc>
      </w:tr>
      <w:tr w:rsidR="003B31F2" w:rsidRPr="004C0D35" w14:paraId="33011D82" w14:textId="77777777" w:rsidTr="00A16754">
        <w:trPr>
          <w:trHeight w:val="315"/>
        </w:trPr>
        <w:tc>
          <w:tcPr>
            <w:tcW w:w="2160" w:type="dxa"/>
            <w:tcBorders>
              <w:top w:val="nil"/>
              <w:left w:val="nil"/>
              <w:bottom w:val="nil"/>
              <w:right w:val="nil"/>
            </w:tcBorders>
            <w:shd w:val="clear" w:color="auto" w:fill="auto"/>
            <w:vAlign w:val="bottom"/>
          </w:tcPr>
          <w:p w14:paraId="6B92B3B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Romania</w:t>
            </w:r>
          </w:p>
        </w:tc>
        <w:tc>
          <w:tcPr>
            <w:tcW w:w="1829" w:type="dxa"/>
            <w:tcBorders>
              <w:top w:val="nil"/>
              <w:left w:val="nil"/>
              <w:bottom w:val="nil"/>
              <w:right w:val="nil"/>
            </w:tcBorders>
            <w:shd w:val="clear" w:color="auto" w:fill="auto"/>
            <w:vAlign w:val="bottom"/>
          </w:tcPr>
          <w:p w14:paraId="7604D8E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4.5</w:t>
            </w:r>
          </w:p>
        </w:tc>
      </w:tr>
      <w:tr w:rsidR="003B31F2" w:rsidRPr="004C0D35" w14:paraId="553BCB51" w14:textId="77777777" w:rsidTr="00A16754">
        <w:trPr>
          <w:trHeight w:val="315"/>
        </w:trPr>
        <w:tc>
          <w:tcPr>
            <w:tcW w:w="2160" w:type="dxa"/>
            <w:tcBorders>
              <w:top w:val="nil"/>
              <w:left w:val="nil"/>
              <w:bottom w:val="nil"/>
              <w:right w:val="nil"/>
            </w:tcBorders>
            <w:shd w:val="clear" w:color="auto" w:fill="auto"/>
            <w:vAlign w:val="bottom"/>
          </w:tcPr>
          <w:p w14:paraId="4CD5E21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Paraguay</w:t>
            </w:r>
          </w:p>
        </w:tc>
        <w:tc>
          <w:tcPr>
            <w:tcW w:w="1829" w:type="dxa"/>
            <w:tcBorders>
              <w:top w:val="nil"/>
              <w:left w:val="nil"/>
              <w:bottom w:val="nil"/>
              <w:right w:val="nil"/>
            </w:tcBorders>
            <w:shd w:val="clear" w:color="auto" w:fill="auto"/>
            <w:vAlign w:val="bottom"/>
          </w:tcPr>
          <w:p w14:paraId="44503CDD"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4.25</w:t>
            </w:r>
          </w:p>
        </w:tc>
      </w:tr>
      <w:tr w:rsidR="003B31F2" w:rsidRPr="004C0D35" w14:paraId="148F23C5" w14:textId="77777777" w:rsidTr="00A16754">
        <w:trPr>
          <w:trHeight w:val="315"/>
        </w:trPr>
        <w:tc>
          <w:tcPr>
            <w:tcW w:w="2160" w:type="dxa"/>
            <w:tcBorders>
              <w:top w:val="nil"/>
              <w:left w:val="nil"/>
              <w:bottom w:val="nil"/>
              <w:right w:val="nil"/>
            </w:tcBorders>
            <w:shd w:val="clear" w:color="auto" w:fill="auto"/>
            <w:vAlign w:val="bottom"/>
          </w:tcPr>
          <w:p w14:paraId="71F3C4E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Hungary</w:t>
            </w:r>
          </w:p>
        </w:tc>
        <w:tc>
          <w:tcPr>
            <w:tcW w:w="1829" w:type="dxa"/>
            <w:tcBorders>
              <w:top w:val="nil"/>
              <w:left w:val="nil"/>
              <w:bottom w:val="nil"/>
              <w:right w:val="nil"/>
            </w:tcBorders>
            <w:shd w:val="clear" w:color="auto" w:fill="auto"/>
            <w:vAlign w:val="bottom"/>
          </w:tcPr>
          <w:p w14:paraId="2FD4DF8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4.08333</w:t>
            </w:r>
          </w:p>
        </w:tc>
      </w:tr>
      <w:tr w:rsidR="003B31F2" w:rsidRPr="004C0D35" w14:paraId="1DB78E67" w14:textId="77777777" w:rsidTr="00A16754">
        <w:trPr>
          <w:trHeight w:val="315"/>
        </w:trPr>
        <w:tc>
          <w:tcPr>
            <w:tcW w:w="2160" w:type="dxa"/>
            <w:tcBorders>
              <w:top w:val="nil"/>
              <w:left w:val="nil"/>
              <w:bottom w:val="nil"/>
              <w:right w:val="nil"/>
            </w:tcBorders>
            <w:shd w:val="clear" w:color="auto" w:fill="auto"/>
            <w:vAlign w:val="bottom"/>
          </w:tcPr>
          <w:p w14:paraId="525BF01E"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Ireland</w:t>
            </w:r>
          </w:p>
        </w:tc>
        <w:tc>
          <w:tcPr>
            <w:tcW w:w="1829" w:type="dxa"/>
            <w:tcBorders>
              <w:top w:val="nil"/>
              <w:left w:val="nil"/>
              <w:bottom w:val="nil"/>
              <w:right w:val="nil"/>
            </w:tcBorders>
            <w:shd w:val="clear" w:color="auto" w:fill="auto"/>
            <w:vAlign w:val="bottom"/>
          </w:tcPr>
          <w:p w14:paraId="2C17878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w:t>
            </w:r>
          </w:p>
        </w:tc>
      </w:tr>
      <w:tr w:rsidR="003B31F2" w:rsidRPr="004C0D35" w14:paraId="5BA18618" w14:textId="77777777" w:rsidTr="00A16754">
        <w:trPr>
          <w:trHeight w:val="315"/>
        </w:trPr>
        <w:tc>
          <w:tcPr>
            <w:tcW w:w="2160" w:type="dxa"/>
            <w:tcBorders>
              <w:top w:val="nil"/>
              <w:left w:val="nil"/>
              <w:bottom w:val="nil"/>
              <w:right w:val="nil"/>
            </w:tcBorders>
            <w:shd w:val="clear" w:color="auto" w:fill="auto"/>
            <w:vAlign w:val="bottom"/>
          </w:tcPr>
          <w:p w14:paraId="25DED405"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Prince Edward Island</w:t>
            </w:r>
          </w:p>
        </w:tc>
        <w:tc>
          <w:tcPr>
            <w:tcW w:w="1829" w:type="dxa"/>
            <w:tcBorders>
              <w:top w:val="nil"/>
              <w:left w:val="nil"/>
              <w:bottom w:val="nil"/>
              <w:right w:val="nil"/>
            </w:tcBorders>
            <w:shd w:val="clear" w:color="auto" w:fill="auto"/>
            <w:vAlign w:val="bottom"/>
          </w:tcPr>
          <w:p w14:paraId="70788C0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w:t>
            </w:r>
          </w:p>
        </w:tc>
      </w:tr>
      <w:tr w:rsidR="003B31F2" w:rsidRPr="004C0D35" w14:paraId="1BDC5309" w14:textId="77777777" w:rsidTr="00A16754">
        <w:trPr>
          <w:trHeight w:val="315"/>
        </w:trPr>
        <w:tc>
          <w:tcPr>
            <w:tcW w:w="2160" w:type="dxa"/>
            <w:tcBorders>
              <w:top w:val="nil"/>
              <w:left w:val="nil"/>
              <w:bottom w:val="nil"/>
              <w:right w:val="nil"/>
            </w:tcBorders>
            <w:shd w:val="clear" w:color="auto" w:fill="auto"/>
            <w:vAlign w:val="bottom"/>
          </w:tcPr>
          <w:p w14:paraId="5EA2298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Venezuela</w:t>
            </w:r>
          </w:p>
        </w:tc>
        <w:tc>
          <w:tcPr>
            <w:tcW w:w="1829" w:type="dxa"/>
            <w:tcBorders>
              <w:top w:val="nil"/>
              <w:left w:val="nil"/>
              <w:bottom w:val="nil"/>
              <w:right w:val="nil"/>
            </w:tcBorders>
            <w:shd w:val="clear" w:color="auto" w:fill="auto"/>
            <w:vAlign w:val="bottom"/>
          </w:tcPr>
          <w:p w14:paraId="0E20D01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4</w:t>
            </w:r>
          </w:p>
        </w:tc>
      </w:tr>
      <w:tr w:rsidR="003B31F2" w:rsidRPr="004C0D35" w14:paraId="697E7A3D" w14:textId="77777777" w:rsidTr="00A16754">
        <w:trPr>
          <w:trHeight w:val="315"/>
        </w:trPr>
        <w:tc>
          <w:tcPr>
            <w:tcW w:w="2160" w:type="dxa"/>
            <w:tcBorders>
              <w:top w:val="nil"/>
              <w:left w:val="nil"/>
              <w:bottom w:val="nil"/>
              <w:right w:val="nil"/>
            </w:tcBorders>
            <w:shd w:val="clear" w:color="auto" w:fill="auto"/>
            <w:vAlign w:val="bottom"/>
          </w:tcPr>
          <w:p w14:paraId="6E6A2EB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France</w:t>
            </w:r>
          </w:p>
        </w:tc>
        <w:tc>
          <w:tcPr>
            <w:tcW w:w="1829" w:type="dxa"/>
            <w:tcBorders>
              <w:top w:val="nil"/>
              <w:left w:val="nil"/>
              <w:bottom w:val="nil"/>
              <w:right w:val="nil"/>
            </w:tcBorders>
            <w:shd w:val="clear" w:color="auto" w:fill="auto"/>
            <w:vAlign w:val="bottom"/>
          </w:tcPr>
          <w:p w14:paraId="7A8F60B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3.91667</w:t>
            </w:r>
          </w:p>
        </w:tc>
      </w:tr>
      <w:tr w:rsidR="003B31F2" w:rsidRPr="004C0D35" w14:paraId="3D4F5831" w14:textId="77777777" w:rsidTr="00A16754">
        <w:trPr>
          <w:trHeight w:val="315"/>
        </w:trPr>
        <w:tc>
          <w:tcPr>
            <w:tcW w:w="2160" w:type="dxa"/>
            <w:tcBorders>
              <w:top w:val="nil"/>
              <w:left w:val="nil"/>
              <w:bottom w:val="nil"/>
              <w:right w:val="nil"/>
            </w:tcBorders>
            <w:shd w:val="clear" w:color="auto" w:fill="auto"/>
            <w:vAlign w:val="bottom"/>
          </w:tcPr>
          <w:p w14:paraId="342458B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Panama</w:t>
            </w:r>
          </w:p>
        </w:tc>
        <w:tc>
          <w:tcPr>
            <w:tcW w:w="1829" w:type="dxa"/>
            <w:tcBorders>
              <w:top w:val="nil"/>
              <w:left w:val="nil"/>
              <w:bottom w:val="nil"/>
              <w:right w:val="nil"/>
            </w:tcBorders>
            <w:shd w:val="clear" w:color="auto" w:fill="auto"/>
            <w:vAlign w:val="bottom"/>
          </w:tcPr>
          <w:p w14:paraId="716B52AB"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3.91667</w:t>
            </w:r>
          </w:p>
        </w:tc>
      </w:tr>
      <w:tr w:rsidR="003B31F2" w:rsidRPr="004C0D35" w14:paraId="6A56C00A" w14:textId="77777777" w:rsidTr="00A16754">
        <w:trPr>
          <w:trHeight w:val="315"/>
        </w:trPr>
        <w:tc>
          <w:tcPr>
            <w:tcW w:w="2160" w:type="dxa"/>
            <w:tcBorders>
              <w:top w:val="nil"/>
              <w:left w:val="nil"/>
              <w:bottom w:val="nil"/>
              <w:right w:val="nil"/>
            </w:tcBorders>
            <w:shd w:val="clear" w:color="auto" w:fill="auto"/>
            <w:vAlign w:val="bottom"/>
          </w:tcPr>
          <w:p w14:paraId="27F7233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Ukraine</w:t>
            </w:r>
          </w:p>
        </w:tc>
        <w:tc>
          <w:tcPr>
            <w:tcW w:w="1829" w:type="dxa"/>
            <w:tcBorders>
              <w:top w:val="nil"/>
              <w:left w:val="nil"/>
              <w:bottom w:val="nil"/>
              <w:right w:val="nil"/>
            </w:tcBorders>
            <w:shd w:val="clear" w:color="auto" w:fill="auto"/>
            <w:vAlign w:val="bottom"/>
          </w:tcPr>
          <w:p w14:paraId="4F0E155F"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3.91667</w:t>
            </w:r>
          </w:p>
        </w:tc>
      </w:tr>
      <w:tr w:rsidR="003B31F2" w:rsidRPr="004C0D35" w14:paraId="7EDF77E0" w14:textId="77777777" w:rsidTr="00A16754">
        <w:trPr>
          <w:trHeight w:val="315"/>
        </w:trPr>
        <w:tc>
          <w:tcPr>
            <w:tcW w:w="2160" w:type="dxa"/>
            <w:tcBorders>
              <w:top w:val="nil"/>
              <w:left w:val="nil"/>
              <w:bottom w:val="nil"/>
              <w:right w:val="nil"/>
            </w:tcBorders>
            <w:shd w:val="clear" w:color="auto" w:fill="auto"/>
            <w:vAlign w:val="bottom"/>
          </w:tcPr>
          <w:p w14:paraId="1D123A5E"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Nova Scotia</w:t>
            </w:r>
          </w:p>
        </w:tc>
        <w:tc>
          <w:tcPr>
            <w:tcW w:w="1829" w:type="dxa"/>
            <w:tcBorders>
              <w:top w:val="nil"/>
              <w:left w:val="nil"/>
              <w:bottom w:val="nil"/>
              <w:right w:val="nil"/>
            </w:tcBorders>
            <w:shd w:val="clear" w:color="auto" w:fill="auto"/>
            <w:vAlign w:val="bottom"/>
          </w:tcPr>
          <w:p w14:paraId="5F55EFD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3.83333</w:t>
            </w:r>
          </w:p>
        </w:tc>
      </w:tr>
      <w:tr w:rsidR="003B31F2" w:rsidRPr="004C0D35" w14:paraId="427001D3" w14:textId="77777777" w:rsidTr="00A16754">
        <w:trPr>
          <w:trHeight w:val="315"/>
        </w:trPr>
        <w:tc>
          <w:tcPr>
            <w:tcW w:w="2160" w:type="dxa"/>
            <w:tcBorders>
              <w:top w:val="nil"/>
              <w:left w:val="nil"/>
              <w:bottom w:val="nil"/>
              <w:right w:val="nil"/>
            </w:tcBorders>
            <w:shd w:val="clear" w:color="auto" w:fill="auto"/>
            <w:vAlign w:val="bottom"/>
          </w:tcPr>
          <w:p w14:paraId="5E06CBF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Honduras</w:t>
            </w:r>
          </w:p>
        </w:tc>
        <w:tc>
          <w:tcPr>
            <w:tcW w:w="1829" w:type="dxa"/>
            <w:tcBorders>
              <w:top w:val="nil"/>
              <w:left w:val="nil"/>
              <w:bottom w:val="nil"/>
              <w:right w:val="nil"/>
            </w:tcBorders>
            <w:shd w:val="clear" w:color="auto" w:fill="auto"/>
            <w:vAlign w:val="bottom"/>
          </w:tcPr>
          <w:p w14:paraId="45CC1C8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3.75</w:t>
            </w:r>
          </w:p>
        </w:tc>
      </w:tr>
      <w:tr w:rsidR="003B31F2" w:rsidRPr="004C0D35" w14:paraId="4BEACA23" w14:textId="77777777" w:rsidTr="00A16754">
        <w:trPr>
          <w:trHeight w:val="315"/>
        </w:trPr>
        <w:tc>
          <w:tcPr>
            <w:tcW w:w="2160" w:type="dxa"/>
            <w:tcBorders>
              <w:top w:val="nil"/>
              <w:left w:val="nil"/>
              <w:bottom w:val="nil"/>
              <w:right w:val="nil"/>
            </w:tcBorders>
            <w:shd w:val="clear" w:color="auto" w:fill="auto"/>
            <w:vAlign w:val="bottom"/>
          </w:tcPr>
          <w:p w14:paraId="5E02C2C2"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El Salvador</w:t>
            </w:r>
          </w:p>
        </w:tc>
        <w:tc>
          <w:tcPr>
            <w:tcW w:w="1829" w:type="dxa"/>
            <w:tcBorders>
              <w:top w:val="nil"/>
              <w:left w:val="nil"/>
              <w:bottom w:val="nil"/>
              <w:right w:val="nil"/>
            </w:tcBorders>
            <w:shd w:val="clear" w:color="auto" w:fill="auto"/>
            <w:vAlign w:val="bottom"/>
          </w:tcPr>
          <w:p w14:paraId="2AF674C7"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3.66667</w:t>
            </w:r>
          </w:p>
        </w:tc>
      </w:tr>
      <w:tr w:rsidR="003B31F2" w:rsidRPr="004C0D35" w14:paraId="608ACC0B" w14:textId="77777777" w:rsidTr="00A16754">
        <w:trPr>
          <w:trHeight w:val="315"/>
        </w:trPr>
        <w:tc>
          <w:tcPr>
            <w:tcW w:w="2160" w:type="dxa"/>
            <w:tcBorders>
              <w:top w:val="nil"/>
              <w:left w:val="nil"/>
              <w:bottom w:val="nil"/>
              <w:right w:val="nil"/>
            </w:tcBorders>
            <w:shd w:val="clear" w:color="auto" w:fill="auto"/>
            <w:vAlign w:val="bottom"/>
          </w:tcPr>
          <w:p w14:paraId="0959846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Papua New Guinea</w:t>
            </w:r>
          </w:p>
        </w:tc>
        <w:tc>
          <w:tcPr>
            <w:tcW w:w="1829" w:type="dxa"/>
            <w:tcBorders>
              <w:top w:val="nil"/>
              <w:left w:val="nil"/>
              <w:bottom w:val="nil"/>
              <w:right w:val="nil"/>
            </w:tcBorders>
            <w:shd w:val="clear" w:color="auto" w:fill="auto"/>
            <w:vAlign w:val="bottom"/>
          </w:tcPr>
          <w:p w14:paraId="4A37FA5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3.66667</w:t>
            </w:r>
          </w:p>
        </w:tc>
      </w:tr>
      <w:tr w:rsidR="003B31F2" w:rsidRPr="004C0D35" w14:paraId="220AEF36" w14:textId="77777777" w:rsidTr="00A16754">
        <w:trPr>
          <w:trHeight w:val="315"/>
        </w:trPr>
        <w:tc>
          <w:tcPr>
            <w:tcW w:w="2160" w:type="dxa"/>
            <w:tcBorders>
              <w:top w:val="nil"/>
              <w:left w:val="nil"/>
              <w:bottom w:val="nil"/>
              <w:right w:val="nil"/>
            </w:tcBorders>
            <w:shd w:val="clear" w:color="auto" w:fill="auto"/>
            <w:vAlign w:val="bottom"/>
          </w:tcPr>
          <w:p w14:paraId="47C29AF0"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Lithuania</w:t>
            </w:r>
          </w:p>
        </w:tc>
        <w:tc>
          <w:tcPr>
            <w:tcW w:w="1829" w:type="dxa"/>
            <w:tcBorders>
              <w:top w:val="nil"/>
              <w:left w:val="nil"/>
              <w:bottom w:val="nil"/>
              <w:right w:val="nil"/>
            </w:tcBorders>
            <w:shd w:val="clear" w:color="auto" w:fill="auto"/>
            <w:vAlign w:val="bottom"/>
          </w:tcPr>
          <w:p w14:paraId="0FBEB3F8"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3.5</w:t>
            </w:r>
          </w:p>
        </w:tc>
      </w:tr>
      <w:tr w:rsidR="003B31F2" w:rsidRPr="004C0D35" w14:paraId="13A03F3F" w14:textId="77777777" w:rsidTr="00A16754">
        <w:trPr>
          <w:trHeight w:val="315"/>
        </w:trPr>
        <w:tc>
          <w:tcPr>
            <w:tcW w:w="2160" w:type="dxa"/>
            <w:tcBorders>
              <w:top w:val="nil"/>
              <w:left w:val="nil"/>
              <w:bottom w:val="nil"/>
              <w:right w:val="nil"/>
            </w:tcBorders>
            <w:shd w:val="clear" w:color="auto" w:fill="auto"/>
            <w:vAlign w:val="bottom"/>
          </w:tcPr>
          <w:p w14:paraId="1887B45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Malawi</w:t>
            </w:r>
          </w:p>
        </w:tc>
        <w:tc>
          <w:tcPr>
            <w:tcW w:w="1829" w:type="dxa"/>
            <w:tcBorders>
              <w:top w:val="nil"/>
              <w:left w:val="nil"/>
              <w:bottom w:val="nil"/>
              <w:right w:val="nil"/>
            </w:tcBorders>
            <w:shd w:val="clear" w:color="auto" w:fill="auto"/>
            <w:vAlign w:val="bottom"/>
          </w:tcPr>
          <w:p w14:paraId="291E89F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3.5</w:t>
            </w:r>
          </w:p>
        </w:tc>
      </w:tr>
      <w:tr w:rsidR="003B31F2" w:rsidRPr="004C0D35" w14:paraId="35F69070" w14:textId="77777777" w:rsidTr="00A16754">
        <w:trPr>
          <w:trHeight w:val="315"/>
        </w:trPr>
        <w:tc>
          <w:tcPr>
            <w:tcW w:w="2160" w:type="dxa"/>
            <w:tcBorders>
              <w:top w:val="nil"/>
              <w:left w:val="nil"/>
              <w:bottom w:val="nil"/>
              <w:right w:val="nil"/>
            </w:tcBorders>
            <w:shd w:val="clear" w:color="auto" w:fill="auto"/>
            <w:vAlign w:val="bottom"/>
          </w:tcPr>
          <w:p w14:paraId="05A71E4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Malaysia</w:t>
            </w:r>
          </w:p>
        </w:tc>
        <w:tc>
          <w:tcPr>
            <w:tcW w:w="1829" w:type="dxa"/>
            <w:tcBorders>
              <w:top w:val="nil"/>
              <w:left w:val="nil"/>
              <w:bottom w:val="nil"/>
              <w:right w:val="nil"/>
            </w:tcBorders>
            <w:shd w:val="clear" w:color="auto" w:fill="auto"/>
            <w:vAlign w:val="bottom"/>
          </w:tcPr>
          <w:p w14:paraId="7741E4E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3.5</w:t>
            </w:r>
          </w:p>
        </w:tc>
      </w:tr>
      <w:tr w:rsidR="003B31F2" w:rsidRPr="004C0D35" w14:paraId="591E755D" w14:textId="77777777" w:rsidTr="00A16754">
        <w:trPr>
          <w:trHeight w:val="315"/>
        </w:trPr>
        <w:tc>
          <w:tcPr>
            <w:tcW w:w="2160" w:type="dxa"/>
            <w:tcBorders>
              <w:top w:val="nil"/>
              <w:left w:val="nil"/>
              <w:bottom w:val="nil"/>
              <w:right w:val="nil"/>
            </w:tcBorders>
            <w:shd w:val="clear" w:color="auto" w:fill="auto"/>
            <w:vAlign w:val="bottom"/>
          </w:tcPr>
          <w:p w14:paraId="4F0FE68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Nauru</w:t>
            </w:r>
          </w:p>
        </w:tc>
        <w:tc>
          <w:tcPr>
            <w:tcW w:w="1829" w:type="dxa"/>
            <w:tcBorders>
              <w:top w:val="nil"/>
              <w:left w:val="nil"/>
              <w:bottom w:val="nil"/>
              <w:right w:val="nil"/>
            </w:tcBorders>
            <w:shd w:val="clear" w:color="auto" w:fill="auto"/>
            <w:vAlign w:val="bottom"/>
          </w:tcPr>
          <w:p w14:paraId="300C0B6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3.5</w:t>
            </w:r>
          </w:p>
        </w:tc>
      </w:tr>
      <w:tr w:rsidR="003B31F2" w:rsidRPr="004C0D35" w14:paraId="2412CEF5" w14:textId="77777777" w:rsidTr="00A16754">
        <w:trPr>
          <w:trHeight w:val="315"/>
        </w:trPr>
        <w:tc>
          <w:tcPr>
            <w:tcW w:w="2160" w:type="dxa"/>
            <w:tcBorders>
              <w:top w:val="nil"/>
              <w:left w:val="nil"/>
              <w:bottom w:val="nil"/>
              <w:right w:val="nil"/>
            </w:tcBorders>
            <w:shd w:val="clear" w:color="auto" w:fill="auto"/>
            <w:vAlign w:val="bottom"/>
          </w:tcPr>
          <w:p w14:paraId="00894FC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Northwest Territories</w:t>
            </w:r>
          </w:p>
        </w:tc>
        <w:tc>
          <w:tcPr>
            <w:tcW w:w="1829" w:type="dxa"/>
            <w:tcBorders>
              <w:top w:val="nil"/>
              <w:left w:val="nil"/>
              <w:bottom w:val="nil"/>
              <w:right w:val="nil"/>
            </w:tcBorders>
            <w:shd w:val="clear" w:color="auto" w:fill="auto"/>
            <w:vAlign w:val="bottom"/>
          </w:tcPr>
          <w:p w14:paraId="2EC704E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3.5</w:t>
            </w:r>
          </w:p>
        </w:tc>
      </w:tr>
      <w:tr w:rsidR="003B31F2" w:rsidRPr="004C0D35" w14:paraId="2ACC11E5" w14:textId="77777777" w:rsidTr="00A16754">
        <w:trPr>
          <w:trHeight w:val="315"/>
        </w:trPr>
        <w:tc>
          <w:tcPr>
            <w:tcW w:w="2160" w:type="dxa"/>
            <w:tcBorders>
              <w:top w:val="nil"/>
              <w:left w:val="nil"/>
              <w:bottom w:val="nil"/>
              <w:right w:val="nil"/>
            </w:tcBorders>
            <w:shd w:val="clear" w:color="auto" w:fill="auto"/>
            <w:vAlign w:val="bottom"/>
          </w:tcPr>
          <w:p w14:paraId="009A5A39"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Nunavut</w:t>
            </w:r>
          </w:p>
        </w:tc>
        <w:tc>
          <w:tcPr>
            <w:tcW w:w="1829" w:type="dxa"/>
            <w:tcBorders>
              <w:top w:val="nil"/>
              <w:left w:val="nil"/>
              <w:bottom w:val="nil"/>
              <w:right w:val="nil"/>
            </w:tcBorders>
            <w:shd w:val="clear" w:color="auto" w:fill="auto"/>
            <w:vAlign w:val="bottom"/>
          </w:tcPr>
          <w:p w14:paraId="3C83E3EF"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3.5</w:t>
            </w:r>
          </w:p>
        </w:tc>
      </w:tr>
      <w:tr w:rsidR="003B31F2" w:rsidRPr="004C0D35" w14:paraId="068D3F9C" w14:textId="77777777" w:rsidTr="00A16754">
        <w:trPr>
          <w:trHeight w:val="315"/>
        </w:trPr>
        <w:tc>
          <w:tcPr>
            <w:tcW w:w="2160" w:type="dxa"/>
            <w:tcBorders>
              <w:top w:val="nil"/>
              <w:left w:val="nil"/>
              <w:bottom w:val="nil"/>
              <w:right w:val="nil"/>
            </w:tcBorders>
            <w:shd w:val="clear" w:color="auto" w:fill="auto"/>
            <w:vAlign w:val="bottom"/>
          </w:tcPr>
          <w:p w14:paraId="71D73F2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South Africa</w:t>
            </w:r>
          </w:p>
        </w:tc>
        <w:tc>
          <w:tcPr>
            <w:tcW w:w="1829" w:type="dxa"/>
            <w:tcBorders>
              <w:top w:val="nil"/>
              <w:left w:val="nil"/>
              <w:bottom w:val="nil"/>
              <w:right w:val="nil"/>
            </w:tcBorders>
            <w:shd w:val="clear" w:color="auto" w:fill="auto"/>
            <w:vAlign w:val="bottom"/>
          </w:tcPr>
          <w:p w14:paraId="699EA78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3.5</w:t>
            </w:r>
          </w:p>
        </w:tc>
      </w:tr>
      <w:tr w:rsidR="003B31F2" w:rsidRPr="004C0D35" w14:paraId="65C82FF3" w14:textId="77777777" w:rsidTr="00A16754">
        <w:trPr>
          <w:trHeight w:val="315"/>
        </w:trPr>
        <w:tc>
          <w:tcPr>
            <w:tcW w:w="2160" w:type="dxa"/>
            <w:tcBorders>
              <w:top w:val="nil"/>
              <w:left w:val="nil"/>
              <w:bottom w:val="nil"/>
              <w:right w:val="nil"/>
            </w:tcBorders>
            <w:shd w:val="clear" w:color="auto" w:fill="auto"/>
            <w:vAlign w:val="bottom"/>
          </w:tcPr>
          <w:p w14:paraId="73CDF02D"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Colombia</w:t>
            </w:r>
          </w:p>
        </w:tc>
        <w:tc>
          <w:tcPr>
            <w:tcW w:w="1829" w:type="dxa"/>
            <w:tcBorders>
              <w:top w:val="nil"/>
              <w:left w:val="nil"/>
              <w:bottom w:val="nil"/>
              <w:right w:val="nil"/>
            </w:tcBorders>
            <w:shd w:val="clear" w:color="auto" w:fill="auto"/>
            <w:vAlign w:val="bottom"/>
          </w:tcPr>
          <w:p w14:paraId="3E83EA8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3.41667</w:t>
            </w:r>
          </w:p>
        </w:tc>
      </w:tr>
      <w:tr w:rsidR="003B31F2" w:rsidRPr="004C0D35" w14:paraId="2C83AD17" w14:textId="77777777" w:rsidTr="00A16754">
        <w:trPr>
          <w:trHeight w:val="315"/>
        </w:trPr>
        <w:tc>
          <w:tcPr>
            <w:tcW w:w="2160" w:type="dxa"/>
            <w:tcBorders>
              <w:top w:val="nil"/>
              <w:left w:val="nil"/>
              <w:bottom w:val="nil"/>
              <w:right w:val="nil"/>
            </w:tcBorders>
            <w:shd w:val="clear" w:color="auto" w:fill="auto"/>
            <w:vAlign w:val="bottom"/>
          </w:tcPr>
          <w:p w14:paraId="4BE47C5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Alberta</w:t>
            </w:r>
          </w:p>
        </w:tc>
        <w:tc>
          <w:tcPr>
            <w:tcW w:w="1829" w:type="dxa"/>
            <w:tcBorders>
              <w:top w:val="nil"/>
              <w:left w:val="nil"/>
              <w:bottom w:val="nil"/>
              <w:right w:val="nil"/>
            </w:tcBorders>
            <w:shd w:val="clear" w:color="auto" w:fill="auto"/>
            <w:vAlign w:val="bottom"/>
          </w:tcPr>
          <w:p w14:paraId="17838B4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3.33333</w:t>
            </w:r>
          </w:p>
        </w:tc>
      </w:tr>
      <w:tr w:rsidR="003B31F2" w:rsidRPr="004C0D35" w14:paraId="32A68848" w14:textId="77777777" w:rsidTr="00A16754">
        <w:trPr>
          <w:trHeight w:val="315"/>
        </w:trPr>
        <w:tc>
          <w:tcPr>
            <w:tcW w:w="2160" w:type="dxa"/>
            <w:tcBorders>
              <w:top w:val="nil"/>
              <w:left w:val="nil"/>
              <w:bottom w:val="nil"/>
              <w:right w:val="nil"/>
            </w:tcBorders>
            <w:shd w:val="clear" w:color="auto" w:fill="auto"/>
            <w:vAlign w:val="bottom"/>
          </w:tcPr>
          <w:p w14:paraId="529413F6"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Ecuador</w:t>
            </w:r>
          </w:p>
        </w:tc>
        <w:tc>
          <w:tcPr>
            <w:tcW w:w="1829" w:type="dxa"/>
            <w:tcBorders>
              <w:top w:val="nil"/>
              <w:left w:val="nil"/>
              <w:bottom w:val="nil"/>
              <w:right w:val="nil"/>
            </w:tcBorders>
            <w:shd w:val="clear" w:color="auto" w:fill="auto"/>
            <w:vAlign w:val="bottom"/>
          </w:tcPr>
          <w:p w14:paraId="15CE9E95"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3.33333</w:t>
            </w:r>
          </w:p>
        </w:tc>
      </w:tr>
      <w:tr w:rsidR="003B31F2" w:rsidRPr="004C0D35" w14:paraId="09EEFFD1" w14:textId="77777777" w:rsidTr="00A16754">
        <w:trPr>
          <w:trHeight w:val="315"/>
        </w:trPr>
        <w:tc>
          <w:tcPr>
            <w:tcW w:w="2160" w:type="dxa"/>
            <w:tcBorders>
              <w:top w:val="nil"/>
              <w:left w:val="nil"/>
              <w:bottom w:val="nil"/>
              <w:right w:val="nil"/>
            </w:tcBorders>
            <w:shd w:val="clear" w:color="auto" w:fill="auto"/>
            <w:vAlign w:val="bottom"/>
          </w:tcPr>
          <w:p w14:paraId="39C6F6F1"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Nicaragua</w:t>
            </w:r>
          </w:p>
        </w:tc>
        <w:tc>
          <w:tcPr>
            <w:tcW w:w="1829" w:type="dxa"/>
            <w:tcBorders>
              <w:top w:val="nil"/>
              <w:left w:val="nil"/>
              <w:bottom w:val="nil"/>
              <w:right w:val="nil"/>
            </w:tcBorders>
            <w:shd w:val="clear" w:color="auto" w:fill="auto"/>
            <w:vAlign w:val="bottom"/>
          </w:tcPr>
          <w:p w14:paraId="20FC4BA7"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3.33333</w:t>
            </w:r>
          </w:p>
        </w:tc>
      </w:tr>
      <w:tr w:rsidR="003B31F2" w:rsidRPr="004C0D35" w14:paraId="7583E35E" w14:textId="77777777" w:rsidTr="00A16754">
        <w:trPr>
          <w:trHeight w:val="315"/>
        </w:trPr>
        <w:tc>
          <w:tcPr>
            <w:tcW w:w="2160" w:type="dxa"/>
            <w:tcBorders>
              <w:top w:val="nil"/>
              <w:left w:val="nil"/>
              <w:bottom w:val="nil"/>
              <w:right w:val="nil"/>
            </w:tcBorders>
            <w:shd w:val="clear" w:color="auto" w:fill="auto"/>
            <w:vAlign w:val="bottom"/>
          </w:tcPr>
          <w:p w14:paraId="30D8A69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Georgia (Caucasus)</w:t>
            </w:r>
          </w:p>
        </w:tc>
        <w:tc>
          <w:tcPr>
            <w:tcW w:w="1829" w:type="dxa"/>
            <w:tcBorders>
              <w:top w:val="nil"/>
              <w:left w:val="nil"/>
              <w:bottom w:val="nil"/>
              <w:right w:val="nil"/>
            </w:tcBorders>
            <w:shd w:val="clear" w:color="auto" w:fill="auto"/>
            <w:vAlign w:val="bottom"/>
          </w:tcPr>
          <w:p w14:paraId="027C4C3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3.25</w:t>
            </w:r>
          </w:p>
        </w:tc>
      </w:tr>
      <w:tr w:rsidR="003B31F2" w:rsidRPr="004C0D35" w14:paraId="087C92C7" w14:textId="77777777" w:rsidTr="00A16754">
        <w:trPr>
          <w:trHeight w:val="315"/>
        </w:trPr>
        <w:tc>
          <w:tcPr>
            <w:tcW w:w="2160" w:type="dxa"/>
            <w:tcBorders>
              <w:top w:val="nil"/>
              <w:left w:val="nil"/>
              <w:bottom w:val="nil"/>
              <w:right w:val="nil"/>
            </w:tcBorders>
            <w:shd w:val="clear" w:color="auto" w:fill="auto"/>
            <w:vAlign w:val="bottom"/>
          </w:tcPr>
          <w:p w14:paraId="5FB678B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British Columbia</w:t>
            </w:r>
          </w:p>
        </w:tc>
        <w:tc>
          <w:tcPr>
            <w:tcW w:w="1829" w:type="dxa"/>
            <w:tcBorders>
              <w:top w:val="nil"/>
              <w:left w:val="nil"/>
              <w:bottom w:val="nil"/>
              <w:right w:val="nil"/>
            </w:tcBorders>
            <w:shd w:val="clear" w:color="auto" w:fill="auto"/>
            <w:vAlign w:val="bottom"/>
          </w:tcPr>
          <w:p w14:paraId="76432202"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3.16667</w:t>
            </w:r>
          </w:p>
        </w:tc>
      </w:tr>
      <w:tr w:rsidR="003B31F2" w:rsidRPr="004C0D35" w14:paraId="068CFB7D" w14:textId="77777777" w:rsidTr="00A16754">
        <w:trPr>
          <w:trHeight w:val="315"/>
        </w:trPr>
        <w:tc>
          <w:tcPr>
            <w:tcW w:w="2160" w:type="dxa"/>
            <w:tcBorders>
              <w:top w:val="nil"/>
              <w:left w:val="nil"/>
              <w:bottom w:val="nil"/>
              <w:right w:val="nil"/>
            </w:tcBorders>
            <w:shd w:val="clear" w:color="auto" w:fill="auto"/>
            <w:vAlign w:val="bottom"/>
          </w:tcPr>
          <w:p w14:paraId="2E178D13"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Bolivia</w:t>
            </w:r>
          </w:p>
        </w:tc>
        <w:tc>
          <w:tcPr>
            <w:tcW w:w="1829" w:type="dxa"/>
            <w:tcBorders>
              <w:top w:val="nil"/>
              <w:left w:val="nil"/>
              <w:bottom w:val="nil"/>
              <w:right w:val="nil"/>
            </w:tcBorders>
            <w:shd w:val="clear" w:color="auto" w:fill="auto"/>
            <w:vAlign w:val="bottom"/>
          </w:tcPr>
          <w:p w14:paraId="588BCEE5"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3.08333</w:t>
            </w:r>
          </w:p>
        </w:tc>
      </w:tr>
      <w:tr w:rsidR="003B31F2" w:rsidRPr="004C0D35" w14:paraId="654551C0" w14:textId="77777777" w:rsidTr="00A16754">
        <w:trPr>
          <w:trHeight w:val="315"/>
        </w:trPr>
        <w:tc>
          <w:tcPr>
            <w:tcW w:w="2160" w:type="dxa"/>
            <w:tcBorders>
              <w:top w:val="nil"/>
              <w:left w:val="nil"/>
              <w:bottom w:val="nil"/>
              <w:right w:val="nil"/>
            </w:tcBorders>
            <w:shd w:val="clear" w:color="auto" w:fill="auto"/>
            <w:vAlign w:val="bottom"/>
          </w:tcPr>
          <w:p w14:paraId="6998AB25"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Ontario</w:t>
            </w:r>
          </w:p>
        </w:tc>
        <w:tc>
          <w:tcPr>
            <w:tcW w:w="1829" w:type="dxa"/>
            <w:tcBorders>
              <w:top w:val="nil"/>
              <w:left w:val="nil"/>
              <w:bottom w:val="nil"/>
              <w:right w:val="nil"/>
            </w:tcBorders>
            <w:shd w:val="clear" w:color="auto" w:fill="auto"/>
            <w:vAlign w:val="bottom"/>
          </w:tcPr>
          <w:p w14:paraId="20EAA84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w:t>
            </w:r>
          </w:p>
        </w:tc>
      </w:tr>
      <w:tr w:rsidR="003B31F2" w:rsidRPr="004C0D35" w14:paraId="35971699" w14:textId="77777777" w:rsidTr="00A16754">
        <w:trPr>
          <w:trHeight w:val="315"/>
        </w:trPr>
        <w:tc>
          <w:tcPr>
            <w:tcW w:w="2160" w:type="dxa"/>
            <w:tcBorders>
              <w:top w:val="nil"/>
              <w:left w:val="nil"/>
              <w:bottom w:val="nil"/>
              <w:right w:val="nil"/>
            </w:tcBorders>
            <w:shd w:val="clear" w:color="auto" w:fill="auto"/>
            <w:vAlign w:val="bottom"/>
          </w:tcPr>
          <w:p w14:paraId="2F5E1CED"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Yukon</w:t>
            </w:r>
          </w:p>
        </w:tc>
        <w:tc>
          <w:tcPr>
            <w:tcW w:w="1829" w:type="dxa"/>
            <w:tcBorders>
              <w:top w:val="nil"/>
              <w:left w:val="nil"/>
              <w:bottom w:val="nil"/>
              <w:right w:val="nil"/>
            </w:tcBorders>
            <w:shd w:val="clear" w:color="auto" w:fill="auto"/>
            <w:vAlign w:val="bottom"/>
          </w:tcPr>
          <w:p w14:paraId="48887256"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3</w:t>
            </w:r>
          </w:p>
        </w:tc>
      </w:tr>
      <w:tr w:rsidR="003B31F2" w:rsidRPr="004C0D35" w14:paraId="55637A67" w14:textId="77777777" w:rsidTr="00A16754">
        <w:trPr>
          <w:trHeight w:val="315"/>
        </w:trPr>
        <w:tc>
          <w:tcPr>
            <w:tcW w:w="2160" w:type="dxa"/>
            <w:tcBorders>
              <w:top w:val="nil"/>
              <w:left w:val="nil"/>
              <w:bottom w:val="nil"/>
              <w:right w:val="nil"/>
            </w:tcBorders>
            <w:shd w:val="clear" w:color="auto" w:fill="auto"/>
            <w:vAlign w:val="bottom"/>
          </w:tcPr>
          <w:p w14:paraId="004ABEC2"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Guatemala</w:t>
            </w:r>
          </w:p>
        </w:tc>
        <w:tc>
          <w:tcPr>
            <w:tcW w:w="1829" w:type="dxa"/>
            <w:tcBorders>
              <w:top w:val="nil"/>
              <w:left w:val="nil"/>
              <w:bottom w:val="nil"/>
              <w:right w:val="nil"/>
            </w:tcBorders>
            <w:shd w:val="clear" w:color="auto" w:fill="auto"/>
            <w:vAlign w:val="bottom"/>
          </w:tcPr>
          <w:p w14:paraId="4E84BD6A"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2.91667</w:t>
            </w:r>
          </w:p>
        </w:tc>
      </w:tr>
      <w:tr w:rsidR="003B31F2" w:rsidRPr="004C0D35" w14:paraId="303A3253" w14:textId="77777777" w:rsidTr="00A16754">
        <w:trPr>
          <w:trHeight w:val="315"/>
        </w:trPr>
        <w:tc>
          <w:tcPr>
            <w:tcW w:w="2160" w:type="dxa"/>
            <w:tcBorders>
              <w:top w:val="nil"/>
              <w:left w:val="nil"/>
              <w:bottom w:val="nil"/>
              <w:right w:val="nil"/>
            </w:tcBorders>
            <w:shd w:val="clear" w:color="auto" w:fill="auto"/>
            <w:vAlign w:val="bottom"/>
          </w:tcPr>
          <w:p w14:paraId="645BA30C"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Russia</w:t>
            </w:r>
          </w:p>
        </w:tc>
        <w:tc>
          <w:tcPr>
            <w:tcW w:w="1829" w:type="dxa"/>
            <w:tcBorders>
              <w:top w:val="nil"/>
              <w:left w:val="nil"/>
              <w:bottom w:val="nil"/>
              <w:right w:val="nil"/>
            </w:tcBorders>
            <w:shd w:val="clear" w:color="auto" w:fill="auto"/>
            <w:vAlign w:val="bottom"/>
          </w:tcPr>
          <w:p w14:paraId="2A8AF73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2.91667</w:t>
            </w:r>
          </w:p>
        </w:tc>
      </w:tr>
      <w:tr w:rsidR="003B31F2" w:rsidRPr="004C0D35" w14:paraId="3E965760" w14:textId="77777777" w:rsidTr="00A16754">
        <w:trPr>
          <w:trHeight w:val="315"/>
        </w:trPr>
        <w:tc>
          <w:tcPr>
            <w:tcW w:w="2160" w:type="dxa"/>
            <w:tcBorders>
              <w:top w:val="nil"/>
              <w:left w:val="nil"/>
              <w:bottom w:val="nil"/>
              <w:right w:val="nil"/>
            </w:tcBorders>
            <w:shd w:val="clear" w:color="auto" w:fill="auto"/>
            <w:vAlign w:val="bottom"/>
          </w:tcPr>
          <w:p w14:paraId="43A968F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Scotland</w:t>
            </w:r>
          </w:p>
        </w:tc>
        <w:tc>
          <w:tcPr>
            <w:tcW w:w="1829" w:type="dxa"/>
            <w:tcBorders>
              <w:top w:val="nil"/>
              <w:left w:val="nil"/>
              <w:bottom w:val="nil"/>
              <w:right w:val="nil"/>
            </w:tcBorders>
            <w:shd w:val="clear" w:color="auto" w:fill="auto"/>
            <w:vAlign w:val="bottom"/>
          </w:tcPr>
          <w:p w14:paraId="552D1BF5"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2.83333</w:t>
            </w:r>
          </w:p>
        </w:tc>
      </w:tr>
      <w:tr w:rsidR="003B31F2" w:rsidRPr="004C0D35" w14:paraId="345673E8" w14:textId="77777777" w:rsidTr="00A16754">
        <w:trPr>
          <w:trHeight w:val="315"/>
        </w:trPr>
        <w:tc>
          <w:tcPr>
            <w:tcW w:w="2160" w:type="dxa"/>
            <w:tcBorders>
              <w:top w:val="nil"/>
              <w:left w:val="nil"/>
              <w:bottom w:val="nil"/>
              <w:right w:val="nil"/>
            </w:tcBorders>
            <w:shd w:val="clear" w:color="auto" w:fill="auto"/>
            <w:vAlign w:val="bottom"/>
          </w:tcPr>
          <w:p w14:paraId="28A2E1C2"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Newfoundland and Labrador</w:t>
            </w:r>
          </w:p>
        </w:tc>
        <w:tc>
          <w:tcPr>
            <w:tcW w:w="1829" w:type="dxa"/>
            <w:tcBorders>
              <w:top w:val="nil"/>
              <w:left w:val="nil"/>
              <w:bottom w:val="nil"/>
              <w:right w:val="nil"/>
            </w:tcBorders>
            <w:shd w:val="clear" w:color="auto" w:fill="auto"/>
            <w:vAlign w:val="bottom"/>
          </w:tcPr>
          <w:p w14:paraId="0BBB87D3"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2.75</w:t>
            </w:r>
          </w:p>
        </w:tc>
      </w:tr>
      <w:tr w:rsidR="003B31F2" w:rsidRPr="004C0D35" w14:paraId="0D7112F7" w14:textId="77777777" w:rsidTr="00A16754">
        <w:trPr>
          <w:trHeight w:val="315"/>
        </w:trPr>
        <w:tc>
          <w:tcPr>
            <w:tcW w:w="2160" w:type="dxa"/>
            <w:tcBorders>
              <w:top w:val="nil"/>
              <w:left w:val="nil"/>
              <w:bottom w:val="nil"/>
              <w:right w:val="nil"/>
            </w:tcBorders>
            <w:shd w:val="clear" w:color="auto" w:fill="auto"/>
            <w:vAlign w:val="bottom"/>
          </w:tcPr>
          <w:p w14:paraId="73A96558"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Peru</w:t>
            </w:r>
          </w:p>
        </w:tc>
        <w:tc>
          <w:tcPr>
            <w:tcW w:w="1829" w:type="dxa"/>
            <w:tcBorders>
              <w:top w:val="nil"/>
              <w:left w:val="nil"/>
              <w:bottom w:val="nil"/>
              <w:right w:val="nil"/>
            </w:tcBorders>
            <w:shd w:val="clear" w:color="auto" w:fill="auto"/>
            <w:vAlign w:val="bottom"/>
          </w:tcPr>
          <w:p w14:paraId="44A1C78C"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2.58333</w:t>
            </w:r>
          </w:p>
        </w:tc>
      </w:tr>
      <w:tr w:rsidR="003B31F2" w:rsidRPr="004C0D35" w14:paraId="4E026FA0" w14:textId="77777777" w:rsidTr="00A16754">
        <w:trPr>
          <w:trHeight w:val="315"/>
        </w:trPr>
        <w:tc>
          <w:tcPr>
            <w:tcW w:w="2160" w:type="dxa"/>
            <w:tcBorders>
              <w:top w:val="nil"/>
              <w:left w:val="nil"/>
              <w:bottom w:val="nil"/>
              <w:right w:val="nil"/>
            </w:tcBorders>
            <w:shd w:val="clear" w:color="auto" w:fill="auto"/>
            <w:vAlign w:val="bottom"/>
          </w:tcPr>
          <w:p w14:paraId="45F13DAF"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Luxembourg</w:t>
            </w:r>
          </w:p>
        </w:tc>
        <w:tc>
          <w:tcPr>
            <w:tcW w:w="1829" w:type="dxa"/>
            <w:tcBorders>
              <w:top w:val="nil"/>
              <w:left w:val="nil"/>
              <w:bottom w:val="nil"/>
              <w:right w:val="nil"/>
            </w:tcBorders>
            <w:shd w:val="clear" w:color="auto" w:fill="auto"/>
            <w:vAlign w:val="bottom"/>
          </w:tcPr>
          <w:p w14:paraId="52D84601"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2.16667</w:t>
            </w:r>
          </w:p>
        </w:tc>
      </w:tr>
      <w:tr w:rsidR="003B31F2" w:rsidRPr="004C0D35" w14:paraId="45D7F678" w14:textId="77777777" w:rsidTr="00A16754">
        <w:trPr>
          <w:trHeight w:val="315"/>
        </w:trPr>
        <w:tc>
          <w:tcPr>
            <w:tcW w:w="2160" w:type="dxa"/>
            <w:tcBorders>
              <w:top w:val="nil"/>
              <w:left w:val="nil"/>
              <w:bottom w:val="nil"/>
              <w:right w:val="nil"/>
            </w:tcBorders>
            <w:shd w:val="clear" w:color="auto" w:fill="auto"/>
            <w:vAlign w:val="bottom"/>
          </w:tcPr>
          <w:p w14:paraId="4E81301B"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Moldova</w:t>
            </w:r>
          </w:p>
        </w:tc>
        <w:tc>
          <w:tcPr>
            <w:tcW w:w="1829" w:type="dxa"/>
            <w:tcBorders>
              <w:top w:val="nil"/>
              <w:left w:val="nil"/>
              <w:bottom w:val="nil"/>
              <w:right w:val="nil"/>
            </w:tcBorders>
            <w:shd w:val="clear" w:color="auto" w:fill="auto"/>
            <w:vAlign w:val="bottom"/>
          </w:tcPr>
          <w:p w14:paraId="4D1F53A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2.16667</w:t>
            </w:r>
          </w:p>
        </w:tc>
      </w:tr>
      <w:tr w:rsidR="003B31F2" w:rsidRPr="004C0D35" w14:paraId="17284E43" w14:textId="77777777" w:rsidTr="00A16754">
        <w:trPr>
          <w:trHeight w:val="315"/>
        </w:trPr>
        <w:tc>
          <w:tcPr>
            <w:tcW w:w="2160" w:type="dxa"/>
            <w:tcBorders>
              <w:top w:val="nil"/>
              <w:left w:val="nil"/>
              <w:bottom w:val="nil"/>
              <w:right w:val="nil"/>
            </w:tcBorders>
            <w:shd w:val="clear" w:color="auto" w:fill="auto"/>
            <w:vAlign w:val="bottom"/>
          </w:tcPr>
          <w:p w14:paraId="09172F2A"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Mexico</w:t>
            </w:r>
          </w:p>
        </w:tc>
        <w:tc>
          <w:tcPr>
            <w:tcW w:w="1829" w:type="dxa"/>
            <w:tcBorders>
              <w:top w:val="nil"/>
              <w:left w:val="nil"/>
              <w:bottom w:val="nil"/>
              <w:right w:val="nil"/>
            </w:tcBorders>
            <w:shd w:val="clear" w:color="auto" w:fill="auto"/>
            <w:vAlign w:val="bottom"/>
          </w:tcPr>
          <w:p w14:paraId="5979225E"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2.08333</w:t>
            </w:r>
          </w:p>
        </w:tc>
      </w:tr>
      <w:tr w:rsidR="003B31F2" w:rsidRPr="004C0D35" w14:paraId="57493119" w14:textId="77777777" w:rsidTr="00A16754">
        <w:trPr>
          <w:trHeight w:val="315"/>
        </w:trPr>
        <w:tc>
          <w:tcPr>
            <w:tcW w:w="2160" w:type="dxa"/>
            <w:tcBorders>
              <w:top w:val="nil"/>
              <w:left w:val="nil"/>
              <w:bottom w:val="nil"/>
              <w:right w:val="nil"/>
            </w:tcBorders>
            <w:shd w:val="clear" w:color="auto" w:fill="auto"/>
            <w:vAlign w:val="bottom"/>
          </w:tcPr>
          <w:p w14:paraId="004F1937"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Costa Rica</w:t>
            </w:r>
          </w:p>
        </w:tc>
        <w:tc>
          <w:tcPr>
            <w:tcW w:w="1829" w:type="dxa"/>
            <w:tcBorders>
              <w:top w:val="nil"/>
              <w:left w:val="nil"/>
              <w:bottom w:val="nil"/>
              <w:right w:val="nil"/>
            </w:tcBorders>
            <w:shd w:val="clear" w:color="auto" w:fill="auto"/>
            <w:vAlign w:val="bottom"/>
          </w:tcPr>
          <w:p w14:paraId="75870149"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w:t>
            </w:r>
          </w:p>
        </w:tc>
      </w:tr>
      <w:tr w:rsidR="003B31F2" w:rsidRPr="004C0D35" w14:paraId="42056FA8" w14:textId="77777777" w:rsidTr="00A16754">
        <w:trPr>
          <w:trHeight w:val="315"/>
        </w:trPr>
        <w:tc>
          <w:tcPr>
            <w:tcW w:w="2160" w:type="dxa"/>
            <w:tcBorders>
              <w:top w:val="nil"/>
              <w:left w:val="nil"/>
              <w:bottom w:val="nil"/>
              <w:right w:val="nil"/>
            </w:tcBorders>
            <w:shd w:val="clear" w:color="auto" w:fill="auto"/>
            <w:vAlign w:val="bottom"/>
          </w:tcPr>
          <w:p w14:paraId="2DED83BE" w14:textId="77777777" w:rsidR="003B31F2" w:rsidRPr="004C0D35" w:rsidRDefault="003B31F2" w:rsidP="003B31F2">
            <w:pPr>
              <w:spacing w:after="0"/>
              <w:rPr>
                <w:rFonts w:ascii="Times New Roman" w:hAnsi="Times New Roman" w:cs="Times New Roman"/>
                <w:color w:val="000000"/>
                <w:sz w:val="24"/>
                <w:szCs w:val="24"/>
              </w:rPr>
            </w:pPr>
            <w:r w:rsidRPr="004C0D35">
              <w:rPr>
                <w:rFonts w:ascii="Times New Roman" w:hAnsi="Times New Roman" w:cs="Times New Roman"/>
                <w:color w:val="000000"/>
                <w:sz w:val="24"/>
                <w:szCs w:val="24"/>
              </w:rPr>
              <w:t>Philippines</w:t>
            </w:r>
          </w:p>
        </w:tc>
        <w:tc>
          <w:tcPr>
            <w:tcW w:w="1829" w:type="dxa"/>
            <w:tcBorders>
              <w:top w:val="nil"/>
              <w:left w:val="nil"/>
              <w:bottom w:val="nil"/>
              <w:right w:val="nil"/>
            </w:tcBorders>
            <w:shd w:val="clear" w:color="auto" w:fill="auto"/>
            <w:vAlign w:val="bottom"/>
          </w:tcPr>
          <w:p w14:paraId="0BE3ECF0" w14:textId="77777777" w:rsidR="003B31F2" w:rsidRPr="004C0D35" w:rsidRDefault="003B31F2" w:rsidP="003B31F2">
            <w:pPr>
              <w:spacing w:after="0"/>
              <w:jc w:val="right"/>
              <w:rPr>
                <w:rFonts w:ascii="Times New Roman" w:hAnsi="Times New Roman" w:cs="Times New Roman"/>
                <w:color w:val="000000"/>
                <w:sz w:val="24"/>
                <w:szCs w:val="24"/>
              </w:rPr>
            </w:pPr>
            <w:r w:rsidRPr="004C0D35">
              <w:rPr>
                <w:rFonts w:ascii="Times New Roman" w:hAnsi="Times New Roman" w:cs="Times New Roman"/>
                <w:color w:val="000000"/>
                <w:sz w:val="24"/>
                <w:szCs w:val="24"/>
              </w:rPr>
              <w:t>2</w:t>
            </w:r>
          </w:p>
        </w:tc>
      </w:tr>
    </w:tbl>
    <w:p w14:paraId="659949E9" w14:textId="77777777" w:rsidR="00A20CC1" w:rsidRPr="004C0D35" w:rsidRDefault="00A20CC1" w:rsidP="007A714F">
      <w:pPr>
        <w:spacing w:after="0" w:line="276" w:lineRule="auto"/>
        <w:jc w:val="both"/>
        <w:rPr>
          <w:rFonts w:ascii="Times New Roman" w:hAnsi="Times New Roman" w:cs="Times New Roman"/>
          <w:color w:val="000000"/>
          <w:sz w:val="24"/>
          <w:szCs w:val="24"/>
          <w:shd w:val="clear" w:color="auto" w:fill="FFFFFF"/>
        </w:rPr>
        <w:sectPr w:rsidR="00A20CC1" w:rsidRPr="004C0D35" w:rsidSect="00A97803">
          <w:type w:val="continuous"/>
          <w:pgSz w:w="12240" w:h="15840"/>
          <w:pgMar w:top="1440" w:right="1800" w:bottom="1440" w:left="1800" w:header="720" w:footer="720" w:gutter="0"/>
          <w:cols w:num="2" w:space="720"/>
          <w:titlePg/>
          <w:docGrid w:linePitch="360"/>
        </w:sectPr>
      </w:pPr>
    </w:p>
    <w:p w14:paraId="44B54D3B" w14:textId="77777777" w:rsidR="005F5E60" w:rsidRPr="004F781B" w:rsidRDefault="00150FE1" w:rsidP="007A714F">
      <w:pPr>
        <w:spacing w:after="0" w:line="276"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 xml:space="preserve">Figure 1. Trust </w:t>
      </w:r>
      <w:r w:rsidR="00CB2DAF" w:rsidRPr="004F781B">
        <w:rPr>
          <w:rFonts w:ascii="Times New Roman" w:hAnsi="Times New Roman" w:cs="Times New Roman"/>
          <w:color w:val="000000"/>
          <w:sz w:val="24"/>
          <w:szCs w:val="24"/>
          <w:shd w:val="clear" w:color="auto" w:fill="FFFFFF"/>
        </w:rPr>
        <w:t xml:space="preserve">Law </w:t>
      </w:r>
      <w:r w:rsidR="00F2538A" w:rsidRPr="004F781B">
        <w:rPr>
          <w:rFonts w:ascii="Times New Roman" w:hAnsi="Times New Roman" w:cs="Times New Roman"/>
          <w:color w:val="000000"/>
          <w:sz w:val="24"/>
          <w:szCs w:val="24"/>
          <w:shd w:val="clear" w:color="auto" w:fill="FFFFFF"/>
        </w:rPr>
        <w:t>Liberality</w:t>
      </w:r>
      <w:r w:rsidRPr="004F781B">
        <w:rPr>
          <w:rFonts w:ascii="Times New Roman" w:hAnsi="Times New Roman" w:cs="Times New Roman"/>
          <w:color w:val="000000"/>
          <w:sz w:val="24"/>
          <w:szCs w:val="24"/>
          <w:shd w:val="clear" w:color="auto" w:fill="FFFFFF"/>
        </w:rPr>
        <w:t xml:space="preserve"> by Jurisdiction, Accumulated to 2018 (inclusive).</w:t>
      </w:r>
    </w:p>
    <w:p w14:paraId="7A60A540" w14:textId="77777777" w:rsidR="00150FE1" w:rsidRPr="004C0D35" w:rsidRDefault="00150FE1" w:rsidP="007A714F">
      <w:pPr>
        <w:spacing w:after="0" w:line="276" w:lineRule="auto"/>
        <w:jc w:val="both"/>
        <w:rPr>
          <w:rFonts w:ascii="Times New Roman" w:hAnsi="Times New Roman" w:cs="Times New Roman"/>
          <w:color w:val="000000"/>
          <w:sz w:val="24"/>
          <w:szCs w:val="24"/>
          <w:shd w:val="clear" w:color="auto" w:fill="FFFFFF"/>
        </w:rPr>
      </w:pPr>
    </w:p>
    <w:p w14:paraId="68B079C4" w14:textId="77777777" w:rsidR="00150FE1" w:rsidRPr="004C0D35" w:rsidRDefault="00EA3873" w:rsidP="007A714F">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24F87371" wp14:editId="6A717EF4">
            <wp:extent cx="5486400" cy="3677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eralization-map-July-2019.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677920"/>
                    </a:xfrm>
                    <a:prstGeom prst="rect">
                      <a:avLst/>
                    </a:prstGeom>
                  </pic:spPr>
                </pic:pic>
              </a:graphicData>
            </a:graphic>
          </wp:inline>
        </w:drawing>
      </w:r>
    </w:p>
    <w:p w14:paraId="553C353C" w14:textId="77777777" w:rsidR="00150FE1" w:rsidRPr="004C0D35" w:rsidRDefault="00150FE1" w:rsidP="007A714F">
      <w:pPr>
        <w:spacing w:after="0" w:line="276" w:lineRule="auto"/>
        <w:jc w:val="both"/>
        <w:rPr>
          <w:rFonts w:ascii="Times New Roman" w:hAnsi="Times New Roman" w:cs="Times New Roman"/>
          <w:color w:val="000000"/>
          <w:sz w:val="24"/>
          <w:szCs w:val="24"/>
          <w:shd w:val="clear" w:color="auto" w:fill="FFFFFF"/>
        </w:rPr>
      </w:pPr>
    </w:p>
    <w:p w14:paraId="01D32142" w14:textId="76B6C3C7" w:rsidR="00F64FE8" w:rsidRPr="004C0D35" w:rsidRDefault="00F64FE8" w:rsidP="00D9566D">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 xml:space="preserve">Outside the U.S., the expected difference </w:t>
      </w:r>
      <w:r w:rsidR="00F51C58" w:rsidRPr="004C0D35">
        <w:rPr>
          <w:rFonts w:ascii="Times New Roman" w:hAnsi="Times New Roman" w:cs="Times New Roman"/>
          <w:color w:val="000000"/>
          <w:sz w:val="24"/>
          <w:szCs w:val="24"/>
          <w:shd w:val="clear" w:color="auto" w:fill="FFFFFF"/>
        </w:rPr>
        <w:t>between onshore and offshore is</w:t>
      </w:r>
      <w:r w:rsidRPr="004C0D35">
        <w:rPr>
          <w:rFonts w:ascii="Times New Roman" w:hAnsi="Times New Roman" w:cs="Times New Roman"/>
          <w:color w:val="000000"/>
          <w:sz w:val="24"/>
          <w:szCs w:val="24"/>
          <w:shd w:val="clear" w:color="auto" w:fill="FFFFFF"/>
        </w:rPr>
        <w:t xml:space="preserve"> manifest. </w:t>
      </w:r>
      <w:r w:rsidR="002F66C7" w:rsidRPr="004C0D35">
        <w:rPr>
          <w:rFonts w:ascii="Times New Roman" w:hAnsi="Times New Roman" w:cs="Times New Roman"/>
          <w:color w:val="000000"/>
          <w:sz w:val="24"/>
          <w:szCs w:val="24"/>
          <w:shd w:val="clear" w:color="auto" w:fill="FFFFFF"/>
        </w:rPr>
        <w:t>U</w:t>
      </w:r>
      <w:r w:rsidR="00FA3201" w:rsidRPr="004C0D35">
        <w:rPr>
          <w:rFonts w:ascii="Times New Roman" w:hAnsi="Times New Roman" w:cs="Times New Roman"/>
          <w:color w:val="000000"/>
          <w:sz w:val="24"/>
          <w:szCs w:val="24"/>
          <w:shd w:val="clear" w:color="auto" w:fill="FFFFFF"/>
        </w:rPr>
        <w:t xml:space="preserve">sing the cumulative trust law </w:t>
      </w:r>
      <w:r w:rsidR="00F2538A" w:rsidRPr="004C0D35">
        <w:rPr>
          <w:rFonts w:ascii="Times New Roman" w:hAnsi="Times New Roman" w:cs="Times New Roman"/>
          <w:color w:val="000000"/>
          <w:sz w:val="24"/>
          <w:szCs w:val="24"/>
          <w:shd w:val="clear" w:color="auto" w:fill="FFFFFF"/>
        </w:rPr>
        <w:t>liberality</w:t>
      </w:r>
      <w:r w:rsidR="002F66C7" w:rsidRPr="004C0D35">
        <w:rPr>
          <w:rFonts w:ascii="Times New Roman" w:hAnsi="Times New Roman" w:cs="Times New Roman"/>
          <w:color w:val="000000"/>
          <w:sz w:val="24"/>
          <w:szCs w:val="24"/>
          <w:shd w:val="clear" w:color="auto" w:fill="FFFFFF"/>
        </w:rPr>
        <w:t xml:space="preserve"> scores</w:t>
      </w:r>
      <w:r w:rsidR="00D9566D" w:rsidRPr="004C0D35">
        <w:rPr>
          <w:rFonts w:ascii="Times New Roman" w:hAnsi="Times New Roman" w:cs="Times New Roman"/>
          <w:color w:val="000000"/>
          <w:sz w:val="24"/>
          <w:szCs w:val="24"/>
          <w:shd w:val="clear" w:color="auto" w:fill="FFFFFF"/>
        </w:rPr>
        <w:t xml:space="preserve"> </w:t>
      </w:r>
      <w:r w:rsidR="00FA3201" w:rsidRPr="004C0D35">
        <w:rPr>
          <w:rFonts w:ascii="Times New Roman" w:hAnsi="Times New Roman" w:cs="Times New Roman"/>
          <w:color w:val="000000"/>
          <w:sz w:val="24"/>
          <w:szCs w:val="24"/>
          <w:shd w:val="clear" w:color="auto" w:fill="FFFFFF"/>
        </w:rPr>
        <w:t>for all the years in the database</w:t>
      </w:r>
      <w:r w:rsidR="002F66C7" w:rsidRPr="004C0D35">
        <w:rPr>
          <w:rFonts w:ascii="Times New Roman" w:hAnsi="Times New Roman" w:cs="Times New Roman"/>
          <w:color w:val="000000"/>
          <w:sz w:val="24"/>
          <w:szCs w:val="24"/>
          <w:shd w:val="clear" w:color="auto" w:fill="FFFFFF"/>
        </w:rPr>
        <w:t xml:space="preserve">, </w:t>
      </w:r>
      <w:r w:rsidR="00956819" w:rsidRPr="004C0D35">
        <w:rPr>
          <w:rFonts w:ascii="Times New Roman" w:hAnsi="Times New Roman" w:cs="Times New Roman"/>
          <w:color w:val="000000"/>
          <w:sz w:val="24"/>
          <w:szCs w:val="24"/>
          <w:shd w:val="clear" w:color="auto" w:fill="FFFFFF"/>
        </w:rPr>
        <w:t>Figure</w:t>
      </w:r>
      <w:r w:rsidR="00756CE6" w:rsidRPr="004C0D35">
        <w:rPr>
          <w:rFonts w:ascii="Times New Roman" w:hAnsi="Times New Roman" w:cs="Times New Roman"/>
          <w:color w:val="000000"/>
          <w:sz w:val="24"/>
          <w:szCs w:val="24"/>
          <w:shd w:val="clear" w:color="auto" w:fill="FFFFFF"/>
        </w:rPr>
        <w:t>s</w:t>
      </w:r>
      <w:r w:rsidR="00956819" w:rsidRPr="004C0D35">
        <w:rPr>
          <w:rFonts w:ascii="Times New Roman" w:hAnsi="Times New Roman" w:cs="Times New Roman"/>
          <w:color w:val="000000"/>
          <w:sz w:val="24"/>
          <w:szCs w:val="24"/>
          <w:shd w:val="clear" w:color="auto" w:fill="FFFFFF"/>
        </w:rPr>
        <w:t xml:space="preserve"> 2</w:t>
      </w:r>
      <w:r w:rsidR="00756CE6" w:rsidRPr="004C0D35">
        <w:rPr>
          <w:rFonts w:ascii="Times New Roman" w:hAnsi="Times New Roman" w:cs="Times New Roman"/>
          <w:color w:val="000000"/>
          <w:sz w:val="24"/>
          <w:szCs w:val="24"/>
          <w:shd w:val="clear" w:color="auto" w:fill="FFFFFF"/>
        </w:rPr>
        <w:t>a and 2b demonstrate</w:t>
      </w:r>
      <w:r w:rsidRPr="004C0D35">
        <w:rPr>
          <w:rFonts w:ascii="Times New Roman" w:hAnsi="Times New Roman" w:cs="Times New Roman"/>
          <w:color w:val="000000"/>
          <w:sz w:val="24"/>
          <w:szCs w:val="24"/>
          <w:shd w:val="clear" w:color="auto" w:fill="FFFFFF"/>
        </w:rPr>
        <w:t xml:space="preserve"> the clear difference in trust</w:t>
      </w:r>
      <w:r w:rsidR="00CB2DAF" w:rsidRPr="004C0D35">
        <w:rPr>
          <w:rFonts w:ascii="Times New Roman" w:hAnsi="Times New Roman" w:cs="Times New Roman"/>
          <w:color w:val="000000"/>
          <w:sz w:val="24"/>
          <w:szCs w:val="24"/>
          <w:shd w:val="clear" w:color="auto" w:fill="FFFFFF"/>
        </w:rPr>
        <w:t xml:space="preserve"> law</w:t>
      </w:r>
      <w:r w:rsidRPr="004C0D35">
        <w:rPr>
          <w:rFonts w:ascii="Times New Roman" w:hAnsi="Times New Roman" w:cs="Times New Roman"/>
          <w:color w:val="000000"/>
          <w:sz w:val="24"/>
          <w:szCs w:val="24"/>
          <w:shd w:val="clear" w:color="auto" w:fill="FFFFFF"/>
        </w:rPr>
        <w:t xml:space="preserve"> </w:t>
      </w:r>
      <w:r w:rsidR="00F2538A" w:rsidRPr="004C0D35">
        <w:rPr>
          <w:rFonts w:ascii="Times New Roman" w:hAnsi="Times New Roman" w:cs="Times New Roman"/>
          <w:color w:val="000000"/>
          <w:sz w:val="24"/>
          <w:szCs w:val="24"/>
          <w:shd w:val="clear" w:color="auto" w:fill="FFFFFF"/>
        </w:rPr>
        <w:t>liberality</w:t>
      </w:r>
      <w:r w:rsidRPr="004C0D35">
        <w:rPr>
          <w:rFonts w:ascii="Times New Roman" w:hAnsi="Times New Roman" w:cs="Times New Roman"/>
          <w:color w:val="000000"/>
          <w:sz w:val="24"/>
          <w:szCs w:val="24"/>
          <w:shd w:val="clear" w:color="auto" w:fill="FFFFFF"/>
        </w:rPr>
        <w:t xml:space="preserve"> levels </w:t>
      </w:r>
      <w:r w:rsidR="002F66C7" w:rsidRPr="004C0D35">
        <w:rPr>
          <w:rFonts w:ascii="Times New Roman" w:hAnsi="Times New Roman" w:cs="Times New Roman"/>
          <w:color w:val="000000"/>
          <w:sz w:val="24"/>
          <w:szCs w:val="24"/>
          <w:shd w:val="clear" w:color="auto" w:fill="FFFFFF"/>
        </w:rPr>
        <w:t>be</w:t>
      </w:r>
      <w:r w:rsidRPr="004C0D35">
        <w:rPr>
          <w:rFonts w:ascii="Times New Roman" w:hAnsi="Times New Roman" w:cs="Times New Roman"/>
          <w:color w:val="000000"/>
          <w:sz w:val="24"/>
          <w:szCs w:val="24"/>
          <w:shd w:val="clear" w:color="auto" w:fill="FFFFFF"/>
        </w:rPr>
        <w:t xml:space="preserve">tween </w:t>
      </w:r>
      <w:r w:rsidR="002F66C7" w:rsidRPr="004C0D35">
        <w:rPr>
          <w:rFonts w:ascii="Times New Roman" w:hAnsi="Times New Roman" w:cs="Times New Roman"/>
          <w:color w:val="000000"/>
          <w:sz w:val="24"/>
          <w:szCs w:val="24"/>
          <w:shd w:val="clear" w:color="auto" w:fill="FFFFFF"/>
        </w:rPr>
        <w:t>England and Scotland, on the one hand, and thr</w:t>
      </w:r>
      <w:r w:rsidR="00F51C58" w:rsidRPr="004C0D35">
        <w:rPr>
          <w:rFonts w:ascii="Times New Roman" w:hAnsi="Times New Roman" w:cs="Times New Roman"/>
          <w:color w:val="000000"/>
          <w:sz w:val="24"/>
          <w:szCs w:val="24"/>
          <w:shd w:val="clear" w:color="auto" w:fill="FFFFFF"/>
        </w:rPr>
        <w:t>ee offshore Crown Dependencies sur</w:t>
      </w:r>
      <w:r w:rsidR="002F66C7" w:rsidRPr="004C0D35">
        <w:rPr>
          <w:rFonts w:ascii="Times New Roman" w:hAnsi="Times New Roman" w:cs="Times New Roman"/>
          <w:color w:val="000000"/>
          <w:sz w:val="24"/>
          <w:szCs w:val="24"/>
          <w:shd w:val="clear" w:color="auto" w:fill="FFFFFF"/>
        </w:rPr>
        <w:t>round</w:t>
      </w:r>
      <w:r w:rsidR="00F51C58" w:rsidRPr="004C0D35">
        <w:rPr>
          <w:rFonts w:ascii="Times New Roman" w:hAnsi="Times New Roman" w:cs="Times New Roman"/>
          <w:color w:val="000000"/>
          <w:sz w:val="24"/>
          <w:szCs w:val="24"/>
          <w:shd w:val="clear" w:color="auto" w:fill="FFFFFF"/>
        </w:rPr>
        <w:t>ing</w:t>
      </w:r>
      <w:r w:rsidR="002F66C7" w:rsidRPr="004C0D35">
        <w:rPr>
          <w:rFonts w:ascii="Times New Roman" w:hAnsi="Times New Roman" w:cs="Times New Roman"/>
          <w:color w:val="000000"/>
          <w:sz w:val="24"/>
          <w:szCs w:val="24"/>
          <w:shd w:val="clear" w:color="auto" w:fill="FFFFFF"/>
        </w:rPr>
        <w:t xml:space="preserve"> the British isle. While trust </w:t>
      </w:r>
      <w:r w:rsidR="00F2538A" w:rsidRPr="004C0D35">
        <w:rPr>
          <w:rFonts w:ascii="Times New Roman" w:hAnsi="Times New Roman" w:cs="Times New Roman"/>
          <w:color w:val="000000"/>
          <w:sz w:val="24"/>
          <w:szCs w:val="24"/>
          <w:shd w:val="clear" w:color="auto" w:fill="FFFFFF"/>
        </w:rPr>
        <w:t>liberality</w:t>
      </w:r>
      <w:r w:rsidR="002F66C7" w:rsidRPr="004C0D35">
        <w:rPr>
          <w:rFonts w:ascii="Times New Roman" w:hAnsi="Times New Roman" w:cs="Times New Roman"/>
          <w:color w:val="000000"/>
          <w:sz w:val="24"/>
          <w:szCs w:val="24"/>
          <w:shd w:val="clear" w:color="auto" w:fill="FFFFFF"/>
        </w:rPr>
        <w:t xml:space="preserve"> levels have been rising in all five jurisdictions, the pace of liberalization in England and</w:t>
      </w:r>
      <w:r w:rsidR="008253CD" w:rsidRPr="004C0D35">
        <w:rPr>
          <w:rFonts w:ascii="Times New Roman" w:hAnsi="Times New Roman" w:cs="Times New Roman"/>
          <w:color w:val="000000"/>
          <w:sz w:val="24"/>
          <w:szCs w:val="24"/>
          <w:shd w:val="clear" w:color="auto" w:fill="FFFFFF"/>
        </w:rPr>
        <w:t xml:space="preserve"> (especially)</w:t>
      </w:r>
      <w:r w:rsidR="002F66C7" w:rsidRPr="004C0D35">
        <w:rPr>
          <w:rFonts w:ascii="Times New Roman" w:hAnsi="Times New Roman" w:cs="Times New Roman"/>
          <w:color w:val="000000"/>
          <w:sz w:val="24"/>
          <w:szCs w:val="24"/>
          <w:shd w:val="clear" w:color="auto" w:fill="FFFFFF"/>
        </w:rPr>
        <w:t xml:space="preserve"> Scotland has been slow, while that in the Isle of Man and (especially) Jersey and Guernsey reflects the</w:t>
      </w:r>
      <w:r w:rsidR="00D75E0C">
        <w:rPr>
          <w:rFonts w:ascii="Times New Roman" w:hAnsi="Times New Roman" w:cs="Times New Roman"/>
          <w:color w:val="000000"/>
          <w:sz w:val="24"/>
          <w:szCs w:val="24"/>
          <w:shd w:val="clear" w:color="auto" w:fill="FFFFFF"/>
        </w:rPr>
        <w:t xml:space="preserve"> frequent and dramatic law reform</w:t>
      </w:r>
      <w:r w:rsidR="002F66C7" w:rsidRPr="004C0D35">
        <w:rPr>
          <w:rFonts w:ascii="Times New Roman" w:hAnsi="Times New Roman" w:cs="Times New Roman"/>
          <w:color w:val="000000"/>
          <w:sz w:val="24"/>
          <w:szCs w:val="24"/>
          <w:shd w:val="clear" w:color="auto" w:fill="FFFFFF"/>
        </w:rPr>
        <w:t xml:space="preserve"> </w:t>
      </w:r>
      <w:r w:rsidR="00D75E0C">
        <w:rPr>
          <w:rFonts w:ascii="Times New Roman" w:hAnsi="Times New Roman" w:cs="Times New Roman"/>
          <w:color w:val="000000"/>
          <w:sz w:val="24"/>
          <w:szCs w:val="24"/>
          <w:shd w:val="clear" w:color="auto" w:fill="FFFFFF"/>
        </w:rPr>
        <w:t xml:space="preserve">resulting from the </w:t>
      </w:r>
      <w:r w:rsidR="002F66C7" w:rsidRPr="004C0D35">
        <w:rPr>
          <w:rFonts w:ascii="Times New Roman" w:hAnsi="Times New Roman" w:cs="Times New Roman"/>
          <w:color w:val="000000"/>
          <w:sz w:val="24"/>
          <w:szCs w:val="24"/>
          <w:shd w:val="clear" w:color="auto" w:fill="FFFFFF"/>
        </w:rPr>
        <w:t xml:space="preserve">dynamic contest for users characteristic of the offshore. </w:t>
      </w:r>
      <w:r w:rsidR="00756CE6" w:rsidRPr="004C0D35">
        <w:rPr>
          <w:rFonts w:ascii="Times New Roman" w:hAnsi="Times New Roman" w:cs="Times New Roman"/>
          <w:color w:val="000000"/>
          <w:sz w:val="24"/>
          <w:szCs w:val="24"/>
          <w:shd w:val="clear" w:color="auto" w:fill="FFFFFF"/>
        </w:rPr>
        <w:t xml:space="preserve">These findings hold for the full database, which includes both </w:t>
      </w:r>
      <w:r w:rsidR="00296A19" w:rsidRPr="004C0D35">
        <w:rPr>
          <w:rFonts w:ascii="Times New Roman" w:hAnsi="Times New Roman" w:cs="Times New Roman"/>
          <w:color w:val="000000"/>
          <w:sz w:val="24"/>
          <w:szCs w:val="24"/>
          <w:shd w:val="clear" w:color="auto" w:fill="FFFFFF"/>
        </w:rPr>
        <w:t>legislation that</w:t>
      </w:r>
      <w:r w:rsidR="00756CE6" w:rsidRPr="004C0D35">
        <w:rPr>
          <w:rFonts w:ascii="Times New Roman" w:hAnsi="Times New Roman" w:cs="Times New Roman"/>
          <w:color w:val="000000"/>
          <w:sz w:val="24"/>
          <w:szCs w:val="24"/>
          <w:shd w:val="clear" w:color="auto" w:fill="FFFFFF"/>
        </w:rPr>
        <w:t xml:space="preserve"> changed the law and legislation which merely gave new form to pre-existing law</w:t>
      </w:r>
      <w:r w:rsidR="00F47525" w:rsidRPr="004C0D35">
        <w:rPr>
          <w:rFonts w:ascii="Times New Roman" w:hAnsi="Times New Roman" w:cs="Times New Roman"/>
          <w:color w:val="000000"/>
          <w:sz w:val="24"/>
          <w:szCs w:val="24"/>
          <w:shd w:val="clear" w:color="auto" w:fill="FFFFFF"/>
        </w:rPr>
        <w:t>, and is reflected in Figure 2a, as well as</w:t>
      </w:r>
      <w:r w:rsidR="00756CE6" w:rsidRPr="004C0D35">
        <w:rPr>
          <w:rFonts w:ascii="Times New Roman" w:hAnsi="Times New Roman" w:cs="Times New Roman"/>
          <w:color w:val="000000"/>
          <w:sz w:val="24"/>
          <w:szCs w:val="24"/>
          <w:shd w:val="clear" w:color="auto" w:fill="FFFFFF"/>
        </w:rPr>
        <w:t xml:space="preserve"> for the restricted database, which includes only legislation which changed the law and is reflected in Figure 2b.</w:t>
      </w:r>
    </w:p>
    <w:p w14:paraId="1BAF8804" w14:textId="5C8197E3" w:rsidR="00810625" w:rsidRPr="004C0D35" w:rsidRDefault="00810625" w:rsidP="00197CD8">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ab/>
        <w:t xml:space="preserve">The high </w:t>
      </w:r>
      <w:r w:rsidR="00F2538A" w:rsidRPr="004C0D35">
        <w:rPr>
          <w:rFonts w:ascii="Times New Roman" w:hAnsi="Times New Roman" w:cs="Times New Roman"/>
          <w:color w:val="000000"/>
          <w:sz w:val="24"/>
          <w:szCs w:val="24"/>
          <w:shd w:val="clear" w:color="auto" w:fill="FFFFFF"/>
        </w:rPr>
        <w:t>liberality</w:t>
      </w:r>
      <w:r w:rsidRPr="004C0D35">
        <w:rPr>
          <w:rFonts w:ascii="Times New Roman" w:hAnsi="Times New Roman" w:cs="Times New Roman"/>
          <w:color w:val="000000"/>
          <w:sz w:val="24"/>
          <w:szCs w:val="24"/>
          <w:shd w:val="clear" w:color="auto" w:fill="FFFFFF"/>
        </w:rPr>
        <w:t xml:space="preserve"> levels characteristic of </w:t>
      </w:r>
      <w:r w:rsidR="002E54D5" w:rsidRPr="004C0D35">
        <w:rPr>
          <w:rFonts w:ascii="Times New Roman" w:hAnsi="Times New Roman" w:cs="Times New Roman"/>
          <w:color w:val="000000"/>
          <w:sz w:val="24"/>
          <w:szCs w:val="24"/>
          <w:shd w:val="clear" w:color="auto" w:fill="FFFFFF"/>
        </w:rPr>
        <w:t>the U.S. are evident even in those</w:t>
      </w:r>
      <w:r w:rsidRPr="004C0D35">
        <w:rPr>
          <w:rFonts w:ascii="Times New Roman" w:hAnsi="Times New Roman" w:cs="Times New Roman"/>
          <w:color w:val="000000"/>
          <w:sz w:val="24"/>
          <w:szCs w:val="24"/>
          <w:shd w:val="clear" w:color="auto" w:fill="FFFFFF"/>
        </w:rPr>
        <w:t xml:space="preserve"> U.S. jurisdictions that are </w:t>
      </w:r>
      <w:r w:rsidR="00F51C58" w:rsidRPr="004C0D35">
        <w:rPr>
          <w:rFonts w:ascii="Times New Roman" w:hAnsi="Times New Roman" w:cs="Times New Roman"/>
          <w:color w:val="000000"/>
          <w:sz w:val="24"/>
          <w:szCs w:val="24"/>
          <w:shd w:val="clear" w:color="auto" w:fill="FFFFFF"/>
        </w:rPr>
        <w:t xml:space="preserve">the </w:t>
      </w:r>
      <w:r w:rsidRPr="004C0D35">
        <w:rPr>
          <w:rFonts w:ascii="Times New Roman" w:hAnsi="Times New Roman" w:cs="Times New Roman"/>
          <w:color w:val="000000"/>
          <w:sz w:val="24"/>
          <w:szCs w:val="24"/>
          <w:shd w:val="clear" w:color="auto" w:fill="FFFFFF"/>
        </w:rPr>
        <w:t>most onshore in the functional sense</w:t>
      </w:r>
      <w:r w:rsidR="00F51C58" w:rsidRPr="004C0D35">
        <w:rPr>
          <w:rFonts w:ascii="Times New Roman" w:hAnsi="Times New Roman" w:cs="Times New Roman"/>
          <w:color w:val="000000"/>
          <w:sz w:val="24"/>
          <w:szCs w:val="24"/>
          <w:shd w:val="clear" w:color="auto" w:fill="FFFFFF"/>
        </w:rPr>
        <w:t xml:space="preserve"> of that term:</w:t>
      </w:r>
      <w:r w:rsidRPr="004C0D35">
        <w:rPr>
          <w:rFonts w:ascii="Times New Roman" w:hAnsi="Times New Roman" w:cs="Times New Roman"/>
          <w:color w:val="000000"/>
          <w:sz w:val="24"/>
          <w:szCs w:val="24"/>
          <w:shd w:val="clear" w:color="auto" w:fill="FFFFFF"/>
        </w:rPr>
        <w:t xml:space="preserve"> those catering to a large re</w:t>
      </w:r>
      <w:r w:rsidR="00956819" w:rsidRPr="004C0D35">
        <w:rPr>
          <w:rFonts w:ascii="Times New Roman" w:hAnsi="Times New Roman" w:cs="Times New Roman"/>
          <w:color w:val="000000"/>
          <w:sz w:val="24"/>
          <w:szCs w:val="24"/>
          <w:shd w:val="clear" w:color="auto" w:fill="FFFFFF"/>
        </w:rPr>
        <w:t>sident user population. Figure</w:t>
      </w:r>
      <w:r w:rsidR="00F47525" w:rsidRPr="004C0D35">
        <w:rPr>
          <w:rFonts w:ascii="Times New Roman" w:hAnsi="Times New Roman" w:cs="Times New Roman"/>
          <w:color w:val="000000"/>
          <w:sz w:val="24"/>
          <w:szCs w:val="24"/>
          <w:shd w:val="clear" w:color="auto" w:fill="FFFFFF"/>
        </w:rPr>
        <w:t>s</w:t>
      </w:r>
      <w:r w:rsidR="00956819" w:rsidRPr="004C0D35">
        <w:rPr>
          <w:rFonts w:ascii="Times New Roman" w:hAnsi="Times New Roman" w:cs="Times New Roman"/>
          <w:color w:val="000000"/>
          <w:sz w:val="24"/>
          <w:szCs w:val="24"/>
          <w:shd w:val="clear" w:color="auto" w:fill="FFFFFF"/>
        </w:rPr>
        <w:t xml:space="preserve"> 3</w:t>
      </w:r>
      <w:r w:rsidR="00F47525" w:rsidRPr="004C0D35">
        <w:rPr>
          <w:rFonts w:ascii="Times New Roman" w:hAnsi="Times New Roman" w:cs="Times New Roman"/>
          <w:color w:val="000000"/>
          <w:sz w:val="24"/>
          <w:szCs w:val="24"/>
          <w:shd w:val="clear" w:color="auto" w:fill="FFFFFF"/>
        </w:rPr>
        <w:t>a and 3b</w:t>
      </w:r>
      <w:r w:rsidRPr="004C0D35">
        <w:rPr>
          <w:rFonts w:ascii="Times New Roman" w:hAnsi="Times New Roman" w:cs="Times New Roman"/>
          <w:color w:val="000000"/>
          <w:sz w:val="24"/>
          <w:szCs w:val="24"/>
          <w:shd w:val="clear" w:color="auto" w:fill="FFFFFF"/>
        </w:rPr>
        <w:t xml:space="preserve"> juxtapose the process of trust </w:t>
      </w:r>
      <w:r w:rsidR="00CB2DAF" w:rsidRPr="004C0D35">
        <w:rPr>
          <w:rFonts w:ascii="Times New Roman" w:hAnsi="Times New Roman" w:cs="Times New Roman"/>
          <w:color w:val="000000"/>
          <w:sz w:val="24"/>
          <w:szCs w:val="24"/>
          <w:shd w:val="clear" w:color="auto" w:fill="FFFFFF"/>
        </w:rPr>
        <w:t xml:space="preserve">law </w:t>
      </w:r>
      <w:r w:rsidRPr="004C0D35">
        <w:rPr>
          <w:rFonts w:ascii="Times New Roman" w:hAnsi="Times New Roman" w:cs="Times New Roman"/>
          <w:color w:val="000000"/>
          <w:sz w:val="24"/>
          <w:szCs w:val="24"/>
          <w:shd w:val="clear" w:color="auto" w:fill="FFFFFF"/>
        </w:rPr>
        <w:t xml:space="preserve">liberalization in California and New York against that in England. Neither California nor New York having adopted the Uniform Trust Code, and despite their clear onshore character, they still experienced liberalization surges at different times between the 1960s and 1990s, leaving them with </w:t>
      </w:r>
      <w:r w:rsidR="00F2538A" w:rsidRPr="004C0D35">
        <w:rPr>
          <w:rFonts w:ascii="Times New Roman" w:hAnsi="Times New Roman" w:cs="Times New Roman"/>
          <w:color w:val="000000"/>
          <w:sz w:val="24"/>
          <w:szCs w:val="24"/>
          <w:shd w:val="clear" w:color="auto" w:fill="FFFFFF"/>
        </w:rPr>
        <w:t>liberality</w:t>
      </w:r>
      <w:r w:rsidRPr="004C0D35">
        <w:rPr>
          <w:rFonts w:ascii="Times New Roman" w:hAnsi="Times New Roman" w:cs="Times New Roman"/>
          <w:color w:val="000000"/>
          <w:sz w:val="24"/>
          <w:szCs w:val="24"/>
          <w:shd w:val="clear" w:color="auto" w:fill="FFFFFF"/>
        </w:rPr>
        <w:t xml:space="preserve"> levels exceeding that of England. </w:t>
      </w:r>
      <w:r w:rsidR="00D9566D" w:rsidRPr="004C0D35">
        <w:rPr>
          <w:rFonts w:ascii="Times New Roman" w:hAnsi="Times New Roman" w:cs="Times New Roman"/>
          <w:color w:val="000000"/>
          <w:sz w:val="24"/>
          <w:szCs w:val="24"/>
          <w:shd w:val="clear" w:color="auto" w:fill="FFFFFF"/>
        </w:rPr>
        <w:t>While t</w:t>
      </w:r>
      <w:r w:rsidR="003B289D" w:rsidRPr="004C0D35">
        <w:rPr>
          <w:rFonts w:ascii="Times New Roman" w:hAnsi="Times New Roman" w:cs="Times New Roman"/>
          <w:color w:val="000000"/>
          <w:sz w:val="24"/>
          <w:szCs w:val="24"/>
          <w:shd w:val="clear" w:color="auto" w:fill="FFFFFF"/>
        </w:rPr>
        <w:t xml:space="preserve">hese findings </w:t>
      </w:r>
      <w:r w:rsidR="00D9566D" w:rsidRPr="004C0D35">
        <w:rPr>
          <w:rFonts w:ascii="Times New Roman" w:hAnsi="Times New Roman" w:cs="Times New Roman"/>
          <w:color w:val="000000"/>
          <w:sz w:val="24"/>
          <w:szCs w:val="24"/>
          <w:shd w:val="clear" w:color="auto" w:fill="FFFFFF"/>
        </w:rPr>
        <w:t xml:space="preserve">are clearly apparent from Figure 3a, which reflects </w:t>
      </w:r>
      <w:r w:rsidR="003B289D" w:rsidRPr="004C0D35">
        <w:rPr>
          <w:rFonts w:ascii="Times New Roman" w:hAnsi="Times New Roman" w:cs="Times New Roman"/>
          <w:color w:val="000000"/>
          <w:sz w:val="24"/>
          <w:szCs w:val="24"/>
          <w:shd w:val="clear" w:color="auto" w:fill="FFFFFF"/>
        </w:rPr>
        <w:t>the full</w:t>
      </w:r>
      <w:r w:rsidR="00D9566D" w:rsidRPr="004C0D35">
        <w:rPr>
          <w:rFonts w:ascii="Times New Roman" w:hAnsi="Times New Roman" w:cs="Times New Roman"/>
          <w:color w:val="000000"/>
          <w:sz w:val="24"/>
          <w:szCs w:val="24"/>
          <w:shd w:val="clear" w:color="auto" w:fill="FFFFFF"/>
        </w:rPr>
        <w:t xml:space="preserve"> database, figure 3b, which</w:t>
      </w:r>
      <w:r w:rsidR="003B289D" w:rsidRPr="004C0D35">
        <w:rPr>
          <w:rFonts w:ascii="Times New Roman" w:hAnsi="Times New Roman" w:cs="Times New Roman"/>
          <w:color w:val="000000"/>
          <w:sz w:val="24"/>
          <w:szCs w:val="24"/>
          <w:shd w:val="clear" w:color="auto" w:fill="FFFFFF"/>
        </w:rPr>
        <w:t xml:space="preserve"> </w:t>
      </w:r>
      <w:r w:rsidR="00D9566D" w:rsidRPr="004C0D35">
        <w:rPr>
          <w:rFonts w:ascii="Times New Roman" w:hAnsi="Times New Roman" w:cs="Times New Roman"/>
          <w:color w:val="000000"/>
          <w:sz w:val="24"/>
          <w:szCs w:val="24"/>
          <w:shd w:val="clear" w:color="auto" w:fill="FFFFFF"/>
        </w:rPr>
        <w:t>reflects</w:t>
      </w:r>
      <w:r w:rsidR="006037C4" w:rsidRPr="004C0D35">
        <w:rPr>
          <w:rFonts w:ascii="Times New Roman" w:hAnsi="Times New Roman" w:cs="Times New Roman"/>
          <w:color w:val="000000"/>
          <w:sz w:val="24"/>
          <w:szCs w:val="24"/>
          <w:shd w:val="clear" w:color="auto" w:fill="FFFFFF"/>
        </w:rPr>
        <w:t xml:space="preserve"> </w:t>
      </w:r>
      <w:r w:rsidR="00D9566D" w:rsidRPr="004C0D35">
        <w:rPr>
          <w:rFonts w:ascii="Times New Roman" w:hAnsi="Times New Roman" w:cs="Times New Roman"/>
          <w:color w:val="000000"/>
          <w:sz w:val="24"/>
          <w:szCs w:val="24"/>
          <w:shd w:val="clear" w:color="auto" w:fill="FFFFFF"/>
        </w:rPr>
        <w:t xml:space="preserve">the restricted database, </w:t>
      </w:r>
      <w:r w:rsidR="00296A19">
        <w:rPr>
          <w:rFonts w:ascii="Times New Roman" w:hAnsi="Times New Roman" w:cs="Times New Roman"/>
          <w:color w:val="000000"/>
          <w:sz w:val="24"/>
          <w:szCs w:val="24"/>
          <w:shd w:val="clear" w:color="auto" w:fill="FFFFFF"/>
        </w:rPr>
        <w:t>including</w:t>
      </w:r>
      <w:r w:rsidR="00296A19" w:rsidRPr="004C0D35">
        <w:rPr>
          <w:rFonts w:ascii="Times New Roman" w:hAnsi="Times New Roman" w:cs="Times New Roman"/>
          <w:color w:val="000000"/>
          <w:sz w:val="24"/>
          <w:szCs w:val="24"/>
          <w:shd w:val="clear" w:color="auto" w:fill="FFFFFF"/>
        </w:rPr>
        <w:t xml:space="preserve"> only legislation that changed the law</w:t>
      </w:r>
      <w:r w:rsidR="00296A19">
        <w:rPr>
          <w:rFonts w:ascii="Times New Roman" w:hAnsi="Times New Roman" w:cs="Times New Roman"/>
          <w:color w:val="000000"/>
          <w:sz w:val="24"/>
          <w:szCs w:val="24"/>
          <w:shd w:val="clear" w:color="auto" w:fill="FFFFFF"/>
        </w:rPr>
        <w:t>,</w:t>
      </w:r>
      <w:r w:rsidR="00296A19" w:rsidRPr="004C0D35">
        <w:rPr>
          <w:rFonts w:ascii="Times New Roman" w:hAnsi="Times New Roman" w:cs="Times New Roman"/>
          <w:color w:val="000000"/>
          <w:sz w:val="24"/>
          <w:szCs w:val="24"/>
          <w:shd w:val="clear" w:color="auto" w:fill="FFFFFF"/>
        </w:rPr>
        <w:t xml:space="preserve"> </w:t>
      </w:r>
      <w:r w:rsidR="00D9566D" w:rsidRPr="004C0D35">
        <w:rPr>
          <w:rFonts w:ascii="Times New Roman" w:hAnsi="Times New Roman" w:cs="Times New Roman"/>
          <w:color w:val="000000"/>
          <w:sz w:val="24"/>
          <w:szCs w:val="24"/>
          <w:shd w:val="clear" w:color="auto" w:fill="FFFFFF"/>
        </w:rPr>
        <w:t xml:space="preserve">renders New York </w:t>
      </w:r>
      <w:r w:rsidR="009157C3">
        <w:rPr>
          <w:rFonts w:ascii="Times New Roman" w:hAnsi="Times New Roman" w:cs="Times New Roman"/>
          <w:color w:val="000000"/>
          <w:sz w:val="24"/>
          <w:szCs w:val="24"/>
          <w:shd w:val="clear" w:color="auto" w:fill="FFFFFF"/>
        </w:rPr>
        <w:t xml:space="preserve">trust </w:t>
      </w:r>
      <w:r w:rsidR="00D9566D" w:rsidRPr="004C0D35">
        <w:rPr>
          <w:rFonts w:ascii="Times New Roman" w:hAnsi="Times New Roman" w:cs="Times New Roman"/>
          <w:color w:val="000000"/>
          <w:sz w:val="24"/>
          <w:szCs w:val="24"/>
          <w:shd w:val="clear" w:color="auto" w:fill="FFFFFF"/>
        </w:rPr>
        <w:t xml:space="preserve">law </w:t>
      </w:r>
      <w:r w:rsidR="002E54D5" w:rsidRPr="004C0D35">
        <w:rPr>
          <w:rFonts w:ascii="Times New Roman" w:hAnsi="Times New Roman" w:cs="Times New Roman"/>
          <w:color w:val="000000"/>
          <w:sz w:val="24"/>
          <w:szCs w:val="24"/>
          <w:shd w:val="clear" w:color="auto" w:fill="FFFFFF"/>
        </w:rPr>
        <w:t xml:space="preserve">as having since the turn of the millennium been </w:t>
      </w:r>
      <w:r w:rsidR="00683D1E" w:rsidRPr="004C0D35">
        <w:rPr>
          <w:rFonts w:ascii="Times New Roman" w:hAnsi="Times New Roman" w:cs="Times New Roman"/>
          <w:color w:val="000000"/>
          <w:sz w:val="24"/>
          <w:szCs w:val="24"/>
          <w:shd w:val="clear" w:color="auto" w:fill="FFFFFF"/>
        </w:rPr>
        <w:t xml:space="preserve">seemingly </w:t>
      </w:r>
      <w:r w:rsidR="002E54D5" w:rsidRPr="004C0D35">
        <w:rPr>
          <w:rFonts w:ascii="Times New Roman" w:hAnsi="Times New Roman" w:cs="Times New Roman"/>
          <w:color w:val="000000"/>
          <w:sz w:val="24"/>
          <w:szCs w:val="24"/>
          <w:shd w:val="clear" w:color="auto" w:fill="FFFFFF"/>
        </w:rPr>
        <w:t>closer</w:t>
      </w:r>
      <w:r w:rsidR="00D9566D" w:rsidRPr="004C0D35">
        <w:rPr>
          <w:rFonts w:ascii="Times New Roman" w:hAnsi="Times New Roman" w:cs="Times New Roman"/>
          <w:color w:val="000000"/>
          <w:sz w:val="24"/>
          <w:szCs w:val="24"/>
          <w:shd w:val="clear" w:color="auto" w:fill="FFFFFF"/>
        </w:rPr>
        <w:t xml:space="preserve"> </w:t>
      </w:r>
      <w:r w:rsidR="00197CD8" w:rsidRPr="004C0D35">
        <w:rPr>
          <w:rFonts w:ascii="Times New Roman" w:hAnsi="Times New Roman" w:cs="Times New Roman"/>
          <w:color w:val="000000"/>
          <w:sz w:val="24"/>
          <w:szCs w:val="24"/>
          <w:shd w:val="clear" w:color="auto" w:fill="FFFFFF"/>
        </w:rPr>
        <w:t xml:space="preserve">in the extent of its liberality </w:t>
      </w:r>
      <w:r w:rsidR="002E54D5" w:rsidRPr="004C0D35">
        <w:rPr>
          <w:rFonts w:ascii="Times New Roman" w:hAnsi="Times New Roman" w:cs="Times New Roman"/>
          <w:color w:val="000000"/>
          <w:sz w:val="24"/>
          <w:szCs w:val="24"/>
          <w:shd w:val="clear" w:color="auto" w:fill="FFFFFF"/>
        </w:rPr>
        <w:t xml:space="preserve">to English law </w:t>
      </w:r>
      <w:r w:rsidR="00D9566D" w:rsidRPr="004C0D35">
        <w:rPr>
          <w:rFonts w:ascii="Times New Roman" w:hAnsi="Times New Roman" w:cs="Times New Roman"/>
          <w:color w:val="000000"/>
          <w:sz w:val="24"/>
          <w:szCs w:val="24"/>
          <w:shd w:val="clear" w:color="auto" w:fill="FFFFFF"/>
        </w:rPr>
        <w:t xml:space="preserve">than to California law. </w:t>
      </w:r>
      <w:r w:rsidR="00683D1E" w:rsidRPr="004C0D35">
        <w:rPr>
          <w:rFonts w:ascii="Times New Roman" w:hAnsi="Times New Roman" w:cs="Times New Roman"/>
          <w:color w:val="000000"/>
          <w:sz w:val="24"/>
          <w:szCs w:val="24"/>
          <w:shd w:val="clear" w:color="auto" w:fill="FFFFFF"/>
        </w:rPr>
        <w:t>This misleading impression results from much of the 1990s surge in the liberality of New York statutory trust law, apparent in Figure 3a, having consisted of statutes which merely gave new form to pre-existing law and are therefore absent from figure 3b.</w:t>
      </w:r>
    </w:p>
    <w:p w14:paraId="3801CD49" w14:textId="77777777" w:rsidR="00F64FE8" w:rsidRPr="004C0D35" w:rsidRDefault="00F64FE8" w:rsidP="007A714F">
      <w:pPr>
        <w:spacing w:after="0" w:line="276" w:lineRule="auto"/>
        <w:jc w:val="both"/>
        <w:rPr>
          <w:rFonts w:ascii="Times New Roman" w:hAnsi="Times New Roman" w:cs="Times New Roman"/>
          <w:color w:val="000000"/>
          <w:sz w:val="24"/>
          <w:szCs w:val="24"/>
          <w:shd w:val="clear" w:color="auto" w:fill="FFFFFF"/>
        </w:rPr>
      </w:pPr>
    </w:p>
    <w:p w14:paraId="382D2D1B" w14:textId="054E776F" w:rsidR="00F64FE8" w:rsidRPr="004F781B" w:rsidRDefault="00956819" w:rsidP="00E15F38">
      <w:pPr>
        <w:spacing w:after="0" w:line="240"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Figure 2</w:t>
      </w:r>
      <w:r w:rsidR="00756CE6" w:rsidRPr="004F781B">
        <w:rPr>
          <w:rFonts w:ascii="Times New Roman" w:hAnsi="Times New Roman" w:cs="Times New Roman"/>
          <w:color w:val="000000"/>
          <w:sz w:val="24"/>
          <w:szCs w:val="24"/>
          <w:shd w:val="clear" w:color="auto" w:fill="FFFFFF"/>
        </w:rPr>
        <w:t>a</w:t>
      </w:r>
      <w:r w:rsidR="00F64FE8" w:rsidRPr="004F781B">
        <w:rPr>
          <w:rFonts w:ascii="Times New Roman" w:hAnsi="Times New Roman" w:cs="Times New Roman"/>
          <w:color w:val="000000"/>
          <w:sz w:val="24"/>
          <w:szCs w:val="24"/>
          <w:shd w:val="clear" w:color="auto" w:fill="FFFFFF"/>
        </w:rPr>
        <w:t xml:space="preserve">. Trust </w:t>
      </w:r>
      <w:r w:rsidR="00CB2DAF" w:rsidRPr="004F781B">
        <w:rPr>
          <w:rFonts w:ascii="Times New Roman" w:hAnsi="Times New Roman" w:cs="Times New Roman"/>
          <w:color w:val="000000"/>
          <w:sz w:val="24"/>
          <w:szCs w:val="24"/>
          <w:shd w:val="clear" w:color="auto" w:fill="FFFFFF"/>
        </w:rPr>
        <w:t xml:space="preserve">Law </w:t>
      </w:r>
      <w:r w:rsidR="00F2538A" w:rsidRPr="004F781B">
        <w:rPr>
          <w:rFonts w:ascii="Times New Roman" w:hAnsi="Times New Roman" w:cs="Times New Roman"/>
          <w:color w:val="000000"/>
          <w:sz w:val="24"/>
          <w:szCs w:val="24"/>
          <w:shd w:val="clear" w:color="auto" w:fill="FFFFFF"/>
        </w:rPr>
        <w:t>Liberality</w:t>
      </w:r>
      <w:r w:rsidR="00F64FE8" w:rsidRPr="004F781B">
        <w:rPr>
          <w:rFonts w:ascii="Times New Roman" w:hAnsi="Times New Roman" w:cs="Times New Roman"/>
          <w:color w:val="000000"/>
          <w:sz w:val="24"/>
          <w:szCs w:val="24"/>
          <w:shd w:val="clear" w:color="auto" w:fill="FFFFFF"/>
        </w:rPr>
        <w:t xml:space="preserve"> by Year and Jurisdiction</w:t>
      </w:r>
      <w:r w:rsidR="00756CE6" w:rsidRPr="004F781B">
        <w:rPr>
          <w:rFonts w:ascii="Times New Roman" w:hAnsi="Times New Roman" w:cs="Times New Roman"/>
          <w:color w:val="000000"/>
          <w:sz w:val="24"/>
          <w:szCs w:val="24"/>
          <w:shd w:val="clear" w:color="auto" w:fill="FFFFFF"/>
        </w:rPr>
        <w:t>, Full Database</w:t>
      </w:r>
      <w:r w:rsidR="00F64FE8" w:rsidRPr="004F781B">
        <w:rPr>
          <w:rFonts w:ascii="Times New Roman" w:hAnsi="Times New Roman" w:cs="Times New Roman"/>
          <w:color w:val="000000"/>
          <w:sz w:val="24"/>
          <w:szCs w:val="24"/>
          <w:shd w:val="clear" w:color="auto" w:fill="FFFFFF"/>
        </w:rPr>
        <w:t xml:space="preserve">: England and </w:t>
      </w:r>
      <w:commentRangeStart w:id="2"/>
      <w:commentRangeStart w:id="3"/>
      <w:r w:rsidR="00F64FE8" w:rsidRPr="004F781B">
        <w:rPr>
          <w:rFonts w:ascii="Times New Roman" w:hAnsi="Times New Roman" w:cs="Times New Roman"/>
          <w:color w:val="000000"/>
          <w:sz w:val="24"/>
          <w:szCs w:val="24"/>
          <w:shd w:val="clear" w:color="auto" w:fill="FFFFFF"/>
        </w:rPr>
        <w:t>Environs</w:t>
      </w:r>
      <w:commentRangeEnd w:id="2"/>
      <w:r w:rsidR="00B37D5C">
        <w:rPr>
          <w:rStyle w:val="CommentReference"/>
        </w:rPr>
        <w:commentReference w:id="2"/>
      </w:r>
      <w:commentRangeEnd w:id="3"/>
      <w:r w:rsidR="0013477E">
        <w:rPr>
          <w:rStyle w:val="CommentReference"/>
        </w:rPr>
        <w:commentReference w:id="3"/>
      </w:r>
      <w:r w:rsidR="0013477E">
        <w:rPr>
          <w:rFonts w:ascii="Times New Roman" w:hAnsi="Times New Roman" w:cs="Times New Roman"/>
          <w:color w:val="000000"/>
          <w:sz w:val="24"/>
          <w:szCs w:val="24"/>
          <w:shd w:val="clear" w:color="auto" w:fill="FFFFFF"/>
        </w:rPr>
        <w:t xml:space="preserve"> </w:t>
      </w:r>
    </w:p>
    <w:p w14:paraId="38283881" w14:textId="77777777" w:rsidR="007E062B" w:rsidRPr="004C0D35" w:rsidRDefault="007E062B" w:rsidP="00E15F38">
      <w:pPr>
        <w:spacing w:after="0" w:line="240" w:lineRule="auto"/>
        <w:jc w:val="both"/>
        <w:rPr>
          <w:rFonts w:ascii="Times New Roman" w:hAnsi="Times New Roman" w:cs="Times New Roman"/>
          <w:color w:val="000000"/>
          <w:sz w:val="24"/>
          <w:szCs w:val="24"/>
          <w:shd w:val="clear" w:color="auto" w:fill="FFFFFF"/>
        </w:rPr>
      </w:pPr>
    </w:p>
    <w:p w14:paraId="7A0C8294" w14:textId="77777777" w:rsidR="00F64FE8" w:rsidRPr="004C0D35" w:rsidRDefault="00DC30C1" w:rsidP="00E15F38">
      <w:pPr>
        <w:spacing w:after="0" w:line="240"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1F204CBB" wp14:editId="352C5F9A">
            <wp:extent cx="5486400" cy="318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and environs.png"/>
                    <pic:cNvPicPr/>
                  </pic:nvPicPr>
                  <pic:blipFill rotWithShape="1">
                    <a:blip r:embed="rId14">
                      <a:extLst>
                        <a:ext uri="{28A0092B-C50C-407E-A947-70E740481C1C}">
                          <a14:useLocalDpi xmlns:a14="http://schemas.microsoft.com/office/drawing/2010/main" val="0"/>
                        </a:ext>
                      </a:extLst>
                    </a:blip>
                    <a:srcRect t="12776"/>
                    <a:stretch/>
                  </pic:blipFill>
                  <pic:spPr bwMode="auto">
                    <a:xfrm>
                      <a:off x="0" y="0"/>
                      <a:ext cx="5486400" cy="3186430"/>
                    </a:xfrm>
                    <a:prstGeom prst="rect">
                      <a:avLst/>
                    </a:prstGeom>
                    <a:ln>
                      <a:noFill/>
                    </a:ln>
                    <a:extLst>
                      <a:ext uri="{53640926-AAD7-44D8-BBD7-CCE9431645EC}">
                        <a14:shadowObscured xmlns:a14="http://schemas.microsoft.com/office/drawing/2010/main"/>
                      </a:ext>
                    </a:extLst>
                  </pic:spPr>
                </pic:pic>
              </a:graphicData>
            </a:graphic>
          </wp:inline>
        </w:drawing>
      </w:r>
    </w:p>
    <w:p w14:paraId="4CFA602D"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3C48744A"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42A221D6"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60F8D83F"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458CC9FE"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452DFEB3"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1090E24F"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2146BCE7"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31C9B958"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22D82D20"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5A47FB64"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16841235"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63BB3DCA"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213E539D"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6F1A70B8"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64633602" w14:textId="77777777" w:rsid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4D1BCB9C" w14:textId="77777777" w:rsidR="00756CE6" w:rsidRPr="004F781B" w:rsidRDefault="00756CE6" w:rsidP="00756CE6">
      <w:pPr>
        <w:spacing w:after="0" w:line="240"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 xml:space="preserve">Figure 2b. Trust </w:t>
      </w:r>
      <w:r w:rsidR="00CB2DAF" w:rsidRPr="004F781B">
        <w:rPr>
          <w:rFonts w:ascii="Times New Roman" w:hAnsi="Times New Roman" w:cs="Times New Roman"/>
          <w:color w:val="000000"/>
          <w:sz w:val="24"/>
          <w:szCs w:val="24"/>
          <w:shd w:val="clear" w:color="auto" w:fill="FFFFFF"/>
        </w:rPr>
        <w:t xml:space="preserve">Law </w:t>
      </w:r>
      <w:r w:rsidR="00F2538A" w:rsidRPr="004F781B">
        <w:rPr>
          <w:rFonts w:ascii="Times New Roman" w:hAnsi="Times New Roman" w:cs="Times New Roman"/>
          <w:color w:val="000000"/>
          <w:sz w:val="24"/>
          <w:szCs w:val="24"/>
          <w:shd w:val="clear" w:color="auto" w:fill="FFFFFF"/>
        </w:rPr>
        <w:t>Liberality</w:t>
      </w:r>
      <w:r w:rsidRPr="004F781B">
        <w:rPr>
          <w:rFonts w:ascii="Times New Roman" w:hAnsi="Times New Roman" w:cs="Times New Roman"/>
          <w:color w:val="000000"/>
          <w:sz w:val="24"/>
          <w:szCs w:val="24"/>
          <w:shd w:val="clear" w:color="auto" w:fill="FFFFFF"/>
        </w:rPr>
        <w:t xml:space="preserve"> by Year and Jurisdiction, Restricted Database: England and Environs</w:t>
      </w:r>
    </w:p>
    <w:p w14:paraId="3E5EF431" w14:textId="77777777" w:rsidR="00742261" w:rsidRPr="00742261" w:rsidRDefault="00742261" w:rsidP="00756CE6">
      <w:pPr>
        <w:spacing w:after="0" w:line="240" w:lineRule="auto"/>
        <w:jc w:val="both"/>
        <w:rPr>
          <w:rFonts w:ascii="Times New Roman" w:hAnsi="Times New Roman" w:cs="Times New Roman"/>
          <w:smallCaps/>
          <w:color w:val="000000"/>
          <w:sz w:val="24"/>
          <w:szCs w:val="24"/>
          <w:shd w:val="clear" w:color="auto" w:fill="FFFFFF"/>
        </w:rPr>
      </w:pPr>
    </w:p>
    <w:p w14:paraId="5BCAD171" w14:textId="77777777" w:rsidR="00756CE6" w:rsidRPr="004C0D35" w:rsidRDefault="00873C5A" w:rsidP="00E15F38">
      <w:pPr>
        <w:spacing w:after="0" w:line="240"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025C5D3B" wp14:editId="2C716272">
            <wp:extent cx="5486400" cy="3195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and and environs.png"/>
                    <pic:cNvPicPr/>
                  </pic:nvPicPr>
                  <pic:blipFill rotWithShape="1">
                    <a:blip r:embed="rId15">
                      <a:extLst>
                        <a:ext uri="{28A0092B-C50C-407E-A947-70E740481C1C}">
                          <a14:useLocalDpi xmlns:a14="http://schemas.microsoft.com/office/drawing/2010/main" val="0"/>
                        </a:ext>
                      </a:extLst>
                    </a:blip>
                    <a:srcRect t="12516"/>
                    <a:stretch/>
                  </pic:blipFill>
                  <pic:spPr bwMode="auto">
                    <a:xfrm>
                      <a:off x="0" y="0"/>
                      <a:ext cx="5486400" cy="3195955"/>
                    </a:xfrm>
                    <a:prstGeom prst="rect">
                      <a:avLst/>
                    </a:prstGeom>
                    <a:ln>
                      <a:noFill/>
                    </a:ln>
                    <a:extLst>
                      <a:ext uri="{53640926-AAD7-44D8-BBD7-CCE9431645EC}">
                        <a14:shadowObscured xmlns:a14="http://schemas.microsoft.com/office/drawing/2010/main"/>
                      </a:ext>
                    </a:extLst>
                  </pic:spPr>
                </pic:pic>
              </a:graphicData>
            </a:graphic>
          </wp:inline>
        </w:drawing>
      </w:r>
    </w:p>
    <w:p w14:paraId="0ED1CD7F" w14:textId="77777777" w:rsidR="004C192A" w:rsidRPr="004C0D35" w:rsidRDefault="004C192A" w:rsidP="00D10506">
      <w:pPr>
        <w:spacing w:after="0" w:line="240" w:lineRule="auto"/>
        <w:jc w:val="both"/>
        <w:rPr>
          <w:rFonts w:ascii="Times New Roman" w:hAnsi="Times New Roman" w:cs="Times New Roman"/>
          <w:color w:val="000000"/>
          <w:sz w:val="24"/>
          <w:szCs w:val="24"/>
          <w:shd w:val="clear" w:color="auto" w:fill="FFFFFF"/>
        </w:rPr>
      </w:pPr>
    </w:p>
    <w:p w14:paraId="21C534C4" w14:textId="77777777" w:rsidR="00810625" w:rsidRPr="004F781B" w:rsidRDefault="00956819" w:rsidP="00D10506">
      <w:pPr>
        <w:spacing w:after="0" w:line="240"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Figure 3</w:t>
      </w:r>
      <w:r w:rsidR="00372BE5" w:rsidRPr="004F781B">
        <w:rPr>
          <w:rFonts w:ascii="Times New Roman" w:hAnsi="Times New Roman" w:cs="Times New Roman"/>
          <w:color w:val="000000"/>
          <w:sz w:val="24"/>
          <w:szCs w:val="24"/>
          <w:shd w:val="clear" w:color="auto" w:fill="FFFFFF"/>
        </w:rPr>
        <w:t>a</w:t>
      </w:r>
      <w:r w:rsidR="00810625" w:rsidRPr="004F781B">
        <w:rPr>
          <w:rFonts w:ascii="Times New Roman" w:hAnsi="Times New Roman" w:cs="Times New Roman"/>
          <w:color w:val="000000"/>
          <w:sz w:val="24"/>
          <w:szCs w:val="24"/>
          <w:shd w:val="clear" w:color="auto" w:fill="FFFFFF"/>
        </w:rPr>
        <w:t xml:space="preserve">. Trust </w:t>
      </w:r>
      <w:r w:rsidR="00CB2DAF" w:rsidRPr="004F781B">
        <w:rPr>
          <w:rFonts w:ascii="Times New Roman" w:hAnsi="Times New Roman" w:cs="Times New Roman"/>
          <w:color w:val="000000"/>
          <w:sz w:val="24"/>
          <w:szCs w:val="24"/>
          <w:shd w:val="clear" w:color="auto" w:fill="FFFFFF"/>
        </w:rPr>
        <w:t xml:space="preserve">Law </w:t>
      </w:r>
      <w:r w:rsidR="00F2538A" w:rsidRPr="004F781B">
        <w:rPr>
          <w:rFonts w:ascii="Times New Roman" w:hAnsi="Times New Roman" w:cs="Times New Roman"/>
          <w:color w:val="000000"/>
          <w:sz w:val="24"/>
          <w:szCs w:val="24"/>
          <w:shd w:val="clear" w:color="auto" w:fill="FFFFFF"/>
        </w:rPr>
        <w:t>Liberality</w:t>
      </w:r>
      <w:r w:rsidR="00810625" w:rsidRPr="004F781B">
        <w:rPr>
          <w:rFonts w:ascii="Times New Roman" w:hAnsi="Times New Roman" w:cs="Times New Roman"/>
          <w:color w:val="000000"/>
          <w:sz w:val="24"/>
          <w:szCs w:val="24"/>
          <w:shd w:val="clear" w:color="auto" w:fill="FFFFFF"/>
        </w:rPr>
        <w:t xml:space="preserve"> by Year and Jurisdiction</w:t>
      </w:r>
      <w:r w:rsidR="00372BE5" w:rsidRPr="004F781B">
        <w:rPr>
          <w:rFonts w:ascii="Times New Roman" w:hAnsi="Times New Roman" w:cs="Times New Roman"/>
          <w:color w:val="000000"/>
          <w:sz w:val="24"/>
          <w:szCs w:val="24"/>
          <w:shd w:val="clear" w:color="auto" w:fill="FFFFFF"/>
        </w:rPr>
        <w:t>, Full Database</w:t>
      </w:r>
      <w:r w:rsidR="00810625" w:rsidRPr="004F781B">
        <w:rPr>
          <w:rFonts w:ascii="Times New Roman" w:hAnsi="Times New Roman" w:cs="Times New Roman"/>
          <w:color w:val="000000"/>
          <w:sz w:val="24"/>
          <w:szCs w:val="24"/>
          <w:shd w:val="clear" w:color="auto" w:fill="FFFFFF"/>
        </w:rPr>
        <w:t xml:space="preserve">: England, </w:t>
      </w:r>
      <w:r w:rsidR="00D10506" w:rsidRPr="004F781B">
        <w:rPr>
          <w:rFonts w:ascii="Times New Roman" w:hAnsi="Times New Roman" w:cs="Times New Roman"/>
          <w:color w:val="000000"/>
          <w:sz w:val="24"/>
          <w:szCs w:val="24"/>
          <w:shd w:val="clear" w:color="auto" w:fill="FFFFFF"/>
        </w:rPr>
        <w:t>New York and California</w:t>
      </w:r>
    </w:p>
    <w:p w14:paraId="2585FC73" w14:textId="77777777" w:rsidR="00372BE5" w:rsidRPr="004C0D35" w:rsidRDefault="00372BE5" w:rsidP="00D10506">
      <w:pPr>
        <w:spacing w:after="0" w:line="240" w:lineRule="auto"/>
        <w:jc w:val="both"/>
        <w:rPr>
          <w:rFonts w:ascii="Times New Roman" w:hAnsi="Times New Roman" w:cs="Times New Roman"/>
          <w:color w:val="000000"/>
          <w:sz w:val="24"/>
          <w:szCs w:val="24"/>
          <w:shd w:val="clear" w:color="auto" w:fill="FFFFFF"/>
        </w:rPr>
      </w:pPr>
    </w:p>
    <w:p w14:paraId="203298ED" w14:textId="77777777" w:rsidR="005F59A4" w:rsidRPr="004C0D35" w:rsidRDefault="00873C5A" w:rsidP="00D9566D">
      <w:pPr>
        <w:spacing w:after="0" w:line="240"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14DA8A3C" wp14:editId="1EF5C99C">
            <wp:extent cx="5486400" cy="3186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and, New York and California.png"/>
                    <pic:cNvPicPr/>
                  </pic:nvPicPr>
                  <pic:blipFill rotWithShape="1">
                    <a:blip r:embed="rId16">
                      <a:extLst>
                        <a:ext uri="{28A0092B-C50C-407E-A947-70E740481C1C}">
                          <a14:useLocalDpi xmlns:a14="http://schemas.microsoft.com/office/drawing/2010/main" val="0"/>
                        </a:ext>
                      </a:extLst>
                    </a:blip>
                    <a:srcRect t="12776"/>
                    <a:stretch/>
                  </pic:blipFill>
                  <pic:spPr bwMode="auto">
                    <a:xfrm>
                      <a:off x="0" y="0"/>
                      <a:ext cx="5486400" cy="3186430"/>
                    </a:xfrm>
                    <a:prstGeom prst="rect">
                      <a:avLst/>
                    </a:prstGeom>
                    <a:ln>
                      <a:noFill/>
                    </a:ln>
                    <a:extLst>
                      <a:ext uri="{53640926-AAD7-44D8-BBD7-CCE9431645EC}">
                        <a14:shadowObscured xmlns:a14="http://schemas.microsoft.com/office/drawing/2010/main"/>
                      </a:ext>
                    </a:extLst>
                  </pic:spPr>
                </pic:pic>
              </a:graphicData>
            </a:graphic>
          </wp:inline>
        </w:drawing>
      </w:r>
    </w:p>
    <w:p w14:paraId="50218B12" w14:textId="77777777" w:rsidR="00D9566D" w:rsidRPr="004C0D35" w:rsidRDefault="00D9566D" w:rsidP="00D9566D">
      <w:pPr>
        <w:spacing w:after="0" w:line="240" w:lineRule="auto"/>
        <w:jc w:val="both"/>
        <w:rPr>
          <w:rFonts w:ascii="Times New Roman" w:hAnsi="Times New Roman" w:cs="Times New Roman"/>
          <w:color w:val="000000"/>
          <w:sz w:val="24"/>
          <w:szCs w:val="24"/>
          <w:shd w:val="clear" w:color="auto" w:fill="FFFFFF"/>
        </w:rPr>
      </w:pPr>
    </w:p>
    <w:p w14:paraId="31E11C9D" w14:textId="77777777" w:rsidR="00742261" w:rsidRDefault="00742261" w:rsidP="00372BE5">
      <w:pPr>
        <w:spacing w:after="0" w:line="240" w:lineRule="auto"/>
        <w:jc w:val="both"/>
        <w:rPr>
          <w:rFonts w:ascii="Times New Roman" w:hAnsi="Times New Roman" w:cs="Times New Roman"/>
          <w:smallCaps/>
          <w:color w:val="000000"/>
          <w:sz w:val="24"/>
          <w:szCs w:val="24"/>
          <w:shd w:val="clear" w:color="auto" w:fill="FFFFFF"/>
        </w:rPr>
      </w:pPr>
    </w:p>
    <w:p w14:paraId="24137C2B" w14:textId="77777777" w:rsidR="00372BE5" w:rsidRPr="004F781B" w:rsidRDefault="00372BE5" w:rsidP="00372BE5">
      <w:pPr>
        <w:spacing w:after="0" w:line="240"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Figure 3b. Trust</w:t>
      </w:r>
      <w:r w:rsidR="00CB2DAF" w:rsidRPr="004F781B">
        <w:rPr>
          <w:rFonts w:ascii="Times New Roman" w:hAnsi="Times New Roman" w:cs="Times New Roman"/>
          <w:color w:val="000000"/>
          <w:sz w:val="24"/>
          <w:szCs w:val="24"/>
          <w:shd w:val="clear" w:color="auto" w:fill="FFFFFF"/>
        </w:rPr>
        <w:t xml:space="preserve"> Law</w:t>
      </w:r>
      <w:r w:rsidRPr="004F781B">
        <w:rPr>
          <w:rFonts w:ascii="Times New Roman" w:hAnsi="Times New Roman" w:cs="Times New Roman"/>
          <w:color w:val="000000"/>
          <w:sz w:val="24"/>
          <w:szCs w:val="24"/>
          <w:shd w:val="clear" w:color="auto" w:fill="FFFFFF"/>
        </w:rPr>
        <w:t xml:space="preserve"> </w:t>
      </w:r>
      <w:r w:rsidR="00F2538A" w:rsidRPr="004F781B">
        <w:rPr>
          <w:rFonts w:ascii="Times New Roman" w:hAnsi="Times New Roman" w:cs="Times New Roman"/>
          <w:color w:val="000000"/>
          <w:sz w:val="24"/>
          <w:szCs w:val="24"/>
          <w:shd w:val="clear" w:color="auto" w:fill="FFFFFF"/>
        </w:rPr>
        <w:t>Liberality</w:t>
      </w:r>
      <w:r w:rsidRPr="004F781B">
        <w:rPr>
          <w:rFonts w:ascii="Times New Roman" w:hAnsi="Times New Roman" w:cs="Times New Roman"/>
          <w:color w:val="000000"/>
          <w:sz w:val="24"/>
          <w:szCs w:val="24"/>
          <w:shd w:val="clear" w:color="auto" w:fill="FFFFFF"/>
        </w:rPr>
        <w:t xml:space="preserve"> by Year and Jurisdiction, Restricted Database: England, New York and California</w:t>
      </w:r>
    </w:p>
    <w:p w14:paraId="1A8F3BE4" w14:textId="77777777" w:rsidR="005F59A4" w:rsidRPr="004C0D35" w:rsidRDefault="005F59A4" w:rsidP="00372BE5">
      <w:pPr>
        <w:spacing w:after="0" w:line="240" w:lineRule="auto"/>
        <w:jc w:val="both"/>
        <w:rPr>
          <w:rFonts w:ascii="Times New Roman" w:hAnsi="Times New Roman" w:cs="Times New Roman"/>
          <w:color w:val="000000"/>
          <w:sz w:val="24"/>
          <w:szCs w:val="24"/>
          <w:shd w:val="clear" w:color="auto" w:fill="FFFFFF"/>
        </w:rPr>
      </w:pPr>
    </w:p>
    <w:p w14:paraId="03F94B23" w14:textId="77777777" w:rsidR="007E062B" w:rsidRPr="004C0D35" w:rsidRDefault="00873C5A" w:rsidP="007A714F">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564426C9" wp14:editId="0F90C0F1">
            <wp:extent cx="5486400" cy="3176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gland, New York and California.png"/>
                    <pic:cNvPicPr/>
                  </pic:nvPicPr>
                  <pic:blipFill rotWithShape="1">
                    <a:blip r:embed="rId17">
                      <a:extLst>
                        <a:ext uri="{28A0092B-C50C-407E-A947-70E740481C1C}">
                          <a14:useLocalDpi xmlns:a14="http://schemas.microsoft.com/office/drawing/2010/main" val="0"/>
                        </a:ext>
                      </a:extLst>
                    </a:blip>
                    <a:srcRect t="13037"/>
                    <a:stretch/>
                  </pic:blipFill>
                  <pic:spPr bwMode="auto">
                    <a:xfrm>
                      <a:off x="0" y="0"/>
                      <a:ext cx="5486400" cy="3176905"/>
                    </a:xfrm>
                    <a:prstGeom prst="rect">
                      <a:avLst/>
                    </a:prstGeom>
                    <a:ln>
                      <a:noFill/>
                    </a:ln>
                    <a:extLst>
                      <a:ext uri="{53640926-AAD7-44D8-BBD7-CCE9431645EC}">
                        <a14:shadowObscured xmlns:a14="http://schemas.microsoft.com/office/drawing/2010/main"/>
                      </a:ext>
                    </a:extLst>
                  </pic:spPr>
                </pic:pic>
              </a:graphicData>
            </a:graphic>
          </wp:inline>
        </w:drawing>
      </w:r>
    </w:p>
    <w:p w14:paraId="0DC41EC3" w14:textId="77777777" w:rsidR="00D72CD3" w:rsidRPr="004C0D35" w:rsidRDefault="00D72CD3" w:rsidP="007A714F">
      <w:pPr>
        <w:spacing w:after="0" w:line="276" w:lineRule="auto"/>
        <w:jc w:val="both"/>
        <w:rPr>
          <w:rFonts w:ascii="Times New Roman" w:hAnsi="Times New Roman" w:cs="Times New Roman"/>
          <w:color w:val="000000"/>
          <w:sz w:val="24"/>
          <w:szCs w:val="24"/>
          <w:shd w:val="clear" w:color="auto" w:fill="FFFFFF"/>
        </w:rPr>
      </w:pPr>
    </w:p>
    <w:p w14:paraId="37DCD64A" w14:textId="77777777" w:rsidR="00F20FB2" w:rsidRPr="00742261" w:rsidRDefault="00742261" w:rsidP="00742261">
      <w:pPr>
        <w:spacing w:line="276" w:lineRule="auto"/>
        <w:jc w:val="both"/>
        <w:rPr>
          <w:rFonts w:ascii="Times New Roman" w:hAnsi="Times New Roman" w:cs="Times New Roman"/>
          <w:smallCaps/>
          <w:color w:val="000000"/>
          <w:sz w:val="24"/>
          <w:szCs w:val="24"/>
          <w:shd w:val="clear" w:color="auto" w:fill="FFFFFF"/>
        </w:rPr>
      </w:pPr>
      <w:r w:rsidRPr="00742261">
        <w:rPr>
          <w:rFonts w:ascii="Times New Roman" w:hAnsi="Times New Roman" w:cs="Times New Roman"/>
          <w:smallCaps/>
          <w:color w:val="000000"/>
          <w:sz w:val="24"/>
          <w:szCs w:val="24"/>
          <w:shd w:val="clear" w:color="auto" w:fill="FFFFFF"/>
        </w:rPr>
        <w:t>B</w:t>
      </w:r>
      <w:r w:rsidR="00307399" w:rsidRPr="00742261">
        <w:rPr>
          <w:rFonts w:ascii="Times New Roman" w:hAnsi="Times New Roman" w:cs="Times New Roman"/>
          <w:smallCaps/>
          <w:color w:val="000000"/>
          <w:sz w:val="24"/>
          <w:szCs w:val="24"/>
          <w:shd w:val="clear" w:color="auto" w:fill="FFFFFF"/>
        </w:rPr>
        <w:t xml:space="preserve">. </w:t>
      </w:r>
      <w:r w:rsidR="00565207" w:rsidRPr="00742261">
        <w:rPr>
          <w:rFonts w:ascii="Times New Roman" w:hAnsi="Times New Roman" w:cs="Times New Roman"/>
          <w:smallCaps/>
          <w:color w:val="000000"/>
          <w:sz w:val="24"/>
          <w:szCs w:val="24"/>
          <w:shd w:val="clear" w:color="auto" w:fill="FFFFFF"/>
        </w:rPr>
        <w:t xml:space="preserve">Global </w:t>
      </w:r>
      <w:r w:rsidR="00CB2DAF" w:rsidRPr="00742261">
        <w:rPr>
          <w:rFonts w:ascii="Times New Roman" w:hAnsi="Times New Roman" w:cs="Times New Roman"/>
          <w:smallCaps/>
          <w:color w:val="000000"/>
          <w:sz w:val="24"/>
          <w:szCs w:val="24"/>
          <w:shd w:val="clear" w:color="auto" w:fill="FFFFFF"/>
        </w:rPr>
        <w:t xml:space="preserve">Trust Law </w:t>
      </w:r>
      <w:r w:rsidR="00F2538A" w:rsidRPr="00742261">
        <w:rPr>
          <w:rFonts w:ascii="Times New Roman" w:hAnsi="Times New Roman" w:cs="Times New Roman"/>
          <w:smallCaps/>
          <w:color w:val="000000"/>
          <w:sz w:val="24"/>
          <w:szCs w:val="24"/>
          <w:shd w:val="clear" w:color="auto" w:fill="FFFFFF"/>
        </w:rPr>
        <w:t>Liberality</w:t>
      </w:r>
      <w:r>
        <w:rPr>
          <w:rFonts w:ascii="Times New Roman" w:hAnsi="Times New Roman" w:cs="Times New Roman"/>
          <w:smallCaps/>
          <w:color w:val="000000"/>
          <w:sz w:val="24"/>
          <w:szCs w:val="24"/>
          <w:shd w:val="clear" w:color="auto" w:fill="FFFFFF"/>
        </w:rPr>
        <w:t xml:space="preserve"> by Year</w:t>
      </w:r>
    </w:p>
    <w:p w14:paraId="2E15983F" w14:textId="67E33048" w:rsidR="00A3727F" w:rsidRPr="004C0D35" w:rsidRDefault="005D1D30" w:rsidP="00BE193A">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Beyond the comparison of the extent</w:t>
      </w:r>
      <w:r w:rsidR="00345731">
        <w:rPr>
          <w:rFonts w:ascii="Times New Roman" w:hAnsi="Times New Roman" w:cs="Times New Roman"/>
          <w:color w:val="000000"/>
          <w:sz w:val="24"/>
          <w:szCs w:val="24"/>
          <w:shd w:val="clear" w:color="auto" w:fill="FFFFFF"/>
        </w:rPr>
        <w:t>,</w:t>
      </w:r>
      <w:r w:rsidRPr="004C0D35">
        <w:rPr>
          <w:rFonts w:ascii="Times New Roman" w:hAnsi="Times New Roman" w:cs="Times New Roman"/>
          <w:color w:val="000000"/>
          <w:sz w:val="24"/>
          <w:szCs w:val="24"/>
          <w:shd w:val="clear" w:color="auto" w:fill="FFFFFF"/>
        </w:rPr>
        <w:t xml:space="preserve"> pace </w:t>
      </w:r>
      <w:r w:rsidR="00345731">
        <w:rPr>
          <w:rFonts w:ascii="Times New Roman" w:hAnsi="Times New Roman" w:cs="Times New Roman"/>
          <w:color w:val="000000"/>
          <w:sz w:val="24"/>
          <w:szCs w:val="24"/>
          <w:shd w:val="clear" w:color="auto" w:fill="FFFFFF"/>
        </w:rPr>
        <w:t xml:space="preserve">and timing </w:t>
      </w:r>
      <w:r w:rsidRPr="004C0D35">
        <w:rPr>
          <w:rFonts w:ascii="Times New Roman" w:hAnsi="Times New Roman" w:cs="Times New Roman"/>
          <w:color w:val="000000"/>
          <w:sz w:val="24"/>
          <w:szCs w:val="24"/>
          <w:shd w:val="clear" w:color="auto" w:fill="FFFFFF"/>
        </w:rPr>
        <w:t>of trust</w:t>
      </w:r>
      <w:r w:rsidR="00DC3A71" w:rsidRPr="004C0D35">
        <w:rPr>
          <w:rFonts w:ascii="Times New Roman" w:hAnsi="Times New Roman" w:cs="Times New Roman"/>
          <w:color w:val="000000"/>
          <w:sz w:val="24"/>
          <w:szCs w:val="24"/>
          <w:shd w:val="clear" w:color="auto" w:fill="FFFFFF"/>
        </w:rPr>
        <w:t xml:space="preserve"> law</w:t>
      </w:r>
      <w:r w:rsidRPr="004C0D35">
        <w:rPr>
          <w:rFonts w:ascii="Times New Roman" w:hAnsi="Times New Roman" w:cs="Times New Roman"/>
          <w:color w:val="000000"/>
          <w:sz w:val="24"/>
          <w:szCs w:val="24"/>
          <w:shd w:val="clear" w:color="auto" w:fill="FFFFFF"/>
        </w:rPr>
        <w:t xml:space="preserve"> liberalization in different jurisdictions, the timing of liberalization</w:t>
      </w:r>
      <w:r w:rsidR="00565207" w:rsidRPr="004C0D35">
        <w:rPr>
          <w:rFonts w:ascii="Times New Roman" w:hAnsi="Times New Roman" w:cs="Times New Roman"/>
          <w:color w:val="000000"/>
          <w:sz w:val="24"/>
          <w:szCs w:val="24"/>
          <w:shd w:val="clear" w:color="auto" w:fill="FFFFFF"/>
        </w:rPr>
        <w:t xml:space="preserve"> as a global process</w:t>
      </w:r>
      <w:r w:rsidR="004512F9" w:rsidRPr="004C0D35">
        <w:rPr>
          <w:rFonts w:ascii="Times New Roman" w:hAnsi="Times New Roman" w:cs="Times New Roman"/>
          <w:color w:val="000000"/>
          <w:sz w:val="24"/>
          <w:szCs w:val="24"/>
          <w:shd w:val="clear" w:color="auto" w:fill="FFFFFF"/>
        </w:rPr>
        <w:t xml:space="preserve"> and its pace at different points in time</w:t>
      </w:r>
      <w:r w:rsidRPr="004C0D35">
        <w:rPr>
          <w:rFonts w:ascii="Times New Roman" w:hAnsi="Times New Roman" w:cs="Times New Roman"/>
          <w:color w:val="000000"/>
          <w:sz w:val="24"/>
          <w:szCs w:val="24"/>
          <w:shd w:val="clear" w:color="auto" w:fill="FFFFFF"/>
        </w:rPr>
        <w:t xml:space="preserve"> </w:t>
      </w:r>
      <w:r w:rsidR="004512F9" w:rsidRPr="004C0D35">
        <w:rPr>
          <w:rFonts w:ascii="Times New Roman" w:hAnsi="Times New Roman" w:cs="Times New Roman"/>
          <w:color w:val="000000"/>
          <w:sz w:val="24"/>
          <w:szCs w:val="24"/>
          <w:shd w:val="clear" w:color="auto" w:fill="FFFFFF"/>
        </w:rPr>
        <w:t>are</w:t>
      </w:r>
      <w:r w:rsidRPr="004C0D35">
        <w:rPr>
          <w:rFonts w:ascii="Times New Roman" w:hAnsi="Times New Roman" w:cs="Times New Roman"/>
          <w:color w:val="000000"/>
          <w:sz w:val="24"/>
          <w:szCs w:val="24"/>
          <w:shd w:val="clear" w:color="auto" w:fill="FFFFFF"/>
        </w:rPr>
        <w:t xml:space="preserve"> </w:t>
      </w:r>
      <w:r w:rsidR="004512F9" w:rsidRPr="004C0D35">
        <w:rPr>
          <w:rFonts w:ascii="Times New Roman" w:hAnsi="Times New Roman" w:cs="Times New Roman"/>
          <w:color w:val="000000"/>
          <w:sz w:val="24"/>
          <w:szCs w:val="24"/>
          <w:shd w:val="clear" w:color="auto" w:fill="FFFFFF"/>
        </w:rPr>
        <w:t>themselves</w:t>
      </w:r>
      <w:r w:rsidRPr="004C0D35">
        <w:rPr>
          <w:rFonts w:ascii="Times New Roman" w:hAnsi="Times New Roman" w:cs="Times New Roman"/>
          <w:color w:val="000000"/>
          <w:sz w:val="24"/>
          <w:szCs w:val="24"/>
          <w:shd w:val="clear" w:color="auto" w:fill="FFFFFF"/>
        </w:rPr>
        <w:t xml:space="preserve"> of interest. In order to identify </w:t>
      </w:r>
      <w:r w:rsidR="00565207" w:rsidRPr="004C0D35">
        <w:rPr>
          <w:rFonts w:ascii="Times New Roman" w:hAnsi="Times New Roman" w:cs="Times New Roman"/>
          <w:color w:val="000000"/>
          <w:sz w:val="24"/>
          <w:szCs w:val="24"/>
          <w:shd w:val="clear" w:color="auto" w:fill="FFFFFF"/>
        </w:rPr>
        <w:t>global</w:t>
      </w:r>
      <w:r w:rsidRPr="004C0D35">
        <w:rPr>
          <w:rFonts w:ascii="Times New Roman" w:hAnsi="Times New Roman" w:cs="Times New Roman"/>
          <w:color w:val="000000"/>
          <w:sz w:val="24"/>
          <w:szCs w:val="24"/>
          <w:shd w:val="clear" w:color="auto" w:fill="FFFFFF"/>
        </w:rPr>
        <w:t xml:space="preserve"> trends in the speed of liberalization over time, I c</w:t>
      </w:r>
      <w:r w:rsidR="00A3727F" w:rsidRPr="004C0D35">
        <w:rPr>
          <w:rFonts w:ascii="Times New Roman" w:hAnsi="Times New Roman" w:cs="Times New Roman"/>
          <w:color w:val="000000"/>
          <w:sz w:val="24"/>
          <w:szCs w:val="24"/>
          <w:shd w:val="clear" w:color="auto" w:fill="FFFFFF"/>
        </w:rPr>
        <w:t xml:space="preserve">alculated an annual figure expressing an average of the </w:t>
      </w:r>
      <w:r w:rsidR="00565207" w:rsidRPr="004C0D35">
        <w:rPr>
          <w:rFonts w:ascii="Times New Roman" w:hAnsi="Times New Roman" w:cs="Times New Roman"/>
          <w:color w:val="000000"/>
          <w:sz w:val="24"/>
          <w:szCs w:val="24"/>
          <w:shd w:val="clear" w:color="auto" w:fill="FFFFFF"/>
        </w:rPr>
        <w:t>non-cumulative</w:t>
      </w:r>
      <w:r w:rsidR="004021C4" w:rsidRPr="004C0D35">
        <w:rPr>
          <w:rFonts w:ascii="Times New Roman" w:hAnsi="Times New Roman" w:cs="Times New Roman"/>
          <w:color w:val="000000"/>
          <w:sz w:val="24"/>
          <w:szCs w:val="24"/>
          <w:shd w:val="clear" w:color="auto" w:fill="FFFFFF"/>
        </w:rPr>
        <w:t xml:space="preserve"> </w:t>
      </w:r>
      <w:r w:rsidR="00F2538A" w:rsidRPr="004C0D35">
        <w:rPr>
          <w:rFonts w:ascii="Times New Roman" w:hAnsi="Times New Roman" w:cs="Times New Roman"/>
          <w:color w:val="000000"/>
          <w:sz w:val="24"/>
          <w:szCs w:val="24"/>
          <w:shd w:val="clear" w:color="auto" w:fill="FFFFFF"/>
        </w:rPr>
        <w:t>liberality</w:t>
      </w:r>
      <w:r w:rsidR="00A3727F" w:rsidRPr="004C0D35">
        <w:rPr>
          <w:rFonts w:ascii="Times New Roman" w:hAnsi="Times New Roman" w:cs="Times New Roman"/>
          <w:color w:val="000000"/>
          <w:sz w:val="24"/>
          <w:szCs w:val="24"/>
          <w:shd w:val="clear" w:color="auto" w:fill="FFFFFF"/>
        </w:rPr>
        <w:t xml:space="preserve"> scores </w:t>
      </w:r>
      <w:r w:rsidR="00171D91" w:rsidRPr="004C0D35">
        <w:rPr>
          <w:rFonts w:ascii="Times New Roman" w:hAnsi="Times New Roman" w:cs="Times New Roman"/>
          <w:color w:val="000000"/>
          <w:sz w:val="24"/>
          <w:szCs w:val="24"/>
          <w:shd w:val="clear" w:color="auto" w:fill="FFFFFF"/>
        </w:rPr>
        <w:t xml:space="preserve">for </w:t>
      </w:r>
      <w:r w:rsidR="00565207" w:rsidRPr="004C0D35">
        <w:rPr>
          <w:rFonts w:ascii="Times New Roman" w:hAnsi="Times New Roman" w:cs="Times New Roman"/>
          <w:color w:val="000000"/>
          <w:sz w:val="24"/>
          <w:szCs w:val="24"/>
          <w:shd w:val="clear" w:color="auto" w:fill="FFFFFF"/>
        </w:rPr>
        <w:t xml:space="preserve">the statutes enacted each year </w:t>
      </w:r>
      <w:r w:rsidR="00315682" w:rsidRPr="004C0D35">
        <w:rPr>
          <w:rFonts w:ascii="Times New Roman" w:hAnsi="Times New Roman" w:cs="Times New Roman"/>
          <w:color w:val="000000"/>
          <w:sz w:val="24"/>
          <w:szCs w:val="24"/>
          <w:shd w:val="clear" w:color="auto" w:fill="FFFFFF"/>
        </w:rPr>
        <w:t xml:space="preserve">in all jurisdictions </w:t>
      </w:r>
      <w:r w:rsidR="00565207" w:rsidRPr="004C0D35">
        <w:rPr>
          <w:rFonts w:ascii="Times New Roman" w:hAnsi="Times New Roman" w:cs="Times New Roman"/>
          <w:color w:val="000000"/>
          <w:sz w:val="24"/>
          <w:szCs w:val="24"/>
          <w:shd w:val="clear" w:color="auto" w:fill="FFFFFF"/>
        </w:rPr>
        <w:t xml:space="preserve">respecting </w:t>
      </w:r>
      <w:r w:rsidR="00171D91" w:rsidRPr="004C0D35">
        <w:rPr>
          <w:rFonts w:ascii="Times New Roman" w:hAnsi="Times New Roman" w:cs="Times New Roman"/>
          <w:color w:val="000000"/>
          <w:sz w:val="24"/>
          <w:szCs w:val="24"/>
          <w:shd w:val="clear" w:color="auto" w:fill="FFFFFF"/>
        </w:rPr>
        <w:t>all variables</w:t>
      </w:r>
      <w:r w:rsidR="004021C4" w:rsidRPr="004C0D35">
        <w:rPr>
          <w:rFonts w:ascii="Times New Roman" w:hAnsi="Times New Roman" w:cs="Times New Roman"/>
          <w:color w:val="000000"/>
          <w:sz w:val="24"/>
          <w:szCs w:val="24"/>
          <w:shd w:val="clear" w:color="auto" w:fill="FFFFFF"/>
        </w:rPr>
        <w:t xml:space="preserve">. </w:t>
      </w:r>
      <w:r w:rsidR="00956819" w:rsidRPr="004C0D35">
        <w:rPr>
          <w:rFonts w:ascii="Times New Roman" w:hAnsi="Times New Roman" w:cs="Times New Roman"/>
          <w:color w:val="000000"/>
          <w:sz w:val="24"/>
          <w:szCs w:val="24"/>
          <w:shd w:val="clear" w:color="auto" w:fill="FFFFFF"/>
        </w:rPr>
        <w:t>Figure</w:t>
      </w:r>
      <w:r w:rsidR="00E65F5C" w:rsidRPr="004C0D35">
        <w:rPr>
          <w:rFonts w:ascii="Times New Roman" w:hAnsi="Times New Roman" w:cs="Times New Roman"/>
          <w:color w:val="000000"/>
          <w:sz w:val="24"/>
          <w:szCs w:val="24"/>
          <w:shd w:val="clear" w:color="auto" w:fill="FFFFFF"/>
        </w:rPr>
        <w:t>s</w:t>
      </w:r>
      <w:r w:rsidR="00956819" w:rsidRPr="004C0D35">
        <w:rPr>
          <w:rFonts w:ascii="Times New Roman" w:hAnsi="Times New Roman" w:cs="Times New Roman"/>
          <w:color w:val="000000"/>
          <w:sz w:val="24"/>
          <w:szCs w:val="24"/>
          <w:shd w:val="clear" w:color="auto" w:fill="FFFFFF"/>
        </w:rPr>
        <w:t xml:space="preserve"> 4</w:t>
      </w:r>
      <w:r w:rsidR="00E65F5C" w:rsidRPr="004C0D35">
        <w:rPr>
          <w:rFonts w:ascii="Times New Roman" w:hAnsi="Times New Roman" w:cs="Times New Roman"/>
          <w:color w:val="000000"/>
          <w:sz w:val="24"/>
          <w:szCs w:val="24"/>
          <w:shd w:val="clear" w:color="auto" w:fill="FFFFFF"/>
        </w:rPr>
        <w:t>a and 4b describe</w:t>
      </w:r>
      <w:r w:rsidR="00171D91" w:rsidRPr="004C0D35">
        <w:rPr>
          <w:rFonts w:ascii="Times New Roman" w:hAnsi="Times New Roman" w:cs="Times New Roman"/>
          <w:color w:val="000000"/>
          <w:sz w:val="24"/>
          <w:szCs w:val="24"/>
          <w:shd w:val="clear" w:color="auto" w:fill="FFFFFF"/>
        </w:rPr>
        <w:t xml:space="preserve"> the</w:t>
      </w:r>
      <w:r w:rsidR="008D48E4" w:rsidRPr="004C0D35">
        <w:rPr>
          <w:rFonts w:ascii="Times New Roman" w:hAnsi="Times New Roman" w:cs="Times New Roman"/>
          <w:color w:val="000000"/>
          <w:sz w:val="24"/>
          <w:szCs w:val="24"/>
          <w:shd w:val="clear" w:color="auto" w:fill="FFFFFF"/>
        </w:rPr>
        <w:t xml:space="preserve"> year-on-year</w:t>
      </w:r>
      <w:r w:rsidR="00171D91" w:rsidRPr="004C0D35">
        <w:rPr>
          <w:rFonts w:ascii="Times New Roman" w:hAnsi="Times New Roman" w:cs="Times New Roman"/>
          <w:color w:val="000000"/>
          <w:sz w:val="24"/>
          <w:szCs w:val="24"/>
          <w:shd w:val="clear" w:color="auto" w:fill="FFFFFF"/>
        </w:rPr>
        <w:t xml:space="preserve"> </w:t>
      </w:r>
      <w:r w:rsidR="008D48E4" w:rsidRPr="004C0D35">
        <w:rPr>
          <w:rFonts w:ascii="Times New Roman" w:hAnsi="Times New Roman" w:cs="Times New Roman"/>
          <w:color w:val="000000"/>
          <w:sz w:val="24"/>
          <w:szCs w:val="24"/>
          <w:shd w:val="clear" w:color="auto" w:fill="FFFFFF"/>
        </w:rPr>
        <w:t>differences in</w:t>
      </w:r>
      <w:r w:rsidR="00171D91" w:rsidRPr="004C0D35">
        <w:rPr>
          <w:rFonts w:ascii="Times New Roman" w:hAnsi="Times New Roman" w:cs="Times New Roman"/>
          <w:color w:val="000000"/>
          <w:sz w:val="24"/>
          <w:szCs w:val="24"/>
          <w:shd w:val="clear" w:color="auto" w:fill="FFFFFF"/>
        </w:rPr>
        <w:t xml:space="preserve"> the resulting </w:t>
      </w:r>
      <w:r w:rsidR="00565207" w:rsidRPr="004C0D35">
        <w:rPr>
          <w:rFonts w:ascii="Times New Roman" w:hAnsi="Times New Roman" w:cs="Times New Roman"/>
          <w:color w:val="000000"/>
          <w:sz w:val="24"/>
          <w:szCs w:val="24"/>
          <w:shd w:val="clear" w:color="auto" w:fill="FFFFFF"/>
        </w:rPr>
        <w:t xml:space="preserve">series of average </w:t>
      </w:r>
      <w:r w:rsidR="008D48E4" w:rsidRPr="004C0D35">
        <w:rPr>
          <w:rFonts w:ascii="Times New Roman" w:hAnsi="Times New Roman" w:cs="Times New Roman"/>
          <w:color w:val="000000"/>
          <w:sz w:val="24"/>
          <w:szCs w:val="24"/>
          <w:shd w:val="clear" w:color="auto" w:fill="FFFFFF"/>
        </w:rPr>
        <w:t xml:space="preserve">annual </w:t>
      </w:r>
      <w:r w:rsidR="00565207" w:rsidRPr="004C0D35">
        <w:rPr>
          <w:rFonts w:ascii="Times New Roman" w:hAnsi="Times New Roman" w:cs="Times New Roman"/>
          <w:color w:val="000000"/>
          <w:sz w:val="24"/>
          <w:szCs w:val="24"/>
          <w:shd w:val="clear" w:color="auto" w:fill="FFFFFF"/>
        </w:rPr>
        <w:t>scores from 1922-2018</w:t>
      </w:r>
      <w:r w:rsidR="00BA744D" w:rsidRPr="004C0D35">
        <w:rPr>
          <w:rFonts w:ascii="Times New Roman" w:hAnsi="Times New Roman" w:cs="Times New Roman"/>
          <w:color w:val="000000"/>
          <w:sz w:val="24"/>
          <w:szCs w:val="24"/>
          <w:shd w:val="clear" w:color="auto" w:fill="FFFFFF"/>
        </w:rPr>
        <w:t>, based on the full and the restricted versions of the database respectively.</w:t>
      </w:r>
      <w:r w:rsidR="00171D91" w:rsidRPr="004C0D35">
        <w:rPr>
          <w:rFonts w:ascii="Times New Roman" w:hAnsi="Times New Roman" w:cs="Times New Roman"/>
          <w:color w:val="000000"/>
          <w:sz w:val="24"/>
          <w:szCs w:val="24"/>
          <w:shd w:val="clear" w:color="auto" w:fill="FFFFFF"/>
        </w:rPr>
        <w:t xml:space="preserve"> </w:t>
      </w:r>
      <w:r w:rsidR="00BA3B7F" w:rsidRPr="004C0D35">
        <w:rPr>
          <w:rFonts w:ascii="Times New Roman" w:hAnsi="Times New Roman" w:cs="Times New Roman"/>
          <w:color w:val="000000"/>
          <w:sz w:val="24"/>
          <w:szCs w:val="24"/>
          <w:shd w:val="clear" w:color="auto" w:fill="FFFFFF"/>
        </w:rPr>
        <w:t>The</w:t>
      </w:r>
      <w:r w:rsidR="00171D91" w:rsidRPr="004C0D35">
        <w:rPr>
          <w:rFonts w:ascii="Times New Roman" w:hAnsi="Times New Roman" w:cs="Times New Roman"/>
          <w:color w:val="000000"/>
          <w:sz w:val="24"/>
          <w:szCs w:val="24"/>
          <w:shd w:val="clear" w:color="auto" w:fill="FFFFFF"/>
        </w:rPr>
        <w:t xml:space="preserve"> results show</w:t>
      </w:r>
      <w:r w:rsidR="009858BC" w:rsidRPr="004C0D35">
        <w:rPr>
          <w:rFonts w:ascii="Times New Roman" w:hAnsi="Times New Roman" w:cs="Times New Roman"/>
          <w:color w:val="000000"/>
          <w:sz w:val="24"/>
          <w:szCs w:val="24"/>
          <w:shd w:val="clear" w:color="auto" w:fill="FFFFFF"/>
        </w:rPr>
        <w:t xml:space="preserve"> that while the statutory liberalization of trust law has been ongoing since 1925,</w:t>
      </w:r>
      <w:r w:rsidR="00563A07" w:rsidRPr="004C0D35">
        <w:rPr>
          <w:rFonts w:ascii="Times New Roman" w:hAnsi="Times New Roman" w:cs="Times New Roman"/>
          <w:color w:val="000000"/>
          <w:sz w:val="24"/>
          <w:szCs w:val="24"/>
          <w:shd w:val="clear" w:color="auto" w:fill="FFFFFF"/>
        </w:rPr>
        <w:t xml:space="preserve"> the pace of</w:t>
      </w:r>
      <w:r w:rsidR="00171D91" w:rsidRPr="004C0D35">
        <w:rPr>
          <w:rFonts w:ascii="Times New Roman" w:hAnsi="Times New Roman" w:cs="Times New Roman"/>
          <w:color w:val="000000"/>
          <w:sz w:val="24"/>
          <w:szCs w:val="24"/>
          <w:shd w:val="clear" w:color="auto" w:fill="FFFFFF"/>
        </w:rPr>
        <w:t xml:space="preserve"> </w:t>
      </w:r>
      <w:r w:rsidR="00563A07" w:rsidRPr="004C0D35">
        <w:rPr>
          <w:rFonts w:ascii="Times New Roman" w:hAnsi="Times New Roman" w:cs="Times New Roman"/>
          <w:color w:val="000000"/>
          <w:sz w:val="24"/>
          <w:szCs w:val="24"/>
          <w:shd w:val="clear" w:color="auto" w:fill="FFFFFF"/>
        </w:rPr>
        <w:t>the</w:t>
      </w:r>
      <w:r w:rsidR="00171D91" w:rsidRPr="004C0D35">
        <w:rPr>
          <w:rFonts w:ascii="Times New Roman" w:hAnsi="Times New Roman" w:cs="Times New Roman"/>
          <w:color w:val="000000"/>
          <w:sz w:val="24"/>
          <w:szCs w:val="24"/>
          <w:shd w:val="clear" w:color="auto" w:fill="FFFFFF"/>
        </w:rPr>
        <w:t xml:space="preserve"> </w:t>
      </w:r>
      <w:r w:rsidR="00563A07" w:rsidRPr="004C0D35">
        <w:rPr>
          <w:rFonts w:ascii="Times New Roman" w:hAnsi="Times New Roman" w:cs="Times New Roman"/>
          <w:color w:val="000000"/>
          <w:sz w:val="24"/>
          <w:szCs w:val="24"/>
          <w:shd w:val="clear" w:color="auto" w:fill="FFFFFF"/>
        </w:rPr>
        <w:t xml:space="preserve">increase </w:t>
      </w:r>
      <w:r w:rsidR="00171D91" w:rsidRPr="004C0D35">
        <w:rPr>
          <w:rFonts w:ascii="Times New Roman" w:hAnsi="Times New Roman" w:cs="Times New Roman"/>
          <w:color w:val="000000"/>
          <w:sz w:val="24"/>
          <w:szCs w:val="24"/>
          <w:shd w:val="clear" w:color="auto" w:fill="FFFFFF"/>
        </w:rPr>
        <w:t>in trust law liberality</w:t>
      </w:r>
      <w:r w:rsidR="00563A07" w:rsidRPr="004C0D35">
        <w:rPr>
          <w:rFonts w:ascii="Times New Roman" w:hAnsi="Times New Roman" w:cs="Times New Roman"/>
          <w:color w:val="000000"/>
          <w:sz w:val="24"/>
          <w:szCs w:val="24"/>
          <w:shd w:val="clear" w:color="auto" w:fill="FFFFFF"/>
        </w:rPr>
        <w:t xml:space="preserve"> has accelerated noticeably</w:t>
      </w:r>
      <w:r w:rsidR="00BA744D" w:rsidRPr="004C0D35">
        <w:rPr>
          <w:rFonts w:ascii="Times New Roman" w:hAnsi="Times New Roman" w:cs="Times New Roman"/>
          <w:color w:val="000000"/>
          <w:sz w:val="24"/>
          <w:szCs w:val="24"/>
          <w:shd w:val="clear" w:color="auto" w:fill="FFFFFF"/>
        </w:rPr>
        <w:t xml:space="preserve"> </w:t>
      </w:r>
      <w:r w:rsidR="00563A07" w:rsidRPr="004C0D35">
        <w:rPr>
          <w:rFonts w:ascii="Times New Roman" w:hAnsi="Times New Roman" w:cs="Times New Roman"/>
          <w:color w:val="000000"/>
          <w:sz w:val="24"/>
          <w:szCs w:val="24"/>
          <w:shd w:val="clear" w:color="auto" w:fill="FFFFFF"/>
        </w:rPr>
        <w:t xml:space="preserve">from </w:t>
      </w:r>
      <w:r w:rsidR="00BA3B7F" w:rsidRPr="004C0D35">
        <w:rPr>
          <w:rFonts w:ascii="Times New Roman" w:hAnsi="Times New Roman" w:cs="Times New Roman"/>
          <w:color w:val="000000"/>
          <w:sz w:val="24"/>
          <w:szCs w:val="24"/>
          <w:shd w:val="clear" w:color="auto" w:fill="FFFFFF"/>
        </w:rPr>
        <w:t>1988</w:t>
      </w:r>
      <w:r w:rsidR="00171D91" w:rsidRPr="004C0D35">
        <w:rPr>
          <w:rFonts w:ascii="Times New Roman" w:hAnsi="Times New Roman" w:cs="Times New Roman"/>
          <w:color w:val="000000"/>
          <w:sz w:val="24"/>
          <w:szCs w:val="24"/>
          <w:shd w:val="clear" w:color="auto" w:fill="FFFFFF"/>
        </w:rPr>
        <w:t xml:space="preserve"> </w:t>
      </w:r>
      <w:r w:rsidR="00E45B84" w:rsidRPr="004C0D35">
        <w:rPr>
          <w:rFonts w:ascii="Times New Roman" w:hAnsi="Times New Roman" w:cs="Times New Roman"/>
          <w:color w:val="000000"/>
          <w:sz w:val="24"/>
          <w:szCs w:val="24"/>
          <w:shd w:val="clear" w:color="auto" w:fill="FFFFFF"/>
        </w:rPr>
        <w:t>to</w:t>
      </w:r>
      <w:r w:rsidR="00563A07" w:rsidRPr="004C0D35">
        <w:rPr>
          <w:rFonts w:ascii="Times New Roman" w:hAnsi="Times New Roman" w:cs="Times New Roman"/>
          <w:color w:val="000000"/>
          <w:sz w:val="24"/>
          <w:szCs w:val="24"/>
          <w:shd w:val="clear" w:color="auto" w:fill="FFFFFF"/>
        </w:rPr>
        <w:t xml:space="preserve"> 2016. </w:t>
      </w:r>
      <w:r w:rsidR="00DC3A71" w:rsidRPr="004C0D35">
        <w:rPr>
          <w:rFonts w:ascii="Times New Roman" w:hAnsi="Times New Roman" w:cs="Times New Roman"/>
          <w:color w:val="000000"/>
          <w:sz w:val="24"/>
          <w:szCs w:val="24"/>
          <w:shd w:val="clear" w:color="auto" w:fill="FFFFFF"/>
        </w:rPr>
        <w:t xml:space="preserve">This </w:t>
      </w:r>
      <w:r w:rsidR="00E45B84" w:rsidRPr="004C0D35">
        <w:rPr>
          <w:rFonts w:ascii="Times New Roman" w:hAnsi="Times New Roman" w:cs="Times New Roman"/>
          <w:color w:val="000000"/>
          <w:sz w:val="24"/>
          <w:szCs w:val="24"/>
          <w:shd w:val="clear" w:color="auto" w:fill="FFFFFF"/>
        </w:rPr>
        <w:t xml:space="preserve">period of </w:t>
      </w:r>
      <w:r w:rsidR="009127A7" w:rsidRPr="004C0D35">
        <w:rPr>
          <w:rFonts w:ascii="Times New Roman" w:hAnsi="Times New Roman" w:cs="Times New Roman"/>
          <w:color w:val="000000"/>
          <w:sz w:val="24"/>
          <w:szCs w:val="24"/>
          <w:shd w:val="clear" w:color="auto" w:fill="FFFFFF"/>
        </w:rPr>
        <w:t>accele</w:t>
      </w:r>
      <w:r w:rsidR="00E45B84" w:rsidRPr="004C0D35">
        <w:rPr>
          <w:rFonts w:ascii="Times New Roman" w:hAnsi="Times New Roman" w:cs="Times New Roman"/>
          <w:color w:val="000000"/>
          <w:sz w:val="24"/>
          <w:szCs w:val="24"/>
          <w:shd w:val="clear" w:color="auto" w:fill="FFFFFF"/>
        </w:rPr>
        <w:t>rated liberalization</w:t>
      </w:r>
      <w:r w:rsidR="00DC3A71" w:rsidRPr="004C0D35">
        <w:rPr>
          <w:rFonts w:ascii="Times New Roman" w:hAnsi="Times New Roman" w:cs="Times New Roman"/>
          <w:color w:val="000000"/>
          <w:sz w:val="24"/>
          <w:szCs w:val="24"/>
          <w:shd w:val="clear" w:color="auto" w:fill="FFFFFF"/>
        </w:rPr>
        <w:t xml:space="preserve"> resulted</w:t>
      </w:r>
      <w:r w:rsidR="00171D91" w:rsidRPr="004C0D35">
        <w:rPr>
          <w:rFonts w:ascii="Times New Roman" w:hAnsi="Times New Roman" w:cs="Times New Roman"/>
          <w:color w:val="000000"/>
          <w:sz w:val="24"/>
          <w:szCs w:val="24"/>
          <w:shd w:val="clear" w:color="auto" w:fill="FFFFFF"/>
        </w:rPr>
        <w:t xml:space="preserve"> from the creation of liberal trust regimes in many jurisdictions </w:t>
      </w:r>
      <w:r w:rsidR="00597F60" w:rsidRPr="004C0D35">
        <w:rPr>
          <w:rFonts w:ascii="Times New Roman" w:hAnsi="Times New Roman" w:cs="Times New Roman"/>
          <w:color w:val="000000"/>
          <w:sz w:val="24"/>
          <w:szCs w:val="24"/>
          <w:shd w:val="clear" w:color="auto" w:fill="FFFFFF"/>
        </w:rPr>
        <w:t xml:space="preserve">competing for a piece of the offshore trust market, as well as in the many U.S. states which adopted the Uniform Trust Code after 2000. The </w:t>
      </w:r>
      <w:r w:rsidR="009127A7" w:rsidRPr="004C0D35">
        <w:rPr>
          <w:rFonts w:ascii="Times New Roman" w:hAnsi="Times New Roman" w:cs="Times New Roman"/>
          <w:color w:val="000000"/>
          <w:sz w:val="24"/>
          <w:szCs w:val="24"/>
          <w:shd w:val="clear" w:color="auto" w:fill="FFFFFF"/>
        </w:rPr>
        <w:t>negative year-on-year differences</w:t>
      </w:r>
      <w:r w:rsidR="00597F60" w:rsidRPr="004C0D35">
        <w:rPr>
          <w:rFonts w:ascii="Times New Roman" w:hAnsi="Times New Roman" w:cs="Times New Roman"/>
          <w:color w:val="000000"/>
          <w:sz w:val="24"/>
          <w:szCs w:val="24"/>
          <w:shd w:val="clear" w:color="auto" w:fill="FFFFFF"/>
        </w:rPr>
        <w:t xml:space="preserve"> for </w:t>
      </w:r>
      <w:r w:rsidR="009127A7" w:rsidRPr="004C0D35">
        <w:rPr>
          <w:rFonts w:ascii="Times New Roman" w:hAnsi="Times New Roman" w:cs="Times New Roman"/>
          <w:color w:val="000000"/>
          <w:sz w:val="24"/>
          <w:szCs w:val="24"/>
          <w:shd w:val="clear" w:color="auto" w:fill="FFFFFF"/>
        </w:rPr>
        <w:t>2017 and 2018 express</w:t>
      </w:r>
      <w:r w:rsidR="00597F60" w:rsidRPr="004C0D35">
        <w:rPr>
          <w:rFonts w:ascii="Times New Roman" w:hAnsi="Times New Roman" w:cs="Times New Roman"/>
          <w:color w:val="000000"/>
          <w:sz w:val="24"/>
          <w:szCs w:val="24"/>
          <w:shd w:val="clear" w:color="auto" w:fill="FFFFFF"/>
        </w:rPr>
        <w:t xml:space="preserve"> many </w:t>
      </w:r>
      <w:r w:rsidR="009127A7" w:rsidRPr="004C0D35">
        <w:rPr>
          <w:rFonts w:ascii="Times New Roman" w:hAnsi="Times New Roman" w:cs="Times New Roman"/>
          <w:color w:val="000000"/>
          <w:sz w:val="24"/>
          <w:szCs w:val="24"/>
          <w:shd w:val="clear" w:color="auto" w:fill="FFFFFF"/>
        </w:rPr>
        <w:t>jurisdictions’ adoption, in these</w:t>
      </w:r>
      <w:r w:rsidR="00597F60" w:rsidRPr="004C0D35">
        <w:rPr>
          <w:rFonts w:ascii="Times New Roman" w:hAnsi="Times New Roman" w:cs="Times New Roman"/>
          <w:color w:val="000000"/>
          <w:sz w:val="24"/>
          <w:szCs w:val="24"/>
          <w:shd w:val="clear" w:color="auto" w:fill="FFFFFF"/>
        </w:rPr>
        <w:t xml:space="preserve"> year</w:t>
      </w:r>
      <w:r w:rsidR="009127A7" w:rsidRPr="004C0D35">
        <w:rPr>
          <w:rFonts w:ascii="Times New Roman" w:hAnsi="Times New Roman" w:cs="Times New Roman"/>
          <w:color w:val="000000"/>
          <w:sz w:val="24"/>
          <w:szCs w:val="24"/>
          <w:shd w:val="clear" w:color="auto" w:fill="FFFFFF"/>
        </w:rPr>
        <w:t>s</w:t>
      </w:r>
      <w:r w:rsidR="00597F60" w:rsidRPr="004C0D35">
        <w:rPr>
          <w:rFonts w:ascii="Times New Roman" w:hAnsi="Times New Roman" w:cs="Times New Roman"/>
          <w:color w:val="000000"/>
          <w:sz w:val="24"/>
          <w:szCs w:val="24"/>
          <w:shd w:val="clear" w:color="auto" w:fill="FFFFFF"/>
        </w:rPr>
        <w:t>, of the OECD’s Common Reporting Standard, which deepened reporting obligations applicable to trusts in adopting jurisdictions</w:t>
      </w:r>
      <w:r w:rsidR="00BA744D" w:rsidRPr="004C0D35">
        <w:rPr>
          <w:rFonts w:ascii="Times New Roman" w:hAnsi="Times New Roman" w:cs="Times New Roman"/>
          <w:color w:val="000000"/>
          <w:sz w:val="24"/>
          <w:szCs w:val="24"/>
          <w:shd w:val="clear" w:color="auto" w:fill="FFFFFF"/>
        </w:rPr>
        <w:t>, resulting in low scores for variable 18</w:t>
      </w:r>
      <w:r w:rsidR="00597F60" w:rsidRPr="004C0D35">
        <w:rPr>
          <w:rFonts w:ascii="Times New Roman" w:hAnsi="Times New Roman" w:cs="Times New Roman"/>
          <w:color w:val="000000"/>
          <w:sz w:val="24"/>
          <w:szCs w:val="24"/>
          <w:shd w:val="clear" w:color="auto" w:fill="FFFFFF"/>
        </w:rPr>
        <w:t xml:space="preserve">. </w:t>
      </w:r>
    </w:p>
    <w:p w14:paraId="0D7E67AE" w14:textId="77777777" w:rsidR="00687674" w:rsidRPr="004C0D35" w:rsidRDefault="00687674" w:rsidP="005F15BC">
      <w:pPr>
        <w:spacing w:after="0" w:line="240" w:lineRule="auto"/>
        <w:jc w:val="both"/>
        <w:rPr>
          <w:rFonts w:ascii="Times New Roman" w:hAnsi="Times New Roman" w:cs="Times New Roman"/>
          <w:color w:val="000000"/>
          <w:sz w:val="24"/>
          <w:szCs w:val="24"/>
          <w:shd w:val="clear" w:color="auto" w:fill="FFFFFF"/>
        </w:rPr>
      </w:pPr>
    </w:p>
    <w:p w14:paraId="455C39EE" w14:textId="77777777" w:rsidR="00742261" w:rsidRDefault="00742261" w:rsidP="00495FED">
      <w:pPr>
        <w:spacing w:after="0" w:line="240" w:lineRule="auto"/>
        <w:jc w:val="both"/>
        <w:rPr>
          <w:rFonts w:ascii="Times New Roman" w:hAnsi="Times New Roman" w:cs="Times New Roman"/>
          <w:color w:val="000000"/>
          <w:sz w:val="24"/>
          <w:szCs w:val="24"/>
          <w:shd w:val="clear" w:color="auto" w:fill="FFFFFF"/>
        </w:rPr>
      </w:pPr>
    </w:p>
    <w:p w14:paraId="7E273061" w14:textId="77777777" w:rsidR="00742261" w:rsidRDefault="00742261" w:rsidP="00495FED">
      <w:pPr>
        <w:spacing w:after="0" w:line="240" w:lineRule="auto"/>
        <w:jc w:val="both"/>
        <w:rPr>
          <w:rFonts w:ascii="Times New Roman" w:hAnsi="Times New Roman" w:cs="Times New Roman"/>
          <w:color w:val="000000"/>
          <w:sz w:val="24"/>
          <w:szCs w:val="24"/>
          <w:shd w:val="clear" w:color="auto" w:fill="FFFFFF"/>
        </w:rPr>
      </w:pPr>
    </w:p>
    <w:p w14:paraId="40780009" w14:textId="77777777" w:rsidR="00A3727F" w:rsidRPr="004F781B" w:rsidRDefault="00956819" w:rsidP="00495FED">
      <w:pPr>
        <w:spacing w:after="0" w:line="240"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Figure 4</w:t>
      </w:r>
      <w:r w:rsidR="00E65F5C" w:rsidRPr="004F781B">
        <w:rPr>
          <w:rFonts w:ascii="Times New Roman" w:hAnsi="Times New Roman" w:cs="Times New Roman"/>
          <w:color w:val="000000"/>
          <w:sz w:val="24"/>
          <w:szCs w:val="24"/>
          <w:shd w:val="clear" w:color="auto" w:fill="FFFFFF"/>
        </w:rPr>
        <w:t>a</w:t>
      </w:r>
      <w:r w:rsidR="00A3727F" w:rsidRPr="004F781B">
        <w:rPr>
          <w:rFonts w:ascii="Times New Roman" w:hAnsi="Times New Roman" w:cs="Times New Roman"/>
          <w:color w:val="000000"/>
          <w:sz w:val="24"/>
          <w:szCs w:val="24"/>
          <w:shd w:val="clear" w:color="auto" w:fill="FFFFFF"/>
        </w:rPr>
        <w:t xml:space="preserve">. </w:t>
      </w:r>
      <w:r w:rsidR="008D48E4" w:rsidRPr="004F781B">
        <w:rPr>
          <w:rFonts w:ascii="Times New Roman" w:hAnsi="Times New Roman" w:cs="Times New Roman"/>
          <w:color w:val="000000"/>
          <w:sz w:val="24"/>
          <w:szCs w:val="24"/>
          <w:shd w:val="clear" w:color="auto" w:fill="FFFFFF"/>
        </w:rPr>
        <w:t>Year-on-Year Differences</w:t>
      </w:r>
      <w:r w:rsidR="00A3727F" w:rsidRPr="004F781B">
        <w:rPr>
          <w:rFonts w:ascii="Times New Roman" w:hAnsi="Times New Roman" w:cs="Times New Roman"/>
          <w:color w:val="000000"/>
          <w:sz w:val="24"/>
          <w:szCs w:val="24"/>
          <w:shd w:val="clear" w:color="auto" w:fill="FFFFFF"/>
        </w:rPr>
        <w:t xml:space="preserve"> </w:t>
      </w:r>
      <w:r w:rsidR="00BA3B7F" w:rsidRPr="004F781B">
        <w:rPr>
          <w:rFonts w:ascii="Times New Roman" w:hAnsi="Times New Roman" w:cs="Times New Roman"/>
          <w:color w:val="000000"/>
          <w:sz w:val="24"/>
          <w:szCs w:val="24"/>
          <w:shd w:val="clear" w:color="auto" w:fill="FFFFFF"/>
        </w:rPr>
        <w:t xml:space="preserve">in </w:t>
      </w:r>
      <w:r w:rsidR="00495FED" w:rsidRPr="004F781B">
        <w:rPr>
          <w:rFonts w:ascii="Times New Roman" w:hAnsi="Times New Roman" w:cs="Times New Roman"/>
          <w:color w:val="000000"/>
          <w:sz w:val="24"/>
          <w:szCs w:val="24"/>
          <w:shd w:val="clear" w:color="auto" w:fill="FFFFFF"/>
        </w:rPr>
        <w:t xml:space="preserve">Annual </w:t>
      </w:r>
      <w:r w:rsidR="00BA3B7F" w:rsidRPr="004F781B">
        <w:rPr>
          <w:rFonts w:ascii="Times New Roman" w:hAnsi="Times New Roman" w:cs="Times New Roman"/>
          <w:color w:val="000000"/>
          <w:sz w:val="24"/>
          <w:szCs w:val="24"/>
          <w:shd w:val="clear" w:color="auto" w:fill="FFFFFF"/>
        </w:rPr>
        <w:t xml:space="preserve">Average </w:t>
      </w:r>
      <w:r w:rsidR="004D0ED5" w:rsidRPr="004F781B">
        <w:rPr>
          <w:rFonts w:ascii="Times New Roman" w:hAnsi="Times New Roman" w:cs="Times New Roman"/>
          <w:color w:val="000000"/>
          <w:sz w:val="24"/>
          <w:szCs w:val="24"/>
          <w:shd w:val="clear" w:color="auto" w:fill="FFFFFF"/>
        </w:rPr>
        <w:t xml:space="preserve">Non-Cumulative </w:t>
      </w:r>
      <w:r w:rsidR="00565207" w:rsidRPr="004F781B">
        <w:rPr>
          <w:rFonts w:ascii="Times New Roman" w:hAnsi="Times New Roman" w:cs="Times New Roman"/>
          <w:color w:val="000000"/>
          <w:sz w:val="24"/>
          <w:szCs w:val="24"/>
          <w:shd w:val="clear" w:color="auto" w:fill="FFFFFF"/>
        </w:rPr>
        <w:t>Trust Law</w:t>
      </w:r>
      <w:r w:rsidR="00A3727F" w:rsidRPr="004F781B">
        <w:rPr>
          <w:rFonts w:ascii="Times New Roman" w:hAnsi="Times New Roman" w:cs="Times New Roman"/>
          <w:color w:val="000000"/>
          <w:sz w:val="24"/>
          <w:szCs w:val="24"/>
          <w:shd w:val="clear" w:color="auto" w:fill="FFFFFF"/>
        </w:rPr>
        <w:t xml:space="preserve"> </w:t>
      </w:r>
      <w:r w:rsidR="00F2538A" w:rsidRPr="004F781B">
        <w:rPr>
          <w:rFonts w:ascii="Times New Roman" w:hAnsi="Times New Roman" w:cs="Times New Roman"/>
          <w:color w:val="000000"/>
          <w:sz w:val="24"/>
          <w:szCs w:val="24"/>
          <w:shd w:val="clear" w:color="auto" w:fill="FFFFFF"/>
        </w:rPr>
        <w:t>Liberality</w:t>
      </w:r>
      <w:r w:rsidR="00A3727F" w:rsidRPr="004F781B">
        <w:rPr>
          <w:rFonts w:ascii="Times New Roman" w:hAnsi="Times New Roman" w:cs="Times New Roman"/>
          <w:color w:val="000000"/>
          <w:sz w:val="24"/>
          <w:szCs w:val="24"/>
          <w:shd w:val="clear" w:color="auto" w:fill="FFFFFF"/>
        </w:rPr>
        <w:t xml:space="preserve"> </w:t>
      </w:r>
      <w:r w:rsidR="00565207" w:rsidRPr="004F781B">
        <w:rPr>
          <w:rFonts w:ascii="Times New Roman" w:hAnsi="Times New Roman" w:cs="Times New Roman"/>
          <w:color w:val="000000"/>
          <w:sz w:val="24"/>
          <w:szCs w:val="24"/>
          <w:shd w:val="clear" w:color="auto" w:fill="FFFFFF"/>
        </w:rPr>
        <w:t>Scores for All Jurisdictions</w:t>
      </w:r>
      <w:r w:rsidR="00E65F5C" w:rsidRPr="004F781B">
        <w:rPr>
          <w:rFonts w:ascii="Times New Roman" w:hAnsi="Times New Roman" w:cs="Times New Roman"/>
          <w:color w:val="000000"/>
          <w:sz w:val="24"/>
          <w:szCs w:val="24"/>
          <w:shd w:val="clear" w:color="auto" w:fill="FFFFFF"/>
        </w:rPr>
        <w:t>: Full Database</w:t>
      </w:r>
    </w:p>
    <w:p w14:paraId="56A62A6A" w14:textId="77777777" w:rsidR="00915DFB" w:rsidRPr="004C0D35" w:rsidRDefault="00915DFB" w:rsidP="005F15BC">
      <w:pPr>
        <w:spacing w:after="0" w:line="240" w:lineRule="auto"/>
        <w:jc w:val="both"/>
        <w:rPr>
          <w:rFonts w:ascii="Times New Roman" w:hAnsi="Times New Roman" w:cs="Times New Roman"/>
          <w:color w:val="000000"/>
          <w:sz w:val="24"/>
          <w:szCs w:val="24"/>
          <w:shd w:val="clear" w:color="auto" w:fill="FFFFFF"/>
        </w:rPr>
      </w:pPr>
    </w:p>
    <w:p w14:paraId="3FB619D9" w14:textId="77777777" w:rsidR="0082737E" w:rsidRPr="004C0D35" w:rsidRDefault="008D48E4" w:rsidP="009F6056">
      <w:pPr>
        <w:rPr>
          <w:rFonts w:ascii="Times New Roman" w:hAnsi="Times New Roman" w:cs="Times New Roman"/>
          <w:sz w:val="24"/>
          <w:szCs w:val="24"/>
        </w:rPr>
      </w:pPr>
      <w:r w:rsidRPr="004C0D35">
        <w:rPr>
          <w:rFonts w:ascii="Times New Roman" w:hAnsi="Times New Roman" w:cs="Times New Roman"/>
          <w:noProof/>
          <w:sz w:val="24"/>
          <w:szCs w:val="24"/>
        </w:rPr>
        <w:drawing>
          <wp:inline distT="0" distB="0" distL="0" distR="0" wp14:anchorId="3F46A1D0" wp14:editId="13BA6E40">
            <wp:extent cx="5486400" cy="3357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nual changes to mean libscore.png"/>
                    <pic:cNvPicPr/>
                  </pic:nvPicPr>
                  <pic:blipFill rotWithShape="1">
                    <a:blip r:embed="rId18">
                      <a:extLst>
                        <a:ext uri="{28A0092B-C50C-407E-A947-70E740481C1C}">
                          <a14:useLocalDpi xmlns:a14="http://schemas.microsoft.com/office/drawing/2010/main" val="0"/>
                        </a:ext>
                      </a:extLst>
                    </a:blip>
                    <a:srcRect t="8083"/>
                    <a:stretch/>
                  </pic:blipFill>
                  <pic:spPr bwMode="auto">
                    <a:xfrm>
                      <a:off x="0" y="0"/>
                      <a:ext cx="5486400" cy="3357880"/>
                    </a:xfrm>
                    <a:prstGeom prst="rect">
                      <a:avLst/>
                    </a:prstGeom>
                    <a:ln>
                      <a:noFill/>
                    </a:ln>
                    <a:extLst>
                      <a:ext uri="{53640926-AAD7-44D8-BBD7-CCE9431645EC}">
                        <a14:shadowObscured xmlns:a14="http://schemas.microsoft.com/office/drawing/2010/main"/>
                      </a:ext>
                    </a:extLst>
                  </pic:spPr>
                </pic:pic>
              </a:graphicData>
            </a:graphic>
          </wp:inline>
        </w:drawing>
      </w:r>
    </w:p>
    <w:p w14:paraId="480A5E8B" w14:textId="77777777" w:rsidR="00E65F5C" w:rsidRPr="004F781B" w:rsidRDefault="00E65F5C" w:rsidP="00495FED">
      <w:pPr>
        <w:spacing w:after="0" w:line="240"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 xml:space="preserve">Figure 4b. </w:t>
      </w:r>
      <w:r w:rsidR="00BA3B7F" w:rsidRPr="004F781B">
        <w:rPr>
          <w:rFonts w:ascii="Times New Roman" w:hAnsi="Times New Roman" w:cs="Times New Roman"/>
          <w:color w:val="000000"/>
          <w:sz w:val="24"/>
          <w:szCs w:val="24"/>
          <w:shd w:val="clear" w:color="auto" w:fill="FFFFFF"/>
        </w:rPr>
        <w:t xml:space="preserve">Year-on-Year Differences in </w:t>
      </w:r>
      <w:r w:rsidR="00495FED" w:rsidRPr="004F781B">
        <w:rPr>
          <w:rFonts w:ascii="Times New Roman" w:hAnsi="Times New Roman" w:cs="Times New Roman"/>
          <w:color w:val="000000"/>
          <w:sz w:val="24"/>
          <w:szCs w:val="24"/>
          <w:shd w:val="clear" w:color="auto" w:fill="FFFFFF"/>
        </w:rPr>
        <w:t xml:space="preserve">Annual </w:t>
      </w:r>
      <w:r w:rsidR="00BA3B7F" w:rsidRPr="004F781B">
        <w:rPr>
          <w:rFonts w:ascii="Times New Roman" w:hAnsi="Times New Roman" w:cs="Times New Roman"/>
          <w:color w:val="000000"/>
          <w:sz w:val="24"/>
          <w:szCs w:val="24"/>
          <w:shd w:val="clear" w:color="auto" w:fill="FFFFFF"/>
        </w:rPr>
        <w:t xml:space="preserve">Average </w:t>
      </w:r>
      <w:r w:rsidR="004D0ED5" w:rsidRPr="004F781B">
        <w:rPr>
          <w:rFonts w:ascii="Times New Roman" w:hAnsi="Times New Roman" w:cs="Times New Roman"/>
          <w:color w:val="000000"/>
          <w:sz w:val="24"/>
          <w:szCs w:val="24"/>
          <w:shd w:val="clear" w:color="auto" w:fill="FFFFFF"/>
        </w:rPr>
        <w:t xml:space="preserve">Non-Cumulative </w:t>
      </w:r>
      <w:r w:rsidRPr="004F781B">
        <w:rPr>
          <w:rFonts w:ascii="Times New Roman" w:hAnsi="Times New Roman" w:cs="Times New Roman"/>
          <w:color w:val="000000"/>
          <w:sz w:val="24"/>
          <w:szCs w:val="24"/>
          <w:shd w:val="clear" w:color="auto" w:fill="FFFFFF"/>
        </w:rPr>
        <w:t>Trust Law Liberality Scores for All Jurisdictions: Restricted Database</w:t>
      </w:r>
    </w:p>
    <w:p w14:paraId="50D9C3A0" w14:textId="77777777" w:rsidR="00CB398A" w:rsidRPr="004C0D35" w:rsidRDefault="00CB398A" w:rsidP="00877603">
      <w:pPr>
        <w:spacing w:after="0" w:line="276" w:lineRule="auto"/>
        <w:jc w:val="both"/>
        <w:rPr>
          <w:rFonts w:ascii="Times New Roman" w:hAnsi="Times New Roman" w:cs="Times New Roman"/>
          <w:noProof/>
          <w:color w:val="000000"/>
          <w:sz w:val="24"/>
          <w:szCs w:val="24"/>
          <w:shd w:val="clear" w:color="auto" w:fill="FFFFFF"/>
        </w:rPr>
      </w:pPr>
    </w:p>
    <w:p w14:paraId="4D32B5C1" w14:textId="77777777" w:rsidR="00E65F5C" w:rsidRPr="004C0D35" w:rsidRDefault="008D48E4" w:rsidP="00877603">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72243DE0" wp14:editId="7366B627">
            <wp:extent cx="5486400" cy="3357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nual changes to mean libscore.png"/>
                    <pic:cNvPicPr/>
                  </pic:nvPicPr>
                  <pic:blipFill rotWithShape="1">
                    <a:blip r:embed="rId19">
                      <a:extLst>
                        <a:ext uri="{28A0092B-C50C-407E-A947-70E740481C1C}">
                          <a14:useLocalDpi xmlns:a14="http://schemas.microsoft.com/office/drawing/2010/main" val="0"/>
                        </a:ext>
                      </a:extLst>
                    </a:blip>
                    <a:srcRect t="8083"/>
                    <a:stretch/>
                  </pic:blipFill>
                  <pic:spPr bwMode="auto">
                    <a:xfrm>
                      <a:off x="0" y="0"/>
                      <a:ext cx="5486400" cy="3357880"/>
                    </a:xfrm>
                    <a:prstGeom prst="rect">
                      <a:avLst/>
                    </a:prstGeom>
                    <a:ln>
                      <a:noFill/>
                    </a:ln>
                    <a:extLst>
                      <a:ext uri="{53640926-AAD7-44D8-BBD7-CCE9431645EC}">
                        <a14:shadowObscured xmlns:a14="http://schemas.microsoft.com/office/drawing/2010/main"/>
                      </a:ext>
                    </a:extLst>
                  </pic:spPr>
                </pic:pic>
              </a:graphicData>
            </a:graphic>
          </wp:inline>
        </w:drawing>
      </w:r>
    </w:p>
    <w:p w14:paraId="2D7384C8" w14:textId="77777777" w:rsidR="00023B36" w:rsidRPr="004C0D35" w:rsidRDefault="00A14B0D" w:rsidP="004D0ED5">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br/>
      </w:r>
      <w:r w:rsidR="00023B36" w:rsidRPr="004C0D35">
        <w:rPr>
          <w:rFonts w:ascii="Times New Roman" w:hAnsi="Times New Roman" w:cs="Times New Roman"/>
          <w:color w:val="000000"/>
          <w:sz w:val="24"/>
          <w:szCs w:val="24"/>
          <w:shd w:val="clear" w:color="auto" w:fill="FFFFFF"/>
        </w:rPr>
        <w:t xml:space="preserve">I next </w:t>
      </w:r>
      <w:r w:rsidR="00BC1F86" w:rsidRPr="004C0D35">
        <w:rPr>
          <w:rFonts w:ascii="Times New Roman" w:hAnsi="Times New Roman" w:cs="Times New Roman"/>
          <w:color w:val="000000"/>
          <w:sz w:val="24"/>
          <w:szCs w:val="24"/>
          <w:shd w:val="clear" w:color="auto" w:fill="FFFFFF"/>
        </w:rPr>
        <w:t>summ</w:t>
      </w:r>
      <w:r w:rsidR="004D0ED5" w:rsidRPr="004C0D35">
        <w:rPr>
          <w:rFonts w:ascii="Times New Roman" w:hAnsi="Times New Roman" w:cs="Times New Roman"/>
          <w:color w:val="000000"/>
          <w:sz w:val="24"/>
          <w:szCs w:val="24"/>
          <w:shd w:val="clear" w:color="auto" w:fill="FFFFFF"/>
        </w:rPr>
        <w:t>ed</w:t>
      </w:r>
      <w:r w:rsidR="00BC1F86" w:rsidRPr="004C0D35">
        <w:rPr>
          <w:rFonts w:ascii="Times New Roman" w:hAnsi="Times New Roman" w:cs="Times New Roman"/>
          <w:color w:val="000000"/>
          <w:sz w:val="24"/>
          <w:szCs w:val="24"/>
          <w:shd w:val="clear" w:color="auto" w:fill="FFFFFF"/>
        </w:rPr>
        <w:t xml:space="preserve"> the </w:t>
      </w:r>
      <w:r w:rsidR="00DC3A71" w:rsidRPr="004C0D35">
        <w:rPr>
          <w:rFonts w:ascii="Times New Roman" w:hAnsi="Times New Roman" w:cs="Times New Roman"/>
          <w:color w:val="000000"/>
          <w:sz w:val="24"/>
          <w:szCs w:val="24"/>
          <w:shd w:val="clear" w:color="auto" w:fill="FFFFFF"/>
        </w:rPr>
        <w:t xml:space="preserve">cumulative </w:t>
      </w:r>
      <w:r w:rsidR="00F2538A" w:rsidRPr="004C0D35">
        <w:rPr>
          <w:rFonts w:ascii="Times New Roman" w:hAnsi="Times New Roman" w:cs="Times New Roman"/>
          <w:color w:val="000000"/>
          <w:sz w:val="24"/>
          <w:szCs w:val="24"/>
          <w:shd w:val="clear" w:color="auto" w:fill="FFFFFF"/>
        </w:rPr>
        <w:t>liberality</w:t>
      </w:r>
      <w:r w:rsidR="00DC3A71" w:rsidRPr="004C0D35">
        <w:rPr>
          <w:rFonts w:ascii="Times New Roman" w:hAnsi="Times New Roman" w:cs="Times New Roman"/>
          <w:color w:val="000000"/>
          <w:sz w:val="24"/>
          <w:szCs w:val="24"/>
          <w:shd w:val="clear" w:color="auto" w:fill="FFFFFF"/>
        </w:rPr>
        <w:t xml:space="preserve"> </w:t>
      </w:r>
      <w:r w:rsidR="00BC1F86" w:rsidRPr="004C0D35">
        <w:rPr>
          <w:rFonts w:ascii="Times New Roman" w:hAnsi="Times New Roman" w:cs="Times New Roman"/>
          <w:color w:val="000000"/>
          <w:sz w:val="24"/>
          <w:szCs w:val="24"/>
          <w:shd w:val="clear" w:color="auto" w:fill="FFFFFF"/>
        </w:rPr>
        <w:t>scores for all variables in</w:t>
      </w:r>
      <w:r w:rsidR="00023B36" w:rsidRPr="004C0D35">
        <w:rPr>
          <w:rFonts w:ascii="Times New Roman" w:hAnsi="Times New Roman" w:cs="Times New Roman"/>
          <w:color w:val="000000"/>
          <w:sz w:val="24"/>
          <w:szCs w:val="24"/>
          <w:shd w:val="clear" w:color="auto" w:fill="FFFFFF"/>
        </w:rPr>
        <w:t xml:space="preserve"> all jurisdictions</w:t>
      </w:r>
      <w:r w:rsidR="00DC3A71" w:rsidRPr="004C0D35">
        <w:rPr>
          <w:rFonts w:ascii="Times New Roman" w:hAnsi="Times New Roman" w:cs="Times New Roman"/>
          <w:color w:val="000000"/>
          <w:sz w:val="24"/>
          <w:szCs w:val="24"/>
          <w:shd w:val="clear" w:color="auto" w:fill="FFFFFF"/>
        </w:rPr>
        <w:t xml:space="preserve"> for each year</w:t>
      </w:r>
      <w:r w:rsidR="00023B36" w:rsidRPr="004C0D35">
        <w:rPr>
          <w:rFonts w:ascii="Times New Roman" w:hAnsi="Times New Roman" w:cs="Times New Roman"/>
          <w:color w:val="000000"/>
          <w:sz w:val="24"/>
          <w:szCs w:val="24"/>
          <w:shd w:val="clear" w:color="auto" w:fill="FFFFFF"/>
        </w:rPr>
        <w:t xml:space="preserve">. </w:t>
      </w:r>
      <w:r w:rsidR="00FC216D" w:rsidRPr="004C0D35">
        <w:rPr>
          <w:rFonts w:ascii="Times New Roman" w:hAnsi="Times New Roman" w:cs="Times New Roman"/>
          <w:color w:val="000000"/>
          <w:sz w:val="24"/>
          <w:szCs w:val="24"/>
          <w:shd w:val="clear" w:color="auto" w:fill="FFFFFF"/>
        </w:rPr>
        <w:t>Figure</w:t>
      </w:r>
      <w:r w:rsidR="00950B49" w:rsidRPr="004C0D35">
        <w:rPr>
          <w:rFonts w:ascii="Times New Roman" w:hAnsi="Times New Roman" w:cs="Times New Roman"/>
          <w:color w:val="000000"/>
          <w:sz w:val="24"/>
          <w:szCs w:val="24"/>
          <w:shd w:val="clear" w:color="auto" w:fill="FFFFFF"/>
        </w:rPr>
        <w:t>s</w:t>
      </w:r>
      <w:r w:rsidR="00FC216D" w:rsidRPr="004C0D35">
        <w:rPr>
          <w:rFonts w:ascii="Times New Roman" w:hAnsi="Times New Roman" w:cs="Times New Roman"/>
          <w:color w:val="000000"/>
          <w:sz w:val="24"/>
          <w:szCs w:val="24"/>
          <w:shd w:val="clear" w:color="auto" w:fill="FFFFFF"/>
        </w:rPr>
        <w:t xml:space="preserve"> </w:t>
      </w:r>
      <w:r w:rsidR="009F6056" w:rsidRPr="004C0D35">
        <w:rPr>
          <w:rFonts w:ascii="Times New Roman" w:hAnsi="Times New Roman" w:cs="Times New Roman"/>
          <w:color w:val="000000"/>
          <w:sz w:val="24"/>
          <w:szCs w:val="24"/>
          <w:shd w:val="clear" w:color="auto" w:fill="FFFFFF"/>
        </w:rPr>
        <w:t>5</w:t>
      </w:r>
      <w:r w:rsidR="00950B49" w:rsidRPr="004C0D35">
        <w:rPr>
          <w:rFonts w:ascii="Times New Roman" w:hAnsi="Times New Roman" w:cs="Times New Roman"/>
          <w:color w:val="000000"/>
          <w:sz w:val="24"/>
          <w:szCs w:val="24"/>
          <w:shd w:val="clear" w:color="auto" w:fill="FFFFFF"/>
        </w:rPr>
        <w:t>a and 5b</w:t>
      </w:r>
      <w:r w:rsidR="00023B36" w:rsidRPr="004C0D35">
        <w:rPr>
          <w:rFonts w:ascii="Times New Roman" w:hAnsi="Times New Roman" w:cs="Times New Roman"/>
          <w:color w:val="000000"/>
          <w:sz w:val="24"/>
          <w:szCs w:val="24"/>
          <w:shd w:val="clear" w:color="auto" w:fill="FFFFFF"/>
        </w:rPr>
        <w:t xml:space="preserve"> describe the course of the resulting</w:t>
      </w:r>
      <w:r w:rsidR="00877603" w:rsidRPr="004C0D35">
        <w:rPr>
          <w:rFonts w:ascii="Times New Roman" w:hAnsi="Times New Roman" w:cs="Times New Roman"/>
          <w:color w:val="000000"/>
          <w:sz w:val="24"/>
          <w:szCs w:val="24"/>
          <w:shd w:val="clear" w:color="auto" w:fill="FFFFFF"/>
        </w:rPr>
        <w:t xml:space="preserve"> global</w:t>
      </w:r>
      <w:r w:rsidR="00023B36" w:rsidRPr="004C0D35">
        <w:rPr>
          <w:rFonts w:ascii="Times New Roman" w:hAnsi="Times New Roman" w:cs="Times New Roman"/>
          <w:color w:val="000000"/>
          <w:sz w:val="24"/>
          <w:szCs w:val="24"/>
          <w:shd w:val="clear" w:color="auto" w:fill="FFFFFF"/>
        </w:rPr>
        <w:t xml:space="preserve"> </w:t>
      </w:r>
      <w:r w:rsidR="00950B49" w:rsidRPr="004C0D35">
        <w:rPr>
          <w:rFonts w:ascii="Times New Roman" w:hAnsi="Times New Roman" w:cs="Times New Roman"/>
          <w:color w:val="000000"/>
          <w:sz w:val="24"/>
          <w:szCs w:val="24"/>
          <w:shd w:val="clear" w:color="auto" w:fill="FFFFFF"/>
        </w:rPr>
        <w:t>“</w:t>
      </w:r>
      <w:r w:rsidR="00023B36" w:rsidRPr="004C0D35">
        <w:rPr>
          <w:rFonts w:ascii="Times New Roman" w:hAnsi="Times New Roman" w:cs="Times New Roman"/>
          <w:color w:val="000000"/>
          <w:sz w:val="24"/>
          <w:szCs w:val="24"/>
          <w:shd w:val="clear" w:color="auto" w:fill="FFFFFF"/>
        </w:rPr>
        <w:t xml:space="preserve">cumulative liberalization </w:t>
      </w:r>
      <w:r w:rsidR="00950B49" w:rsidRPr="004C0D35">
        <w:rPr>
          <w:rFonts w:ascii="Times New Roman" w:hAnsi="Times New Roman" w:cs="Times New Roman"/>
          <w:color w:val="000000"/>
          <w:sz w:val="24"/>
          <w:szCs w:val="24"/>
          <w:shd w:val="clear" w:color="auto" w:fill="FFFFFF"/>
        </w:rPr>
        <w:t>index</w:t>
      </w:r>
      <w:r w:rsidR="00023B36" w:rsidRPr="004C0D35">
        <w:rPr>
          <w:rFonts w:ascii="Times New Roman" w:hAnsi="Times New Roman" w:cs="Times New Roman"/>
          <w:color w:val="000000"/>
          <w:sz w:val="24"/>
          <w:szCs w:val="24"/>
          <w:shd w:val="clear" w:color="auto" w:fill="FFFFFF"/>
        </w:rPr>
        <w:t>”</w:t>
      </w:r>
      <w:r w:rsidR="00DC3A71" w:rsidRPr="004C0D35">
        <w:rPr>
          <w:rFonts w:ascii="Times New Roman" w:hAnsi="Times New Roman" w:cs="Times New Roman"/>
          <w:color w:val="000000"/>
          <w:sz w:val="24"/>
          <w:szCs w:val="24"/>
          <w:shd w:val="clear" w:color="auto" w:fill="FFFFFF"/>
        </w:rPr>
        <w:t xml:space="preserve"> </w:t>
      </w:r>
      <w:r w:rsidR="00877603" w:rsidRPr="004C0D35">
        <w:rPr>
          <w:rFonts w:ascii="Times New Roman" w:hAnsi="Times New Roman" w:cs="Times New Roman"/>
          <w:color w:val="000000"/>
          <w:sz w:val="24"/>
          <w:szCs w:val="24"/>
          <w:shd w:val="clear" w:color="auto" w:fill="FFFFFF"/>
        </w:rPr>
        <w:t>from 1922-2018</w:t>
      </w:r>
      <w:r w:rsidR="00950B49" w:rsidRPr="004C0D35">
        <w:rPr>
          <w:rFonts w:ascii="Times New Roman" w:hAnsi="Times New Roman" w:cs="Times New Roman"/>
          <w:color w:val="000000"/>
          <w:sz w:val="24"/>
          <w:szCs w:val="24"/>
          <w:shd w:val="clear" w:color="auto" w:fill="FFFFFF"/>
        </w:rPr>
        <w:t>, with Figure 5a based on the full data</w:t>
      </w:r>
      <w:r w:rsidR="00877603" w:rsidRPr="004C0D35">
        <w:rPr>
          <w:rFonts w:ascii="Times New Roman" w:hAnsi="Times New Roman" w:cs="Times New Roman"/>
          <w:color w:val="000000"/>
          <w:sz w:val="24"/>
          <w:szCs w:val="24"/>
          <w:shd w:val="clear" w:color="auto" w:fill="FFFFFF"/>
        </w:rPr>
        <w:t>base and Fi</w:t>
      </w:r>
      <w:r w:rsidR="00950B49" w:rsidRPr="004C0D35">
        <w:rPr>
          <w:rFonts w:ascii="Times New Roman" w:hAnsi="Times New Roman" w:cs="Times New Roman"/>
          <w:color w:val="000000"/>
          <w:sz w:val="24"/>
          <w:szCs w:val="24"/>
          <w:shd w:val="clear" w:color="auto" w:fill="FFFFFF"/>
        </w:rPr>
        <w:t xml:space="preserve">gure 5b based on the version of the database </w:t>
      </w:r>
      <w:r w:rsidR="004D0ED5" w:rsidRPr="004C0D35">
        <w:rPr>
          <w:rFonts w:ascii="Times New Roman" w:hAnsi="Times New Roman" w:cs="Times New Roman"/>
          <w:color w:val="000000"/>
          <w:sz w:val="24"/>
          <w:szCs w:val="24"/>
          <w:shd w:val="clear" w:color="auto" w:fill="FFFFFF"/>
        </w:rPr>
        <w:t>that</w:t>
      </w:r>
      <w:r w:rsidR="00950B49" w:rsidRPr="004C0D35">
        <w:rPr>
          <w:rFonts w:ascii="Times New Roman" w:hAnsi="Times New Roman" w:cs="Times New Roman"/>
          <w:color w:val="000000"/>
          <w:sz w:val="24"/>
          <w:szCs w:val="24"/>
          <w:shd w:val="clear" w:color="auto" w:fill="FFFFFF"/>
        </w:rPr>
        <w:t xml:space="preserve"> only includes legislation which changed the law.</w:t>
      </w:r>
      <w:r w:rsidR="00BC1F86" w:rsidRPr="004C0D35">
        <w:rPr>
          <w:rFonts w:ascii="Times New Roman" w:hAnsi="Times New Roman" w:cs="Times New Roman"/>
          <w:color w:val="000000"/>
          <w:sz w:val="24"/>
          <w:szCs w:val="24"/>
          <w:shd w:val="clear" w:color="auto" w:fill="FFFFFF"/>
        </w:rPr>
        <w:t xml:space="preserve"> These figures permit a more accurate </w:t>
      </w:r>
      <w:r w:rsidR="00877603" w:rsidRPr="004C0D35">
        <w:rPr>
          <w:rFonts w:ascii="Times New Roman" w:hAnsi="Times New Roman" w:cs="Times New Roman"/>
          <w:color w:val="000000"/>
          <w:sz w:val="24"/>
          <w:szCs w:val="24"/>
          <w:shd w:val="clear" w:color="auto" w:fill="FFFFFF"/>
        </w:rPr>
        <w:t>dating</w:t>
      </w:r>
      <w:r w:rsidR="00BC1F86" w:rsidRPr="004C0D35">
        <w:rPr>
          <w:rFonts w:ascii="Times New Roman" w:hAnsi="Times New Roman" w:cs="Times New Roman"/>
          <w:color w:val="000000"/>
          <w:sz w:val="24"/>
          <w:szCs w:val="24"/>
          <w:shd w:val="clear" w:color="auto" w:fill="FFFFFF"/>
        </w:rPr>
        <w:t xml:space="preserve"> of the liberalization sprint on both sides of the year 2000: Figure 5b shows the</w:t>
      </w:r>
      <w:r w:rsidR="00606072" w:rsidRPr="004C0D35">
        <w:rPr>
          <w:rFonts w:ascii="Times New Roman" w:hAnsi="Times New Roman" w:cs="Times New Roman"/>
          <w:color w:val="000000"/>
          <w:sz w:val="24"/>
          <w:szCs w:val="24"/>
          <w:shd w:val="clear" w:color="auto" w:fill="FFFFFF"/>
        </w:rPr>
        <w:t xml:space="preserve"> speed of liberalization</w:t>
      </w:r>
      <w:r w:rsidR="00BC1F86" w:rsidRPr="004C0D35">
        <w:rPr>
          <w:rFonts w:ascii="Times New Roman" w:hAnsi="Times New Roman" w:cs="Times New Roman"/>
          <w:color w:val="000000"/>
          <w:sz w:val="24"/>
          <w:szCs w:val="24"/>
          <w:shd w:val="clear" w:color="auto" w:fill="FFFFFF"/>
        </w:rPr>
        <w:t xml:space="preserve"> to </w:t>
      </w:r>
      <w:r w:rsidR="00606072" w:rsidRPr="004C0D35">
        <w:rPr>
          <w:rFonts w:ascii="Times New Roman" w:hAnsi="Times New Roman" w:cs="Times New Roman"/>
          <w:color w:val="000000"/>
          <w:sz w:val="24"/>
          <w:szCs w:val="24"/>
          <w:shd w:val="clear" w:color="auto" w:fill="FFFFFF"/>
        </w:rPr>
        <w:t>have be</w:t>
      </w:r>
      <w:r w:rsidR="00877603" w:rsidRPr="004C0D35">
        <w:rPr>
          <w:rFonts w:ascii="Times New Roman" w:hAnsi="Times New Roman" w:cs="Times New Roman"/>
          <w:color w:val="000000"/>
          <w:sz w:val="24"/>
          <w:szCs w:val="24"/>
          <w:shd w:val="clear" w:color="auto" w:fill="FFFFFF"/>
        </w:rPr>
        <w:t>e</w:t>
      </w:r>
      <w:r w:rsidR="00606072" w:rsidRPr="004C0D35">
        <w:rPr>
          <w:rFonts w:ascii="Times New Roman" w:hAnsi="Times New Roman" w:cs="Times New Roman"/>
          <w:color w:val="000000"/>
          <w:sz w:val="24"/>
          <w:szCs w:val="24"/>
          <w:shd w:val="clear" w:color="auto" w:fill="FFFFFF"/>
        </w:rPr>
        <w:t xml:space="preserve">n at its highest during the </w:t>
      </w:r>
      <w:r w:rsidR="00BC1F86" w:rsidRPr="004C0D35">
        <w:rPr>
          <w:rFonts w:ascii="Times New Roman" w:hAnsi="Times New Roman" w:cs="Times New Roman"/>
          <w:color w:val="000000"/>
          <w:sz w:val="24"/>
          <w:szCs w:val="24"/>
          <w:shd w:val="clear" w:color="auto" w:fill="FFFFFF"/>
        </w:rPr>
        <w:t xml:space="preserve">years 1994-1996 and </w:t>
      </w:r>
      <w:r w:rsidR="00606072" w:rsidRPr="004C0D35">
        <w:rPr>
          <w:rFonts w:ascii="Times New Roman" w:hAnsi="Times New Roman" w:cs="Times New Roman"/>
          <w:color w:val="000000"/>
          <w:sz w:val="24"/>
          <w:szCs w:val="24"/>
          <w:shd w:val="clear" w:color="auto" w:fill="FFFFFF"/>
        </w:rPr>
        <w:t>2003-2006.</w:t>
      </w:r>
    </w:p>
    <w:p w14:paraId="43B9B410" w14:textId="77777777" w:rsidR="00023B36" w:rsidRPr="004C0D35" w:rsidRDefault="00023B36" w:rsidP="00023B36">
      <w:pPr>
        <w:spacing w:after="0" w:line="276" w:lineRule="auto"/>
        <w:jc w:val="both"/>
        <w:rPr>
          <w:rFonts w:ascii="Times New Roman" w:hAnsi="Times New Roman" w:cs="Times New Roman"/>
          <w:color w:val="000000"/>
          <w:sz w:val="24"/>
          <w:szCs w:val="24"/>
          <w:shd w:val="clear" w:color="auto" w:fill="FFFFFF"/>
        </w:rPr>
      </w:pPr>
    </w:p>
    <w:p w14:paraId="463DA79F" w14:textId="77777777" w:rsidR="008C0E0E" w:rsidRPr="004F781B" w:rsidRDefault="00FC216D" w:rsidP="00565207">
      <w:pPr>
        <w:spacing w:after="0" w:line="276"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 xml:space="preserve">Figure </w:t>
      </w:r>
      <w:r w:rsidR="009F6056" w:rsidRPr="004F781B">
        <w:rPr>
          <w:rFonts w:ascii="Times New Roman" w:hAnsi="Times New Roman" w:cs="Times New Roman"/>
          <w:color w:val="000000"/>
          <w:sz w:val="24"/>
          <w:szCs w:val="24"/>
          <w:shd w:val="clear" w:color="auto" w:fill="FFFFFF"/>
        </w:rPr>
        <w:t>5</w:t>
      </w:r>
      <w:r w:rsidR="008A23B0" w:rsidRPr="004F781B">
        <w:rPr>
          <w:rFonts w:ascii="Times New Roman" w:hAnsi="Times New Roman" w:cs="Times New Roman"/>
          <w:color w:val="000000"/>
          <w:sz w:val="24"/>
          <w:szCs w:val="24"/>
          <w:shd w:val="clear" w:color="auto" w:fill="FFFFFF"/>
        </w:rPr>
        <w:t>a</w:t>
      </w:r>
      <w:r w:rsidR="00023B36" w:rsidRPr="004F781B">
        <w:rPr>
          <w:rFonts w:ascii="Times New Roman" w:hAnsi="Times New Roman" w:cs="Times New Roman"/>
          <w:color w:val="000000"/>
          <w:sz w:val="24"/>
          <w:szCs w:val="24"/>
          <w:shd w:val="clear" w:color="auto" w:fill="FFFFFF"/>
        </w:rPr>
        <w:t>. Cumulative</w:t>
      </w:r>
      <w:r w:rsidR="00565207" w:rsidRPr="004F781B">
        <w:rPr>
          <w:rFonts w:ascii="Times New Roman" w:hAnsi="Times New Roman" w:cs="Times New Roman"/>
          <w:color w:val="000000"/>
          <w:sz w:val="24"/>
          <w:szCs w:val="24"/>
          <w:shd w:val="clear" w:color="auto" w:fill="FFFFFF"/>
        </w:rPr>
        <w:t xml:space="preserve"> Trust Law </w:t>
      </w:r>
      <w:r w:rsidR="00F2538A" w:rsidRPr="004F781B">
        <w:rPr>
          <w:rFonts w:ascii="Times New Roman" w:hAnsi="Times New Roman" w:cs="Times New Roman"/>
          <w:color w:val="000000"/>
          <w:sz w:val="24"/>
          <w:szCs w:val="24"/>
          <w:shd w:val="clear" w:color="auto" w:fill="FFFFFF"/>
        </w:rPr>
        <w:t>Liberality</w:t>
      </w:r>
      <w:r w:rsidR="00DC3A71" w:rsidRPr="004F781B">
        <w:rPr>
          <w:rFonts w:ascii="Times New Roman" w:hAnsi="Times New Roman" w:cs="Times New Roman"/>
          <w:color w:val="000000"/>
          <w:sz w:val="24"/>
          <w:szCs w:val="24"/>
          <w:shd w:val="clear" w:color="auto" w:fill="FFFFFF"/>
        </w:rPr>
        <w:t xml:space="preserve"> Scores</w:t>
      </w:r>
      <w:r w:rsidR="00565207" w:rsidRPr="004F781B">
        <w:rPr>
          <w:rFonts w:ascii="Times New Roman" w:hAnsi="Times New Roman" w:cs="Times New Roman"/>
          <w:color w:val="000000"/>
          <w:sz w:val="24"/>
          <w:szCs w:val="24"/>
          <w:shd w:val="clear" w:color="auto" w:fill="FFFFFF"/>
        </w:rPr>
        <w:t xml:space="preserve"> for All Jurisdictions</w:t>
      </w:r>
      <w:r w:rsidR="00950B49" w:rsidRPr="004F781B">
        <w:rPr>
          <w:rFonts w:ascii="Times New Roman" w:hAnsi="Times New Roman" w:cs="Times New Roman"/>
          <w:color w:val="000000"/>
          <w:sz w:val="24"/>
          <w:szCs w:val="24"/>
          <w:shd w:val="clear" w:color="auto" w:fill="FFFFFF"/>
        </w:rPr>
        <w:t>: Full Database</w:t>
      </w:r>
    </w:p>
    <w:p w14:paraId="4654687C" w14:textId="77777777" w:rsidR="00A14B0D" w:rsidRPr="004C0D35" w:rsidRDefault="008D48E4" w:rsidP="00565207">
      <w:pPr>
        <w:spacing w:after="0" w:line="276" w:lineRule="auto"/>
        <w:jc w:val="both"/>
        <w:rPr>
          <w:rFonts w:ascii="Times New Roman" w:hAnsi="Times New Roman" w:cs="Times New Roman"/>
          <w:noProof/>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4666F911" wp14:editId="776DE79A">
            <wp:extent cx="5486400" cy="36531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mulative libscores.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3653155"/>
                    </a:xfrm>
                    <a:prstGeom prst="rect">
                      <a:avLst/>
                    </a:prstGeom>
                  </pic:spPr>
                </pic:pic>
              </a:graphicData>
            </a:graphic>
          </wp:inline>
        </w:drawing>
      </w:r>
    </w:p>
    <w:p w14:paraId="2F394234" w14:textId="77777777" w:rsidR="00950B49" w:rsidRPr="004F781B" w:rsidRDefault="00950B49" w:rsidP="00565207">
      <w:pPr>
        <w:spacing w:after="0" w:line="276" w:lineRule="auto"/>
        <w:jc w:val="both"/>
        <w:rPr>
          <w:rFonts w:ascii="Times New Roman" w:hAnsi="Times New Roman" w:cs="Times New Roman"/>
          <w:color w:val="000000"/>
          <w:sz w:val="24"/>
          <w:szCs w:val="24"/>
          <w:shd w:val="clear" w:color="auto" w:fill="FFFFFF"/>
        </w:rPr>
      </w:pPr>
      <w:r w:rsidRPr="004F781B">
        <w:rPr>
          <w:rFonts w:ascii="Times New Roman" w:hAnsi="Times New Roman" w:cs="Times New Roman"/>
          <w:color w:val="000000"/>
          <w:sz w:val="24"/>
          <w:szCs w:val="24"/>
          <w:shd w:val="clear" w:color="auto" w:fill="FFFFFF"/>
        </w:rPr>
        <w:t>Figure 5b. Cumulative</w:t>
      </w:r>
      <w:r w:rsidR="00565207" w:rsidRPr="004F781B">
        <w:rPr>
          <w:rFonts w:ascii="Times New Roman" w:hAnsi="Times New Roman" w:cs="Times New Roman"/>
          <w:color w:val="000000"/>
          <w:sz w:val="24"/>
          <w:szCs w:val="24"/>
          <w:shd w:val="clear" w:color="auto" w:fill="FFFFFF"/>
        </w:rPr>
        <w:t xml:space="preserve"> Trust Law </w:t>
      </w:r>
      <w:r w:rsidR="00F2538A" w:rsidRPr="004F781B">
        <w:rPr>
          <w:rFonts w:ascii="Times New Roman" w:hAnsi="Times New Roman" w:cs="Times New Roman"/>
          <w:color w:val="000000"/>
          <w:sz w:val="24"/>
          <w:szCs w:val="24"/>
          <w:shd w:val="clear" w:color="auto" w:fill="FFFFFF"/>
        </w:rPr>
        <w:t>Liberality</w:t>
      </w:r>
      <w:r w:rsidR="00DC3A71" w:rsidRPr="004F781B">
        <w:rPr>
          <w:rFonts w:ascii="Times New Roman" w:hAnsi="Times New Roman" w:cs="Times New Roman"/>
          <w:color w:val="000000"/>
          <w:sz w:val="24"/>
          <w:szCs w:val="24"/>
          <w:shd w:val="clear" w:color="auto" w:fill="FFFFFF"/>
        </w:rPr>
        <w:t xml:space="preserve"> Scores</w:t>
      </w:r>
      <w:r w:rsidR="00565207" w:rsidRPr="004F781B">
        <w:rPr>
          <w:rFonts w:ascii="Times New Roman" w:hAnsi="Times New Roman" w:cs="Times New Roman"/>
          <w:color w:val="000000"/>
          <w:sz w:val="24"/>
          <w:szCs w:val="24"/>
          <w:shd w:val="clear" w:color="auto" w:fill="FFFFFF"/>
        </w:rPr>
        <w:t xml:space="preserve"> for All Jurisdictions</w:t>
      </w:r>
      <w:r w:rsidRPr="004F781B">
        <w:rPr>
          <w:rFonts w:ascii="Times New Roman" w:hAnsi="Times New Roman" w:cs="Times New Roman"/>
          <w:color w:val="000000"/>
          <w:sz w:val="24"/>
          <w:szCs w:val="24"/>
          <w:shd w:val="clear" w:color="auto" w:fill="FFFFFF"/>
        </w:rPr>
        <w:t>: Restricted Database</w:t>
      </w:r>
    </w:p>
    <w:p w14:paraId="42AD809C" w14:textId="77777777" w:rsidR="00EB698D" w:rsidRPr="004C0D35" w:rsidRDefault="008D48E4" w:rsidP="0084279E">
      <w:pPr>
        <w:spacing w:after="0" w:line="276" w:lineRule="auto"/>
        <w:jc w:val="both"/>
        <w:rPr>
          <w:rFonts w:ascii="Times New Roman" w:hAnsi="Times New Roman" w:cs="Times New Roman"/>
          <w:color w:val="000000"/>
          <w:sz w:val="24"/>
          <w:szCs w:val="24"/>
          <w:shd w:val="clear" w:color="auto" w:fill="FFFFFF"/>
        </w:rPr>
      </w:pPr>
      <w:r w:rsidRPr="004C0D35">
        <w:rPr>
          <w:rFonts w:ascii="Times New Roman" w:hAnsi="Times New Roman" w:cs="Times New Roman"/>
          <w:noProof/>
          <w:color w:val="000000"/>
          <w:sz w:val="24"/>
          <w:szCs w:val="24"/>
          <w:shd w:val="clear" w:color="auto" w:fill="FFFFFF"/>
        </w:rPr>
        <w:drawing>
          <wp:inline distT="0" distB="0" distL="0" distR="0" wp14:anchorId="4E5AE466" wp14:editId="0FF8F4CD">
            <wp:extent cx="5486400" cy="36531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mulative libscores.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3653155"/>
                    </a:xfrm>
                    <a:prstGeom prst="rect">
                      <a:avLst/>
                    </a:prstGeom>
                  </pic:spPr>
                </pic:pic>
              </a:graphicData>
            </a:graphic>
          </wp:inline>
        </w:drawing>
      </w:r>
    </w:p>
    <w:p w14:paraId="152BB199" w14:textId="77777777" w:rsidR="00AF11E7" w:rsidRPr="004C0D35" w:rsidRDefault="00AF11E7" w:rsidP="006B53F6">
      <w:pPr>
        <w:spacing w:after="0" w:line="240" w:lineRule="auto"/>
        <w:jc w:val="both"/>
        <w:rPr>
          <w:rFonts w:ascii="Times New Roman" w:hAnsi="Times New Roman" w:cs="Times New Roman"/>
          <w:color w:val="000000"/>
          <w:sz w:val="24"/>
          <w:szCs w:val="24"/>
          <w:shd w:val="clear" w:color="auto" w:fill="FFFFFF"/>
        </w:rPr>
      </w:pPr>
    </w:p>
    <w:p w14:paraId="4848F4A7" w14:textId="77777777" w:rsidR="007E1395" w:rsidRPr="00742261" w:rsidRDefault="00742261" w:rsidP="00742261">
      <w:pPr>
        <w:spacing w:line="240" w:lineRule="auto"/>
        <w:jc w:val="both"/>
        <w:rPr>
          <w:rFonts w:ascii="Times New Roman" w:hAnsi="Times New Roman" w:cs="Times New Roman"/>
          <w:smallCaps/>
          <w:color w:val="000000"/>
          <w:sz w:val="24"/>
          <w:szCs w:val="24"/>
          <w:shd w:val="clear" w:color="auto" w:fill="FFFFFF"/>
        </w:rPr>
      </w:pPr>
      <w:r w:rsidRPr="00742261">
        <w:rPr>
          <w:rFonts w:ascii="Times New Roman" w:hAnsi="Times New Roman" w:cs="Times New Roman"/>
          <w:smallCaps/>
          <w:color w:val="000000"/>
          <w:sz w:val="24"/>
          <w:szCs w:val="24"/>
          <w:shd w:val="clear" w:color="auto" w:fill="FFFFFF"/>
        </w:rPr>
        <w:t>C</w:t>
      </w:r>
      <w:r w:rsidR="00C702ED" w:rsidRPr="00742261">
        <w:rPr>
          <w:rFonts w:ascii="Times New Roman" w:hAnsi="Times New Roman" w:cs="Times New Roman"/>
          <w:smallCaps/>
          <w:color w:val="000000"/>
          <w:sz w:val="24"/>
          <w:szCs w:val="24"/>
          <w:shd w:val="clear" w:color="auto" w:fill="FFFFFF"/>
        </w:rPr>
        <w:t>.</w:t>
      </w:r>
      <w:r w:rsidR="00D16542" w:rsidRPr="00742261">
        <w:rPr>
          <w:rFonts w:ascii="Times New Roman" w:hAnsi="Times New Roman" w:cs="Times New Roman"/>
          <w:smallCaps/>
          <w:color w:val="000000"/>
          <w:sz w:val="24"/>
          <w:szCs w:val="24"/>
          <w:shd w:val="clear" w:color="auto" w:fill="FFFFFF"/>
        </w:rPr>
        <w:t xml:space="preserve"> </w:t>
      </w:r>
      <w:r w:rsidR="006B53F6" w:rsidRPr="00742261">
        <w:rPr>
          <w:rFonts w:ascii="Times New Roman" w:hAnsi="Times New Roman" w:cs="Times New Roman"/>
          <w:smallCaps/>
          <w:color w:val="000000"/>
          <w:sz w:val="24"/>
          <w:szCs w:val="24"/>
          <w:shd w:val="clear" w:color="auto" w:fill="FFFFFF"/>
        </w:rPr>
        <w:t xml:space="preserve">Trust </w:t>
      </w:r>
      <w:r w:rsidR="006817A7" w:rsidRPr="00742261">
        <w:rPr>
          <w:rFonts w:ascii="Times New Roman" w:hAnsi="Times New Roman" w:cs="Times New Roman"/>
          <w:smallCaps/>
          <w:color w:val="000000"/>
          <w:sz w:val="24"/>
          <w:szCs w:val="24"/>
          <w:shd w:val="clear" w:color="auto" w:fill="FFFFFF"/>
        </w:rPr>
        <w:t xml:space="preserve">Law </w:t>
      </w:r>
      <w:r w:rsidR="006B53F6" w:rsidRPr="00742261">
        <w:rPr>
          <w:rFonts w:ascii="Times New Roman" w:hAnsi="Times New Roman" w:cs="Times New Roman"/>
          <w:smallCaps/>
          <w:color w:val="000000"/>
          <w:sz w:val="24"/>
          <w:szCs w:val="24"/>
          <w:shd w:val="clear" w:color="auto" w:fill="FFFFFF"/>
        </w:rPr>
        <w:t xml:space="preserve">Liberalization </w:t>
      </w:r>
      <w:r w:rsidR="003A1BF2" w:rsidRPr="00742261">
        <w:rPr>
          <w:rFonts w:ascii="Times New Roman" w:hAnsi="Times New Roman" w:cs="Times New Roman"/>
          <w:smallCaps/>
          <w:color w:val="000000"/>
          <w:sz w:val="24"/>
          <w:szCs w:val="24"/>
          <w:shd w:val="clear" w:color="auto" w:fill="FFFFFF"/>
        </w:rPr>
        <w:t xml:space="preserve">and the Market </w:t>
      </w:r>
      <w:r w:rsidR="00255208" w:rsidRPr="00742261">
        <w:rPr>
          <w:rFonts w:ascii="Times New Roman" w:hAnsi="Times New Roman" w:cs="Times New Roman"/>
          <w:smallCaps/>
          <w:color w:val="000000"/>
          <w:sz w:val="24"/>
          <w:szCs w:val="24"/>
          <w:shd w:val="clear" w:color="auto" w:fill="FFFFFF"/>
        </w:rPr>
        <w:t>in</w:t>
      </w:r>
      <w:r w:rsidR="003A1BF2" w:rsidRPr="00742261">
        <w:rPr>
          <w:rFonts w:ascii="Times New Roman" w:hAnsi="Times New Roman" w:cs="Times New Roman"/>
          <w:smallCaps/>
          <w:color w:val="000000"/>
          <w:sz w:val="24"/>
          <w:szCs w:val="24"/>
          <w:shd w:val="clear" w:color="auto" w:fill="FFFFFF"/>
        </w:rPr>
        <w:t xml:space="preserve"> Fiduciary Services</w:t>
      </w:r>
    </w:p>
    <w:p w14:paraId="31DE7BBE" w14:textId="77777777" w:rsidR="005B61AC" w:rsidRPr="004C0D35" w:rsidRDefault="007A714F" w:rsidP="000B18B1">
      <w:pPr>
        <w:spacing w:after="0" w:line="276" w:lineRule="auto"/>
        <w:jc w:val="both"/>
        <w:rPr>
          <w:rFonts w:ascii="Times New Roman" w:hAnsi="Times New Roman" w:cs="Times New Roman"/>
          <w:sz w:val="24"/>
          <w:szCs w:val="24"/>
        </w:rPr>
      </w:pPr>
      <w:r w:rsidRPr="004C0D35">
        <w:rPr>
          <w:rFonts w:ascii="Times New Roman" w:hAnsi="Times New Roman" w:cs="Times New Roman"/>
          <w:color w:val="000000"/>
          <w:sz w:val="24"/>
          <w:szCs w:val="24"/>
          <w:shd w:val="clear" w:color="auto" w:fill="FFFFFF"/>
        </w:rPr>
        <w:t xml:space="preserve">Given that many jurisdictions liberalized their law of trusts in order to assist resident professionals </w:t>
      </w:r>
      <w:r w:rsidR="006B53F6" w:rsidRPr="004C0D35">
        <w:rPr>
          <w:rFonts w:ascii="Times New Roman" w:hAnsi="Times New Roman" w:cs="Times New Roman"/>
          <w:color w:val="000000"/>
          <w:sz w:val="24"/>
          <w:szCs w:val="24"/>
          <w:shd w:val="clear" w:color="auto" w:fill="FFFFFF"/>
        </w:rPr>
        <w:t xml:space="preserve">supplying services to trusts </w:t>
      </w:r>
      <w:r w:rsidRPr="004C0D35">
        <w:rPr>
          <w:rFonts w:ascii="Times New Roman" w:hAnsi="Times New Roman" w:cs="Times New Roman"/>
          <w:color w:val="000000"/>
          <w:sz w:val="24"/>
          <w:szCs w:val="24"/>
          <w:shd w:val="clear" w:color="auto" w:fill="FFFFFF"/>
        </w:rPr>
        <w:t>in obtaining and retaining clients,</w:t>
      </w:r>
      <w:r w:rsidR="00AA3486">
        <w:rPr>
          <w:rStyle w:val="FootnoteReference"/>
          <w:rFonts w:ascii="Times New Roman" w:hAnsi="Times New Roman" w:cs="Times New Roman"/>
          <w:color w:val="000000"/>
          <w:sz w:val="24"/>
          <w:szCs w:val="24"/>
          <w:shd w:val="clear" w:color="auto" w:fill="FFFFFF"/>
        </w:rPr>
        <w:footnoteReference w:id="64"/>
      </w:r>
      <w:r w:rsidRPr="004C0D35">
        <w:rPr>
          <w:rFonts w:ascii="Times New Roman" w:hAnsi="Times New Roman" w:cs="Times New Roman"/>
          <w:color w:val="000000"/>
          <w:sz w:val="24"/>
          <w:szCs w:val="24"/>
          <w:shd w:val="clear" w:color="auto" w:fill="FFFFFF"/>
        </w:rPr>
        <w:t xml:space="preserve"> </w:t>
      </w:r>
      <w:r w:rsidR="009B3254" w:rsidRPr="004C0D35">
        <w:rPr>
          <w:rFonts w:ascii="Times New Roman" w:hAnsi="Times New Roman" w:cs="Times New Roman"/>
          <w:color w:val="000000"/>
          <w:sz w:val="24"/>
          <w:szCs w:val="24"/>
          <w:shd w:val="clear" w:color="auto" w:fill="FFFFFF"/>
        </w:rPr>
        <w:t xml:space="preserve">I conducted multivariate regression analysis </w:t>
      </w:r>
      <w:r w:rsidR="00783CD2" w:rsidRPr="004C0D35">
        <w:rPr>
          <w:rFonts w:ascii="Times New Roman" w:hAnsi="Times New Roman" w:cs="Times New Roman"/>
          <w:color w:val="000000"/>
          <w:sz w:val="24"/>
          <w:szCs w:val="24"/>
          <w:shd w:val="clear" w:color="auto" w:fill="FFFFFF"/>
        </w:rPr>
        <w:t xml:space="preserve">to find out whether and how the </w:t>
      </w:r>
      <w:r w:rsidR="006B53F6" w:rsidRPr="004C0D35">
        <w:rPr>
          <w:rFonts w:ascii="Times New Roman" w:hAnsi="Times New Roman" w:cs="Times New Roman"/>
          <w:color w:val="000000"/>
          <w:sz w:val="24"/>
          <w:szCs w:val="24"/>
          <w:shd w:val="clear" w:color="auto" w:fill="FFFFFF"/>
        </w:rPr>
        <w:t>permissiveness</w:t>
      </w:r>
      <w:r w:rsidR="00233731" w:rsidRPr="004C0D35">
        <w:rPr>
          <w:rFonts w:ascii="Times New Roman" w:hAnsi="Times New Roman" w:cs="Times New Roman"/>
          <w:color w:val="000000"/>
          <w:sz w:val="24"/>
          <w:szCs w:val="24"/>
          <w:shd w:val="clear" w:color="auto" w:fill="FFFFFF"/>
        </w:rPr>
        <w:t xml:space="preserve"> or liberalization</w:t>
      </w:r>
      <w:r w:rsidR="00783CD2" w:rsidRPr="004C0D35">
        <w:rPr>
          <w:rFonts w:ascii="Times New Roman" w:hAnsi="Times New Roman" w:cs="Times New Roman"/>
          <w:color w:val="000000"/>
          <w:sz w:val="24"/>
          <w:szCs w:val="24"/>
          <w:shd w:val="clear" w:color="auto" w:fill="FFFFFF"/>
        </w:rPr>
        <w:t xml:space="preserve"> of a trust regime is associated with </w:t>
      </w:r>
      <w:r w:rsidR="000B18B1" w:rsidRPr="004C0D35">
        <w:rPr>
          <w:rFonts w:ascii="Times New Roman" w:hAnsi="Times New Roman" w:cs="Times New Roman"/>
          <w:color w:val="000000"/>
          <w:sz w:val="24"/>
          <w:szCs w:val="24"/>
          <w:shd w:val="clear" w:color="auto" w:fill="FFFFFF"/>
        </w:rPr>
        <w:t>economic trends in the market</w:t>
      </w:r>
      <w:r w:rsidR="00783CD2" w:rsidRPr="004C0D35">
        <w:rPr>
          <w:rFonts w:ascii="Times New Roman" w:hAnsi="Times New Roman" w:cs="Times New Roman"/>
          <w:color w:val="000000"/>
          <w:sz w:val="24"/>
          <w:szCs w:val="24"/>
          <w:shd w:val="clear" w:color="auto" w:fill="FFFFFF"/>
        </w:rPr>
        <w:t xml:space="preserve"> fo</w:t>
      </w:r>
      <w:r w:rsidR="00EE7A61" w:rsidRPr="004C0D35">
        <w:rPr>
          <w:rFonts w:ascii="Times New Roman" w:hAnsi="Times New Roman" w:cs="Times New Roman"/>
          <w:color w:val="000000"/>
          <w:sz w:val="24"/>
          <w:szCs w:val="24"/>
          <w:shd w:val="clear" w:color="auto" w:fill="FFFFFF"/>
        </w:rPr>
        <w:t xml:space="preserve">r </w:t>
      </w:r>
      <w:r w:rsidR="002917FB" w:rsidRPr="004C0D35">
        <w:rPr>
          <w:rFonts w:ascii="Times New Roman" w:hAnsi="Times New Roman" w:cs="Times New Roman"/>
          <w:color w:val="000000"/>
          <w:sz w:val="24"/>
          <w:szCs w:val="24"/>
          <w:shd w:val="clear" w:color="auto" w:fill="FFFFFF"/>
        </w:rPr>
        <w:t>trust</w:t>
      </w:r>
      <w:r w:rsidR="006B53F6" w:rsidRPr="004C0D35">
        <w:rPr>
          <w:rFonts w:ascii="Times New Roman" w:hAnsi="Times New Roman" w:cs="Times New Roman"/>
          <w:color w:val="000000"/>
          <w:sz w:val="24"/>
          <w:szCs w:val="24"/>
          <w:shd w:val="clear" w:color="auto" w:fill="FFFFFF"/>
        </w:rPr>
        <w:t>-related</w:t>
      </w:r>
      <w:r w:rsidR="002917FB" w:rsidRPr="004C0D35">
        <w:rPr>
          <w:rFonts w:ascii="Times New Roman" w:hAnsi="Times New Roman" w:cs="Times New Roman"/>
          <w:color w:val="000000"/>
          <w:sz w:val="24"/>
          <w:szCs w:val="24"/>
          <w:shd w:val="clear" w:color="auto" w:fill="FFFFFF"/>
        </w:rPr>
        <w:t xml:space="preserve"> services provided in the jurisdiction which enacted it</w:t>
      </w:r>
      <w:r w:rsidR="009B3254" w:rsidRPr="004C0D35">
        <w:rPr>
          <w:rFonts w:ascii="Times New Roman" w:hAnsi="Times New Roman" w:cs="Times New Roman"/>
          <w:color w:val="000000"/>
          <w:sz w:val="24"/>
          <w:szCs w:val="24"/>
          <w:shd w:val="clear" w:color="auto" w:fill="FFFFFF"/>
        </w:rPr>
        <w:t xml:space="preserve">. </w:t>
      </w:r>
      <w:r w:rsidR="002F20AF" w:rsidRPr="004C0D35">
        <w:rPr>
          <w:rFonts w:ascii="Times New Roman" w:hAnsi="Times New Roman" w:cs="Times New Roman"/>
          <w:sz w:val="24"/>
          <w:szCs w:val="24"/>
        </w:rPr>
        <w:t xml:space="preserve">While use of </w:t>
      </w:r>
      <w:r w:rsidR="00BD0E46" w:rsidRPr="004C0D35">
        <w:rPr>
          <w:rFonts w:ascii="Times New Roman" w:hAnsi="Times New Roman" w:cs="Times New Roman"/>
          <w:sz w:val="24"/>
          <w:szCs w:val="24"/>
        </w:rPr>
        <w:t xml:space="preserve">trust-related </w:t>
      </w:r>
      <w:r w:rsidR="002F20AF" w:rsidRPr="004C0D35">
        <w:rPr>
          <w:rFonts w:ascii="Times New Roman" w:hAnsi="Times New Roman" w:cs="Times New Roman"/>
          <w:sz w:val="24"/>
          <w:szCs w:val="24"/>
        </w:rPr>
        <w:t xml:space="preserve">services provided in a given </w:t>
      </w:r>
      <w:r w:rsidR="00BD0E46" w:rsidRPr="004C0D35">
        <w:rPr>
          <w:rFonts w:ascii="Times New Roman" w:hAnsi="Times New Roman" w:cs="Times New Roman"/>
          <w:sz w:val="24"/>
          <w:szCs w:val="24"/>
        </w:rPr>
        <w:t>jurisdiction</w:t>
      </w:r>
      <w:r w:rsidR="002F20AF" w:rsidRPr="004C0D35">
        <w:rPr>
          <w:rFonts w:ascii="Times New Roman" w:hAnsi="Times New Roman" w:cs="Times New Roman"/>
          <w:sz w:val="24"/>
          <w:szCs w:val="24"/>
        </w:rPr>
        <w:t xml:space="preserve"> does not necessarily imply that the law of that </w:t>
      </w:r>
      <w:r w:rsidR="000B18B1" w:rsidRPr="004C0D35">
        <w:rPr>
          <w:rFonts w:ascii="Times New Roman" w:hAnsi="Times New Roman" w:cs="Times New Roman"/>
          <w:sz w:val="24"/>
          <w:szCs w:val="24"/>
        </w:rPr>
        <w:t>jurisdiction</w:t>
      </w:r>
      <w:r w:rsidR="002F20AF" w:rsidRPr="004C0D35">
        <w:rPr>
          <w:rFonts w:ascii="Times New Roman" w:hAnsi="Times New Roman" w:cs="Times New Roman"/>
          <w:sz w:val="24"/>
          <w:szCs w:val="24"/>
        </w:rPr>
        <w:t xml:space="preserve"> governs the trust in the context of which services were provided, what </w:t>
      </w:r>
      <w:r w:rsidR="000B18B1" w:rsidRPr="004C0D35">
        <w:rPr>
          <w:rFonts w:ascii="Times New Roman" w:hAnsi="Times New Roman" w:cs="Times New Roman"/>
          <w:sz w:val="24"/>
          <w:szCs w:val="24"/>
        </w:rPr>
        <w:t>jurisdictions</w:t>
      </w:r>
      <w:r w:rsidR="002F20AF" w:rsidRPr="004C0D35">
        <w:rPr>
          <w:rFonts w:ascii="Times New Roman" w:hAnsi="Times New Roman" w:cs="Times New Roman"/>
          <w:sz w:val="24"/>
          <w:szCs w:val="24"/>
        </w:rPr>
        <w:t xml:space="preserve"> are seeking to encourage by liberalizing their trusts law is use of resident professionals, </w:t>
      </w:r>
      <w:r w:rsidR="00BD0E46" w:rsidRPr="004C0D35">
        <w:rPr>
          <w:rFonts w:ascii="Times New Roman" w:hAnsi="Times New Roman" w:cs="Times New Roman"/>
          <w:sz w:val="24"/>
          <w:szCs w:val="24"/>
        </w:rPr>
        <w:t>not</w:t>
      </w:r>
      <w:r w:rsidR="002F20AF" w:rsidRPr="004C0D35">
        <w:rPr>
          <w:rFonts w:ascii="Times New Roman" w:hAnsi="Times New Roman" w:cs="Times New Roman"/>
          <w:sz w:val="24"/>
          <w:szCs w:val="24"/>
        </w:rPr>
        <w:t xml:space="preserve"> use of their law. </w:t>
      </w:r>
    </w:p>
    <w:p w14:paraId="3F3DF008" w14:textId="2E5137C9" w:rsidR="00D10FEB" w:rsidRPr="004C0D35" w:rsidRDefault="004C4E9D" w:rsidP="00191905">
      <w:pPr>
        <w:spacing w:after="0" w:line="276" w:lineRule="auto"/>
        <w:ind w:firstLine="720"/>
        <w:jc w:val="both"/>
        <w:rPr>
          <w:rFonts w:ascii="Times New Roman" w:eastAsia="Times New Roman" w:hAnsi="Times New Roman" w:cs="Times New Roman"/>
          <w:sz w:val="24"/>
          <w:szCs w:val="24"/>
        </w:rPr>
      </w:pPr>
      <w:r w:rsidRPr="004C0D35">
        <w:rPr>
          <w:rFonts w:ascii="Times New Roman" w:eastAsia="Times New Roman" w:hAnsi="Times New Roman" w:cs="Times New Roman"/>
          <w:sz w:val="24"/>
          <w:szCs w:val="24"/>
        </w:rPr>
        <w:t xml:space="preserve">I used three variables, based on data U.S.-resident trustees reported to the I.R.S. in 1997 and from 2000-2013, to </w:t>
      </w:r>
      <w:r w:rsidR="00A635D7" w:rsidRPr="004C0D35">
        <w:rPr>
          <w:rFonts w:ascii="Times New Roman" w:eastAsia="Times New Roman" w:hAnsi="Times New Roman" w:cs="Times New Roman"/>
          <w:sz w:val="24"/>
          <w:szCs w:val="24"/>
        </w:rPr>
        <w:t>assess the state of the market in</w:t>
      </w:r>
      <w:r w:rsidRPr="004C0D35">
        <w:rPr>
          <w:rFonts w:ascii="Times New Roman" w:eastAsia="Times New Roman" w:hAnsi="Times New Roman" w:cs="Times New Roman"/>
          <w:sz w:val="24"/>
          <w:szCs w:val="24"/>
        </w:rPr>
        <w:t xml:space="preserve"> trust-related services</w:t>
      </w:r>
      <w:r w:rsidR="00190C77">
        <w:rPr>
          <w:rFonts w:ascii="Times New Roman" w:eastAsia="Times New Roman" w:hAnsi="Times New Roman" w:cs="Times New Roman"/>
          <w:sz w:val="24"/>
          <w:szCs w:val="24"/>
        </w:rPr>
        <w:t xml:space="preserve"> in each state</w:t>
      </w:r>
      <w:r w:rsidRPr="004C0D35">
        <w:rPr>
          <w:rFonts w:ascii="Times New Roman" w:eastAsia="Times New Roman" w:hAnsi="Times New Roman" w:cs="Times New Roman"/>
          <w:sz w:val="24"/>
          <w:szCs w:val="24"/>
        </w:rPr>
        <w:t xml:space="preserve">: </w:t>
      </w:r>
      <w:r w:rsidR="00D91CB7" w:rsidRPr="004C0D35">
        <w:rPr>
          <w:rFonts w:ascii="Times New Roman" w:eastAsia="Times New Roman" w:hAnsi="Times New Roman" w:cs="Times New Roman"/>
          <w:sz w:val="24"/>
          <w:szCs w:val="24"/>
        </w:rPr>
        <w:t>(1) fiduciary fees deducted</w:t>
      </w:r>
      <w:r w:rsidR="00024FFC" w:rsidRPr="004C0D35">
        <w:rPr>
          <w:rFonts w:ascii="Times New Roman" w:eastAsia="Times New Roman" w:hAnsi="Times New Roman" w:cs="Times New Roman"/>
          <w:sz w:val="24"/>
          <w:szCs w:val="24"/>
        </w:rPr>
        <w:t xml:space="preserve"> from trust income</w:t>
      </w:r>
      <w:r w:rsidR="00A16754" w:rsidRPr="004C0D35">
        <w:rPr>
          <w:rFonts w:ascii="Times New Roman" w:eastAsia="Times New Roman" w:hAnsi="Times New Roman" w:cs="Times New Roman"/>
          <w:sz w:val="24"/>
          <w:szCs w:val="24"/>
        </w:rPr>
        <w:t xml:space="preserve"> in each</w:t>
      </w:r>
      <w:r w:rsidR="00D91CB7" w:rsidRPr="004C0D35">
        <w:rPr>
          <w:rFonts w:ascii="Times New Roman" w:eastAsia="Times New Roman" w:hAnsi="Times New Roman" w:cs="Times New Roman"/>
          <w:sz w:val="24"/>
          <w:szCs w:val="24"/>
        </w:rPr>
        <w:t xml:space="preserve"> state</w:t>
      </w:r>
      <w:r w:rsidR="00A16754" w:rsidRPr="004C0D35">
        <w:rPr>
          <w:rFonts w:ascii="Times New Roman" w:eastAsia="Times New Roman" w:hAnsi="Times New Roman" w:cs="Times New Roman"/>
          <w:sz w:val="24"/>
          <w:szCs w:val="24"/>
        </w:rPr>
        <w:t>/</w:t>
      </w:r>
      <w:r w:rsidR="00D91CB7" w:rsidRPr="004C0D35">
        <w:rPr>
          <w:rFonts w:ascii="Times New Roman" w:eastAsia="Times New Roman" w:hAnsi="Times New Roman" w:cs="Times New Roman"/>
          <w:sz w:val="24"/>
          <w:szCs w:val="24"/>
        </w:rPr>
        <w:t xml:space="preserve">year, divided by the number of </w:t>
      </w:r>
      <w:r w:rsidR="00A16754" w:rsidRPr="004C0D35">
        <w:rPr>
          <w:rFonts w:ascii="Times New Roman" w:eastAsia="Times New Roman" w:hAnsi="Times New Roman" w:cs="Times New Roman"/>
          <w:sz w:val="24"/>
          <w:szCs w:val="24"/>
        </w:rPr>
        <w:t xml:space="preserve">income tax </w:t>
      </w:r>
      <w:r w:rsidR="00D91CB7" w:rsidRPr="004C0D35">
        <w:rPr>
          <w:rFonts w:ascii="Times New Roman" w:eastAsia="Times New Roman" w:hAnsi="Times New Roman" w:cs="Times New Roman"/>
          <w:sz w:val="24"/>
          <w:szCs w:val="24"/>
        </w:rPr>
        <w:t xml:space="preserve">returns filed for </w:t>
      </w:r>
      <w:r w:rsidR="00A16754" w:rsidRPr="004C0D35">
        <w:rPr>
          <w:rFonts w:ascii="Times New Roman" w:eastAsia="Times New Roman" w:hAnsi="Times New Roman" w:cs="Times New Roman"/>
          <w:sz w:val="24"/>
          <w:szCs w:val="24"/>
        </w:rPr>
        <w:t xml:space="preserve">trusts in </w:t>
      </w:r>
      <w:r w:rsidR="00D91CB7" w:rsidRPr="004C0D35">
        <w:rPr>
          <w:rFonts w:ascii="Times New Roman" w:eastAsia="Times New Roman" w:hAnsi="Times New Roman" w:cs="Times New Roman"/>
          <w:sz w:val="24"/>
          <w:szCs w:val="24"/>
        </w:rPr>
        <w:t>that state</w:t>
      </w:r>
      <w:r w:rsidR="00A16754" w:rsidRPr="004C0D35">
        <w:rPr>
          <w:rFonts w:ascii="Times New Roman" w:eastAsia="Times New Roman" w:hAnsi="Times New Roman" w:cs="Times New Roman"/>
          <w:sz w:val="24"/>
          <w:szCs w:val="24"/>
        </w:rPr>
        <w:t>/ye</w:t>
      </w:r>
      <w:r w:rsidR="00D91CB7" w:rsidRPr="004C0D35">
        <w:rPr>
          <w:rFonts w:ascii="Times New Roman" w:eastAsia="Times New Roman" w:hAnsi="Times New Roman" w:cs="Times New Roman"/>
          <w:sz w:val="24"/>
          <w:szCs w:val="24"/>
        </w:rPr>
        <w:t>ar (</w:t>
      </w:r>
      <w:r w:rsidR="007B07D9" w:rsidRPr="004C0D35">
        <w:rPr>
          <w:rFonts w:ascii="Times New Roman" w:eastAsia="Times New Roman" w:hAnsi="Times New Roman" w:cs="Times New Roman"/>
          <w:sz w:val="24"/>
          <w:szCs w:val="24"/>
        </w:rPr>
        <w:t xml:space="preserve">hereinafter: </w:t>
      </w:r>
      <w:r w:rsidR="00D91CB7" w:rsidRPr="004C0D35">
        <w:rPr>
          <w:rFonts w:ascii="Times New Roman" w:eastAsia="Times New Roman" w:hAnsi="Times New Roman" w:cs="Times New Roman"/>
          <w:sz w:val="24"/>
          <w:szCs w:val="24"/>
        </w:rPr>
        <w:t xml:space="preserve">fiduciary fees </w:t>
      </w:r>
      <w:r w:rsidR="007A4545" w:rsidRPr="004C0D35">
        <w:rPr>
          <w:rFonts w:ascii="Times New Roman" w:eastAsia="Times New Roman" w:hAnsi="Times New Roman" w:cs="Times New Roman"/>
          <w:sz w:val="24"/>
          <w:szCs w:val="24"/>
        </w:rPr>
        <w:t>deducted per return</w:t>
      </w:r>
      <w:r w:rsidR="00D91CB7" w:rsidRPr="004C0D35">
        <w:rPr>
          <w:rFonts w:ascii="Times New Roman" w:eastAsia="Times New Roman" w:hAnsi="Times New Roman" w:cs="Times New Roman"/>
          <w:sz w:val="24"/>
          <w:szCs w:val="24"/>
        </w:rPr>
        <w:t>); (2) attorney, accountant and return preparer fees deducted</w:t>
      </w:r>
      <w:r w:rsidR="00A16754" w:rsidRPr="004C0D35">
        <w:rPr>
          <w:rFonts w:ascii="Times New Roman" w:eastAsia="Times New Roman" w:hAnsi="Times New Roman" w:cs="Times New Roman"/>
          <w:sz w:val="24"/>
          <w:szCs w:val="24"/>
        </w:rPr>
        <w:t xml:space="preserve"> from trust income in each</w:t>
      </w:r>
      <w:r w:rsidR="00D91CB7" w:rsidRPr="004C0D35">
        <w:rPr>
          <w:rFonts w:ascii="Times New Roman" w:eastAsia="Times New Roman" w:hAnsi="Times New Roman" w:cs="Times New Roman"/>
          <w:sz w:val="24"/>
          <w:szCs w:val="24"/>
        </w:rPr>
        <w:t xml:space="preserve"> state</w:t>
      </w:r>
      <w:r w:rsidR="00A16754" w:rsidRPr="004C0D35">
        <w:rPr>
          <w:rFonts w:ascii="Times New Roman" w:eastAsia="Times New Roman" w:hAnsi="Times New Roman" w:cs="Times New Roman"/>
          <w:sz w:val="24"/>
          <w:szCs w:val="24"/>
        </w:rPr>
        <w:t>/</w:t>
      </w:r>
      <w:r w:rsidR="00D91CB7" w:rsidRPr="004C0D35">
        <w:rPr>
          <w:rFonts w:ascii="Times New Roman" w:eastAsia="Times New Roman" w:hAnsi="Times New Roman" w:cs="Times New Roman"/>
          <w:sz w:val="24"/>
          <w:szCs w:val="24"/>
        </w:rPr>
        <w:t>year; (3) total reported</w:t>
      </w:r>
      <w:r w:rsidR="00A16754" w:rsidRPr="004C0D35">
        <w:rPr>
          <w:rFonts w:ascii="Times New Roman" w:eastAsia="Times New Roman" w:hAnsi="Times New Roman" w:cs="Times New Roman"/>
          <w:sz w:val="24"/>
          <w:szCs w:val="24"/>
        </w:rPr>
        <w:t xml:space="preserve"> trust</w:t>
      </w:r>
      <w:r w:rsidR="00D91CB7" w:rsidRPr="004C0D35">
        <w:rPr>
          <w:rFonts w:ascii="Times New Roman" w:eastAsia="Times New Roman" w:hAnsi="Times New Roman" w:cs="Times New Roman"/>
          <w:sz w:val="24"/>
          <w:szCs w:val="24"/>
        </w:rPr>
        <w:t xml:space="preserve"> income (less loss)</w:t>
      </w:r>
      <w:r w:rsidR="00A16754" w:rsidRPr="004C0D35">
        <w:rPr>
          <w:rFonts w:ascii="Times New Roman" w:eastAsia="Times New Roman" w:hAnsi="Times New Roman" w:cs="Times New Roman"/>
          <w:sz w:val="24"/>
          <w:szCs w:val="24"/>
        </w:rPr>
        <w:t xml:space="preserve"> for each state/year</w:t>
      </w:r>
      <w:r w:rsidR="00D91CB7" w:rsidRPr="004C0D35">
        <w:rPr>
          <w:rFonts w:ascii="Times New Roman" w:eastAsia="Times New Roman" w:hAnsi="Times New Roman" w:cs="Times New Roman"/>
          <w:sz w:val="24"/>
          <w:szCs w:val="24"/>
        </w:rPr>
        <w:t>. All data covers</w:t>
      </w:r>
      <w:r w:rsidR="00A16754" w:rsidRPr="004C0D35">
        <w:rPr>
          <w:rFonts w:ascii="Times New Roman" w:eastAsia="Times New Roman" w:hAnsi="Times New Roman" w:cs="Times New Roman"/>
          <w:sz w:val="24"/>
          <w:szCs w:val="24"/>
        </w:rPr>
        <w:t>, in U.S. tax parlance,</w:t>
      </w:r>
      <w:r w:rsidR="00D91CB7" w:rsidRPr="004C0D35">
        <w:rPr>
          <w:rFonts w:ascii="Times New Roman" w:eastAsia="Times New Roman" w:hAnsi="Times New Roman" w:cs="Times New Roman"/>
          <w:sz w:val="24"/>
          <w:szCs w:val="24"/>
        </w:rPr>
        <w:t xml:space="preserve"> both simple</w:t>
      </w:r>
      <w:r w:rsidR="00A16754" w:rsidRPr="004C0D35">
        <w:rPr>
          <w:rFonts w:ascii="Times New Roman" w:eastAsia="Times New Roman" w:hAnsi="Times New Roman" w:cs="Times New Roman"/>
          <w:sz w:val="24"/>
          <w:szCs w:val="24"/>
        </w:rPr>
        <w:t xml:space="preserve"> trusts, which must distribute all income to beneficiaries in the year it is accrued and may not distribute corpus or make charitable contributions,</w:t>
      </w:r>
      <w:r w:rsidR="00D91CB7" w:rsidRPr="004C0D35">
        <w:rPr>
          <w:rFonts w:ascii="Times New Roman" w:eastAsia="Times New Roman" w:hAnsi="Times New Roman" w:cs="Times New Roman"/>
          <w:sz w:val="24"/>
          <w:szCs w:val="24"/>
        </w:rPr>
        <w:t xml:space="preserve"> and complex trusts</w:t>
      </w:r>
      <w:r w:rsidR="00A16754" w:rsidRPr="004C0D35">
        <w:rPr>
          <w:rFonts w:ascii="Times New Roman" w:eastAsia="Times New Roman" w:hAnsi="Times New Roman" w:cs="Times New Roman"/>
          <w:sz w:val="24"/>
          <w:szCs w:val="24"/>
        </w:rPr>
        <w:t xml:space="preserve">, </w:t>
      </w:r>
      <w:r w:rsidR="002904A5" w:rsidRPr="004C0D35">
        <w:rPr>
          <w:rFonts w:ascii="Times New Roman" w:eastAsia="Times New Roman" w:hAnsi="Times New Roman" w:cs="Times New Roman"/>
          <w:sz w:val="24"/>
          <w:szCs w:val="24"/>
        </w:rPr>
        <w:t>defined as trus</w:t>
      </w:r>
      <w:r w:rsidR="00A16754" w:rsidRPr="004C0D35">
        <w:rPr>
          <w:rFonts w:ascii="Times New Roman" w:eastAsia="Times New Roman" w:hAnsi="Times New Roman" w:cs="Times New Roman"/>
          <w:sz w:val="24"/>
          <w:szCs w:val="24"/>
        </w:rPr>
        <w:t>ts which do not qualify as simple</w:t>
      </w:r>
      <w:r w:rsidR="00D91CB7" w:rsidRPr="004C0D35">
        <w:rPr>
          <w:rFonts w:ascii="Times New Roman" w:eastAsia="Times New Roman" w:hAnsi="Times New Roman" w:cs="Times New Roman"/>
          <w:sz w:val="24"/>
          <w:szCs w:val="24"/>
        </w:rPr>
        <w:t>.</w:t>
      </w:r>
      <w:r w:rsidR="00707D39" w:rsidRPr="004C0D35">
        <w:rPr>
          <w:rStyle w:val="FootnoteReference"/>
          <w:rFonts w:ascii="Times New Roman" w:eastAsia="Times New Roman" w:hAnsi="Times New Roman" w:cs="Times New Roman"/>
          <w:sz w:val="24"/>
          <w:szCs w:val="24"/>
        </w:rPr>
        <w:footnoteReference w:id="65"/>
      </w:r>
      <w:r w:rsidR="007B07D9" w:rsidRPr="004C0D35">
        <w:rPr>
          <w:rFonts w:ascii="Times New Roman" w:eastAsia="Times New Roman" w:hAnsi="Times New Roman" w:cs="Times New Roman"/>
          <w:sz w:val="24"/>
          <w:szCs w:val="24"/>
        </w:rPr>
        <w:t xml:space="preserve"> </w:t>
      </w:r>
      <w:r w:rsidR="00D10FEB" w:rsidRPr="004C0D35">
        <w:rPr>
          <w:rFonts w:ascii="Times New Roman" w:eastAsia="Times New Roman" w:hAnsi="Times New Roman" w:cs="Times New Roman"/>
          <w:sz w:val="24"/>
          <w:szCs w:val="24"/>
        </w:rPr>
        <w:t>I</w:t>
      </w:r>
      <w:r w:rsidR="0021517F" w:rsidRPr="004C0D35">
        <w:rPr>
          <w:rFonts w:ascii="Times New Roman" w:eastAsia="Times New Roman" w:hAnsi="Times New Roman" w:cs="Times New Roman"/>
          <w:sz w:val="24"/>
          <w:szCs w:val="24"/>
        </w:rPr>
        <w:t xml:space="preserve"> used</w:t>
      </w:r>
      <w:r w:rsidR="00D10FEB" w:rsidRPr="004C0D35">
        <w:rPr>
          <w:rFonts w:ascii="Times New Roman" w:eastAsia="Times New Roman" w:hAnsi="Times New Roman" w:cs="Times New Roman"/>
          <w:sz w:val="24"/>
          <w:szCs w:val="24"/>
        </w:rPr>
        <w:t xml:space="preserve"> U.S. data</w:t>
      </w:r>
      <w:r w:rsidR="002E0B84" w:rsidRPr="004C0D35">
        <w:rPr>
          <w:rFonts w:ascii="Times New Roman" w:eastAsia="Times New Roman" w:hAnsi="Times New Roman" w:cs="Times New Roman"/>
          <w:sz w:val="24"/>
          <w:szCs w:val="24"/>
        </w:rPr>
        <w:t xml:space="preserve"> since as I have shown in </w:t>
      </w:r>
      <w:r w:rsidR="008318F4" w:rsidRPr="004C0D35">
        <w:rPr>
          <w:rFonts w:ascii="Times New Roman" w:eastAsia="Times New Roman" w:hAnsi="Times New Roman" w:cs="Times New Roman"/>
          <w:sz w:val="24"/>
          <w:szCs w:val="24"/>
        </w:rPr>
        <w:t>Part</w:t>
      </w:r>
      <w:r w:rsidR="002E0B84" w:rsidRPr="004C0D35">
        <w:rPr>
          <w:rFonts w:ascii="Times New Roman" w:eastAsia="Times New Roman" w:hAnsi="Times New Roman" w:cs="Times New Roman"/>
          <w:sz w:val="24"/>
          <w:szCs w:val="24"/>
        </w:rPr>
        <w:t xml:space="preserve"> IV.</w:t>
      </w:r>
      <w:r w:rsidR="004F4434">
        <w:rPr>
          <w:rFonts w:ascii="Times New Roman" w:eastAsia="Times New Roman" w:hAnsi="Times New Roman" w:cs="Times New Roman"/>
          <w:sz w:val="24"/>
          <w:szCs w:val="24"/>
        </w:rPr>
        <w:t>A</w:t>
      </w:r>
      <w:r w:rsidR="002E0B84" w:rsidRPr="004C0D35">
        <w:rPr>
          <w:rFonts w:ascii="Times New Roman" w:eastAsia="Times New Roman" w:hAnsi="Times New Roman" w:cs="Times New Roman"/>
          <w:sz w:val="24"/>
          <w:szCs w:val="24"/>
        </w:rPr>
        <w:t xml:space="preserve">, the liberalization of trust law has progressed further in the U.S. than elsewhere. </w:t>
      </w:r>
    </w:p>
    <w:p w14:paraId="462E2BBD" w14:textId="11C02395" w:rsidR="002904A5" w:rsidRPr="004C0D35" w:rsidRDefault="00836836" w:rsidP="00120C82">
      <w:pPr>
        <w:spacing w:after="0" w:line="276" w:lineRule="auto"/>
        <w:ind w:firstLine="720"/>
        <w:jc w:val="both"/>
        <w:rPr>
          <w:rFonts w:ascii="Times New Roman" w:eastAsia="Times New Roman" w:hAnsi="Times New Roman" w:cs="Times New Roman"/>
          <w:sz w:val="24"/>
          <w:szCs w:val="24"/>
        </w:rPr>
      </w:pPr>
      <w:r w:rsidRPr="004C0D35">
        <w:rPr>
          <w:rFonts w:ascii="Times New Roman" w:eastAsia="Times New Roman" w:hAnsi="Times New Roman" w:cs="Times New Roman"/>
          <w:sz w:val="24"/>
          <w:szCs w:val="24"/>
        </w:rPr>
        <w:t>R</w:t>
      </w:r>
      <w:r w:rsidR="00CA79AA" w:rsidRPr="004C0D35">
        <w:rPr>
          <w:rFonts w:ascii="Times New Roman" w:eastAsia="Times New Roman" w:hAnsi="Times New Roman" w:cs="Times New Roman"/>
          <w:sz w:val="24"/>
          <w:szCs w:val="24"/>
        </w:rPr>
        <w:t>egressing t</w:t>
      </w:r>
      <w:r w:rsidR="002904A5" w:rsidRPr="004C0D35">
        <w:rPr>
          <w:rFonts w:ascii="Times New Roman" w:eastAsia="Times New Roman" w:hAnsi="Times New Roman" w:cs="Times New Roman"/>
          <w:sz w:val="24"/>
          <w:szCs w:val="24"/>
        </w:rPr>
        <w:t xml:space="preserve">he above-mentioned </w:t>
      </w:r>
      <w:r w:rsidR="00CA79AA" w:rsidRPr="004C0D35">
        <w:rPr>
          <w:rFonts w:ascii="Times New Roman" w:eastAsia="Times New Roman" w:hAnsi="Times New Roman" w:cs="Times New Roman"/>
          <w:sz w:val="24"/>
          <w:szCs w:val="24"/>
        </w:rPr>
        <w:t>data respecting fiduciary fees deducted per return on</w:t>
      </w:r>
      <w:r w:rsidR="00E17AD2" w:rsidRPr="004C0D35">
        <w:rPr>
          <w:rFonts w:ascii="Times New Roman" w:eastAsia="Times New Roman" w:hAnsi="Times New Roman" w:cs="Times New Roman"/>
          <w:sz w:val="24"/>
          <w:szCs w:val="24"/>
        </w:rPr>
        <w:t xml:space="preserve"> the</w:t>
      </w:r>
      <w:r w:rsidR="002904A5" w:rsidRPr="004C0D35">
        <w:rPr>
          <w:rFonts w:ascii="Times New Roman" w:eastAsia="Times New Roman" w:hAnsi="Times New Roman" w:cs="Times New Roman"/>
          <w:sz w:val="24"/>
          <w:szCs w:val="24"/>
        </w:rPr>
        <w:t xml:space="preserve"> trust liberality </w:t>
      </w:r>
      <w:r w:rsidR="00CA79AA" w:rsidRPr="004C0D35">
        <w:rPr>
          <w:rFonts w:ascii="Times New Roman" w:eastAsia="Times New Roman" w:hAnsi="Times New Roman" w:cs="Times New Roman"/>
          <w:sz w:val="24"/>
          <w:szCs w:val="24"/>
        </w:rPr>
        <w:t>scores for each state/year</w:t>
      </w:r>
      <w:r w:rsidRPr="004C0D35">
        <w:rPr>
          <w:rFonts w:ascii="Times New Roman" w:eastAsia="Times New Roman" w:hAnsi="Times New Roman" w:cs="Times New Roman"/>
          <w:sz w:val="24"/>
          <w:szCs w:val="24"/>
        </w:rPr>
        <w:t>, using the full database, including observations which reflect a pre-existing state of the law,</w:t>
      </w:r>
      <w:r w:rsidR="002904A5" w:rsidRPr="004C0D35">
        <w:rPr>
          <w:rFonts w:ascii="Times New Roman" w:eastAsia="Times New Roman" w:hAnsi="Times New Roman" w:cs="Times New Roman"/>
          <w:sz w:val="24"/>
          <w:szCs w:val="24"/>
        </w:rPr>
        <w:t xml:space="preserve"> </w:t>
      </w:r>
      <w:r w:rsidR="009044B6" w:rsidRPr="004C0D35">
        <w:rPr>
          <w:rFonts w:ascii="Times New Roman" w:eastAsia="Times New Roman" w:hAnsi="Times New Roman" w:cs="Times New Roman"/>
          <w:sz w:val="24"/>
          <w:szCs w:val="24"/>
        </w:rPr>
        <w:t xml:space="preserve">and </w:t>
      </w:r>
      <w:r w:rsidR="00E17AD2" w:rsidRPr="004C0D35">
        <w:rPr>
          <w:rFonts w:ascii="Times New Roman" w:eastAsia="Times New Roman" w:hAnsi="Times New Roman" w:cs="Times New Roman"/>
          <w:sz w:val="24"/>
          <w:szCs w:val="24"/>
        </w:rPr>
        <w:t xml:space="preserve">clustering standard errors at the state level, </w:t>
      </w:r>
      <w:r w:rsidR="00CA79AA" w:rsidRPr="004C0D35">
        <w:rPr>
          <w:rFonts w:ascii="Times New Roman" w:eastAsia="Times New Roman" w:hAnsi="Times New Roman" w:cs="Times New Roman"/>
          <w:sz w:val="24"/>
          <w:szCs w:val="24"/>
        </w:rPr>
        <w:t xml:space="preserve">produced a </w:t>
      </w:r>
      <w:r w:rsidR="00920EA6">
        <w:rPr>
          <w:rFonts w:ascii="Times New Roman" w:eastAsia="Times New Roman" w:hAnsi="Times New Roman" w:cs="Times New Roman"/>
          <w:sz w:val="24"/>
          <w:szCs w:val="24"/>
        </w:rPr>
        <w:t xml:space="preserve">marginally </w:t>
      </w:r>
      <w:r w:rsidR="00CA79AA" w:rsidRPr="004C0D35">
        <w:rPr>
          <w:rFonts w:ascii="Times New Roman" w:eastAsia="Times New Roman" w:hAnsi="Times New Roman" w:cs="Times New Roman"/>
          <w:sz w:val="24"/>
          <w:szCs w:val="24"/>
        </w:rPr>
        <w:t>s</w:t>
      </w:r>
      <w:r w:rsidR="00945B6B" w:rsidRPr="004C0D35">
        <w:rPr>
          <w:rFonts w:ascii="Times New Roman" w:eastAsia="Times New Roman" w:hAnsi="Times New Roman" w:cs="Times New Roman"/>
          <w:sz w:val="24"/>
          <w:szCs w:val="24"/>
        </w:rPr>
        <w:t>tatistically significant result</w:t>
      </w:r>
      <w:r w:rsidR="00920EA6">
        <w:rPr>
          <w:rFonts w:ascii="Times New Roman" w:eastAsia="Times New Roman" w:hAnsi="Times New Roman" w:cs="Times New Roman"/>
          <w:sz w:val="24"/>
          <w:szCs w:val="24"/>
        </w:rPr>
        <w:t xml:space="preserve"> </w:t>
      </w:r>
      <w:r w:rsidR="00920EA6" w:rsidRPr="00920EA6">
        <w:rPr>
          <w:rFonts w:ascii="Times New Roman" w:eastAsia="Times New Roman" w:hAnsi="Times New Roman" w:cs="Times New Roman"/>
          <w:sz w:val="24"/>
          <w:szCs w:val="24"/>
        </w:rPr>
        <w:t>(</w:t>
      </w:r>
      <w:r w:rsidR="00920EA6" w:rsidRPr="00920EA6">
        <w:rPr>
          <w:rFonts w:ascii="Times New Roman" w:hAnsi="Times New Roman" w:cs="Times New Roman"/>
          <w:sz w:val="24"/>
          <w:szCs w:val="24"/>
        </w:rPr>
        <w:t>p=0.087)</w:t>
      </w:r>
      <w:r w:rsidRPr="00920EA6">
        <w:rPr>
          <w:rFonts w:ascii="Times New Roman" w:eastAsia="Times New Roman" w:hAnsi="Times New Roman" w:cs="Times New Roman"/>
          <w:sz w:val="24"/>
          <w:szCs w:val="24"/>
        </w:rPr>
        <w:t>:</w:t>
      </w:r>
      <w:r w:rsidR="00CA79AA" w:rsidRPr="00920EA6">
        <w:rPr>
          <w:rFonts w:ascii="Times New Roman" w:eastAsia="Times New Roman" w:hAnsi="Times New Roman" w:cs="Times New Roman"/>
          <w:sz w:val="24"/>
          <w:szCs w:val="24"/>
        </w:rPr>
        <w:t xml:space="preserve"> </w:t>
      </w:r>
      <w:r w:rsidR="00945B6B" w:rsidRPr="00920EA6">
        <w:rPr>
          <w:rFonts w:ascii="Times New Roman" w:eastAsia="Times New Roman" w:hAnsi="Times New Roman" w:cs="Times New Roman"/>
          <w:sz w:val="24"/>
          <w:szCs w:val="24"/>
        </w:rPr>
        <w:t>for</w:t>
      </w:r>
      <w:r w:rsidR="00945B6B" w:rsidRPr="004C0D35">
        <w:rPr>
          <w:rFonts w:ascii="Times New Roman" w:eastAsia="Times New Roman" w:hAnsi="Times New Roman" w:cs="Times New Roman"/>
          <w:sz w:val="24"/>
          <w:szCs w:val="24"/>
        </w:rPr>
        <w:t xml:space="preserve"> each </w:t>
      </w:r>
      <w:r w:rsidR="00945B6B" w:rsidRPr="004C0D35">
        <w:rPr>
          <w:rFonts w:ascii="Times New Roman" w:hAnsi="Times New Roman" w:cs="Times New Roman"/>
          <w:sz w:val="24"/>
          <w:szCs w:val="24"/>
        </w:rPr>
        <w:t xml:space="preserve">increase of 1 in the cumulative trust liberality score for a given state and year, </w:t>
      </w:r>
      <w:r w:rsidR="00945B6B" w:rsidRPr="004C0D35">
        <w:rPr>
          <w:rFonts w:ascii="Times New Roman" w:eastAsia="Times New Roman" w:hAnsi="Times New Roman" w:cs="Times New Roman"/>
          <w:sz w:val="24"/>
          <w:szCs w:val="24"/>
        </w:rPr>
        <w:t>fiduciary fees deducted per return</w:t>
      </w:r>
      <w:r w:rsidR="00945B6B" w:rsidRPr="004C0D35">
        <w:rPr>
          <w:rFonts w:ascii="Times New Roman" w:hAnsi="Times New Roman" w:cs="Times New Roman"/>
          <w:sz w:val="24"/>
          <w:szCs w:val="24"/>
        </w:rPr>
        <w:t xml:space="preserve"> increased by $61</w:t>
      </w:r>
      <w:r w:rsidRPr="004C0D35">
        <w:rPr>
          <w:rFonts w:ascii="Times New Roman" w:hAnsi="Times New Roman" w:cs="Times New Roman"/>
          <w:sz w:val="24"/>
          <w:szCs w:val="24"/>
        </w:rPr>
        <w:t>.</w:t>
      </w:r>
      <w:r w:rsidRPr="004C0D35">
        <w:rPr>
          <w:rStyle w:val="FootnoteReference"/>
          <w:rFonts w:ascii="Times New Roman" w:hAnsi="Times New Roman" w:cs="Times New Roman"/>
          <w:sz w:val="24"/>
          <w:szCs w:val="24"/>
        </w:rPr>
        <w:footnoteReference w:id="66"/>
      </w:r>
      <w:r w:rsidR="00945B6B" w:rsidRPr="004C0D35">
        <w:rPr>
          <w:rFonts w:ascii="Times New Roman" w:hAnsi="Times New Roman" w:cs="Times New Roman"/>
          <w:sz w:val="24"/>
          <w:szCs w:val="24"/>
        </w:rPr>
        <w:t xml:space="preserve"> </w:t>
      </w:r>
      <w:r w:rsidRPr="004C0D35">
        <w:rPr>
          <w:rFonts w:ascii="Times New Roman" w:hAnsi="Times New Roman" w:cs="Times New Roman"/>
          <w:sz w:val="24"/>
          <w:szCs w:val="24"/>
        </w:rPr>
        <w:t>T</w:t>
      </w:r>
      <w:r w:rsidR="009044B6" w:rsidRPr="004C0D35">
        <w:rPr>
          <w:rFonts w:ascii="Times New Roman" w:hAnsi="Times New Roman" w:cs="Times New Roman"/>
          <w:sz w:val="24"/>
          <w:szCs w:val="24"/>
        </w:rPr>
        <w:t>his</w:t>
      </w:r>
      <w:r w:rsidR="00945B6B" w:rsidRPr="004C0D35">
        <w:rPr>
          <w:rFonts w:ascii="Times New Roman" w:hAnsi="Times New Roman" w:cs="Times New Roman"/>
          <w:sz w:val="24"/>
          <w:szCs w:val="24"/>
        </w:rPr>
        <w:t xml:space="preserve"> result</w:t>
      </w:r>
      <w:r w:rsidRPr="004C0D35">
        <w:rPr>
          <w:rFonts w:ascii="Times New Roman" w:hAnsi="Times New Roman" w:cs="Times New Roman"/>
          <w:sz w:val="24"/>
          <w:szCs w:val="24"/>
        </w:rPr>
        <w:t xml:space="preserve"> </w:t>
      </w:r>
      <w:r w:rsidR="009044B6" w:rsidRPr="004C0D35">
        <w:rPr>
          <w:rFonts w:ascii="Times New Roman" w:hAnsi="Times New Roman" w:cs="Times New Roman"/>
          <w:sz w:val="24"/>
          <w:szCs w:val="24"/>
        </w:rPr>
        <w:t>lost its statistical significance, however, when</w:t>
      </w:r>
      <w:r w:rsidR="00C4649E" w:rsidRPr="004C0D35">
        <w:rPr>
          <w:rFonts w:ascii="Times New Roman" w:hAnsi="Times New Roman" w:cs="Times New Roman"/>
          <w:sz w:val="24"/>
          <w:szCs w:val="24"/>
        </w:rPr>
        <w:t xml:space="preserve"> I substituted</w:t>
      </w:r>
      <w:r w:rsidR="009044B6" w:rsidRPr="004C0D35">
        <w:rPr>
          <w:rFonts w:ascii="Times New Roman" w:hAnsi="Times New Roman" w:cs="Times New Roman"/>
          <w:sz w:val="24"/>
          <w:szCs w:val="24"/>
        </w:rPr>
        <w:t xml:space="preserve"> the restricted database, which only includes observations that changed the law, </w:t>
      </w:r>
      <w:r w:rsidR="00C4649E" w:rsidRPr="004C0D35">
        <w:rPr>
          <w:rFonts w:ascii="Times New Roman" w:hAnsi="Times New Roman" w:cs="Times New Roman"/>
          <w:sz w:val="24"/>
          <w:szCs w:val="24"/>
        </w:rPr>
        <w:t>for the full version</w:t>
      </w:r>
      <w:r w:rsidR="00D329B0" w:rsidRPr="004C0D35">
        <w:rPr>
          <w:rFonts w:ascii="Times New Roman" w:hAnsi="Times New Roman" w:cs="Times New Roman"/>
          <w:sz w:val="24"/>
          <w:szCs w:val="24"/>
        </w:rPr>
        <w:t>.</w:t>
      </w:r>
      <w:r w:rsidR="00BF3DFB" w:rsidRPr="004C0D35">
        <w:rPr>
          <w:rStyle w:val="FootnoteReference"/>
          <w:rFonts w:ascii="Times New Roman" w:hAnsi="Times New Roman" w:cs="Times New Roman"/>
          <w:sz w:val="24"/>
          <w:szCs w:val="24"/>
        </w:rPr>
        <w:footnoteReference w:id="67"/>
      </w:r>
      <w:r w:rsidR="009044B6" w:rsidRPr="004C0D35">
        <w:rPr>
          <w:rFonts w:ascii="Times New Roman" w:hAnsi="Times New Roman" w:cs="Times New Roman"/>
          <w:sz w:val="24"/>
          <w:szCs w:val="24"/>
        </w:rPr>
        <w:t xml:space="preserve"> </w:t>
      </w:r>
      <w:r w:rsidR="00920EA6">
        <w:rPr>
          <w:rFonts w:ascii="Times New Roman" w:hAnsi="Times New Roman" w:cs="Times New Roman" w:hint="cs"/>
          <w:sz w:val="24"/>
          <w:szCs w:val="24"/>
        </w:rPr>
        <w:t>T</w:t>
      </w:r>
      <w:r w:rsidR="00920EA6">
        <w:rPr>
          <w:rFonts w:ascii="Times New Roman" w:hAnsi="Times New Roman" w:cs="Times New Roman"/>
          <w:sz w:val="24"/>
          <w:szCs w:val="24"/>
        </w:rPr>
        <w:t xml:space="preserve">he relationship between trust liberality, calculated from the full database, and </w:t>
      </w:r>
      <w:r w:rsidR="00920EA6" w:rsidRPr="004C0D35">
        <w:rPr>
          <w:rFonts w:ascii="Times New Roman" w:eastAsia="Times New Roman" w:hAnsi="Times New Roman" w:cs="Times New Roman"/>
          <w:sz w:val="24"/>
          <w:szCs w:val="24"/>
        </w:rPr>
        <w:t>fiduciary fees deducted per return</w:t>
      </w:r>
      <w:r w:rsidR="008F514E">
        <w:rPr>
          <w:rFonts w:ascii="Times New Roman" w:eastAsia="Times New Roman" w:hAnsi="Times New Roman" w:cs="Times New Roman"/>
          <w:sz w:val="24"/>
          <w:szCs w:val="24"/>
        </w:rPr>
        <w:t xml:space="preserve"> also</w:t>
      </w:r>
      <w:r w:rsidR="00920EA6" w:rsidRPr="004C0D35">
        <w:rPr>
          <w:rFonts w:ascii="Times New Roman" w:eastAsia="Times New Roman" w:hAnsi="Times New Roman" w:cs="Times New Roman"/>
          <w:sz w:val="24"/>
          <w:szCs w:val="24"/>
        </w:rPr>
        <w:t xml:space="preserve"> </w:t>
      </w:r>
      <w:r w:rsidR="00920EA6">
        <w:rPr>
          <w:rFonts w:ascii="Times New Roman" w:eastAsia="Times New Roman" w:hAnsi="Times New Roman" w:cs="Times New Roman"/>
          <w:sz w:val="24"/>
          <w:szCs w:val="24"/>
        </w:rPr>
        <w:t>lost such statistical significance as it had w</w:t>
      </w:r>
      <w:r w:rsidR="009044B6" w:rsidRPr="004C0D35">
        <w:rPr>
          <w:rFonts w:ascii="Times New Roman" w:hAnsi="Times New Roman" w:cs="Times New Roman"/>
          <w:sz w:val="24"/>
          <w:szCs w:val="24"/>
        </w:rPr>
        <w:t xml:space="preserve">hen I introduced additional </w:t>
      </w:r>
      <w:r w:rsidR="00D329B0" w:rsidRPr="004C0D35">
        <w:rPr>
          <w:rFonts w:ascii="Times New Roman" w:hAnsi="Times New Roman" w:cs="Times New Roman"/>
          <w:sz w:val="24"/>
          <w:szCs w:val="24"/>
        </w:rPr>
        <w:t>predictors</w:t>
      </w:r>
      <w:r w:rsidR="009044B6" w:rsidRPr="004C0D35">
        <w:rPr>
          <w:rFonts w:ascii="Times New Roman" w:hAnsi="Times New Roman" w:cs="Times New Roman"/>
          <w:sz w:val="24"/>
          <w:szCs w:val="24"/>
        </w:rPr>
        <w:t xml:space="preserve"> into the </w:t>
      </w:r>
      <w:r w:rsidR="00D21F1A" w:rsidRPr="004C0D35">
        <w:rPr>
          <w:rFonts w:ascii="Times New Roman" w:hAnsi="Times New Roman" w:cs="Times New Roman"/>
          <w:sz w:val="24"/>
          <w:szCs w:val="24"/>
        </w:rPr>
        <w:t>model</w:t>
      </w:r>
      <w:r w:rsidR="00342BA2">
        <w:rPr>
          <w:rFonts w:ascii="Times New Roman" w:hAnsi="Times New Roman" w:cs="Times New Roman"/>
          <w:sz w:val="24"/>
          <w:szCs w:val="24"/>
        </w:rPr>
        <w:t xml:space="preserve">, showing its former significance to have been </w:t>
      </w:r>
      <w:r w:rsidR="007A4A9A">
        <w:rPr>
          <w:rFonts w:ascii="Times New Roman" w:hAnsi="Times New Roman" w:cs="Times New Roman"/>
          <w:sz w:val="24"/>
          <w:szCs w:val="24"/>
        </w:rPr>
        <w:t xml:space="preserve">an effect of missing variable bias. </w:t>
      </w:r>
    </w:p>
    <w:p w14:paraId="7450BA6A" w14:textId="27F39C36" w:rsidR="002904A5" w:rsidRPr="004C0D35" w:rsidRDefault="00D663CE" w:rsidP="00D329B0">
      <w:pPr>
        <w:spacing w:after="0" w:line="276" w:lineRule="auto"/>
        <w:ind w:firstLine="720"/>
        <w:jc w:val="both"/>
        <w:rPr>
          <w:rFonts w:ascii="Times New Roman" w:eastAsia="Times New Roman" w:hAnsi="Times New Roman" w:cs="Times New Roman"/>
          <w:sz w:val="24"/>
          <w:szCs w:val="24"/>
        </w:rPr>
      </w:pPr>
      <w:r w:rsidRPr="004C0D35">
        <w:rPr>
          <w:rFonts w:ascii="Times New Roman" w:eastAsia="Times New Roman" w:hAnsi="Times New Roman" w:cs="Times New Roman"/>
          <w:sz w:val="24"/>
          <w:szCs w:val="24"/>
        </w:rPr>
        <w:t xml:space="preserve">I </w:t>
      </w:r>
      <w:r w:rsidR="00BF3DFB" w:rsidRPr="004C0D35">
        <w:rPr>
          <w:rFonts w:ascii="Times New Roman" w:eastAsia="Times New Roman" w:hAnsi="Times New Roman" w:cs="Times New Roman"/>
          <w:sz w:val="24"/>
          <w:szCs w:val="24"/>
        </w:rPr>
        <w:t xml:space="preserve">introduced those additional </w:t>
      </w:r>
      <w:r w:rsidR="00D329B0" w:rsidRPr="004C0D35">
        <w:rPr>
          <w:rFonts w:ascii="Times New Roman" w:eastAsia="Times New Roman" w:hAnsi="Times New Roman" w:cs="Times New Roman"/>
          <w:sz w:val="24"/>
          <w:szCs w:val="24"/>
        </w:rPr>
        <w:t>predictors</w:t>
      </w:r>
      <w:r w:rsidR="00BF3DFB" w:rsidRPr="004C0D35">
        <w:rPr>
          <w:rFonts w:ascii="Times New Roman" w:eastAsia="Times New Roman" w:hAnsi="Times New Roman" w:cs="Times New Roman"/>
          <w:sz w:val="24"/>
          <w:szCs w:val="24"/>
        </w:rPr>
        <w:t xml:space="preserve"> by </w:t>
      </w:r>
      <w:r w:rsidRPr="004C0D35">
        <w:rPr>
          <w:rFonts w:ascii="Times New Roman" w:eastAsia="Times New Roman" w:hAnsi="Times New Roman" w:cs="Times New Roman"/>
          <w:sz w:val="24"/>
          <w:szCs w:val="24"/>
        </w:rPr>
        <w:t>model</w:t>
      </w:r>
      <w:r w:rsidR="00BF3DFB" w:rsidRPr="004C0D35">
        <w:rPr>
          <w:rFonts w:ascii="Times New Roman" w:eastAsia="Times New Roman" w:hAnsi="Times New Roman" w:cs="Times New Roman"/>
          <w:sz w:val="24"/>
          <w:szCs w:val="24"/>
        </w:rPr>
        <w:t>ling</w:t>
      </w:r>
      <w:r w:rsidRPr="004C0D35">
        <w:rPr>
          <w:rFonts w:ascii="Times New Roman" w:eastAsia="Times New Roman" w:hAnsi="Times New Roman" w:cs="Times New Roman"/>
          <w:sz w:val="24"/>
          <w:szCs w:val="24"/>
        </w:rPr>
        <w:t xml:space="preserve"> </w:t>
      </w:r>
      <w:r w:rsidR="00DE368E" w:rsidRPr="004C0D35">
        <w:rPr>
          <w:rFonts w:ascii="Times New Roman" w:eastAsia="Times New Roman" w:hAnsi="Times New Roman" w:cs="Times New Roman"/>
          <w:sz w:val="24"/>
          <w:szCs w:val="24"/>
        </w:rPr>
        <w:t>fiduciary fees deducted per return</w:t>
      </w:r>
      <w:r w:rsidR="00DE368E" w:rsidRPr="004C0D35">
        <w:rPr>
          <w:rFonts w:ascii="Times New Roman" w:eastAsia="Times New Roman" w:hAnsi="Times New Roman" w:cs="Times New Roman"/>
          <w:sz w:val="24"/>
          <w:szCs w:val="24"/>
          <w:vertAlign w:val="subscript"/>
        </w:rPr>
        <w:t>jt</w:t>
      </w:r>
      <w:r w:rsidR="00DE368E" w:rsidRPr="004C0D35">
        <w:rPr>
          <w:rFonts w:ascii="Times New Roman" w:eastAsia="Times New Roman" w:hAnsi="Times New Roman" w:cs="Times New Roman"/>
          <w:sz w:val="24"/>
          <w:szCs w:val="24"/>
        </w:rPr>
        <w:t xml:space="preserve">, where </w:t>
      </w:r>
      <w:r w:rsidR="00DE368E" w:rsidRPr="004C0D35">
        <w:rPr>
          <w:rFonts w:ascii="Times New Roman" w:eastAsia="Times New Roman" w:hAnsi="Times New Roman" w:cs="Times New Roman"/>
          <w:i/>
          <w:iCs/>
          <w:sz w:val="24"/>
          <w:szCs w:val="24"/>
        </w:rPr>
        <w:t>j</w:t>
      </w:r>
      <w:r w:rsidR="00DE368E" w:rsidRPr="004C0D35">
        <w:rPr>
          <w:rFonts w:ascii="Times New Roman" w:eastAsia="Times New Roman" w:hAnsi="Times New Roman" w:cs="Times New Roman"/>
          <w:sz w:val="24"/>
          <w:szCs w:val="24"/>
        </w:rPr>
        <w:t xml:space="preserve"> indexes state and </w:t>
      </w:r>
      <w:r w:rsidR="00DE368E" w:rsidRPr="004C0D35">
        <w:rPr>
          <w:rFonts w:ascii="Times New Roman" w:eastAsia="Times New Roman" w:hAnsi="Times New Roman" w:cs="Times New Roman"/>
          <w:i/>
          <w:iCs/>
          <w:sz w:val="24"/>
          <w:szCs w:val="24"/>
        </w:rPr>
        <w:t>t</w:t>
      </w:r>
      <w:r w:rsidR="00DE368E" w:rsidRPr="004C0D35">
        <w:rPr>
          <w:rFonts w:ascii="Times New Roman" w:eastAsia="Times New Roman" w:hAnsi="Times New Roman" w:cs="Times New Roman"/>
          <w:sz w:val="24"/>
          <w:szCs w:val="24"/>
        </w:rPr>
        <w:t xml:space="preserve"> indexes year,</w:t>
      </w:r>
      <w:r w:rsidR="00DE368E" w:rsidRPr="004C0D35">
        <w:rPr>
          <w:rFonts w:ascii="Times New Roman" w:eastAsia="Times New Roman" w:hAnsi="Times New Roman" w:cs="Times New Roman"/>
          <w:sz w:val="24"/>
          <w:szCs w:val="24"/>
          <w:vertAlign w:val="subscript"/>
        </w:rPr>
        <w:t xml:space="preserve"> </w:t>
      </w:r>
      <w:r w:rsidR="00DE368E" w:rsidRPr="004C0D35">
        <w:rPr>
          <w:rFonts w:ascii="Times New Roman" w:eastAsia="Times New Roman" w:hAnsi="Times New Roman" w:cs="Times New Roman"/>
          <w:sz w:val="24"/>
          <w:szCs w:val="24"/>
        </w:rPr>
        <w:t xml:space="preserve">as a function of the trust liberality score for the same state and year, the federal </w:t>
      </w:r>
      <w:r w:rsidR="00191905">
        <w:rPr>
          <w:rFonts w:ascii="Times New Roman" w:eastAsia="Times New Roman" w:hAnsi="Times New Roman" w:cs="Times New Roman"/>
          <w:sz w:val="24"/>
          <w:szCs w:val="24"/>
        </w:rPr>
        <w:t>consumer price index (</w:t>
      </w:r>
      <w:r w:rsidR="00DE368E" w:rsidRPr="004C0D35">
        <w:rPr>
          <w:rFonts w:ascii="Times New Roman" w:eastAsia="Times New Roman" w:hAnsi="Times New Roman" w:cs="Times New Roman"/>
          <w:sz w:val="24"/>
          <w:szCs w:val="24"/>
        </w:rPr>
        <w:t>CPI</w:t>
      </w:r>
      <w:r w:rsidR="00191905">
        <w:rPr>
          <w:rFonts w:ascii="Times New Roman" w:eastAsia="Times New Roman" w:hAnsi="Times New Roman" w:cs="Times New Roman"/>
          <w:sz w:val="24"/>
          <w:szCs w:val="24"/>
        </w:rPr>
        <w:t>)</w:t>
      </w:r>
      <w:r w:rsidR="00DE368E" w:rsidRPr="004C0D35">
        <w:rPr>
          <w:rFonts w:ascii="Times New Roman" w:eastAsia="Times New Roman" w:hAnsi="Times New Roman" w:cs="Times New Roman"/>
          <w:sz w:val="24"/>
          <w:szCs w:val="24"/>
        </w:rPr>
        <w:t xml:space="preserve"> for that year</w:t>
      </w:r>
      <w:r w:rsidR="00D329B0" w:rsidRPr="004C0D35">
        <w:rPr>
          <w:rFonts w:ascii="Times New Roman" w:eastAsia="Times New Roman" w:hAnsi="Times New Roman" w:cs="Times New Roman"/>
          <w:sz w:val="24"/>
          <w:szCs w:val="24"/>
        </w:rPr>
        <w:t xml:space="preserve"> (controlling for inflation)</w:t>
      </w:r>
      <w:r w:rsidR="00577662" w:rsidRPr="004C0D35">
        <w:rPr>
          <w:rFonts w:ascii="Times New Roman" w:eastAsia="Times New Roman" w:hAnsi="Times New Roman" w:cs="Times New Roman"/>
          <w:sz w:val="24"/>
          <w:szCs w:val="24"/>
        </w:rPr>
        <w:t>, that</w:t>
      </w:r>
      <w:r w:rsidR="00DE368E" w:rsidRPr="004C0D35">
        <w:rPr>
          <w:rFonts w:ascii="Times New Roman" w:eastAsia="Times New Roman" w:hAnsi="Times New Roman" w:cs="Times New Roman"/>
          <w:sz w:val="24"/>
          <w:szCs w:val="24"/>
        </w:rPr>
        <w:t xml:space="preserve"> state’s GDP for that year</w:t>
      </w:r>
      <w:r w:rsidR="00D329B0" w:rsidRPr="004C0D35">
        <w:rPr>
          <w:rFonts w:ascii="Times New Roman" w:eastAsia="Times New Roman" w:hAnsi="Times New Roman" w:cs="Times New Roman"/>
          <w:sz w:val="24"/>
          <w:szCs w:val="24"/>
        </w:rPr>
        <w:t xml:space="preserve"> (controlling for economic growth)</w:t>
      </w:r>
      <w:r w:rsidR="00577662" w:rsidRPr="004C0D35">
        <w:rPr>
          <w:rFonts w:ascii="Times New Roman" w:eastAsia="Times New Roman" w:hAnsi="Times New Roman" w:cs="Times New Roman"/>
          <w:sz w:val="24"/>
          <w:szCs w:val="24"/>
        </w:rPr>
        <w:t>, that</w:t>
      </w:r>
      <w:r w:rsidR="00DE368E" w:rsidRPr="004C0D35">
        <w:rPr>
          <w:rFonts w:ascii="Times New Roman" w:eastAsia="Times New Roman" w:hAnsi="Times New Roman" w:cs="Times New Roman"/>
          <w:sz w:val="24"/>
          <w:szCs w:val="24"/>
        </w:rPr>
        <w:t xml:space="preserve"> state’</w:t>
      </w:r>
      <w:r w:rsidR="00320669" w:rsidRPr="004C0D35">
        <w:rPr>
          <w:rFonts w:ascii="Times New Roman" w:eastAsia="Times New Roman" w:hAnsi="Times New Roman" w:cs="Times New Roman"/>
          <w:sz w:val="24"/>
          <w:szCs w:val="24"/>
        </w:rPr>
        <w:t>s population for that year,</w:t>
      </w:r>
      <w:r w:rsidR="00DE368E" w:rsidRPr="004C0D35">
        <w:rPr>
          <w:rFonts w:ascii="Times New Roman" w:eastAsia="Times New Roman" w:hAnsi="Times New Roman" w:cs="Times New Roman"/>
          <w:sz w:val="24"/>
          <w:szCs w:val="24"/>
        </w:rPr>
        <w:t xml:space="preserve"> </w:t>
      </w:r>
      <w:r w:rsidR="00B3002A" w:rsidRPr="004C0D35">
        <w:rPr>
          <w:rFonts w:ascii="Times New Roman" w:hAnsi="Times New Roman" w:cs="Times New Roman"/>
          <w:sz w:val="24"/>
          <w:szCs w:val="24"/>
        </w:rPr>
        <w:t>the savings rate</w:t>
      </w:r>
      <w:r w:rsidR="00DE368E" w:rsidRPr="004C0D35">
        <w:rPr>
          <w:rFonts w:ascii="Times New Roman" w:hAnsi="Times New Roman" w:cs="Times New Roman"/>
          <w:sz w:val="24"/>
          <w:szCs w:val="24"/>
        </w:rPr>
        <w:t xml:space="preserve"> for that state and </w:t>
      </w:r>
      <w:r w:rsidR="00B3002A" w:rsidRPr="004C0D35">
        <w:rPr>
          <w:rFonts w:ascii="Times New Roman" w:hAnsi="Times New Roman" w:cs="Times New Roman"/>
          <w:sz w:val="24"/>
          <w:szCs w:val="24"/>
        </w:rPr>
        <w:t>year</w:t>
      </w:r>
      <w:r w:rsidR="00320669" w:rsidRPr="004C0D35">
        <w:rPr>
          <w:rFonts w:ascii="Times New Roman" w:hAnsi="Times New Roman" w:cs="Times New Roman"/>
          <w:sz w:val="24"/>
          <w:szCs w:val="24"/>
        </w:rPr>
        <w:t>, the tax rate applicable to fiduciary income in that state and year, and dummy variables for state and year fixed effects. I computed the savings rate</w:t>
      </w:r>
      <w:r w:rsidR="00B3002A" w:rsidRPr="004C0D35">
        <w:rPr>
          <w:rFonts w:ascii="Times New Roman" w:hAnsi="Times New Roman" w:cs="Times New Roman"/>
          <w:sz w:val="24"/>
          <w:szCs w:val="24"/>
        </w:rPr>
        <w:t xml:space="preserve"> by subtracting the quotient of </w:t>
      </w:r>
      <w:r w:rsidR="00320669" w:rsidRPr="004C0D35">
        <w:rPr>
          <w:rFonts w:ascii="Times New Roman" w:hAnsi="Times New Roman" w:cs="Times New Roman"/>
          <w:sz w:val="24"/>
          <w:szCs w:val="24"/>
        </w:rPr>
        <w:t xml:space="preserve">aggregate </w:t>
      </w:r>
      <w:r w:rsidR="00B3002A" w:rsidRPr="004C0D35">
        <w:rPr>
          <w:rFonts w:ascii="Times New Roman" w:eastAsia="Times New Roman" w:hAnsi="Times New Roman" w:cs="Times New Roman"/>
          <w:sz w:val="24"/>
          <w:szCs w:val="24"/>
        </w:rPr>
        <w:t>personal consumption expenditures</w:t>
      </w:r>
      <w:r w:rsidR="00320669" w:rsidRPr="004C0D35">
        <w:rPr>
          <w:rFonts w:ascii="Times New Roman" w:eastAsia="Times New Roman" w:hAnsi="Times New Roman" w:cs="Times New Roman"/>
          <w:sz w:val="24"/>
          <w:szCs w:val="24"/>
        </w:rPr>
        <w:t xml:space="preserve"> for each</w:t>
      </w:r>
      <w:r w:rsidR="00B3002A" w:rsidRPr="004C0D35">
        <w:rPr>
          <w:rFonts w:ascii="Times New Roman" w:eastAsia="Times New Roman" w:hAnsi="Times New Roman" w:cs="Times New Roman"/>
          <w:sz w:val="24"/>
          <w:szCs w:val="24"/>
        </w:rPr>
        <w:t xml:space="preserve"> state/year</w:t>
      </w:r>
      <w:r w:rsidR="00B3002A" w:rsidRPr="004C0D35">
        <w:rPr>
          <w:rFonts w:ascii="Times New Roman" w:hAnsi="Times New Roman" w:cs="Times New Roman"/>
          <w:sz w:val="24"/>
          <w:szCs w:val="24"/>
        </w:rPr>
        <w:t xml:space="preserve"> divided by</w:t>
      </w:r>
      <w:r w:rsidR="00320669" w:rsidRPr="004C0D35">
        <w:rPr>
          <w:rFonts w:ascii="Times New Roman" w:hAnsi="Times New Roman" w:cs="Times New Roman"/>
          <w:sz w:val="24"/>
          <w:szCs w:val="24"/>
        </w:rPr>
        <w:t xml:space="preserve"> aggregate</w:t>
      </w:r>
      <w:r w:rsidR="00B3002A" w:rsidRPr="004C0D35">
        <w:rPr>
          <w:rFonts w:ascii="Times New Roman" w:hAnsi="Times New Roman" w:cs="Times New Roman"/>
          <w:sz w:val="24"/>
          <w:szCs w:val="24"/>
        </w:rPr>
        <w:t xml:space="preserve"> personal income for that state/year from 1</w:t>
      </w:r>
      <w:r w:rsidR="00B3002A" w:rsidRPr="004C0D35">
        <w:rPr>
          <w:rFonts w:ascii="Times New Roman" w:eastAsia="Times New Roman" w:hAnsi="Times New Roman" w:cs="Times New Roman"/>
          <w:sz w:val="24"/>
          <w:szCs w:val="24"/>
        </w:rPr>
        <w:t>.</w:t>
      </w:r>
      <w:r w:rsidR="00B3002A" w:rsidRPr="004C0D35">
        <w:rPr>
          <w:rStyle w:val="FootnoteReference"/>
          <w:rFonts w:ascii="Times New Roman" w:eastAsia="Times New Roman" w:hAnsi="Times New Roman" w:cs="Times New Roman"/>
          <w:sz w:val="24"/>
          <w:szCs w:val="24"/>
        </w:rPr>
        <w:footnoteReference w:id="68"/>
      </w:r>
      <w:r w:rsidR="00B3002A" w:rsidRPr="004C0D35">
        <w:rPr>
          <w:rFonts w:ascii="Times New Roman" w:eastAsia="Times New Roman" w:hAnsi="Times New Roman" w:cs="Times New Roman"/>
          <w:sz w:val="24"/>
          <w:szCs w:val="24"/>
        </w:rPr>
        <w:t xml:space="preserve"> </w:t>
      </w:r>
      <w:r w:rsidR="005A0151" w:rsidRPr="004C0D35">
        <w:rPr>
          <w:rFonts w:ascii="Times New Roman" w:eastAsia="Times New Roman" w:hAnsi="Times New Roman" w:cs="Times New Roman"/>
          <w:sz w:val="24"/>
          <w:szCs w:val="24"/>
        </w:rPr>
        <w:t xml:space="preserve">Employing an </w:t>
      </w:r>
      <w:r w:rsidR="004C22F6">
        <w:rPr>
          <w:rFonts w:ascii="Times New Roman" w:eastAsia="Times New Roman" w:hAnsi="Times New Roman" w:cs="Times New Roman"/>
          <w:sz w:val="24"/>
          <w:szCs w:val="24"/>
        </w:rPr>
        <w:t>ordinary least squares (</w:t>
      </w:r>
      <w:r w:rsidR="005A0151" w:rsidRPr="004C0D35">
        <w:rPr>
          <w:rFonts w:ascii="Times New Roman" w:eastAsia="Times New Roman" w:hAnsi="Times New Roman" w:cs="Times New Roman"/>
          <w:sz w:val="24"/>
          <w:szCs w:val="24"/>
        </w:rPr>
        <w:t>OLS</w:t>
      </w:r>
      <w:r w:rsidR="004C22F6">
        <w:rPr>
          <w:rFonts w:ascii="Times New Roman" w:eastAsia="Times New Roman" w:hAnsi="Times New Roman" w:cs="Times New Roman"/>
          <w:sz w:val="24"/>
          <w:szCs w:val="24"/>
        </w:rPr>
        <w:t>)</w:t>
      </w:r>
      <w:r w:rsidR="005A0151" w:rsidRPr="004C0D35">
        <w:rPr>
          <w:rFonts w:ascii="Times New Roman" w:eastAsia="Times New Roman" w:hAnsi="Times New Roman" w:cs="Times New Roman"/>
          <w:sz w:val="24"/>
          <w:szCs w:val="24"/>
        </w:rPr>
        <w:t xml:space="preserve"> model, I assumed that </w:t>
      </w:r>
    </w:p>
    <w:p w14:paraId="580C5CA8" w14:textId="77777777" w:rsidR="005A0151" w:rsidRPr="004C0D35" w:rsidRDefault="005A0151" w:rsidP="005A0151">
      <w:pPr>
        <w:spacing w:after="0" w:line="276" w:lineRule="auto"/>
        <w:jc w:val="both"/>
        <w:rPr>
          <w:rFonts w:ascii="Times New Roman" w:eastAsia="Times New Roman" w:hAnsi="Times New Roman" w:cs="Times New Roman"/>
          <w:sz w:val="24"/>
          <w:szCs w:val="24"/>
        </w:rPr>
      </w:pPr>
    </w:p>
    <w:p w14:paraId="6D4B8573" w14:textId="77777777" w:rsidR="005A0151" w:rsidRPr="004C0D35" w:rsidRDefault="00D658E5" w:rsidP="00F45F06">
      <w:pPr>
        <w:spacing w:after="0" w:line="276" w:lineRule="auto"/>
        <w:ind w:right="630"/>
        <w:jc w:val="both"/>
        <w:rPr>
          <w:rFonts w:ascii="Times New Roman" w:eastAsia="Times New Roman" w:hAnsi="Times New Roman" w:cs="Times New Roman"/>
          <w:sz w:val="24"/>
          <w:szCs w:val="24"/>
          <w:vertAlign w:val="subscript"/>
        </w:rPr>
      </w:pPr>
      <w:r w:rsidRPr="004C0D35">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CD4047C" wp14:editId="4CBCE2BC">
                <wp:simplePos x="0" y="0"/>
                <wp:positionH relativeFrom="column">
                  <wp:posOffset>5457825</wp:posOffset>
                </wp:positionH>
                <wp:positionV relativeFrom="paragraph">
                  <wp:posOffset>133350</wp:posOffset>
                </wp:positionV>
                <wp:extent cx="4095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noFill/>
                          <a:miter lim="800000"/>
                          <a:headEnd/>
                          <a:tailEnd/>
                        </a:ln>
                      </wps:spPr>
                      <wps:txbx>
                        <w:txbxContent>
                          <w:p w14:paraId="1BB08ABD" w14:textId="77777777" w:rsidR="00664E5F" w:rsidRPr="00D658E5" w:rsidRDefault="00664E5F" w:rsidP="00D658E5">
                            <w:pPr>
                              <w:rPr>
                                <w:rFonts w:ascii="Century" w:hAnsi="Century"/>
                              </w:rPr>
                            </w:pPr>
                            <w:r w:rsidRPr="00D658E5">
                              <w:rPr>
                                <w:rFonts w:ascii="Century" w:hAnsi="Century"/>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4047C" id="_x0000_t202" coordsize="21600,21600" o:spt="202" path="m,l,21600r21600,l21600,xe">
                <v:stroke joinstyle="miter"/>
                <v:path gradientshapeok="t" o:connecttype="rect"/>
              </v:shapetype>
              <v:shape id="Text Box 2" o:spid="_x0000_s1026" type="#_x0000_t202" style="position:absolute;left:0;text-align:left;margin-left:429.75pt;margin-top:10.5pt;width:32.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hxHgIAABw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" stroked="f">
                <v:textbox>
                  <w:txbxContent>
                    <w:p w14:paraId="1BB08ABD" w14:textId="77777777" w:rsidR="00664E5F" w:rsidRPr="00D658E5" w:rsidRDefault="00664E5F" w:rsidP="00D658E5">
                      <w:pPr>
                        <w:rPr>
                          <w:rFonts w:ascii="Century" w:hAnsi="Century"/>
                        </w:rPr>
                      </w:pPr>
                      <w:r w:rsidRPr="00D658E5">
                        <w:rPr>
                          <w:rFonts w:ascii="Century" w:hAnsi="Century"/>
                        </w:rPr>
                        <w:t>(1)</w:t>
                      </w:r>
                    </w:p>
                  </w:txbxContent>
                </v:textbox>
                <w10:wrap type="square"/>
              </v:shape>
            </w:pict>
          </mc:Fallback>
        </mc:AlternateContent>
      </w:r>
      <w:r w:rsidR="003B524B" w:rsidRPr="004C0D35">
        <w:rPr>
          <w:rFonts w:ascii="Times New Roman" w:eastAsia="Times New Roman" w:hAnsi="Times New Roman" w:cs="Times New Roman"/>
          <w:sz w:val="24"/>
          <w:szCs w:val="24"/>
        </w:rPr>
        <w:t>Fiduciary Fees D</w:t>
      </w:r>
      <w:r w:rsidR="005A0151" w:rsidRPr="004C0D35">
        <w:rPr>
          <w:rFonts w:ascii="Times New Roman" w:eastAsia="Times New Roman" w:hAnsi="Times New Roman" w:cs="Times New Roman"/>
          <w:sz w:val="24"/>
          <w:szCs w:val="24"/>
        </w:rPr>
        <w:t>educted per Return</w:t>
      </w:r>
      <w:r w:rsidR="005A0151" w:rsidRPr="004C0D35">
        <w:rPr>
          <w:rFonts w:ascii="Times New Roman" w:eastAsia="Times New Roman" w:hAnsi="Times New Roman" w:cs="Times New Roman"/>
          <w:sz w:val="24"/>
          <w:szCs w:val="24"/>
          <w:vertAlign w:val="subscript"/>
        </w:rPr>
        <w:t xml:space="preserve">jt </w:t>
      </w:r>
      <w:r w:rsidR="005A0151" w:rsidRPr="004C0D35">
        <w:rPr>
          <w:rFonts w:ascii="Times New Roman" w:eastAsia="Times New Roman" w:hAnsi="Times New Roman" w:cs="Times New Roman"/>
          <w:sz w:val="24"/>
          <w:szCs w:val="24"/>
        </w:rPr>
        <w:t>= α + β</w:t>
      </w:r>
      <w:r w:rsidR="00796FEE" w:rsidRPr="004C0D35">
        <w:rPr>
          <w:rFonts w:ascii="Times New Roman" w:eastAsia="Times New Roman" w:hAnsi="Times New Roman" w:cs="Times New Roman"/>
          <w:sz w:val="24"/>
          <w:szCs w:val="24"/>
        </w:rPr>
        <w:t xml:space="preserve"> Trust Liberality Score</w:t>
      </w:r>
      <w:r w:rsidR="00796FEE" w:rsidRPr="004C0D35">
        <w:rPr>
          <w:rFonts w:ascii="Times New Roman" w:eastAsia="Times New Roman" w:hAnsi="Times New Roman" w:cs="Times New Roman"/>
          <w:sz w:val="24"/>
          <w:szCs w:val="24"/>
          <w:vertAlign w:val="subscript"/>
        </w:rPr>
        <w:t xml:space="preserve">jt </w:t>
      </w:r>
      <w:r w:rsidR="00796FEE" w:rsidRPr="004C0D35">
        <w:rPr>
          <w:rFonts w:ascii="Times New Roman" w:eastAsia="Times New Roman" w:hAnsi="Times New Roman" w:cs="Times New Roman"/>
          <w:sz w:val="24"/>
          <w:szCs w:val="24"/>
        </w:rPr>
        <w:t xml:space="preserve">+ </w:t>
      </w:r>
      <w:r w:rsidR="00E92E35" w:rsidRPr="004C0D35">
        <w:rPr>
          <w:rFonts w:ascii="Times New Roman" w:eastAsia="Times New Roman" w:hAnsi="Times New Roman" w:cs="Times New Roman"/>
          <w:sz w:val="24"/>
          <w:szCs w:val="24"/>
        </w:rPr>
        <w:t>γ Federal CPI</w:t>
      </w:r>
      <w:r w:rsidR="00E92E35" w:rsidRPr="004C0D35">
        <w:rPr>
          <w:rFonts w:ascii="Times New Roman" w:eastAsia="Times New Roman" w:hAnsi="Times New Roman" w:cs="Times New Roman"/>
          <w:sz w:val="24"/>
          <w:szCs w:val="24"/>
          <w:vertAlign w:val="subscript"/>
        </w:rPr>
        <w:t>t</w:t>
      </w:r>
      <w:r w:rsidR="00E92E35" w:rsidRPr="004C0D35">
        <w:rPr>
          <w:rFonts w:ascii="Times New Roman" w:eastAsia="Times New Roman" w:hAnsi="Times New Roman" w:cs="Times New Roman"/>
          <w:sz w:val="24"/>
          <w:szCs w:val="24"/>
        </w:rPr>
        <w:t xml:space="preserve"> + δ GDP</w:t>
      </w:r>
      <w:r w:rsidR="00E92E35" w:rsidRPr="004C0D35">
        <w:rPr>
          <w:rFonts w:ascii="Times New Roman" w:eastAsia="Times New Roman" w:hAnsi="Times New Roman" w:cs="Times New Roman"/>
          <w:sz w:val="24"/>
          <w:szCs w:val="24"/>
          <w:vertAlign w:val="subscript"/>
        </w:rPr>
        <w:t>jt</w:t>
      </w:r>
      <w:r w:rsidR="00E92E35" w:rsidRPr="004C0D35">
        <w:rPr>
          <w:rFonts w:ascii="Times New Roman" w:eastAsia="Times New Roman" w:hAnsi="Times New Roman" w:cs="Times New Roman"/>
          <w:sz w:val="24"/>
          <w:szCs w:val="24"/>
        </w:rPr>
        <w:t xml:space="preserve"> + ζ Population</w:t>
      </w:r>
      <w:r w:rsidR="00E92E35" w:rsidRPr="004C0D35">
        <w:rPr>
          <w:rFonts w:ascii="Times New Roman" w:eastAsia="Times New Roman" w:hAnsi="Times New Roman" w:cs="Times New Roman"/>
          <w:sz w:val="24"/>
          <w:szCs w:val="24"/>
          <w:vertAlign w:val="subscript"/>
        </w:rPr>
        <w:t>jt</w:t>
      </w:r>
      <w:r w:rsidR="00E92E35" w:rsidRPr="004C0D35">
        <w:rPr>
          <w:rFonts w:ascii="Times New Roman" w:eastAsia="Times New Roman" w:hAnsi="Times New Roman" w:cs="Times New Roman"/>
          <w:sz w:val="24"/>
          <w:szCs w:val="24"/>
        </w:rPr>
        <w:t xml:space="preserve"> + η Savings Rate</w:t>
      </w:r>
      <w:r w:rsidR="00E92E35" w:rsidRPr="004C0D35">
        <w:rPr>
          <w:rFonts w:ascii="Times New Roman" w:eastAsia="Times New Roman" w:hAnsi="Times New Roman" w:cs="Times New Roman"/>
          <w:sz w:val="24"/>
          <w:szCs w:val="24"/>
          <w:vertAlign w:val="subscript"/>
        </w:rPr>
        <w:t>jt</w:t>
      </w:r>
      <w:r w:rsidR="00E92E35" w:rsidRPr="004C0D35">
        <w:rPr>
          <w:rFonts w:ascii="Times New Roman" w:eastAsia="Times New Roman" w:hAnsi="Times New Roman" w:cs="Times New Roman"/>
          <w:sz w:val="24"/>
          <w:szCs w:val="24"/>
        </w:rPr>
        <w:t xml:space="preserve"> + θ Fiduciary Income Tax Rate</w:t>
      </w:r>
      <w:r w:rsidR="00E92E35" w:rsidRPr="004C0D35">
        <w:rPr>
          <w:rFonts w:ascii="Times New Roman" w:eastAsia="Times New Roman" w:hAnsi="Times New Roman" w:cs="Times New Roman"/>
          <w:sz w:val="24"/>
          <w:szCs w:val="24"/>
          <w:vertAlign w:val="subscript"/>
        </w:rPr>
        <w:t>jt</w:t>
      </w:r>
      <w:r w:rsidR="00E92E35" w:rsidRPr="004C0D35">
        <w:rPr>
          <w:rFonts w:ascii="Times New Roman" w:eastAsia="Times New Roman" w:hAnsi="Times New Roman" w:cs="Times New Roman"/>
          <w:sz w:val="24"/>
          <w:szCs w:val="24"/>
        </w:rPr>
        <w:t xml:space="preserve"> + ι State</w:t>
      </w:r>
      <w:r w:rsidR="00E92E35" w:rsidRPr="004C0D35">
        <w:rPr>
          <w:rFonts w:ascii="Times New Roman" w:eastAsia="Times New Roman" w:hAnsi="Times New Roman" w:cs="Times New Roman"/>
          <w:sz w:val="24"/>
          <w:szCs w:val="24"/>
          <w:vertAlign w:val="subscript"/>
        </w:rPr>
        <w:t>j</w:t>
      </w:r>
      <w:r w:rsidR="00E92E35" w:rsidRPr="004C0D35">
        <w:rPr>
          <w:rFonts w:ascii="Times New Roman" w:eastAsia="Times New Roman" w:hAnsi="Times New Roman" w:cs="Times New Roman"/>
          <w:sz w:val="24"/>
          <w:szCs w:val="24"/>
        </w:rPr>
        <w:t xml:space="preserve"> + κ Year</w:t>
      </w:r>
      <w:r w:rsidR="00E92E35" w:rsidRPr="004C0D35">
        <w:rPr>
          <w:rFonts w:ascii="Times New Roman" w:eastAsia="Times New Roman" w:hAnsi="Times New Roman" w:cs="Times New Roman"/>
          <w:sz w:val="24"/>
          <w:szCs w:val="24"/>
          <w:vertAlign w:val="subscript"/>
        </w:rPr>
        <w:t>t</w:t>
      </w:r>
      <w:r w:rsidR="00E92E35" w:rsidRPr="004C0D35">
        <w:rPr>
          <w:rFonts w:ascii="Times New Roman" w:eastAsia="Times New Roman" w:hAnsi="Times New Roman" w:cs="Times New Roman"/>
          <w:sz w:val="24"/>
          <w:szCs w:val="24"/>
        </w:rPr>
        <w:t xml:space="preserve"> + Ε</w:t>
      </w:r>
      <w:r w:rsidR="00E92E35" w:rsidRPr="004C0D35">
        <w:rPr>
          <w:rFonts w:ascii="Times New Roman" w:eastAsia="Times New Roman" w:hAnsi="Times New Roman" w:cs="Times New Roman"/>
          <w:sz w:val="24"/>
          <w:szCs w:val="24"/>
          <w:vertAlign w:val="subscript"/>
        </w:rPr>
        <w:t>jt</w:t>
      </w:r>
    </w:p>
    <w:p w14:paraId="054B869D" w14:textId="77777777" w:rsidR="005A0151" w:rsidRPr="004C0D35" w:rsidRDefault="005A0151" w:rsidP="00320669">
      <w:pPr>
        <w:spacing w:after="0" w:line="276" w:lineRule="auto"/>
        <w:ind w:firstLine="720"/>
        <w:jc w:val="both"/>
        <w:rPr>
          <w:rFonts w:ascii="Times New Roman" w:eastAsia="Times New Roman" w:hAnsi="Times New Roman" w:cs="Times New Roman"/>
          <w:sz w:val="24"/>
          <w:szCs w:val="24"/>
        </w:rPr>
      </w:pPr>
    </w:p>
    <w:p w14:paraId="3D77F600" w14:textId="13DE8C5A" w:rsidR="005A0151" w:rsidRPr="004C0D35" w:rsidRDefault="00C20BDC" w:rsidP="00D43557">
      <w:pPr>
        <w:spacing w:after="0" w:line="276" w:lineRule="auto"/>
        <w:jc w:val="both"/>
        <w:rPr>
          <w:rFonts w:ascii="Times New Roman" w:eastAsia="Times New Roman" w:hAnsi="Times New Roman" w:cs="Times New Roman"/>
          <w:sz w:val="24"/>
          <w:szCs w:val="24"/>
        </w:rPr>
      </w:pPr>
      <w:r w:rsidRPr="004C0D35">
        <w:rPr>
          <w:rFonts w:ascii="Times New Roman" w:eastAsia="Times New Roman" w:hAnsi="Times New Roman" w:cs="Times New Roman"/>
          <w:sz w:val="24"/>
          <w:szCs w:val="24"/>
        </w:rPr>
        <w:t>Regressions estimating the above model</w:t>
      </w:r>
      <w:r w:rsidR="00E17AD2" w:rsidRPr="004C0D35">
        <w:rPr>
          <w:rFonts w:ascii="Times New Roman" w:eastAsia="Times New Roman" w:hAnsi="Times New Roman" w:cs="Times New Roman"/>
          <w:sz w:val="24"/>
          <w:szCs w:val="24"/>
        </w:rPr>
        <w:t xml:space="preserve"> failed to identify a statistically significant relationship between the trust liberality scores and fiduciary fees deducted per return. </w:t>
      </w:r>
      <w:r w:rsidRPr="004C0D35">
        <w:rPr>
          <w:rFonts w:ascii="Times New Roman" w:eastAsia="Times New Roman" w:hAnsi="Times New Roman" w:cs="Times New Roman"/>
          <w:sz w:val="24"/>
          <w:szCs w:val="24"/>
        </w:rPr>
        <w:t>Simpler models</w:t>
      </w:r>
      <w:r w:rsidR="00E17AD2" w:rsidRPr="004C0D35">
        <w:rPr>
          <w:rFonts w:ascii="Times New Roman" w:eastAsia="Times New Roman" w:hAnsi="Times New Roman" w:cs="Times New Roman"/>
          <w:sz w:val="24"/>
          <w:szCs w:val="24"/>
        </w:rPr>
        <w:t xml:space="preserve">, omitting fiduciary income tax rates and the two sets of fixed effects from </w:t>
      </w:r>
      <w:r w:rsidRPr="004C0D35">
        <w:rPr>
          <w:rFonts w:ascii="Times New Roman" w:eastAsia="Times New Roman" w:hAnsi="Times New Roman" w:cs="Times New Roman"/>
          <w:sz w:val="24"/>
          <w:szCs w:val="24"/>
        </w:rPr>
        <w:t>model</w:t>
      </w:r>
      <w:r w:rsidR="00E17AD2" w:rsidRPr="004C0D35">
        <w:rPr>
          <w:rFonts w:ascii="Times New Roman" w:eastAsia="Times New Roman" w:hAnsi="Times New Roman" w:cs="Times New Roman"/>
          <w:sz w:val="24"/>
          <w:szCs w:val="24"/>
        </w:rPr>
        <w:t xml:space="preserve"> 1, also failed to identify a statistically significant relationship between the </w:t>
      </w:r>
      <w:r w:rsidR="00854775" w:rsidRPr="004C0D35">
        <w:rPr>
          <w:rFonts w:ascii="Times New Roman" w:eastAsia="Times New Roman" w:hAnsi="Times New Roman" w:cs="Times New Roman"/>
          <w:sz w:val="24"/>
          <w:szCs w:val="24"/>
        </w:rPr>
        <w:t>predictor</w:t>
      </w:r>
      <w:r w:rsidR="00E17AD2" w:rsidRPr="004C0D35">
        <w:rPr>
          <w:rFonts w:ascii="Times New Roman" w:eastAsia="Times New Roman" w:hAnsi="Times New Roman" w:cs="Times New Roman"/>
          <w:sz w:val="24"/>
          <w:szCs w:val="24"/>
        </w:rPr>
        <w:t xml:space="preserve"> of interest</w:t>
      </w:r>
      <w:r w:rsidR="00006925">
        <w:rPr>
          <w:rFonts w:ascii="Times New Roman" w:eastAsia="Times New Roman" w:hAnsi="Times New Roman" w:cs="Times New Roman"/>
          <w:sz w:val="24"/>
          <w:szCs w:val="24"/>
        </w:rPr>
        <w:t xml:space="preserve"> </w:t>
      </w:r>
      <w:r w:rsidR="00E17AD2" w:rsidRPr="004C0D35">
        <w:rPr>
          <w:rFonts w:ascii="Times New Roman" w:eastAsia="Times New Roman" w:hAnsi="Times New Roman" w:cs="Times New Roman"/>
          <w:sz w:val="24"/>
          <w:szCs w:val="24"/>
        </w:rPr>
        <w:t>–</w:t>
      </w:r>
      <w:r w:rsidR="00006925">
        <w:rPr>
          <w:rFonts w:ascii="Times New Roman" w:eastAsia="Times New Roman" w:hAnsi="Times New Roman" w:cs="Times New Roman"/>
          <w:sz w:val="24"/>
          <w:szCs w:val="24"/>
        </w:rPr>
        <w:t xml:space="preserve"> </w:t>
      </w:r>
      <w:r w:rsidR="00E17AD2" w:rsidRPr="004C0D35">
        <w:rPr>
          <w:rFonts w:ascii="Times New Roman" w:eastAsia="Times New Roman" w:hAnsi="Times New Roman" w:cs="Times New Roman"/>
          <w:sz w:val="24"/>
          <w:szCs w:val="24"/>
        </w:rPr>
        <w:t>trust liberality</w:t>
      </w:r>
      <w:r w:rsidR="00006925">
        <w:rPr>
          <w:rFonts w:ascii="Times New Roman" w:eastAsia="Times New Roman" w:hAnsi="Times New Roman" w:cs="Times New Roman"/>
          <w:sz w:val="24"/>
          <w:szCs w:val="24"/>
        </w:rPr>
        <w:t xml:space="preserve"> </w:t>
      </w:r>
      <w:r w:rsidR="00E17AD2" w:rsidRPr="004C0D35">
        <w:rPr>
          <w:rFonts w:ascii="Times New Roman" w:eastAsia="Times New Roman" w:hAnsi="Times New Roman" w:cs="Times New Roman"/>
          <w:sz w:val="24"/>
          <w:szCs w:val="24"/>
        </w:rPr>
        <w:t>–</w:t>
      </w:r>
      <w:r w:rsidR="00006925">
        <w:rPr>
          <w:rFonts w:ascii="Times New Roman" w:eastAsia="Times New Roman" w:hAnsi="Times New Roman" w:cs="Times New Roman"/>
          <w:sz w:val="24"/>
          <w:szCs w:val="24"/>
        </w:rPr>
        <w:t xml:space="preserve"> </w:t>
      </w:r>
      <w:r w:rsidR="00E17AD2" w:rsidRPr="004C0D35">
        <w:rPr>
          <w:rFonts w:ascii="Times New Roman" w:eastAsia="Times New Roman" w:hAnsi="Times New Roman" w:cs="Times New Roman"/>
          <w:sz w:val="24"/>
          <w:szCs w:val="24"/>
        </w:rPr>
        <w:t xml:space="preserve">and fiduciary fees deducted per return. </w:t>
      </w:r>
      <w:r w:rsidR="000A093B" w:rsidRPr="004C0D35">
        <w:rPr>
          <w:rFonts w:ascii="Times New Roman" w:eastAsia="Times New Roman" w:hAnsi="Times New Roman" w:cs="Times New Roman"/>
          <w:sz w:val="24"/>
          <w:szCs w:val="24"/>
        </w:rPr>
        <w:t xml:space="preserve">Replacing the dependent variable in </w:t>
      </w:r>
      <w:r w:rsidRPr="004C0D35">
        <w:rPr>
          <w:rFonts w:ascii="Times New Roman" w:eastAsia="Times New Roman" w:hAnsi="Times New Roman" w:cs="Times New Roman"/>
          <w:sz w:val="24"/>
          <w:szCs w:val="24"/>
        </w:rPr>
        <w:t>model</w:t>
      </w:r>
      <w:r w:rsidR="000A093B" w:rsidRPr="004C0D35">
        <w:rPr>
          <w:rFonts w:ascii="Times New Roman" w:eastAsia="Times New Roman" w:hAnsi="Times New Roman" w:cs="Times New Roman"/>
          <w:sz w:val="24"/>
          <w:szCs w:val="24"/>
        </w:rPr>
        <w:t xml:space="preserve"> </w:t>
      </w:r>
      <w:r w:rsidRPr="004C0D35">
        <w:rPr>
          <w:rFonts w:ascii="Times New Roman" w:eastAsia="Times New Roman" w:hAnsi="Times New Roman" w:cs="Times New Roman"/>
          <w:sz w:val="24"/>
          <w:szCs w:val="24"/>
        </w:rPr>
        <w:t xml:space="preserve">1 </w:t>
      </w:r>
      <w:r w:rsidR="00055725" w:rsidRPr="004C0D35">
        <w:rPr>
          <w:rFonts w:ascii="Times New Roman" w:eastAsia="Times New Roman" w:hAnsi="Times New Roman" w:cs="Times New Roman"/>
          <w:sz w:val="24"/>
          <w:szCs w:val="24"/>
        </w:rPr>
        <w:t xml:space="preserve">with </w:t>
      </w:r>
      <w:r w:rsidR="000A093B" w:rsidRPr="004C0D35">
        <w:rPr>
          <w:rFonts w:ascii="Times New Roman" w:eastAsia="Times New Roman" w:hAnsi="Times New Roman" w:cs="Times New Roman"/>
          <w:sz w:val="24"/>
          <w:szCs w:val="24"/>
        </w:rPr>
        <w:t xml:space="preserve">attorney, accountant and return preparer fees deducted from trust income in each state/year </w:t>
      </w:r>
      <w:r w:rsidR="004913B2" w:rsidRPr="004C0D35">
        <w:rPr>
          <w:rFonts w:ascii="Times New Roman" w:eastAsia="Times New Roman" w:hAnsi="Times New Roman" w:cs="Times New Roman"/>
          <w:sz w:val="24"/>
          <w:szCs w:val="24"/>
        </w:rPr>
        <w:t>produced</w:t>
      </w:r>
      <w:r w:rsidR="000A093B" w:rsidRPr="004C0D35">
        <w:rPr>
          <w:rFonts w:ascii="Times New Roman" w:eastAsia="Times New Roman" w:hAnsi="Times New Roman" w:cs="Times New Roman"/>
          <w:sz w:val="24"/>
          <w:szCs w:val="24"/>
        </w:rPr>
        <w:t xml:space="preserve"> very similar results: while a simple regression of this variable on trust liberality, as estimated from the full database, resulted in an initial finding of a significant relationship, the relationship lost its significance once either trust liberality scores based on the restricte</w:t>
      </w:r>
      <w:r w:rsidR="00C4649E" w:rsidRPr="004C0D35">
        <w:rPr>
          <w:rFonts w:ascii="Times New Roman" w:eastAsia="Times New Roman" w:hAnsi="Times New Roman" w:cs="Times New Roman"/>
          <w:sz w:val="24"/>
          <w:szCs w:val="24"/>
        </w:rPr>
        <w:t xml:space="preserve">d database were substituted for scores based on the full </w:t>
      </w:r>
      <w:r w:rsidR="00FE6D90" w:rsidRPr="004C0D35">
        <w:rPr>
          <w:rFonts w:ascii="Times New Roman" w:eastAsia="Times New Roman" w:hAnsi="Times New Roman" w:cs="Times New Roman"/>
          <w:sz w:val="24"/>
          <w:szCs w:val="24"/>
        </w:rPr>
        <w:t>database</w:t>
      </w:r>
      <w:r w:rsidR="000A093B" w:rsidRPr="004C0D35">
        <w:rPr>
          <w:rFonts w:ascii="Times New Roman" w:eastAsia="Times New Roman" w:hAnsi="Times New Roman" w:cs="Times New Roman"/>
          <w:sz w:val="24"/>
          <w:szCs w:val="24"/>
        </w:rPr>
        <w:t>, or additional predictors were added</w:t>
      </w:r>
      <w:r w:rsidR="00FE6D90" w:rsidRPr="004C0D35">
        <w:rPr>
          <w:rFonts w:ascii="Times New Roman" w:eastAsia="Times New Roman" w:hAnsi="Times New Roman" w:cs="Times New Roman"/>
          <w:sz w:val="24"/>
          <w:szCs w:val="24"/>
        </w:rPr>
        <w:t xml:space="preserve"> to the model</w:t>
      </w:r>
      <w:r w:rsidR="000A093B" w:rsidRPr="004C0D35">
        <w:rPr>
          <w:rFonts w:ascii="Times New Roman" w:eastAsia="Times New Roman" w:hAnsi="Times New Roman" w:cs="Times New Roman"/>
          <w:sz w:val="24"/>
          <w:szCs w:val="24"/>
        </w:rPr>
        <w:t xml:space="preserve">, whether the full set of predictors in </w:t>
      </w:r>
      <w:r w:rsidRPr="004C0D35">
        <w:rPr>
          <w:rFonts w:ascii="Times New Roman" w:eastAsia="Times New Roman" w:hAnsi="Times New Roman" w:cs="Times New Roman"/>
          <w:sz w:val="24"/>
          <w:szCs w:val="24"/>
        </w:rPr>
        <w:t>model</w:t>
      </w:r>
      <w:r w:rsidR="000A093B" w:rsidRPr="004C0D35">
        <w:rPr>
          <w:rFonts w:ascii="Times New Roman" w:eastAsia="Times New Roman" w:hAnsi="Times New Roman" w:cs="Times New Roman"/>
          <w:sz w:val="24"/>
          <w:szCs w:val="24"/>
        </w:rPr>
        <w:t xml:space="preserve"> </w:t>
      </w:r>
      <w:r w:rsidRPr="004C0D35">
        <w:rPr>
          <w:rFonts w:ascii="Times New Roman" w:eastAsia="Times New Roman" w:hAnsi="Times New Roman" w:cs="Times New Roman"/>
          <w:sz w:val="24"/>
          <w:szCs w:val="24"/>
        </w:rPr>
        <w:t xml:space="preserve">1 </w:t>
      </w:r>
      <w:r w:rsidR="000A093B" w:rsidRPr="004C0D35">
        <w:rPr>
          <w:rFonts w:ascii="Times New Roman" w:eastAsia="Times New Roman" w:hAnsi="Times New Roman" w:cs="Times New Roman"/>
          <w:sz w:val="24"/>
          <w:szCs w:val="24"/>
        </w:rPr>
        <w:t xml:space="preserve">or parts thereof. </w:t>
      </w:r>
      <w:r w:rsidR="009F3149" w:rsidRPr="004C0D35">
        <w:rPr>
          <w:rFonts w:ascii="Times New Roman" w:eastAsia="Times New Roman" w:hAnsi="Times New Roman" w:cs="Times New Roman"/>
          <w:sz w:val="24"/>
          <w:szCs w:val="24"/>
        </w:rPr>
        <w:t>Similar</w:t>
      </w:r>
      <w:r w:rsidR="004913B2" w:rsidRPr="004C0D35">
        <w:rPr>
          <w:rFonts w:ascii="Times New Roman" w:eastAsia="Times New Roman" w:hAnsi="Times New Roman" w:cs="Times New Roman"/>
          <w:sz w:val="24"/>
          <w:szCs w:val="24"/>
        </w:rPr>
        <w:t>ly non-significant results were</w:t>
      </w:r>
      <w:r w:rsidR="009F3149" w:rsidRPr="004C0D35">
        <w:rPr>
          <w:rFonts w:ascii="Times New Roman" w:eastAsia="Times New Roman" w:hAnsi="Times New Roman" w:cs="Times New Roman"/>
          <w:sz w:val="24"/>
          <w:szCs w:val="24"/>
        </w:rPr>
        <w:t xml:space="preserve"> obtained using total reported trust income (less loss) for each state/year as the dependent </w:t>
      </w:r>
      <w:r w:rsidR="00F94FAD" w:rsidRPr="004C0D35">
        <w:rPr>
          <w:rFonts w:ascii="Times New Roman" w:eastAsia="Times New Roman" w:hAnsi="Times New Roman" w:cs="Times New Roman"/>
          <w:sz w:val="24"/>
          <w:szCs w:val="24"/>
        </w:rPr>
        <w:t xml:space="preserve">variable, as well as when I replaced the absolute values of </w:t>
      </w:r>
      <w:r w:rsidR="00D43557">
        <w:rPr>
          <w:rFonts w:ascii="Times New Roman" w:eastAsia="Times New Roman" w:hAnsi="Times New Roman" w:cs="Times New Roman"/>
          <w:sz w:val="24"/>
          <w:szCs w:val="24"/>
        </w:rPr>
        <w:t>each of the</w:t>
      </w:r>
      <w:r w:rsidR="00D43557" w:rsidRPr="004C0D35">
        <w:rPr>
          <w:rFonts w:ascii="Times New Roman" w:eastAsia="Times New Roman" w:hAnsi="Times New Roman" w:cs="Times New Roman"/>
          <w:sz w:val="24"/>
          <w:szCs w:val="24"/>
        </w:rPr>
        <w:t xml:space="preserve"> </w:t>
      </w:r>
      <w:r w:rsidR="00F94FAD" w:rsidRPr="004C0D35">
        <w:rPr>
          <w:rFonts w:ascii="Times New Roman" w:eastAsia="Times New Roman" w:hAnsi="Times New Roman" w:cs="Times New Roman"/>
          <w:sz w:val="24"/>
          <w:szCs w:val="24"/>
        </w:rPr>
        <w:t xml:space="preserve">three dependent variables </w:t>
      </w:r>
      <w:r w:rsidR="007F74E0" w:rsidRPr="004C0D35">
        <w:rPr>
          <w:rFonts w:ascii="Times New Roman" w:eastAsia="Times New Roman" w:hAnsi="Times New Roman" w:cs="Times New Roman"/>
          <w:sz w:val="24"/>
          <w:szCs w:val="24"/>
        </w:rPr>
        <w:t>with year-on-year differences, and the absolute value</w:t>
      </w:r>
      <w:r w:rsidR="00D43557">
        <w:rPr>
          <w:rFonts w:ascii="Times New Roman" w:eastAsia="Times New Roman" w:hAnsi="Times New Roman" w:cs="Times New Roman"/>
          <w:sz w:val="24"/>
          <w:szCs w:val="24"/>
        </w:rPr>
        <w:t>s</w:t>
      </w:r>
      <w:r w:rsidR="007F74E0" w:rsidRPr="004C0D35">
        <w:rPr>
          <w:rFonts w:ascii="Times New Roman" w:eastAsia="Times New Roman" w:hAnsi="Times New Roman" w:cs="Times New Roman"/>
          <w:sz w:val="24"/>
          <w:szCs w:val="24"/>
        </w:rPr>
        <w:t xml:space="preserve"> of trust liberality scores with two-year differences (the difference between the liberality score for state j in year t and the score for the same state in year t-2). I used a larger lag on the predictor side to express the time some legal changes take to influence practice.</w:t>
      </w:r>
      <w:r w:rsidR="007F74E0" w:rsidRPr="004C0D35">
        <w:rPr>
          <w:rStyle w:val="FootnoteReference"/>
          <w:rFonts w:ascii="Times New Roman" w:eastAsia="Times New Roman" w:hAnsi="Times New Roman" w:cs="Times New Roman"/>
          <w:sz w:val="24"/>
          <w:szCs w:val="24"/>
        </w:rPr>
        <w:footnoteReference w:id="69"/>
      </w:r>
    </w:p>
    <w:p w14:paraId="3E2523FC" w14:textId="5BBB01C1" w:rsidR="00E17AD2" w:rsidRPr="004C0D35" w:rsidRDefault="00944C8F" w:rsidP="00C2420B">
      <w:pPr>
        <w:spacing w:after="0" w:line="276" w:lineRule="auto"/>
        <w:ind w:firstLine="72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One possible reason for no</w:t>
      </w:r>
      <w:r w:rsidR="0082348C" w:rsidRPr="004C0D35">
        <w:rPr>
          <w:rFonts w:ascii="Times New Roman" w:eastAsia="Times New Roman" w:hAnsi="Times New Roman" w:cs="Times New Roman"/>
          <w:sz w:val="24"/>
          <w:szCs w:val="24"/>
        </w:rPr>
        <w:t xml:space="preserve"> statistically significant relationships between </w:t>
      </w:r>
      <w:r w:rsidR="00E46BF3" w:rsidRPr="004C0D35">
        <w:rPr>
          <w:rFonts w:ascii="Times New Roman" w:eastAsia="Times New Roman" w:hAnsi="Times New Roman" w:cs="Times New Roman"/>
          <w:sz w:val="24"/>
          <w:szCs w:val="24"/>
        </w:rPr>
        <w:t xml:space="preserve">any of </w:t>
      </w:r>
      <w:r w:rsidR="0082348C" w:rsidRPr="004C0D35">
        <w:rPr>
          <w:rFonts w:ascii="Times New Roman" w:eastAsia="Times New Roman" w:hAnsi="Times New Roman" w:cs="Times New Roman"/>
          <w:sz w:val="24"/>
          <w:szCs w:val="24"/>
        </w:rPr>
        <w:t xml:space="preserve">the three dependent variables and </w:t>
      </w:r>
      <w:r>
        <w:rPr>
          <w:rFonts w:ascii="Times New Roman" w:eastAsia="Times New Roman" w:hAnsi="Times New Roman" w:cs="Times New Roman"/>
          <w:sz w:val="24"/>
          <w:szCs w:val="24"/>
        </w:rPr>
        <w:t xml:space="preserve">trust law </w:t>
      </w:r>
      <w:r w:rsidR="0082348C" w:rsidRPr="004C0D35">
        <w:rPr>
          <w:rFonts w:ascii="Times New Roman" w:eastAsia="Times New Roman" w:hAnsi="Times New Roman" w:cs="Times New Roman"/>
          <w:sz w:val="24"/>
          <w:szCs w:val="24"/>
        </w:rPr>
        <w:t xml:space="preserve">liberality scores </w:t>
      </w:r>
      <w:r>
        <w:rPr>
          <w:rFonts w:ascii="Times New Roman" w:eastAsia="Times New Roman" w:hAnsi="Times New Roman" w:cs="Times New Roman"/>
          <w:sz w:val="24"/>
          <w:szCs w:val="24"/>
        </w:rPr>
        <w:t>having survived the introduction of additional predictors into the model</w:t>
      </w:r>
      <w:r w:rsidR="0082348C" w:rsidRPr="004C0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E46BF3" w:rsidRPr="004C0D35">
        <w:rPr>
          <w:rFonts w:ascii="Times New Roman" w:eastAsia="Times New Roman" w:hAnsi="Times New Roman" w:cs="Times New Roman"/>
          <w:sz w:val="24"/>
          <w:szCs w:val="24"/>
        </w:rPr>
        <w:t xml:space="preserve">the </w:t>
      </w:r>
      <w:r w:rsidR="006F4F5E" w:rsidRPr="004C0D35">
        <w:rPr>
          <w:rFonts w:ascii="Times New Roman" w:eastAsia="Times New Roman" w:hAnsi="Times New Roman" w:cs="Times New Roman"/>
          <w:sz w:val="24"/>
          <w:szCs w:val="24"/>
        </w:rPr>
        <w:t xml:space="preserve">normative </w:t>
      </w:r>
      <w:r w:rsidR="00E46BF3" w:rsidRPr="004C0D35">
        <w:rPr>
          <w:rFonts w:ascii="Times New Roman" w:eastAsia="Times New Roman" w:hAnsi="Times New Roman" w:cs="Times New Roman"/>
          <w:sz w:val="24"/>
          <w:szCs w:val="24"/>
        </w:rPr>
        <w:t xml:space="preserve">heterogeneity characteristic of the 22 </w:t>
      </w:r>
      <w:r w:rsidR="00D21F1A" w:rsidRPr="004C0D35">
        <w:rPr>
          <w:rFonts w:ascii="Times New Roman" w:eastAsia="Times New Roman" w:hAnsi="Times New Roman" w:cs="Times New Roman"/>
          <w:sz w:val="24"/>
          <w:szCs w:val="24"/>
        </w:rPr>
        <w:t xml:space="preserve">doctrinal </w:t>
      </w:r>
      <w:r w:rsidR="00E46BF3" w:rsidRPr="004C0D35">
        <w:rPr>
          <w:rFonts w:ascii="Times New Roman" w:eastAsia="Times New Roman" w:hAnsi="Times New Roman" w:cs="Times New Roman"/>
          <w:sz w:val="24"/>
          <w:szCs w:val="24"/>
        </w:rPr>
        <w:t xml:space="preserve">variables </w:t>
      </w:r>
      <w:r w:rsidR="008E674A" w:rsidRPr="004C0D35">
        <w:rPr>
          <w:rFonts w:ascii="Times New Roman" w:eastAsia="Times New Roman" w:hAnsi="Times New Roman" w:cs="Times New Roman"/>
          <w:sz w:val="24"/>
          <w:szCs w:val="24"/>
        </w:rPr>
        <w:t>covered by</w:t>
      </w:r>
      <w:r w:rsidR="00E46BF3" w:rsidRPr="004C0D35">
        <w:rPr>
          <w:rFonts w:ascii="Times New Roman" w:eastAsia="Times New Roman" w:hAnsi="Times New Roman" w:cs="Times New Roman"/>
          <w:sz w:val="24"/>
          <w:szCs w:val="24"/>
        </w:rPr>
        <w:t xml:space="preserve"> the database. While all 22</w:t>
      </w:r>
      <w:r w:rsidR="00055725" w:rsidRPr="004C0D35">
        <w:rPr>
          <w:rFonts w:ascii="Times New Roman" w:eastAsia="Times New Roman" w:hAnsi="Times New Roman" w:cs="Times New Roman"/>
          <w:sz w:val="24"/>
          <w:szCs w:val="24"/>
        </w:rPr>
        <w:t xml:space="preserve"> variables</w:t>
      </w:r>
      <w:r w:rsidR="00E46BF3" w:rsidRPr="004C0D35">
        <w:rPr>
          <w:rFonts w:ascii="Times New Roman" w:eastAsia="Times New Roman" w:hAnsi="Times New Roman" w:cs="Times New Roman"/>
          <w:sz w:val="24"/>
          <w:szCs w:val="24"/>
        </w:rPr>
        <w:t xml:space="preserve"> </w:t>
      </w:r>
      <w:r w:rsidR="00966483" w:rsidRPr="004C0D35">
        <w:rPr>
          <w:rFonts w:ascii="Times New Roman" w:eastAsia="Times New Roman" w:hAnsi="Times New Roman" w:cs="Times New Roman"/>
          <w:sz w:val="24"/>
          <w:szCs w:val="24"/>
        </w:rPr>
        <w:t xml:space="preserve">were foci of recent law reform, they tend in different </w:t>
      </w:r>
      <w:r w:rsidR="00055725" w:rsidRPr="004C0D35">
        <w:rPr>
          <w:rFonts w:ascii="Times New Roman" w:eastAsia="Times New Roman" w:hAnsi="Times New Roman" w:cs="Times New Roman"/>
          <w:sz w:val="24"/>
          <w:szCs w:val="24"/>
        </w:rPr>
        <w:t xml:space="preserve">substantive </w:t>
      </w:r>
      <w:r w:rsidR="00966483" w:rsidRPr="004C0D35">
        <w:rPr>
          <w:rFonts w:ascii="Times New Roman" w:eastAsia="Times New Roman" w:hAnsi="Times New Roman" w:cs="Times New Roman"/>
          <w:sz w:val="24"/>
          <w:szCs w:val="24"/>
        </w:rPr>
        <w:t xml:space="preserve">directions. </w:t>
      </w:r>
      <w:r w:rsidR="00D21F1A" w:rsidRPr="004C0D35">
        <w:rPr>
          <w:rFonts w:ascii="Times New Roman" w:eastAsia="Times New Roman" w:hAnsi="Times New Roman" w:cs="Times New Roman"/>
          <w:sz w:val="24"/>
          <w:szCs w:val="24"/>
        </w:rPr>
        <w:t>Doctrinal v</w:t>
      </w:r>
      <w:r w:rsidR="00966483" w:rsidRPr="004C0D35">
        <w:rPr>
          <w:rFonts w:ascii="Times New Roman" w:eastAsia="Times New Roman" w:hAnsi="Times New Roman" w:cs="Times New Roman"/>
          <w:sz w:val="24"/>
          <w:szCs w:val="24"/>
        </w:rPr>
        <w:t>ariables 3, 4, 5,</w:t>
      </w:r>
      <w:r w:rsidR="0063709C" w:rsidRPr="004C0D35">
        <w:rPr>
          <w:rFonts w:ascii="Times New Roman" w:eastAsia="Times New Roman" w:hAnsi="Times New Roman" w:cs="Times New Roman"/>
          <w:sz w:val="24"/>
          <w:szCs w:val="24"/>
        </w:rPr>
        <w:t xml:space="preserve"> 7,</w:t>
      </w:r>
      <w:r w:rsidR="00966483" w:rsidRPr="004C0D35">
        <w:rPr>
          <w:rFonts w:ascii="Times New Roman" w:eastAsia="Times New Roman" w:hAnsi="Times New Roman" w:cs="Times New Roman"/>
          <w:sz w:val="24"/>
          <w:szCs w:val="24"/>
        </w:rPr>
        <w:t xml:space="preserve"> 9, 10, 11, 12 and 13 </w:t>
      </w:r>
      <w:r w:rsidR="002A692C" w:rsidRPr="004C0D35">
        <w:rPr>
          <w:rFonts w:ascii="Times New Roman" w:eastAsia="Times New Roman" w:hAnsi="Times New Roman" w:cs="Times New Roman"/>
          <w:sz w:val="24"/>
          <w:szCs w:val="24"/>
        </w:rPr>
        <w:t xml:space="preserve">cover law reform efforts </w:t>
      </w:r>
      <w:r w:rsidR="00C2420B">
        <w:rPr>
          <w:rFonts w:ascii="Times New Roman" w:eastAsia="Times New Roman" w:hAnsi="Times New Roman" w:cs="Times New Roman"/>
          <w:sz w:val="24"/>
          <w:szCs w:val="24"/>
        </w:rPr>
        <w:t>that</w:t>
      </w:r>
      <w:r w:rsidR="00C2420B" w:rsidRPr="004C0D35">
        <w:rPr>
          <w:rFonts w:ascii="Times New Roman" w:eastAsia="Times New Roman" w:hAnsi="Times New Roman" w:cs="Times New Roman"/>
          <w:sz w:val="24"/>
          <w:szCs w:val="24"/>
        </w:rPr>
        <w:t xml:space="preserve"> </w:t>
      </w:r>
      <w:r w:rsidR="00966483" w:rsidRPr="004C0D35">
        <w:rPr>
          <w:rFonts w:ascii="Times New Roman" w:eastAsia="Times New Roman" w:hAnsi="Times New Roman" w:cs="Times New Roman"/>
          <w:sz w:val="24"/>
          <w:szCs w:val="24"/>
        </w:rPr>
        <w:t>tend</w:t>
      </w:r>
      <w:r w:rsidR="002A692C" w:rsidRPr="004C0D35">
        <w:rPr>
          <w:rFonts w:ascii="Times New Roman" w:eastAsia="Times New Roman" w:hAnsi="Times New Roman" w:cs="Times New Roman"/>
          <w:sz w:val="24"/>
          <w:szCs w:val="24"/>
        </w:rPr>
        <w:t xml:space="preserve"> to ameliorate liabilities which were earlier imposed on trustees, while variables</w:t>
      </w:r>
      <w:r w:rsidR="006F4F5E" w:rsidRPr="004C0D35">
        <w:rPr>
          <w:rFonts w:ascii="Times New Roman" w:eastAsia="Times New Roman" w:hAnsi="Times New Roman" w:cs="Times New Roman"/>
          <w:sz w:val="24"/>
          <w:szCs w:val="24"/>
        </w:rPr>
        <w:t xml:space="preserve"> 1, 2, 15, 16 and 20 cover law reform efforts which protect and empower trustees’ clients: variables </w:t>
      </w:r>
      <w:r w:rsidR="002A692C" w:rsidRPr="004C0D35">
        <w:rPr>
          <w:rFonts w:ascii="Times New Roman" w:eastAsia="Times New Roman" w:hAnsi="Times New Roman" w:cs="Times New Roman"/>
          <w:sz w:val="24"/>
          <w:szCs w:val="24"/>
        </w:rPr>
        <w:t>1 and 2 cover reforms empowering trust settlors to control or influence trusts after their creation, which they could not do under traditional law, variable 15 covers reforms extending beneficiaries’ immunity from their creditors,</w:t>
      </w:r>
      <w:r w:rsidR="00A06091" w:rsidRPr="004C0D35">
        <w:rPr>
          <w:rFonts w:ascii="Times New Roman" w:eastAsia="Times New Roman" w:hAnsi="Times New Roman" w:cs="Times New Roman"/>
          <w:sz w:val="24"/>
          <w:szCs w:val="24"/>
        </w:rPr>
        <w:t xml:space="preserve"> variable 16 </w:t>
      </w:r>
      <w:r w:rsidR="002F00AB" w:rsidRPr="004C0D35">
        <w:rPr>
          <w:rFonts w:ascii="Times New Roman" w:eastAsia="Times New Roman" w:hAnsi="Times New Roman" w:cs="Times New Roman"/>
          <w:sz w:val="24"/>
          <w:szCs w:val="24"/>
        </w:rPr>
        <w:t xml:space="preserve">covers reforms </w:t>
      </w:r>
      <w:r w:rsidR="00A06091" w:rsidRPr="004C0D35">
        <w:rPr>
          <w:rFonts w:ascii="Times New Roman" w:eastAsia="Times New Roman" w:hAnsi="Times New Roman" w:cs="Times New Roman"/>
          <w:sz w:val="24"/>
          <w:szCs w:val="24"/>
        </w:rPr>
        <w:t>provid</w:t>
      </w:r>
      <w:r w:rsidR="002F00AB" w:rsidRPr="004C0D35">
        <w:rPr>
          <w:rFonts w:ascii="Times New Roman" w:eastAsia="Times New Roman" w:hAnsi="Times New Roman" w:cs="Times New Roman"/>
          <w:sz w:val="24"/>
          <w:szCs w:val="24"/>
        </w:rPr>
        <w:t>ing</w:t>
      </w:r>
      <w:r w:rsidR="00A06091" w:rsidRPr="004C0D35">
        <w:rPr>
          <w:rFonts w:ascii="Times New Roman" w:eastAsia="Times New Roman" w:hAnsi="Times New Roman" w:cs="Times New Roman"/>
          <w:sz w:val="24"/>
          <w:szCs w:val="24"/>
        </w:rPr>
        <w:t xml:space="preserve"> settlors and beneficiaries with tax advantages</w:t>
      </w:r>
      <w:r w:rsidR="00C2420B">
        <w:rPr>
          <w:rFonts w:ascii="Times New Roman" w:eastAsia="Times New Roman" w:hAnsi="Times New Roman" w:cs="Times New Roman"/>
          <w:sz w:val="24"/>
          <w:szCs w:val="24"/>
        </w:rPr>
        <w:t xml:space="preserve"> by way of increasing the maximal permitted duration of trusts</w:t>
      </w:r>
      <w:r w:rsidR="00A06091" w:rsidRPr="004C0D35">
        <w:rPr>
          <w:rFonts w:ascii="Times New Roman" w:eastAsia="Times New Roman" w:hAnsi="Times New Roman" w:cs="Times New Roman"/>
          <w:sz w:val="24"/>
          <w:szCs w:val="24"/>
        </w:rPr>
        <w:t>,</w:t>
      </w:r>
      <w:r w:rsidR="002A692C" w:rsidRPr="004C0D35">
        <w:rPr>
          <w:rFonts w:ascii="Times New Roman" w:eastAsia="Times New Roman" w:hAnsi="Times New Roman" w:cs="Times New Roman"/>
          <w:sz w:val="24"/>
          <w:szCs w:val="24"/>
        </w:rPr>
        <w:t xml:space="preserve"> and variable 20 covers reforms protecting all the parties to a trust from </w:t>
      </w:r>
      <w:r w:rsidR="00FC1006">
        <w:rPr>
          <w:rFonts w:ascii="Times New Roman" w:eastAsia="Times New Roman" w:hAnsi="Times New Roman" w:cs="Times New Roman"/>
          <w:sz w:val="24"/>
          <w:szCs w:val="24"/>
        </w:rPr>
        <w:t>claimants</w:t>
      </w:r>
      <w:r w:rsidR="002A692C" w:rsidRPr="004C0D35">
        <w:rPr>
          <w:rFonts w:ascii="Times New Roman" w:eastAsia="Times New Roman" w:hAnsi="Times New Roman" w:cs="Times New Roman"/>
          <w:sz w:val="24"/>
          <w:szCs w:val="24"/>
        </w:rPr>
        <w:t>.</w:t>
      </w:r>
      <w:r w:rsidR="006F4F5E" w:rsidRPr="004C0D35">
        <w:rPr>
          <w:rStyle w:val="FootnoteReference"/>
          <w:rFonts w:ascii="Times New Roman" w:eastAsia="Times New Roman" w:hAnsi="Times New Roman" w:cs="Times New Roman"/>
          <w:sz w:val="24"/>
          <w:szCs w:val="24"/>
        </w:rPr>
        <w:footnoteReference w:id="70"/>
      </w:r>
      <w:r w:rsidR="002A692C" w:rsidRPr="004C0D35">
        <w:rPr>
          <w:rFonts w:ascii="Times New Roman" w:eastAsia="Times New Roman" w:hAnsi="Times New Roman" w:cs="Times New Roman"/>
          <w:sz w:val="24"/>
          <w:szCs w:val="24"/>
        </w:rPr>
        <w:t xml:space="preserve"> Variables 18 and 19 tend to expose trust information to authorities and the public</w:t>
      </w:r>
      <w:r w:rsidR="008E674A" w:rsidRPr="004C0D35">
        <w:rPr>
          <w:rFonts w:ascii="Times New Roman" w:eastAsia="Times New Roman" w:hAnsi="Times New Roman" w:cs="Times New Roman"/>
          <w:sz w:val="24"/>
          <w:szCs w:val="24"/>
        </w:rPr>
        <w:t xml:space="preserve"> and restrict the creation and enforcement of secret trusts</w:t>
      </w:r>
      <w:r w:rsidR="002F00AB" w:rsidRPr="004C0D35">
        <w:rPr>
          <w:rFonts w:ascii="Times New Roman" w:eastAsia="Times New Roman" w:hAnsi="Times New Roman" w:cs="Times New Roman"/>
          <w:sz w:val="24"/>
          <w:szCs w:val="24"/>
        </w:rPr>
        <w:t>.</w:t>
      </w:r>
      <w:r w:rsidR="002F00AB" w:rsidRPr="004C0D35">
        <w:rPr>
          <w:rStyle w:val="FootnoteReference"/>
          <w:rFonts w:ascii="Times New Roman" w:eastAsia="Times New Roman" w:hAnsi="Times New Roman" w:cs="Times New Roman"/>
          <w:sz w:val="24"/>
          <w:szCs w:val="24"/>
        </w:rPr>
        <w:footnoteReference w:id="71"/>
      </w:r>
      <w:r w:rsidR="006F4F5E" w:rsidRPr="004C0D35">
        <w:rPr>
          <w:rFonts w:ascii="Times New Roman" w:eastAsia="Times New Roman" w:hAnsi="Times New Roman" w:cs="Times New Roman"/>
          <w:sz w:val="24"/>
          <w:szCs w:val="24"/>
        </w:rPr>
        <w:t xml:space="preserve"> Given the normative heterogeneity of th</w:t>
      </w:r>
      <w:r w:rsidR="008C2C6E" w:rsidRPr="004C0D35">
        <w:rPr>
          <w:rFonts w:ascii="Times New Roman" w:eastAsia="Times New Roman" w:hAnsi="Times New Roman" w:cs="Times New Roman"/>
          <w:sz w:val="24"/>
          <w:szCs w:val="24"/>
        </w:rPr>
        <w:t xml:space="preserve">e 22 </w:t>
      </w:r>
      <w:r w:rsidR="00663D3C" w:rsidRPr="004C0D35">
        <w:rPr>
          <w:rFonts w:ascii="Times New Roman" w:eastAsia="Times New Roman" w:hAnsi="Times New Roman" w:cs="Times New Roman"/>
          <w:sz w:val="24"/>
          <w:szCs w:val="24"/>
        </w:rPr>
        <w:t xml:space="preserve">doctrinal </w:t>
      </w:r>
      <w:r w:rsidR="008C2C6E" w:rsidRPr="004C0D35">
        <w:rPr>
          <w:rFonts w:ascii="Times New Roman" w:eastAsia="Times New Roman" w:hAnsi="Times New Roman" w:cs="Times New Roman"/>
          <w:sz w:val="24"/>
          <w:szCs w:val="24"/>
        </w:rPr>
        <w:t xml:space="preserve">variables </w:t>
      </w:r>
      <w:r w:rsidR="00C505E3" w:rsidRPr="004C0D35">
        <w:rPr>
          <w:rFonts w:ascii="Times New Roman" w:eastAsia="Times New Roman" w:hAnsi="Times New Roman" w:cs="Times New Roman"/>
          <w:sz w:val="24"/>
          <w:szCs w:val="24"/>
        </w:rPr>
        <w:t>encompassed by the trust law</w:t>
      </w:r>
      <w:r w:rsidR="006F4F5E" w:rsidRPr="004C0D35">
        <w:rPr>
          <w:rFonts w:ascii="Times New Roman" w:eastAsia="Times New Roman" w:hAnsi="Times New Roman" w:cs="Times New Roman"/>
          <w:sz w:val="24"/>
          <w:szCs w:val="24"/>
        </w:rPr>
        <w:t xml:space="preserve"> liberality scores</w:t>
      </w:r>
      <w:r w:rsidR="00C2420B">
        <w:rPr>
          <w:rFonts w:ascii="Times New Roman" w:eastAsia="Times New Roman" w:hAnsi="Times New Roman" w:cs="Times New Roman"/>
          <w:sz w:val="24"/>
          <w:szCs w:val="24"/>
        </w:rPr>
        <w:t xml:space="preserve"> used to this point</w:t>
      </w:r>
      <w:r w:rsidR="008C2C6E" w:rsidRPr="004C0D35">
        <w:rPr>
          <w:rFonts w:ascii="Times New Roman" w:eastAsia="Times New Roman" w:hAnsi="Times New Roman" w:cs="Times New Roman"/>
          <w:sz w:val="24"/>
          <w:szCs w:val="24"/>
        </w:rPr>
        <w:t xml:space="preserve">, </w:t>
      </w:r>
      <w:r w:rsidR="00C20BDC" w:rsidRPr="004C0D35">
        <w:rPr>
          <w:rFonts w:ascii="Times New Roman" w:eastAsia="Times New Roman" w:hAnsi="Times New Roman" w:cs="Times New Roman"/>
          <w:sz w:val="24"/>
          <w:szCs w:val="24"/>
        </w:rPr>
        <w:t xml:space="preserve">law reform respecting </w:t>
      </w:r>
      <w:r w:rsidR="00C505E3" w:rsidRPr="004C0D35">
        <w:rPr>
          <w:rFonts w:ascii="Times New Roman" w:eastAsia="Times New Roman" w:hAnsi="Times New Roman" w:cs="Times New Roman"/>
          <w:sz w:val="24"/>
          <w:szCs w:val="24"/>
        </w:rPr>
        <w:t>different</w:t>
      </w:r>
      <w:r w:rsidR="00663D3C" w:rsidRPr="004C0D35">
        <w:rPr>
          <w:rFonts w:ascii="Times New Roman" w:eastAsia="Times New Roman" w:hAnsi="Times New Roman" w:cs="Times New Roman"/>
          <w:sz w:val="24"/>
          <w:szCs w:val="24"/>
        </w:rPr>
        <w:t xml:space="preserve"> </w:t>
      </w:r>
      <w:r w:rsidR="008C2C6E" w:rsidRPr="004C0D35">
        <w:rPr>
          <w:rFonts w:ascii="Times New Roman" w:eastAsia="Times New Roman" w:hAnsi="Times New Roman" w:cs="Times New Roman"/>
          <w:sz w:val="24"/>
          <w:szCs w:val="24"/>
        </w:rPr>
        <w:t xml:space="preserve">variables may have influenced </w:t>
      </w:r>
      <w:r w:rsidR="00055725" w:rsidRPr="004C0D35">
        <w:rPr>
          <w:rFonts w:ascii="Times New Roman" w:eastAsia="Times New Roman" w:hAnsi="Times New Roman" w:cs="Times New Roman"/>
          <w:sz w:val="24"/>
          <w:szCs w:val="24"/>
        </w:rPr>
        <w:t>fiduciary fees deducted per return</w:t>
      </w:r>
      <w:r w:rsidR="008C2C6E" w:rsidRPr="004C0D35">
        <w:rPr>
          <w:rFonts w:ascii="Times New Roman" w:eastAsia="Times New Roman" w:hAnsi="Times New Roman" w:cs="Times New Roman"/>
          <w:sz w:val="24"/>
          <w:szCs w:val="24"/>
        </w:rPr>
        <w:t xml:space="preserve">, </w:t>
      </w:r>
      <w:r w:rsidR="00055725" w:rsidRPr="004C0D35">
        <w:rPr>
          <w:rFonts w:ascii="Times New Roman" w:eastAsia="Times New Roman" w:hAnsi="Times New Roman" w:cs="Times New Roman"/>
          <w:sz w:val="24"/>
          <w:szCs w:val="24"/>
        </w:rPr>
        <w:t>attorney, accountant and return preparer fees deducted from trust income</w:t>
      </w:r>
      <w:r w:rsidR="00C20BDC" w:rsidRPr="004C0D35">
        <w:rPr>
          <w:rFonts w:ascii="Times New Roman" w:eastAsia="Times New Roman" w:hAnsi="Times New Roman" w:cs="Times New Roman"/>
          <w:sz w:val="24"/>
          <w:szCs w:val="24"/>
        </w:rPr>
        <w:t xml:space="preserve">, and trust income </w:t>
      </w:r>
      <w:r w:rsidR="003F29DD" w:rsidRPr="004C0D35">
        <w:rPr>
          <w:rFonts w:ascii="Times New Roman" w:eastAsia="Times New Roman" w:hAnsi="Times New Roman" w:cs="Times New Roman"/>
          <w:sz w:val="24"/>
          <w:szCs w:val="24"/>
        </w:rPr>
        <w:t xml:space="preserve">(less loss) </w:t>
      </w:r>
      <w:r w:rsidR="00C20BDC" w:rsidRPr="004C0D35">
        <w:rPr>
          <w:rFonts w:ascii="Times New Roman" w:eastAsia="Times New Roman" w:hAnsi="Times New Roman" w:cs="Times New Roman"/>
          <w:sz w:val="24"/>
          <w:szCs w:val="24"/>
        </w:rPr>
        <w:t xml:space="preserve">in different </w:t>
      </w:r>
      <w:r w:rsidR="00FC1006">
        <w:rPr>
          <w:rFonts w:ascii="Times New Roman" w:eastAsia="Times New Roman" w:hAnsi="Times New Roman" w:cs="Times New Roman"/>
          <w:sz w:val="24"/>
          <w:szCs w:val="24"/>
        </w:rPr>
        <w:t>directions</w:t>
      </w:r>
      <w:r w:rsidR="00C20BDC" w:rsidRPr="004C0D35">
        <w:rPr>
          <w:rFonts w:ascii="Times New Roman" w:eastAsia="Times New Roman" w:hAnsi="Times New Roman" w:cs="Times New Roman"/>
          <w:sz w:val="24"/>
          <w:szCs w:val="24"/>
        </w:rPr>
        <w:t>, resulting in the composite liberality score having no clea</w:t>
      </w:r>
      <w:r w:rsidR="00FC1006">
        <w:rPr>
          <w:rFonts w:ascii="Times New Roman" w:eastAsia="Times New Roman" w:hAnsi="Times New Roman" w:cs="Times New Roman"/>
          <w:sz w:val="24"/>
          <w:szCs w:val="24"/>
        </w:rPr>
        <w:t>r relationship with</w:t>
      </w:r>
      <w:r w:rsidR="00C20BDC" w:rsidRPr="004C0D35">
        <w:rPr>
          <w:rFonts w:ascii="Times New Roman" w:eastAsia="Times New Roman" w:hAnsi="Times New Roman" w:cs="Times New Roman"/>
          <w:sz w:val="24"/>
          <w:szCs w:val="24"/>
        </w:rPr>
        <w:t xml:space="preserve"> these dependent variables. </w:t>
      </w:r>
    </w:p>
    <w:p w14:paraId="31E2470D" w14:textId="6FF77AF0" w:rsidR="0082348C" w:rsidRPr="004C0D35" w:rsidRDefault="00D21F1A" w:rsidP="001A694E">
      <w:pPr>
        <w:spacing w:after="0" w:line="276" w:lineRule="auto"/>
        <w:ind w:firstLine="720"/>
        <w:jc w:val="both"/>
        <w:rPr>
          <w:rFonts w:ascii="Times New Roman" w:eastAsia="Times New Roman" w:hAnsi="Times New Roman" w:cs="Times New Roman"/>
          <w:sz w:val="24"/>
          <w:szCs w:val="24"/>
        </w:rPr>
      </w:pPr>
      <w:r w:rsidRPr="004C0D35">
        <w:rPr>
          <w:rFonts w:ascii="Times New Roman" w:eastAsia="Times New Roman" w:hAnsi="Times New Roman" w:cs="Times New Roman"/>
          <w:sz w:val="24"/>
          <w:szCs w:val="24"/>
        </w:rPr>
        <w:t>Once I</w:t>
      </w:r>
      <w:r w:rsidR="00C20BDC" w:rsidRPr="004C0D35">
        <w:rPr>
          <w:rFonts w:ascii="Times New Roman" w:eastAsia="Times New Roman" w:hAnsi="Times New Roman" w:cs="Times New Roman"/>
          <w:sz w:val="24"/>
          <w:szCs w:val="24"/>
        </w:rPr>
        <w:t xml:space="preserve"> </w:t>
      </w:r>
      <w:r w:rsidRPr="004C0D35">
        <w:rPr>
          <w:rFonts w:ascii="Times New Roman" w:eastAsia="Times New Roman" w:hAnsi="Times New Roman" w:cs="Times New Roman"/>
          <w:sz w:val="24"/>
          <w:szCs w:val="24"/>
        </w:rPr>
        <w:t>estimated model 1</w:t>
      </w:r>
      <w:r w:rsidR="00064D3F" w:rsidRPr="004C0D35">
        <w:rPr>
          <w:rFonts w:ascii="Times New Roman" w:eastAsia="Times New Roman" w:hAnsi="Times New Roman" w:cs="Times New Roman"/>
          <w:sz w:val="24"/>
          <w:szCs w:val="24"/>
        </w:rPr>
        <w:t>, as well as</w:t>
      </w:r>
      <w:r w:rsidRPr="004C0D35">
        <w:rPr>
          <w:rFonts w:ascii="Times New Roman" w:eastAsia="Times New Roman" w:hAnsi="Times New Roman" w:cs="Times New Roman"/>
          <w:sz w:val="24"/>
          <w:szCs w:val="24"/>
        </w:rPr>
        <w:t xml:space="preserve"> models which exclude some of the predictors in model 1</w:t>
      </w:r>
      <w:r w:rsidR="00064D3F" w:rsidRPr="004C0D35">
        <w:rPr>
          <w:rFonts w:ascii="Times New Roman" w:eastAsia="Times New Roman" w:hAnsi="Times New Roman" w:cs="Times New Roman"/>
          <w:sz w:val="24"/>
          <w:szCs w:val="24"/>
        </w:rPr>
        <w:t>,</w:t>
      </w:r>
      <w:r w:rsidRPr="004C0D35">
        <w:rPr>
          <w:rFonts w:ascii="Times New Roman" w:eastAsia="Times New Roman" w:hAnsi="Times New Roman" w:cs="Times New Roman"/>
          <w:sz w:val="24"/>
          <w:szCs w:val="24"/>
        </w:rPr>
        <w:t xml:space="preserve"> using liberality scores recalculated to only reflect those doctrinal variables which cover law reform tending to protect trustees from liabilities to which they were earlier subject, a </w:t>
      </w:r>
      <w:r w:rsidR="00FD589E">
        <w:rPr>
          <w:rFonts w:ascii="Times New Roman" w:eastAsia="Times New Roman" w:hAnsi="Times New Roman" w:cs="Times New Roman"/>
          <w:sz w:val="24"/>
          <w:szCs w:val="24"/>
        </w:rPr>
        <w:t xml:space="preserve">marginally </w:t>
      </w:r>
      <w:r w:rsidRPr="004C0D35">
        <w:rPr>
          <w:rFonts w:ascii="Times New Roman" w:eastAsia="Times New Roman" w:hAnsi="Times New Roman" w:cs="Times New Roman"/>
          <w:sz w:val="24"/>
          <w:szCs w:val="24"/>
        </w:rPr>
        <w:t>statistically significant relationship appeared between the differenced</w:t>
      </w:r>
      <w:r w:rsidR="00FC1006">
        <w:rPr>
          <w:rFonts w:ascii="Times New Roman" w:eastAsia="Times New Roman" w:hAnsi="Times New Roman" w:cs="Times New Roman"/>
          <w:sz w:val="24"/>
          <w:szCs w:val="24"/>
        </w:rPr>
        <w:t xml:space="preserve"> </w:t>
      </w:r>
      <w:r w:rsidRPr="004C0D35">
        <w:rPr>
          <w:rFonts w:ascii="Times New Roman" w:eastAsia="Times New Roman" w:hAnsi="Times New Roman" w:cs="Times New Roman"/>
          <w:sz w:val="24"/>
          <w:szCs w:val="24"/>
        </w:rPr>
        <w:t>versions of the liberality score variable and fidu</w:t>
      </w:r>
      <w:r w:rsidR="00DA1C24" w:rsidRPr="004C0D35">
        <w:rPr>
          <w:rFonts w:ascii="Times New Roman" w:eastAsia="Times New Roman" w:hAnsi="Times New Roman" w:cs="Times New Roman"/>
          <w:sz w:val="24"/>
          <w:szCs w:val="24"/>
        </w:rPr>
        <w:t>ciary fees deducted per return. Estimating model 1 using</w:t>
      </w:r>
      <w:r w:rsidR="00064D3F" w:rsidRPr="004C0D35">
        <w:rPr>
          <w:rFonts w:ascii="Times New Roman" w:eastAsia="Times New Roman" w:hAnsi="Times New Roman" w:cs="Times New Roman"/>
          <w:sz w:val="24"/>
          <w:szCs w:val="24"/>
        </w:rPr>
        <w:t xml:space="preserve"> </w:t>
      </w:r>
      <w:r w:rsidR="00471FF3" w:rsidRPr="004C0D35">
        <w:rPr>
          <w:rFonts w:ascii="Times New Roman" w:eastAsia="Times New Roman" w:hAnsi="Times New Roman" w:cs="Times New Roman"/>
          <w:sz w:val="24"/>
          <w:szCs w:val="24"/>
        </w:rPr>
        <w:t>the differenced versions of these two variables</w:t>
      </w:r>
      <w:r w:rsidR="00064D3F" w:rsidRPr="004C0D35">
        <w:rPr>
          <w:rFonts w:ascii="Times New Roman" w:eastAsia="Times New Roman" w:hAnsi="Times New Roman" w:cs="Times New Roman"/>
          <w:sz w:val="24"/>
          <w:szCs w:val="24"/>
        </w:rPr>
        <w:t>, I found that</w:t>
      </w:r>
      <w:r w:rsidR="00DA1C24" w:rsidRPr="004C0D35">
        <w:rPr>
          <w:rFonts w:ascii="Times New Roman" w:eastAsia="Times New Roman" w:hAnsi="Times New Roman" w:cs="Times New Roman"/>
          <w:sz w:val="24"/>
          <w:szCs w:val="24"/>
        </w:rPr>
        <w:t xml:space="preserve"> </w:t>
      </w:r>
      <w:r w:rsidR="00064D3F" w:rsidRPr="004C0D35">
        <w:rPr>
          <w:rFonts w:ascii="Times New Roman" w:eastAsia="Times New Roman" w:hAnsi="Times New Roman" w:cs="Times New Roman"/>
          <w:sz w:val="24"/>
          <w:szCs w:val="24"/>
        </w:rPr>
        <w:t>f</w:t>
      </w:r>
      <w:r w:rsidR="00DA1C24" w:rsidRPr="004C0D35">
        <w:rPr>
          <w:rFonts w:ascii="Times New Roman" w:eastAsia="Times New Roman" w:hAnsi="Times New Roman" w:cs="Times New Roman"/>
          <w:sz w:val="24"/>
          <w:szCs w:val="24"/>
        </w:rPr>
        <w:t xml:space="preserve">or each </w:t>
      </w:r>
      <w:r w:rsidR="00DA1C24" w:rsidRPr="004C0D35">
        <w:rPr>
          <w:rFonts w:ascii="Times New Roman" w:hAnsi="Times New Roman" w:cs="Times New Roman"/>
          <w:sz w:val="24"/>
          <w:szCs w:val="24"/>
        </w:rPr>
        <w:t xml:space="preserve">increase of 1 in the cumulative trust liberality score for state </w:t>
      </w:r>
      <w:r w:rsidR="00DA1C24" w:rsidRPr="004C0D35">
        <w:rPr>
          <w:rFonts w:ascii="Times New Roman" w:hAnsi="Times New Roman" w:cs="Times New Roman"/>
          <w:i/>
          <w:iCs/>
          <w:sz w:val="24"/>
          <w:szCs w:val="24"/>
        </w:rPr>
        <w:t>j</w:t>
      </w:r>
      <w:r w:rsidR="00DA1C24" w:rsidRPr="004C0D35">
        <w:rPr>
          <w:rFonts w:ascii="Times New Roman" w:hAnsi="Times New Roman" w:cs="Times New Roman"/>
          <w:sz w:val="24"/>
          <w:szCs w:val="24"/>
        </w:rPr>
        <w:t xml:space="preserve"> over the two-year period ending in year </w:t>
      </w:r>
      <w:r w:rsidR="00DA1C24" w:rsidRPr="004C0D35">
        <w:rPr>
          <w:rFonts w:ascii="Times New Roman" w:hAnsi="Times New Roman" w:cs="Times New Roman"/>
          <w:i/>
          <w:iCs/>
          <w:sz w:val="24"/>
          <w:szCs w:val="24"/>
        </w:rPr>
        <w:t>t</w:t>
      </w:r>
      <w:r w:rsidR="00DA1C24" w:rsidRPr="004C0D35">
        <w:rPr>
          <w:rFonts w:ascii="Times New Roman" w:hAnsi="Times New Roman" w:cs="Times New Roman"/>
          <w:sz w:val="24"/>
          <w:szCs w:val="24"/>
        </w:rPr>
        <w:t xml:space="preserve">, fiduciary fees deducted per return for state </w:t>
      </w:r>
      <w:r w:rsidR="00DA1C24" w:rsidRPr="004C0D35">
        <w:rPr>
          <w:rFonts w:ascii="Times New Roman" w:hAnsi="Times New Roman" w:cs="Times New Roman"/>
          <w:i/>
          <w:iCs/>
          <w:sz w:val="24"/>
          <w:szCs w:val="24"/>
        </w:rPr>
        <w:t>j</w:t>
      </w:r>
      <w:r w:rsidR="00DA1C24" w:rsidRPr="004C0D35">
        <w:rPr>
          <w:rFonts w:ascii="Times New Roman" w:hAnsi="Times New Roman" w:cs="Times New Roman"/>
          <w:sz w:val="24"/>
          <w:szCs w:val="24"/>
        </w:rPr>
        <w:t xml:space="preserve"> and year </w:t>
      </w:r>
      <w:r w:rsidR="00DA1C24" w:rsidRPr="004C0D35">
        <w:rPr>
          <w:rFonts w:ascii="Times New Roman" w:hAnsi="Times New Roman" w:cs="Times New Roman"/>
          <w:i/>
          <w:iCs/>
          <w:sz w:val="24"/>
          <w:szCs w:val="24"/>
        </w:rPr>
        <w:t>t</w:t>
      </w:r>
      <w:r w:rsidR="00DA1C24" w:rsidRPr="004C0D35">
        <w:rPr>
          <w:rFonts w:ascii="Times New Roman" w:hAnsi="Times New Roman" w:cs="Times New Roman"/>
          <w:sz w:val="24"/>
          <w:szCs w:val="24"/>
        </w:rPr>
        <w:t xml:space="preserve"> declined by </w:t>
      </w:r>
      <w:r w:rsidR="00DA1C24" w:rsidRPr="004C0D35">
        <w:rPr>
          <w:rFonts w:ascii="Times New Roman" w:eastAsia="Times New Roman" w:hAnsi="Times New Roman" w:cs="Times New Roman"/>
          <w:sz w:val="24"/>
          <w:szCs w:val="24"/>
        </w:rPr>
        <w:t>3.655% compared to the previous year</w:t>
      </w:r>
      <w:r w:rsidR="009E52FD">
        <w:rPr>
          <w:rFonts w:ascii="Times New Roman" w:eastAsia="Times New Roman" w:hAnsi="Times New Roman" w:cs="Times New Roman"/>
          <w:sz w:val="24"/>
          <w:szCs w:val="24"/>
        </w:rPr>
        <w:t xml:space="preserve"> (</w:t>
      </w:r>
      <w:r w:rsidR="009E52FD">
        <w:rPr>
          <w:rFonts w:ascii="Times New Roman" w:hAnsi="Times New Roman" w:cs="Times New Roman"/>
          <w:sz w:val="24"/>
          <w:szCs w:val="24"/>
        </w:rPr>
        <w:t>p=0.0</w:t>
      </w:r>
      <w:r w:rsidR="009E52FD" w:rsidRPr="00920EA6">
        <w:rPr>
          <w:rFonts w:ascii="Times New Roman" w:hAnsi="Times New Roman" w:cs="Times New Roman"/>
          <w:sz w:val="24"/>
          <w:szCs w:val="24"/>
        </w:rPr>
        <w:t>7</w:t>
      </w:r>
      <w:r w:rsidR="009E52FD">
        <w:rPr>
          <w:rFonts w:ascii="Times New Roman" w:hAnsi="Times New Roman" w:cs="Times New Roman"/>
          <w:sz w:val="24"/>
          <w:szCs w:val="24"/>
        </w:rPr>
        <w:t>8)</w:t>
      </w:r>
      <w:r w:rsidR="00DA1C24" w:rsidRPr="004C0D35">
        <w:rPr>
          <w:rFonts w:ascii="Times New Roman" w:eastAsia="Times New Roman" w:hAnsi="Times New Roman" w:cs="Times New Roman"/>
          <w:sz w:val="24"/>
          <w:szCs w:val="24"/>
        </w:rPr>
        <w:t xml:space="preserve">. </w:t>
      </w:r>
      <w:r w:rsidR="00471FF3" w:rsidRPr="004C0D35">
        <w:rPr>
          <w:rFonts w:ascii="Times New Roman" w:eastAsia="Times New Roman" w:hAnsi="Times New Roman" w:cs="Times New Roman"/>
          <w:sz w:val="24"/>
          <w:szCs w:val="24"/>
        </w:rPr>
        <w:t xml:space="preserve">The year-on-year decline increased to 3.825% when liberality scores were calculated from the restricted database, </w:t>
      </w:r>
      <w:r w:rsidR="00471FF3" w:rsidRPr="004C0D35">
        <w:rPr>
          <w:rFonts w:ascii="Times New Roman" w:hAnsi="Times New Roman" w:cs="Times New Roman"/>
          <w:sz w:val="24"/>
          <w:szCs w:val="24"/>
        </w:rPr>
        <w:t>which only includes observations that changed the law</w:t>
      </w:r>
      <w:r w:rsidR="00FC1006">
        <w:rPr>
          <w:rFonts w:ascii="Times New Roman" w:hAnsi="Times New Roman" w:cs="Times New Roman"/>
          <w:sz w:val="24"/>
          <w:szCs w:val="24"/>
        </w:rPr>
        <w:t>, still taking only trustee-protective variables into account</w:t>
      </w:r>
      <w:r w:rsidR="009E52FD">
        <w:rPr>
          <w:rFonts w:ascii="Times New Roman" w:hAnsi="Times New Roman" w:cs="Times New Roman"/>
          <w:sz w:val="24"/>
          <w:szCs w:val="24"/>
        </w:rPr>
        <w:t xml:space="preserve"> (p=0.059)</w:t>
      </w:r>
      <w:r w:rsidR="00471FF3" w:rsidRPr="004C0D35">
        <w:rPr>
          <w:rFonts w:ascii="Times New Roman" w:hAnsi="Times New Roman" w:cs="Times New Roman"/>
          <w:sz w:val="24"/>
          <w:szCs w:val="24"/>
        </w:rPr>
        <w:t>. Estimating model 1 using the differenced</w:t>
      </w:r>
      <w:r w:rsidR="00FC1006">
        <w:rPr>
          <w:rFonts w:ascii="Times New Roman" w:hAnsi="Times New Roman" w:cs="Times New Roman"/>
          <w:sz w:val="24"/>
          <w:szCs w:val="24"/>
        </w:rPr>
        <w:t>, year-on-year</w:t>
      </w:r>
      <w:r w:rsidR="00471FF3" w:rsidRPr="004C0D35">
        <w:rPr>
          <w:rFonts w:ascii="Times New Roman" w:hAnsi="Times New Roman" w:cs="Times New Roman"/>
          <w:sz w:val="24"/>
          <w:szCs w:val="24"/>
        </w:rPr>
        <w:t xml:space="preserve"> version of </w:t>
      </w:r>
      <w:r w:rsidR="00471FF3" w:rsidRPr="004C0D35">
        <w:rPr>
          <w:rFonts w:ascii="Times New Roman" w:eastAsia="Times New Roman" w:hAnsi="Times New Roman" w:cs="Times New Roman"/>
          <w:sz w:val="24"/>
          <w:szCs w:val="24"/>
        </w:rPr>
        <w:t xml:space="preserve">total reported trust income (less loss) as dependent variable, I found that for each </w:t>
      </w:r>
      <w:r w:rsidR="00471FF3" w:rsidRPr="004C0D35">
        <w:rPr>
          <w:rFonts w:ascii="Times New Roman" w:hAnsi="Times New Roman" w:cs="Times New Roman"/>
          <w:sz w:val="24"/>
          <w:szCs w:val="24"/>
        </w:rPr>
        <w:t xml:space="preserve">increase of 1 in the cumulative trust liberality score for state </w:t>
      </w:r>
      <w:r w:rsidR="00471FF3" w:rsidRPr="004C0D35">
        <w:rPr>
          <w:rFonts w:ascii="Times New Roman" w:hAnsi="Times New Roman" w:cs="Times New Roman"/>
          <w:i/>
          <w:iCs/>
          <w:sz w:val="24"/>
          <w:szCs w:val="24"/>
        </w:rPr>
        <w:t>j</w:t>
      </w:r>
      <w:r w:rsidR="00471FF3" w:rsidRPr="004C0D35">
        <w:rPr>
          <w:rFonts w:ascii="Times New Roman" w:hAnsi="Times New Roman" w:cs="Times New Roman"/>
          <w:sz w:val="24"/>
          <w:szCs w:val="24"/>
        </w:rPr>
        <w:t xml:space="preserve"> over the two-year period ending in year </w:t>
      </w:r>
      <w:r w:rsidR="00471FF3" w:rsidRPr="004C0D35">
        <w:rPr>
          <w:rFonts w:ascii="Times New Roman" w:hAnsi="Times New Roman" w:cs="Times New Roman"/>
          <w:i/>
          <w:iCs/>
          <w:sz w:val="24"/>
          <w:szCs w:val="24"/>
        </w:rPr>
        <w:t>t</w:t>
      </w:r>
      <w:r w:rsidR="00471FF3" w:rsidRPr="004C0D35">
        <w:rPr>
          <w:rFonts w:ascii="Times New Roman" w:hAnsi="Times New Roman" w:cs="Times New Roman"/>
          <w:sz w:val="24"/>
          <w:szCs w:val="24"/>
        </w:rPr>
        <w:t>, still calculated to only reflect law reform</w:t>
      </w:r>
      <w:r w:rsidR="00F237D4" w:rsidRPr="004C0D35">
        <w:rPr>
          <w:rFonts w:ascii="Times New Roman" w:hAnsi="Times New Roman" w:cs="Times New Roman"/>
          <w:sz w:val="24"/>
          <w:szCs w:val="24"/>
        </w:rPr>
        <w:t>s</w:t>
      </w:r>
      <w:r w:rsidR="00471FF3" w:rsidRPr="004C0D35">
        <w:rPr>
          <w:rFonts w:ascii="Times New Roman" w:hAnsi="Times New Roman" w:cs="Times New Roman"/>
          <w:sz w:val="24"/>
          <w:szCs w:val="24"/>
        </w:rPr>
        <w:t xml:space="preserve"> protecting trustees</w:t>
      </w:r>
      <w:r w:rsidR="00A527D8" w:rsidRPr="004C0D35">
        <w:rPr>
          <w:rFonts w:ascii="Times New Roman" w:hAnsi="Times New Roman" w:cs="Times New Roman"/>
          <w:sz w:val="24"/>
          <w:szCs w:val="24"/>
        </w:rPr>
        <w:t xml:space="preserve">, </w:t>
      </w:r>
      <w:r w:rsidR="00A527D8" w:rsidRPr="004C0D35">
        <w:rPr>
          <w:rFonts w:ascii="Times New Roman" w:eastAsia="Times New Roman" w:hAnsi="Times New Roman" w:cs="Times New Roman"/>
          <w:sz w:val="24"/>
          <w:szCs w:val="24"/>
        </w:rPr>
        <w:t>total reported trust income (less loss) grew by 6% compared to the previous year</w:t>
      </w:r>
      <w:r w:rsidR="00F237D4" w:rsidRPr="004C0D35">
        <w:rPr>
          <w:rFonts w:ascii="Times New Roman" w:eastAsia="Times New Roman" w:hAnsi="Times New Roman" w:cs="Times New Roman"/>
          <w:sz w:val="24"/>
          <w:szCs w:val="24"/>
        </w:rPr>
        <w:t xml:space="preserve"> (significance was marginal at p=0.102)</w:t>
      </w:r>
      <w:r w:rsidR="00A527D8" w:rsidRPr="004C0D35">
        <w:rPr>
          <w:rFonts w:ascii="Times New Roman" w:eastAsia="Times New Roman" w:hAnsi="Times New Roman" w:cs="Times New Roman"/>
          <w:sz w:val="24"/>
          <w:szCs w:val="24"/>
        </w:rPr>
        <w:t>. These results are reported in T</w:t>
      </w:r>
      <w:r w:rsidR="006B0D68" w:rsidRPr="004C0D35">
        <w:rPr>
          <w:rFonts w:ascii="Times New Roman" w:eastAsia="Times New Roman" w:hAnsi="Times New Roman" w:cs="Times New Roman"/>
          <w:sz w:val="24"/>
          <w:szCs w:val="24"/>
        </w:rPr>
        <w:t>able 2, in columns 1, 2 and 3 respectively.</w:t>
      </w:r>
    </w:p>
    <w:p w14:paraId="50CC82A8" w14:textId="77777777" w:rsidR="00E17AD2" w:rsidRPr="004C0D35" w:rsidRDefault="00E17AD2" w:rsidP="00D21F1A">
      <w:pPr>
        <w:spacing w:after="0" w:line="276" w:lineRule="auto"/>
        <w:jc w:val="both"/>
        <w:rPr>
          <w:rFonts w:ascii="Times New Roman" w:eastAsia="Times New Roman" w:hAnsi="Times New Roman" w:cs="Times New Roman"/>
          <w:sz w:val="24"/>
          <w:szCs w:val="24"/>
        </w:rPr>
      </w:pPr>
    </w:p>
    <w:p w14:paraId="50BD4511" w14:textId="77777777" w:rsidR="006516CE" w:rsidRPr="004C0D35" w:rsidRDefault="006516CE" w:rsidP="006516CE">
      <w:pPr>
        <w:spacing w:after="0" w:line="240" w:lineRule="auto"/>
        <w:rPr>
          <w:rFonts w:ascii="Times New Roman" w:hAnsi="Times New Roman" w:cs="Times New Roman"/>
          <w:b/>
          <w:bCs/>
          <w:sz w:val="24"/>
          <w:szCs w:val="24"/>
        </w:rPr>
      </w:pPr>
    </w:p>
    <w:p w14:paraId="080F7572" w14:textId="77777777" w:rsidR="006516CE" w:rsidRPr="004C0D35" w:rsidRDefault="006516CE" w:rsidP="006516CE">
      <w:pPr>
        <w:spacing w:after="0" w:line="240" w:lineRule="auto"/>
        <w:rPr>
          <w:rFonts w:ascii="Times New Roman" w:hAnsi="Times New Roman" w:cs="Times New Roman"/>
          <w:sz w:val="24"/>
          <w:szCs w:val="24"/>
        </w:rPr>
      </w:pPr>
      <w:r w:rsidRPr="004C0D35">
        <w:rPr>
          <w:rFonts w:ascii="Times New Roman" w:hAnsi="Times New Roman" w:cs="Times New Roman"/>
          <w:b/>
          <w:bCs/>
          <w:sz w:val="24"/>
          <w:szCs w:val="24"/>
        </w:rPr>
        <w:t>Table 2</w:t>
      </w:r>
      <w:r w:rsidRPr="004C0D35">
        <w:rPr>
          <w:rFonts w:ascii="Times New Roman" w:hAnsi="Times New Roman" w:cs="Times New Roman"/>
          <w:sz w:val="24"/>
          <w:szCs w:val="24"/>
        </w:rPr>
        <w:t>. Empirical Models of Year-on-Year Changes in Fiduciary Fees Deducted per Return (Columns 1, 2) and T</w:t>
      </w:r>
      <w:r w:rsidRPr="004C0D35">
        <w:rPr>
          <w:rFonts w:ascii="Times New Roman" w:eastAsia="Times New Roman" w:hAnsi="Times New Roman" w:cs="Times New Roman"/>
          <w:sz w:val="24"/>
          <w:szCs w:val="24"/>
        </w:rPr>
        <w:t>otal Reported Trust Income (less Loss) (Column 3)</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57"/>
        <w:gridCol w:w="2161"/>
        <w:gridCol w:w="2161"/>
        <w:gridCol w:w="2161"/>
      </w:tblGrid>
      <w:tr w:rsidR="006516CE" w:rsidRPr="004C0D35" w14:paraId="690C434F" w14:textId="77777777" w:rsidTr="00930894">
        <w:trPr>
          <w:gridAfter w:val="3"/>
          <w:wAfter w:w="6483" w:type="dxa"/>
        </w:trPr>
        <w:tc>
          <w:tcPr>
            <w:tcW w:w="2157" w:type="dxa"/>
            <w:vAlign w:val="center"/>
          </w:tcPr>
          <w:p w14:paraId="541948D7" w14:textId="77777777" w:rsidR="006516CE" w:rsidRPr="004C0D35" w:rsidRDefault="006516CE" w:rsidP="00930894">
            <w:pPr>
              <w:rPr>
                <w:sz w:val="24"/>
                <w:szCs w:val="24"/>
              </w:rPr>
            </w:pPr>
          </w:p>
        </w:tc>
      </w:tr>
      <w:tr w:rsidR="006516CE" w:rsidRPr="004C0D35" w14:paraId="46A5FD59" w14:textId="77777777" w:rsidTr="00930894">
        <w:tc>
          <w:tcPr>
            <w:tcW w:w="2157" w:type="dxa"/>
            <w:tcBorders>
              <w:bottom w:val="single" w:sz="4" w:space="0" w:color="auto"/>
            </w:tcBorders>
            <w:vAlign w:val="center"/>
          </w:tcPr>
          <w:p w14:paraId="167F1A6C" w14:textId="77777777" w:rsidR="006516CE" w:rsidRPr="004C0D35" w:rsidRDefault="006516CE" w:rsidP="00930894">
            <w:pPr>
              <w:rPr>
                <w:sz w:val="24"/>
                <w:szCs w:val="24"/>
              </w:rPr>
            </w:pPr>
          </w:p>
        </w:tc>
        <w:tc>
          <w:tcPr>
            <w:tcW w:w="2161" w:type="dxa"/>
            <w:tcBorders>
              <w:bottom w:val="single" w:sz="4" w:space="0" w:color="auto"/>
            </w:tcBorders>
            <w:vAlign w:val="center"/>
          </w:tcPr>
          <w:p w14:paraId="25256A37" w14:textId="77777777" w:rsidR="006516CE" w:rsidRPr="004C0D35" w:rsidRDefault="006516CE" w:rsidP="00930894">
            <w:pPr>
              <w:jc w:val="center"/>
              <w:rPr>
                <w:sz w:val="24"/>
                <w:szCs w:val="24"/>
              </w:rPr>
            </w:pPr>
            <w:r w:rsidRPr="004C0D35">
              <w:rPr>
                <w:sz w:val="24"/>
                <w:szCs w:val="24"/>
              </w:rPr>
              <w:t>(1)</w:t>
            </w:r>
          </w:p>
        </w:tc>
        <w:tc>
          <w:tcPr>
            <w:tcW w:w="2161" w:type="dxa"/>
            <w:tcBorders>
              <w:bottom w:val="single" w:sz="4" w:space="0" w:color="auto"/>
            </w:tcBorders>
            <w:vAlign w:val="center"/>
          </w:tcPr>
          <w:p w14:paraId="276896AD" w14:textId="77777777" w:rsidR="006516CE" w:rsidRPr="004C0D35" w:rsidRDefault="006516CE" w:rsidP="00930894">
            <w:pPr>
              <w:jc w:val="center"/>
              <w:rPr>
                <w:sz w:val="24"/>
                <w:szCs w:val="24"/>
              </w:rPr>
            </w:pPr>
            <w:r w:rsidRPr="004C0D35">
              <w:rPr>
                <w:sz w:val="24"/>
                <w:szCs w:val="24"/>
              </w:rPr>
              <w:t>(2)</w:t>
            </w:r>
          </w:p>
        </w:tc>
        <w:tc>
          <w:tcPr>
            <w:tcW w:w="2161" w:type="dxa"/>
            <w:tcBorders>
              <w:bottom w:val="single" w:sz="4" w:space="0" w:color="auto"/>
            </w:tcBorders>
            <w:vAlign w:val="center"/>
          </w:tcPr>
          <w:p w14:paraId="72692464" w14:textId="77777777" w:rsidR="006516CE" w:rsidRPr="004C0D35" w:rsidRDefault="006516CE" w:rsidP="00930894">
            <w:pPr>
              <w:jc w:val="center"/>
              <w:rPr>
                <w:sz w:val="24"/>
                <w:szCs w:val="24"/>
              </w:rPr>
            </w:pPr>
            <w:r w:rsidRPr="004C0D35">
              <w:rPr>
                <w:sz w:val="24"/>
                <w:szCs w:val="24"/>
              </w:rPr>
              <w:t>(3)</w:t>
            </w:r>
          </w:p>
        </w:tc>
      </w:tr>
      <w:tr w:rsidR="006516CE" w:rsidRPr="004C0D35" w14:paraId="1FDFCAA3" w14:textId="77777777" w:rsidTr="00930894">
        <w:tc>
          <w:tcPr>
            <w:tcW w:w="2157" w:type="dxa"/>
            <w:vAlign w:val="center"/>
          </w:tcPr>
          <w:p w14:paraId="68F52442" w14:textId="303F37A2" w:rsidR="006516CE" w:rsidRPr="004C0D35" w:rsidRDefault="006516CE" w:rsidP="00C505E3">
            <w:pPr>
              <w:rPr>
                <w:sz w:val="24"/>
                <w:szCs w:val="24"/>
              </w:rPr>
            </w:pPr>
            <w:r w:rsidRPr="004C0D35">
              <w:rPr>
                <w:sz w:val="24"/>
                <w:szCs w:val="24"/>
              </w:rPr>
              <w:t xml:space="preserve">Difference in Trust Liberality Score between </w:t>
            </w:r>
            <w:r w:rsidR="00C505E3" w:rsidRPr="004C0D35">
              <w:rPr>
                <w:sz w:val="24"/>
                <w:szCs w:val="24"/>
              </w:rPr>
              <w:t>Y</w:t>
            </w:r>
            <w:r w:rsidRPr="004C0D35">
              <w:rPr>
                <w:sz w:val="24"/>
                <w:szCs w:val="24"/>
              </w:rPr>
              <w:t xml:space="preserve">ear t - 2 and </w:t>
            </w:r>
            <w:r w:rsidR="0059159A">
              <w:rPr>
                <w:sz w:val="24"/>
                <w:szCs w:val="24"/>
              </w:rPr>
              <w:t>Y</w:t>
            </w:r>
            <w:r w:rsidRPr="004C0D35">
              <w:rPr>
                <w:sz w:val="24"/>
                <w:szCs w:val="24"/>
              </w:rPr>
              <w:t xml:space="preserve">ear </w:t>
            </w:r>
            <w:r w:rsidR="001A694E">
              <w:rPr>
                <w:sz w:val="24"/>
                <w:szCs w:val="24"/>
              </w:rPr>
              <w:t>t</w:t>
            </w:r>
            <w:r w:rsidRPr="004C0D35">
              <w:rPr>
                <w:sz w:val="24"/>
                <w:szCs w:val="24"/>
              </w:rPr>
              <w:t xml:space="preserve"> </w:t>
            </w:r>
          </w:p>
        </w:tc>
        <w:tc>
          <w:tcPr>
            <w:tcW w:w="2161" w:type="dxa"/>
            <w:vAlign w:val="center"/>
          </w:tcPr>
          <w:p w14:paraId="1F7CEB85" w14:textId="77777777" w:rsidR="006516CE" w:rsidRPr="004C0D35" w:rsidRDefault="006516CE" w:rsidP="00854275">
            <w:pPr>
              <w:jc w:val="center"/>
              <w:rPr>
                <w:sz w:val="24"/>
                <w:szCs w:val="24"/>
              </w:rPr>
            </w:pPr>
            <w:r w:rsidRPr="004C0D35">
              <w:rPr>
                <w:sz w:val="24"/>
                <w:szCs w:val="24"/>
              </w:rPr>
              <w:t>-.036*</w:t>
            </w:r>
          </w:p>
          <w:p w14:paraId="1664043E" w14:textId="77777777" w:rsidR="006516CE" w:rsidRPr="004C0D35" w:rsidRDefault="006516CE" w:rsidP="00854275">
            <w:pPr>
              <w:jc w:val="center"/>
              <w:rPr>
                <w:sz w:val="24"/>
                <w:szCs w:val="24"/>
              </w:rPr>
            </w:pPr>
            <w:r w:rsidRPr="004C0D35">
              <w:rPr>
                <w:sz w:val="24"/>
                <w:szCs w:val="24"/>
              </w:rPr>
              <w:t>(.019)</w:t>
            </w:r>
          </w:p>
        </w:tc>
        <w:tc>
          <w:tcPr>
            <w:tcW w:w="2161" w:type="dxa"/>
            <w:vAlign w:val="center"/>
          </w:tcPr>
          <w:p w14:paraId="16037779" w14:textId="77777777" w:rsidR="006516CE" w:rsidRPr="004C0D35" w:rsidRDefault="006516CE" w:rsidP="00854275">
            <w:pPr>
              <w:jc w:val="center"/>
              <w:rPr>
                <w:sz w:val="24"/>
                <w:szCs w:val="24"/>
              </w:rPr>
            </w:pPr>
            <w:r w:rsidRPr="004C0D35">
              <w:rPr>
                <w:sz w:val="24"/>
                <w:szCs w:val="24"/>
              </w:rPr>
              <w:t>-.038*</w:t>
            </w:r>
          </w:p>
          <w:p w14:paraId="1E0B123C" w14:textId="77777777" w:rsidR="006516CE" w:rsidRPr="004C0D35" w:rsidRDefault="006516CE" w:rsidP="00854275">
            <w:pPr>
              <w:jc w:val="center"/>
              <w:rPr>
                <w:sz w:val="24"/>
                <w:szCs w:val="24"/>
              </w:rPr>
            </w:pPr>
            <w:r w:rsidRPr="004C0D35">
              <w:rPr>
                <w:sz w:val="24"/>
                <w:szCs w:val="24"/>
              </w:rPr>
              <w:t>(.019)</w:t>
            </w:r>
          </w:p>
        </w:tc>
        <w:tc>
          <w:tcPr>
            <w:tcW w:w="2161" w:type="dxa"/>
            <w:vAlign w:val="center"/>
          </w:tcPr>
          <w:p w14:paraId="29C740E5" w14:textId="77777777" w:rsidR="006516CE" w:rsidRPr="004C0D35" w:rsidRDefault="00854275" w:rsidP="00854275">
            <w:pPr>
              <w:jc w:val="center"/>
              <w:rPr>
                <w:sz w:val="24"/>
                <w:szCs w:val="24"/>
              </w:rPr>
            </w:pPr>
            <w:r>
              <w:rPr>
                <w:sz w:val="24"/>
                <w:szCs w:val="24"/>
              </w:rPr>
              <w:t>.06</w:t>
            </w:r>
          </w:p>
          <w:p w14:paraId="5C115467" w14:textId="77777777" w:rsidR="006516CE" w:rsidRPr="004C0D35" w:rsidRDefault="006516CE" w:rsidP="00854275">
            <w:pPr>
              <w:jc w:val="center"/>
              <w:rPr>
                <w:sz w:val="24"/>
                <w:szCs w:val="24"/>
              </w:rPr>
            </w:pPr>
            <w:r w:rsidRPr="004C0D35">
              <w:rPr>
                <w:sz w:val="24"/>
                <w:szCs w:val="24"/>
              </w:rPr>
              <w:t>(.035)</w:t>
            </w:r>
          </w:p>
        </w:tc>
      </w:tr>
      <w:tr w:rsidR="006516CE" w:rsidRPr="004C0D35" w14:paraId="5AD9F787" w14:textId="77777777" w:rsidTr="00930894">
        <w:tc>
          <w:tcPr>
            <w:tcW w:w="2157" w:type="dxa"/>
            <w:vAlign w:val="center"/>
          </w:tcPr>
          <w:p w14:paraId="676D932C" w14:textId="77777777" w:rsidR="006516CE" w:rsidRPr="004C0D35" w:rsidRDefault="006516CE" w:rsidP="00930894">
            <w:pPr>
              <w:rPr>
                <w:sz w:val="24"/>
                <w:szCs w:val="24"/>
              </w:rPr>
            </w:pPr>
            <w:r w:rsidRPr="004C0D35">
              <w:rPr>
                <w:sz w:val="24"/>
                <w:szCs w:val="24"/>
              </w:rPr>
              <w:t>GDP</w:t>
            </w:r>
          </w:p>
        </w:tc>
        <w:tc>
          <w:tcPr>
            <w:tcW w:w="2161" w:type="dxa"/>
            <w:vAlign w:val="center"/>
          </w:tcPr>
          <w:p w14:paraId="71B3F585" w14:textId="77777777" w:rsidR="006516CE" w:rsidRPr="004C0D35" w:rsidRDefault="006516CE" w:rsidP="00930894">
            <w:pPr>
              <w:jc w:val="center"/>
              <w:rPr>
                <w:sz w:val="24"/>
                <w:szCs w:val="24"/>
              </w:rPr>
            </w:pPr>
            <w:r w:rsidRPr="004C0D35">
              <w:rPr>
                <w:sz w:val="24"/>
                <w:szCs w:val="24"/>
              </w:rPr>
              <w:t>&lt;0.001</w:t>
            </w:r>
          </w:p>
          <w:p w14:paraId="1FDED6CB" w14:textId="77777777" w:rsidR="006516CE" w:rsidRPr="004C0D35" w:rsidRDefault="006516CE" w:rsidP="00930894">
            <w:pPr>
              <w:jc w:val="center"/>
              <w:rPr>
                <w:sz w:val="24"/>
                <w:szCs w:val="24"/>
              </w:rPr>
            </w:pPr>
            <w:r w:rsidRPr="004C0D35">
              <w:rPr>
                <w:sz w:val="24"/>
                <w:szCs w:val="24"/>
              </w:rPr>
              <w:t>(&lt;0.001)</w:t>
            </w:r>
          </w:p>
        </w:tc>
        <w:tc>
          <w:tcPr>
            <w:tcW w:w="2161" w:type="dxa"/>
            <w:vAlign w:val="center"/>
          </w:tcPr>
          <w:p w14:paraId="42E2FDBE" w14:textId="77777777" w:rsidR="006516CE" w:rsidRPr="004C0D35" w:rsidRDefault="006516CE" w:rsidP="00930894">
            <w:pPr>
              <w:jc w:val="center"/>
              <w:rPr>
                <w:sz w:val="24"/>
                <w:szCs w:val="24"/>
              </w:rPr>
            </w:pPr>
            <w:r w:rsidRPr="004C0D35">
              <w:rPr>
                <w:sz w:val="24"/>
                <w:szCs w:val="24"/>
              </w:rPr>
              <w:t>&lt;0.001</w:t>
            </w:r>
          </w:p>
          <w:p w14:paraId="192D2D41" w14:textId="77777777" w:rsidR="006516CE" w:rsidRPr="004C0D35" w:rsidRDefault="006516CE" w:rsidP="00930894">
            <w:pPr>
              <w:jc w:val="center"/>
              <w:rPr>
                <w:sz w:val="24"/>
                <w:szCs w:val="24"/>
              </w:rPr>
            </w:pPr>
            <w:r w:rsidRPr="004C0D35">
              <w:rPr>
                <w:sz w:val="24"/>
                <w:szCs w:val="24"/>
              </w:rPr>
              <w:t>(&lt;0.001)</w:t>
            </w:r>
          </w:p>
        </w:tc>
        <w:tc>
          <w:tcPr>
            <w:tcW w:w="2161" w:type="dxa"/>
            <w:vAlign w:val="center"/>
          </w:tcPr>
          <w:p w14:paraId="752DD82C" w14:textId="77777777" w:rsidR="006516CE" w:rsidRPr="004C0D35" w:rsidRDefault="006516CE" w:rsidP="00930894">
            <w:pPr>
              <w:jc w:val="center"/>
              <w:rPr>
                <w:sz w:val="24"/>
                <w:szCs w:val="24"/>
              </w:rPr>
            </w:pPr>
            <w:r w:rsidRPr="004C0D35">
              <w:rPr>
                <w:sz w:val="24"/>
                <w:szCs w:val="24"/>
              </w:rPr>
              <w:t>&lt;0.001</w:t>
            </w:r>
          </w:p>
          <w:p w14:paraId="7ACB0DB6" w14:textId="77777777" w:rsidR="006516CE" w:rsidRPr="004C0D35" w:rsidRDefault="006516CE" w:rsidP="00930894">
            <w:pPr>
              <w:jc w:val="center"/>
              <w:rPr>
                <w:sz w:val="24"/>
                <w:szCs w:val="24"/>
              </w:rPr>
            </w:pPr>
            <w:r w:rsidRPr="004C0D35">
              <w:rPr>
                <w:sz w:val="24"/>
                <w:szCs w:val="24"/>
              </w:rPr>
              <w:t>(&lt;0.001)</w:t>
            </w:r>
          </w:p>
        </w:tc>
      </w:tr>
      <w:tr w:rsidR="006516CE" w:rsidRPr="004C0D35" w14:paraId="28325ED5" w14:textId="77777777" w:rsidTr="00930894">
        <w:tc>
          <w:tcPr>
            <w:tcW w:w="2157" w:type="dxa"/>
            <w:vAlign w:val="center"/>
          </w:tcPr>
          <w:p w14:paraId="76F9CBFC" w14:textId="77777777" w:rsidR="006516CE" w:rsidRPr="004C0D35" w:rsidRDefault="006516CE" w:rsidP="00930894">
            <w:pPr>
              <w:rPr>
                <w:sz w:val="24"/>
                <w:szCs w:val="24"/>
              </w:rPr>
            </w:pPr>
            <w:r w:rsidRPr="004C0D35">
              <w:rPr>
                <w:sz w:val="24"/>
                <w:szCs w:val="24"/>
              </w:rPr>
              <w:t>CPI</w:t>
            </w:r>
          </w:p>
        </w:tc>
        <w:tc>
          <w:tcPr>
            <w:tcW w:w="2161" w:type="dxa"/>
            <w:vAlign w:val="center"/>
          </w:tcPr>
          <w:p w14:paraId="6813697F" w14:textId="77777777" w:rsidR="006516CE" w:rsidRPr="004C0D35" w:rsidRDefault="006516CE" w:rsidP="00854275">
            <w:pPr>
              <w:jc w:val="center"/>
              <w:rPr>
                <w:sz w:val="24"/>
                <w:szCs w:val="24"/>
              </w:rPr>
            </w:pPr>
            <w:r w:rsidRPr="004C0D35">
              <w:rPr>
                <w:sz w:val="24"/>
                <w:szCs w:val="24"/>
              </w:rPr>
              <w:t>.008***</w:t>
            </w:r>
          </w:p>
          <w:p w14:paraId="4BC31D27" w14:textId="77777777" w:rsidR="006516CE" w:rsidRPr="004C0D35" w:rsidRDefault="006516CE" w:rsidP="00854275">
            <w:pPr>
              <w:jc w:val="center"/>
              <w:rPr>
                <w:sz w:val="24"/>
                <w:szCs w:val="24"/>
              </w:rPr>
            </w:pPr>
            <w:r w:rsidRPr="004C0D35">
              <w:rPr>
                <w:sz w:val="24"/>
                <w:szCs w:val="24"/>
              </w:rPr>
              <w:t>(.002)</w:t>
            </w:r>
          </w:p>
        </w:tc>
        <w:tc>
          <w:tcPr>
            <w:tcW w:w="2161" w:type="dxa"/>
            <w:vAlign w:val="center"/>
          </w:tcPr>
          <w:p w14:paraId="17425037" w14:textId="77777777" w:rsidR="006516CE" w:rsidRPr="004C0D35" w:rsidRDefault="00854275" w:rsidP="00854275">
            <w:pPr>
              <w:jc w:val="center"/>
              <w:rPr>
                <w:sz w:val="24"/>
                <w:szCs w:val="24"/>
              </w:rPr>
            </w:pPr>
            <w:r>
              <w:rPr>
                <w:sz w:val="24"/>
                <w:szCs w:val="24"/>
              </w:rPr>
              <w:t>.</w:t>
            </w:r>
            <w:r w:rsidR="006516CE" w:rsidRPr="004C0D35">
              <w:rPr>
                <w:sz w:val="24"/>
                <w:szCs w:val="24"/>
              </w:rPr>
              <w:t>008***</w:t>
            </w:r>
          </w:p>
          <w:p w14:paraId="660C08CC" w14:textId="77777777" w:rsidR="006516CE" w:rsidRPr="004C0D35" w:rsidRDefault="006516CE" w:rsidP="00854275">
            <w:pPr>
              <w:jc w:val="center"/>
              <w:rPr>
                <w:sz w:val="24"/>
                <w:szCs w:val="24"/>
              </w:rPr>
            </w:pPr>
            <w:r w:rsidRPr="004C0D35">
              <w:rPr>
                <w:sz w:val="24"/>
                <w:szCs w:val="24"/>
              </w:rPr>
              <w:t xml:space="preserve"> (.002)</w:t>
            </w:r>
          </w:p>
        </w:tc>
        <w:tc>
          <w:tcPr>
            <w:tcW w:w="2161" w:type="dxa"/>
            <w:vAlign w:val="center"/>
          </w:tcPr>
          <w:p w14:paraId="76BA6A80" w14:textId="77777777" w:rsidR="006516CE" w:rsidRPr="004C0D35" w:rsidRDefault="006516CE" w:rsidP="00854275">
            <w:pPr>
              <w:jc w:val="center"/>
              <w:rPr>
                <w:sz w:val="24"/>
                <w:szCs w:val="24"/>
              </w:rPr>
            </w:pPr>
            <w:r w:rsidRPr="004C0D35">
              <w:rPr>
                <w:sz w:val="24"/>
                <w:szCs w:val="24"/>
              </w:rPr>
              <w:t xml:space="preserve">.008** </w:t>
            </w:r>
          </w:p>
          <w:p w14:paraId="68949C05" w14:textId="77777777" w:rsidR="006516CE" w:rsidRPr="004C0D35" w:rsidRDefault="006516CE" w:rsidP="00854275">
            <w:pPr>
              <w:jc w:val="center"/>
              <w:rPr>
                <w:sz w:val="24"/>
                <w:szCs w:val="24"/>
              </w:rPr>
            </w:pPr>
            <w:r w:rsidRPr="004C0D35">
              <w:rPr>
                <w:sz w:val="24"/>
                <w:szCs w:val="24"/>
              </w:rPr>
              <w:t>(.003)</w:t>
            </w:r>
          </w:p>
        </w:tc>
      </w:tr>
      <w:tr w:rsidR="006516CE" w:rsidRPr="004C0D35" w14:paraId="6834EB95" w14:textId="77777777" w:rsidTr="00930894">
        <w:tc>
          <w:tcPr>
            <w:tcW w:w="2157" w:type="dxa"/>
            <w:vAlign w:val="center"/>
          </w:tcPr>
          <w:p w14:paraId="2F6CE440" w14:textId="77777777" w:rsidR="006516CE" w:rsidRPr="004C0D35" w:rsidRDefault="006516CE" w:rsidP="00930894">
            <w:pPr>
              <w:rPr>
                <w:sz w:val="24"/>
                <w:szCs w:val="24"/>
              </w:rPr>
            </w:pPr>
            <w:r w:rsidRPr="004C0D35">
              <w:rPr>
                <w:sz w:val="24"/>
                <w:szCs w:val="24"/>
              </w:rPr>
              <w:t>Population</w:t>
            </w:r>
          </w:p>
        </w:tc>
        <w:tc>
          <w:tcPr>
            <w:tcW w:w="2161" w:type="dxa"/>
            <w:vAlign w:val="center"/>
          </w:tcPr>
          <w:p w14:paraId="7F7D410A" w14:textId="77777777" w:rsidR="006516CE" w:rsidRPr="004C0D35" w:rsidRDefault="006516CE" w:rsidP="00930894">
            <w:pPr>
              <w:jc w:val="center"/>
              <w:rPr>
                <w:sz w:val="24"/>
                <w:szCs w:val="24"/>
              </w:rPr>
            </w:pPr>
            <w:r w:rsidRPr="004C0D35">
              <w:rPr>
                <w:sz w:val="24"/>
                <w:szCs w:val="24"/>
              </w:rPr>
              <w:t>&lt;0.001</w:t>
            </w:r>
          </w:p>
          <w:p w14:paraId="03351C04" w14:textId="77777777" w:rsidR="006516CE" w:rsidRPr="004C0D35" w:rsidRDefault="006516CE" w:rsidP="00930894">
            <w:pPr>
              <w:jc w:val="center"/>
              <w:rPr>
                <w:sz w:val="24"/>
                <w:szCs w:val="24"/>
              </w:rPr>
            </w:pPr>
            <w:r w:rsidRPr="004C0D35">
              <w:rPr>
                <w:sz w:val="24"/>
                <w:szCs w:val="24"/>
              </w:rPr>
              <w:t>(&lt;0.001)</w:t>
            </w:r>
          </w:p>
        </w:tc>
        <w:tc>
          <w:tcPr>
            <w:tcW w:w="2161" w:type="dxa"/>
            <w:vAlign w:val="center"/>
          </w:tcPr>
          <w:p w14:paraId="278070D7" w14:textId="77777777" w:rsidR="006516CE" w:rsidRPr="004C0D35" w:rsidRDefault="006516CE" w:rsidP="00930894">
            <w:pPr>
              <w:jc w:val="center"/>
              <w:rPr>
                <w:sz w:val="24"/>
                <w:szCs w:val="24"/>
              </w:rPr>
            </w:pPr>
            <w:r w:rsidRPr="004C0D35">
              <w:rPr>
                <w:sz w:val="24"/>
                <w:szCs w:val="24"/>
              </w:rPr>
              <w:t>&lt;0.001</w:t>
            </w:r>
          </w:p>
          <w:p w14:paraId="0575A21B" w14:textId="77777777" w:rsidR="006516CE" w:rsidRPr="004C0D35" w:rsidRDefault="006516CE" w:rsidP="00930894">
            <w:pPr>
              <w:jc w:val="center"/>
              <w:rPr>
                <w:sz w:val="24"/>
                <w:szCs w:val="24"/>
              </w:rPr>
            </w:pPr>
            <w:r w:rsidRPr="004C0D35">
              <w:rPr>
                <w:sz w:val="24"/>
                <w:szCs w:val="24"/>
              </w:rPr>
              <w:t>(&lt;0.001)</w:t>
            </w:r>
          </w:p>
        </w:tc>
        <w:tc>
          <w:tcPr>
            <w:tcW w:w="2161" w:type="dxa"/>
            <w:vAlign w:val="center"/>
          </w:tcPr>
          <w:p w14:paraId="0CD8A08E" w14:textId="77777777" w:rsidR="006516CE" w:rsidRPr="004C0D35" w:rsidRDefault="006516CE" w:rsidP="00930894">
            <w:pPr>
              <w:jc w:val="center"/>
              <w:rPr>
                <w:sz w:val="24"/>
                <w:szCs w:val="24"/>
              </w:rPr>
            </w:pPr>
            <w:r w:rsidRPr="004C0D35">
              <w:rPr>
                <w:sz w:val="24"/>
                <w:szCs w:val="24"/>
              </w:rPr>
              <w:t>&lt;0.001</w:t>
            </w:r>
          </w:p>
          <w:p w14:paraId="6D942AA5" w14:textId="77777777" w:rsidR="006516CE" w:rsidRPr="004C0D35" w:rsidRDefault="006516CE" w:rsidP="00930894">
            <w:pPr>
              <w:jc w:val="center"/>
              <w:rPr>
                <w:sz w:val="24"/>
                <w:szCs w:val="24"/>
              </w:rPr>
            </w:pPr>
            <w:r w:rsidRPr="004C0D35">
              <w:rPr>
                <w:sz w:val="24"/>
                <w:szCs w:val="24"/>
              </w:rPr>
              <w:t>(&lt;0.001)</w:t>
            </w:r>
          </w:p>
        </w:tc>
      </w:tr>
      <w:tr w:rsidR="006516CE" w:rsidRPr="004C0D35" w14:paraId="64875F96" w14:textId="77777777" w:rsidTr="00930894">
        <w:tc>
          <w:tcPr>
            <w:tcW w:w="2157" w:type="dxa"/>
            <w:vAlign w:val="center"/>
          </w:tcPr>
          <w:p w14:paraId="513EA5D8" w14:textId="77777777" w:rsidR="006516CE" w:rsidRPr="004C0D35" w:rsidRDefault="006516CE" w:rsidP="00930894">
            <w:pPr>
              <w:rPr>
                <w:sz w:val="24"/>
                <w:szCs w:val="24"/>
              </w:rPr>
            </w:pPr>
            <w:r w:rsidRPr="004C0D35">
              <w:rPr>
                <w:sz w:val="24"/>
                <w:szCs w:val="24"/>
              </w:rPr>
              <w:t>Savings Rate</w:t>
            </w:r>
          </w:p>
        </w:tc>
        <w:tc>
          <w:tcPr>
            <w:tcW w:w="2161" w:type="dxa"/>
            <w:vAlign w:val="center"/>
          </w:tcPr>
          <w:p w14:paraId="6B6D2CD4" w14:textId="77777777" w:rsidR="006516CE" w:rsidRPr="004C0D35" w:rsidRDefault="006516CE" w:rsidP="00854275">
            <w:pPr>
              <w:jc w:val="center"/>
              <w:rPr>
                <w:sz w:val="24"/>
                <w:szCs w:val="24"/>
              </w:rPr>
            </w:pPr>
            <w:r w:rsidRPr="004C0D35">
              <w:rPr>
                <w:sz w:val="24"/>
                <w:szCs w:val="24"/>
              </w:rPr>
              <w:t>-.447</w:t>
            </w:r>
          </w:p>
          <w:p w14:paraId="565DA74B" w14:textId="77777777" w:rsidR="006516CE" w:rsidRPr="004C0D35" w:rsidRDefault="006516CE" w:rsidP="00854275">
            <w:pPr>
              <w:jc w:val="center"/>
              <w:rPr>
                <w:sz w:val="24"/>
                <w:szCs w:val="24"/>
              </w:rPr>
            </w:pPr>
            <w:r w:rsidRPr="004C0D35">
              <w:rPr>
                <w:sz w:val="24"/>
                <w:szCs w:val="24"/>
              </w:rPr>
              <w:t>(.457)</w:t>
            </w:r>
          </w:p>
        </w:tc>
        <w:tc>
          <w:tcPr>
            <w:tcW w:w="2161" w:type="dxa"/>
            <w:vAlign w:val="center"/>
          </w:tcPr>
          <w:p w14:paraId="61E7BFD6" w14:textId="77777777" w:rsidR="006516CE" w:rsidRPr="004C0D35" w:rsidRDefault="006516CE" w:rsidP="00854275">
            <w:pPr>
              <w:jc w:val="center"/>
              <w:rPr>
                <w:sz w:val="24"/>
                <w:szCs w:val="24"/>
              </w:rPr>
            </w:pPr>
            <w:r w:rsidRPr="004C0D35">
              <w:rPr>
                <w:sz w:val="24"/>
                <w:szCs w:val="24"/>
              </w:rPr>
              <w:t xml:space="preserve">-.442 </w:t>
            </w:r>
          </w:p>
          <w:p w14:paraId="12B75B8C" w14:textId="77777777" w:rsidR="006516CE" w:rsidRPr="004C0D35" w:rsidRDefault="006516CE" w:rsidP="00854275">
            <w:pPr>
              <w:jc w:val="center"/>
              <w:rPr>
                <w:sz w:val="24"/>
                <w:szCs w:val="24"/>
              </w:rPr>
            </w:pPr>
            <w:r w:rsidRPr="004C0D35">
              <w:rPr>
                <w:sz w:val="24"/>
                <w:szCs w:val="24"/>
              </w:rPr>
              <w:t>(.467)</w:t>
            </w:r>
          </w:p>
        </w:tc>
        <w:tc>
          <w:tcPr>
            <w:tcW w:w="2161" w:type="dxa"/>
            <w:vAlign w:val="center"/>
          </w:tcPr>
          <w:p w14:paraId="1F3FC56E" w14:textId="77777777" w:rsidR="006516CE" w:rsidRPr="004C0D35" w:rsidRDefault="006516CE" w:rsidP="00854275">
            <w:pPr>
              <w:jc w:val="center"/>
              <w:rPr>
                <w:sz w:val="24"/>
                <w:szCs w:val="24"/>
              </w:rPr>
            </w:pPr>
            <w:r w:rsidRPr="004C0D35">
              <w:rPr>
                <w:sz w:val="24"/>
                <w:szCs w:val="24"/>
              </w:rPr>
              <w:t xml:space="preserve">-.232 </w:t>
            </w:r>
          </w:p>
          <w:p w14:paraId="6C85CFF2" w14:textId="77777777" w:rsidR="006516CE" w:rsidRPr="004C0D35" w:rsidRDefault="006516CE" w:rsidP="00854275">
            <w:pPr>
              <w:jc w:val="center"/>
              <w:rPr>
                <w:sz w:val="24"/>
                <w:szCs w:val="24"/>
              </w:rPr>
            </w:pPr>
            <w:r w:rsidRPr="004C0D35">
              <w:rPr>
                <w:sz w:val="24"/>
                <w:szCs w:val="24"/>
              </w:rPr>
              <w:t>(1.124)</w:t>
            </w:r>
          </w:p>
        </w:tc>
      </w:tr>
      <w:tr w:rsidR="006516CE" w:rsidRPr="004C0D35" w14:paraId="6EEAA610" w14:textId="77777777" w:rsidTr="00930894">
        <w:tc>
          <w:tcPr>
            <w:tcW w:w="2157" w:type="dxa"/>
            <w:vAlign w:val="center"/>
          </w:tcPr>
          <w:p w14:paraId="386AF441" w14:textId="77777777" w:rsidR="006516CE" w:rsidRPr="004C0D35" w:rsidRDefault="006516CE" w:rsidP="00930894">
            <w:pPr>
              <w:rPr>
                <w:sz w:val="24"/>
                <w:szCs w:val="24"/>
              </w:rPr>
            </w:pPr>
            <w:r w:rsidRPr="004C0D35">
              <w:rPr>
                <w:sz w:val="24"/>
                <w:szCs w:val="24"/>
              </w:rPr>
              <w:t>Tax Rate imposed on Fiduciary Income</w:t>
            </w:r>
          </w:p>
        </w:tc>
        <w:tc>
          <w:tcPr>
            <w:tcW w:w="2161" w:type="dxa"/>
            <w:vAlign w:val="center"/>
          </w:tcPr>
          <w:p w14:paraId="7A2937A1" w14:textId="77777777" w:rsidR="006516CE" w:rsidRPr="004C0D35" w:rsidRDefault="006516CE" w:rsidP="00854275">
            <w:pPr>
              <w:jc w:val="center"/>
              <w:rPr>
                <w:sz w:val="24"/>
                <w:szCs w:val="24"/>
              </w:rPr>
            </w:pPr>
            <w:r w:rsidRPr="004C0D35">
              <w:rPr>
                <w:sz w:val="24"/>
                <w:szCs w:val="24"/>
              </w:rPr>
              <w:t>2.978</w:t>
            </w:r>
          </w:p>
          <w:p w14:paraId="1A480969" w14:textId="77777777" w:rsidR="006516CE" w:rsidRPr="004C0D35" w:rsidRDefault="006516CE" w:rsidP="00854275">
            <w:pPr>
              <w:jc w:val="center"/>
              <w:rPr>
                <w:b/>
                <w:bCs/>
                <w:sz w:val="24"/>
                <w:szCs w:val="24"/>
              </w:rPr>
            </w:pPr>
            <w:r w:rsidRPr="004C0D35">
              <w:rPr>
                <w:sz w:val="24"/>
                <w:szCs w:val="24"/>
              </w:rPr>
              <w:t>(2.478)</w:t>
            </w:r>
          </w:p>
        </w:tc>
        <w:tc>
          <w:tcPr>
            <w:tcW w:w="2161" w:type="dxa"/>
            <w:vAlign w:val="center"/>
          </w:tcPr>
          <w:p w14:paraId="589DC69A" w14:textId="77777777" w:rsidR="006516CE" w:rsidRPr="004C0D35" w:rsidRDefault="006516CE" w:rsidP="00854275">
            <w:pPr>
              <w:jc w:val="center"/>
              <w:rPr>
                <w:sz w:val="24"/>
                <w:szCs w:val="24"/>
              </w:rPr>
            </w:pPr>
            <w:r w:rsidRPr="004C0D35">
              <w:rPr>
                <w:sz w:val="24"/>
                <w:szCs w:val="24"/>
              </w:rPr>
              <w:t>3.057</w:t>
            </w:r>
          </w:p>
          <w:p w14:paraId="37D8EA65" w14:textId="77777777" w:rsidR="006516CE" w:rsidRPr="004C0D35" w:rsidRDefault="006516CE" w:rsidP="00854275">
            <w:pPr>
              <w:jc w:val="center"/>
              <w:rPr>
                <w:sz w:val="24"/>
                <w:szCs w:val="24"/>
              </w:rPr>
            </w:pPr>
            <w:r w:rsidRPr="004C0D35">
              <w:rPr>
                <w:sz w:val="24"/>
                <w:szCs w:val="24"/>
              </w:rPr>
              <w:t>(2.461)</w:t>
            </w:r>
          </w:p>
        </w:tc>
        <w:tc>
          <w:tcPr>
            <w:tcW w:w="2161" w:type="dxa"/>
            <w:vAlign w:val="center"/>
          </w:tcPr>
          <w:p w14:paraId="17A5067A" w14:textId="77777777" w:rsidR="006516CE" w:rsidRPr="004C0D35" w:rsidRDefault="006516CE" w:rsidP="00854275">
            <w:pPr>
              <w:jc w:val="center"/>
              <w:rPr>
                <w:sz w:val="24"/>
                <w:szCs w:val="24"/>
              </w:rPr>
            </w:pPr>
            <w:r w:rsidRPr="004C0D35">
              <w:rPr>
                <w:sz w:val="24"/>
                <w:szCs w:val="24"/>
              </w:rPr>
              <w:t>-3.095</w:t>
            </w:r>
          </w:p>
          <w:p w14:paraId="30F62B5F" w14:textId="77777777" w:rsidR="006516CE" w:rsidRPr="004C0D35" w:rsidRDefault="006516CE" w:rsidP="00854275">
            <w:pPr>
              <w:jc w:val="center"/>
              <w:rPr>
                <w:sz w:val="24"/>
                <w:szCs w:val="24"/>
              </w:rPr>
            </w:pPr>
            <w:r w:rsidRPr="004C0D35">
              <w:rPr>
                <w:sz w:val="24"/>
                <w:szCs w:val="24"/>
              </w:rPr>
              <w:t>(2.17)</w:t>
            </w:r>
          </w:p>
        </w:tc>
      </w:tr>
      <w:tr w:rsidR="006516CE" w:rsidRPr="004C0D35" w14:paraId="5C1B40E4" w14:textId="77777777" w:rsidTr="00930894">
        <w:tc>
          <w:tcPr>
            <w:tcW w:w="2157" w:type="dxa"/>
            <w:vAlign w:val="center"/>
          </w:tcPr>
          <w:p w14:paraId="3AF1A9C0" w14:textId="77777777" w:rsidR="006516CE" w:rsidRPr="004C0D35" w:rsidRDefault="006516CE" w:rsidP="00930894">
            <w:pPr>
              <w:rPr>
                <w:sz w:val="24"/>
                <w:szCs w:val="24"/>
              </w:rPr>
            </w:pPr>
            <w:r w:rsidRPr="004C0D35">
              <w:rPr>
                <w:sz w:val="24"/>
                <w:szCs w:val="24"/>
              </w:rPr>
              <w:t>State Fixed Effects</w:t>
            </w:r>
          </w:p>
        </w:tc>
        <w:tc>
          <w:tcPr>
            <w:tcW w:w="2161" w:type="dxa"/>
            <w:vAlign w:val="center"/>
          </w:tcPr>
          <w:p w14:paraId="640A00FE" w14:textId="77777777" w:rsidR="006516CE" w:rsidRPr="004C0D35" w:rsidRDefault="006516CE" w:rsidP="00930894">
            <w:pPr>
              <w:jc w:val="center"/>
              <w:rPr>
                <w:sz w:val="24"/>
                <w:szCs w:val="24"/>
              </w:rPr>
            </w:pPr>
            <w:r w:rsidRPr="004C0D35">
              <w:rPr>
                <w:sz w:val="24"/>
                <w:szCs w:val="24"/>
              </w:rPr>
              <w:t>Yes</w:t>
            </w:r>
          </w:p>
        </w:tc>
        <w:tc>
          <w:tcPr>
            <w:tcW w:w="2161" w:type="dxa"/>
            <w:vAlign w:val="center"/>
          </w:tcPr>
          <w:p w14:paraId="6ED4ECBB" w14:textId="77777777" w:rsidR="006516CE" w:rsidRPr="004C0D35" w:rsidRDefault="006516CE" w:rsidP="00930894">
            <w:pPr>
              <w:jc w:val="center"/>
              <w:rPr>
                <w:sz w:val="24"/>
                <w:szCs w:val="24"/>
                <w:rtl/>
              </w:rPr>
            </w:pPr>
            <w:r w:rsidRPr="004C0D35">
              <w:rPr>
                <w:sz w:val="24"/>
                <w:szCs w:val="24"/>
              </w:rPr>
              <w:t>Yes</w:t>
            </w:r>
          </w:p>
        </w:tc>
        <w:tc>
          <w:tcPr>
            <w:tcW w:w="2161" w:type="dxa"/>
            <w:vAlign w:val="center"/>
          </w:tcPr>
          <w:p w14:paraId="798AC7AD" w14:textId="77777777" w:rsidR="006516CE" w:rsidRPr="004C0D35" w:rsidRDefault="006516CE" w:rsidP="00930894">
            <w:pPr>
              <w:jc w:val="center"/>
              <w:rPr>
                <w:sz w:val="24"/>
                <w:szCs w:val="24"/>
              </w:rPr>
            </w:pPr>
            <w:r w:rsidRPr="004C0D35">
              <w:rPr>
                <w:sz w:val="24"/>
                <w:szCs w:val="24"/>
              </w:rPr>
              <w:t>Yes</w:t>
            </w:r>
          </w:p>
        </w:tc>
      </w:tr>
      <w:tr w:rsidR="006516CE" w:rsidRPr="004C0D35" w14:paraId="6B52135E" w14:textId="77777777" w:rsidTr="00930894">
        <w:trPr>
          <w:trHeight w:val="76"/>
        </w:trPr>
        <w:tc>
          <w:tcPr>
            <w:tcW w:w="2157" w:type="dxa"/>
            <w:vAlign w:val="center"/>
          </w:tcPr>
          <w:p w14:paraId="1C954D36" w14:textId="77777777" w:rsidR="006516CE" w:rsidRPr="004C0D35" w:rsidRDefault="006516CE" w:rsidP="00930894">
            <w:pPr>
              <w:rPr>
                <w:sz w:val="24"/>
                <w:szCs w:val="24"/>
              </w:rPr>
            </w:pPr>
            <w:r w:rsidRPr="004C0D35">
              <w:rPr>
                <w:sz w:val="24"/>
                <w:szCs w:val="24"/>
              </w:rPr>
              <w:t>Year Fixed Effects</w:t>
            </w:r>
          </w:p>
        </w:tc>
        <w:tc>
          <w:tcPr>
            <w:tcW w:w="2161" w:type="dxa"/>
            <w:vAlign w:val="center"/>
          </w:tcPr>
          <w:p w14:paraId="26BFD70D" w14:textId="77777777" w:rsidR="006516CE" w:rsidRPr="004C0D35" w:rsidRDefault="006516CE" w:rsidP="00930894">
            <w:pPr>
              <w:jc w:val="center"/>
              <w:rPr>
                <w:sz w:val="24"/>
                <w:szCs w:val="24"/>
              </w:rPr>
            </w:pPr>
            <w:r w:rsidRPr="004C0D35">
              <w:rPr>
                <w:sz w:val="24"/>
                <w:szCs w:val="24"/>
              </w:rPr>
              <w:t>Yes</w:t>
            </w:r>
          </w:p>
        </w:tc>
        <w:tc>
          <w:tcPr>
            <w:tcW w:w="2161" w:type="dxa"/>
            <w:vAlign w:val="center"/>
          </w:tcPr>
          <w:p w14:paraId="28A9DDAC" w14:textId="77777777" w:rsidR="006516CE" w:rsidRPr="004C0D35" w:rsidRDefault="006516CE" w:rsidP="00930894">
            <w:pPr>
              <w:jc w:val="center"/>
              <w:rPr>
                <w:sz w:val="24"/>
                <w:szCs w:val="24"/>
              </w:rPr>
            </w:pPr>
            <w:r w:rsidRPr="004C0D35">
              <w:rPr>
                <w:sz w:val="24"/>
                <w:szCs w:val="24"/>
              </w:rPr>
              <w:t>Yes</w:t>
            </w:r>
          </w:p>
        </w:tc>
        <w:tc>
          <w:tcPr>
            <w:tcW w:w="2161" w:type="dxa"/>
            <w:vAlign w:val="center"/>
          </w:tcPr>
          <w:p w14:paraId="17A9E20F" w14:textId="77777777" w:rsidR="006516CE" w:rsidRPr="004C0D35" w:rsidRDefault="006516CE" w:rsidP="00930894">
            <w:pPr>
              <w:jc w:val="center"/>
              <w:rPr>
                <w:sz w:val="24"/>
                <w:szCs w:val="24"/>
              </w:rPr>
            </w:pPr>
            <w:r w:rsidRPr="004C0D35">
              <w:rPr>
                <w:sz w:val="24"/>
                <w:szCs w:val="24"/>
              </w:rPr>
              <w:t>Yes</w:t>
            </w:r>
          </w:p>
        </w:tc>
      </w:tr>
      <w:tr w:rsidR="006516CE" w:rsidRPr="004C0D35" w14:paraId="1568BED4" w14:textId="77777777" w:rsidTr="00930894">
        <w:trPr>
          <w:trHeight w:val="70"/>
        </w:trPr>
        <w:tc>
          <w:tcPr>
            <w:tcW w:w="2157" w:type="dxa"/>
            <w:vAlign w:val="center"/>
          </w:tcPr>
          <w:p w14:paraId="46BDE6A6" w14:textId="77777777" w:rsidR="006516CE" w:rsidRPr="004C0D35" w:rsidRDefault="006516CE" w:rsidP="00930894">
            <w:pPr>
              <w:rPr>
                <w:sz w:val="24"/>
                <w:szCs w:val="24"/>
              </w:rPr>
            </w:pPr>
            <w:r w:rsidRPr="004C0D35">
              <w:rPr>
                <w:sz w:val="24"/>
                <w:szCs w:val="24"/>
              </w:rPr>
              <w:t>Intercept</w:t>
            </w:r>
          </w:p>
        </w:tc>
        <w:tc>
          <w:tcPr>
            <w:tcW w:w="2161" w:type="dxa"/>
            <w:vAlign w:val="center"/>
          </w:tcPr>
          <w:p w14:paraId="7E463E8D" w14:textId="77777777" w:rsidR="006516CE" w:rsidRPr="004C0D35" w:rsidRDefault="006516CE" w:rsidP="00854275">
            <w:pPr>
              <w:jc w:val="center"/>
              <w:rPr>
                <w:sz w:val="24"/>
                <w:szCs w:val="24"/>
              </w:rPr>
            </w:pPr>
            <w:r w:rsidRPr="004C0D35">
              <w:rPr>
                <w:sz w:val="24"/>
                <w:szCs w:val="24"/>
              </w:rPr>
              <w:t>-.586**</w:t>
            </w:r>
          </w:p>
          <w:p w14:paraId="67DA95AA" w14:textId="77777777" w:rsidR="006516CE" w:rsidRPr="004C0D35" w:rsidRDefault="006516CE" w:rsidP="00854275">
            <w:pPr>
              <w:jc w:val="center"/>
              <w:rPr>
                <w:sz w:val="24"/>
                <w:szCs w:val="24"/>
              </w:rPr>
            </w:pPr>
            <w:r w:rsidRPr="004C0D35">
              <w:rPr>
                <w:sz w:val="24"/>
                <w:szCs w:val="24"/>
              </w:rPr>
              <w:t>(.227)</w:t>
            </w:r>
          </w:p>
        </w:tc>
        <w:tc>
          <w:tcPr>
            <w:tcW w:w="2161" w:type="dxa"/>
            <w:vAlign w:val="center"/>
          </w:tcPr>
          <w:p w14:paraId="47AC9112" w14:textId="77777777" w:rsidR="006516CE" w:rsidRPr="004C0D35" w:rsidRDefault="006516CE" w:rsidP="00854275">
            <w:pPr>
              <w:jc w:val="center"/>
              <w:rPr>
                <w:sz w:val="24"/>
                <w:szCs w:val="24"/>
              </w:rPr>
            </w:pPr>
            <w:r w:rsidRPr="004C0D35">
              <w:rPr>
                <w:sz w:val="24"/>
                <w:szCs w:val="24"/>
              </w:rPr>
              <w:t>-.594**</w:t>
            </w:r>
          </w:p>
          <w:p w14:paraId="4246321C" w14:textId="77777777" w:rsidR="006516CE" w:rsidRPr="004C0D35" w:rsidRDefault="006516CE" w:rsidP="00854275">
            <w:pPr>
              <w:jc w:val="center"/>
              <w:rPr>
                <w:sz w:val="24"/>
                <w:szCs w:val="24"/>
              </w:rPr>
            </w:pPr>
            <w:r w:rsidRPr="004C0D35">
              <w:rPr>
                <w:sz w:val="24"/>
                <w:szCs w:val="24"/>
              </w:rPr>
              <w:t>(.232)</w:t>
            </w:r>
          </w:p>
        </w:tc>
        <w:tc>
          <w:tcPr>
            <w:tcW w:w="2161" w:type="dxa"/>
            <w:vAlign w:val="center"/>
          </w:tcPr>
          <w:p w14:paraId="19FD3C75" w14:textId="77777777" w:rsidR="006516CE" w:rsidRPr="004C0D35" w:rsidRDefault="006516CE" w:rsidP="00854275">
            <w:pPr>
              <w:jc w:val="center"/>
              <w:rPr>
                <w:sz w:val="24"/>
                <w:szCs w:val="24"/>
              </w:rPr>
            </w:pPr>
            <w:r w:rsidRPr="004C0D35">
              <w:rPr>
                <w:sz w:val="24"/>
                <w:szCs w:val="24"/>
              </w:rPr>
              <w:t>-.722</w:t>
            </w:r>
          </w:p>
          <w:p w14:paraId="230517A4" w14:textId="77777777" w:rsidR="006516CE" w:rsidRPr="004C0D35" w:rsidRDefault="006516CE" w:rsidP="00854275">
            <w:pPr>
              <w:jc w:val="center"/>
              <w:rPr>
                <w:sz w:val="24"/>
                <w:szCs w:val="24"/>
              </w:rPr>
            </w:pPr>
            <w:r w:rsidRPr="004C0D35">
              <w:rPr>
                <w:sz w:val="24"/>
                <w:szCs w:val="24"/>
              </w:rPr>
              <w:t>(.480)</w:t>
            </w:r>
          </w:p>
        </w:tc>
      </w:tr>
      <w:tr w:rsidR="006516CE" w:rsidRPr="004C0D35" w14:paraId="416DE9CD" w14:textId="77777777" w:rsidTr="00930894">
        <w:trPr>
          <w:trHeight w:val="70"/>
        </w:trPr>
        <w:tc>
          <w:tcPr>
            <w:tcW w:w="2157" w:type="dxa"/>
            <w:vAlign w:val="center"/>
          </w:tcPr>
          <w:p w14:paraId="6E6D9318" w14:textId="77777777" w:rsidR="006516CE" w:rsidRPr="004C0D35" w:rsidRDefault="006516CE" w:rsidP="00930894">
            <w:pPr>
              <w:rPr>
                <w:sz w:val="24"/>
                <w:szCs w:val="24"/>
              </w:rPr>
            </w:pPr>
            <w:r w:rsidRPr="004C0D35">
              <w:rPr>
                <w:sz w:val="24"/>
                <w:szCs w:val="24"/>
              </w:rPr>
              <w:t>Observations</w:t>
            </w:r>
          </w:p>
        </w:tc>
        <w:tc>
          <w:tcPr>
            <w:tcW w:w="2161" w:type="dxa"/>
            <w:vAlign w:val="center"/>
          </w:tcPr>
          <w:p w14:paraId="7CB0F5E1" w14:textId="77777777" w:rsidR="006516CE" w:rsidRPr="004C0D35" w:rsidRDefault="006516CE" w:rsidP="00930894">
            <w:pPr>
              <w:jc w:val="center"/>
              <w:rPr>
                <w:sz w:val="24"/>
                <w:szCs w:val="24"/>
              </w:rPr>
            </w:pPr>
            <w:r w:rsidRPr="004C0D35">
              <w:rPr>
                <w:sz w:val="24"/>
                <w:szCs w:val="24"/>
              </w:rPr>
              <w:t>286</w:t>
            </w:r>
          </w:p>
        </w:tc>
        <w:tc>
          <w:tcPr>
            <w:tcW w:w="2161" w:type="dxa"/>
            <w:vAlign w:val="center"/>
          </w:tcPr>
          <w:p w14:paraId="2BD5A3D0" w14:textId="77777777" w:rsidR="006516CE" w:rsidRPr="004C0D35" w:rsidRDefault="006516CE" w:rsidP="00930894">
            <w:pPr>
              <w:jc w:val="center"/>
              <w:rPr>
                <w:sz w:val="24"/>
                <w:szCs w:val="24"/>
              </w:rPr>
            </w:pPr>
            <w:r w:rsidRPr="004C0D35">
              <w:rPr>
                <w:sz w:val="24"/>
                <w:szCs w:val="24"/>
              </w:rPr>
              <w:t>286</w:t>
            </w:r>
          </w:p>
        </w:tc>
        <w:tc>
          <w:tcPr>
            <w:tcW w:w="2161" w:type="dxa"/>
            <w:vAlign w:val="center"/>
          </w:tcPr>
          <w:p w14:paraId="3DFA2BC5" w14:textId="77777777" w:rsidR="006516CE" w:rsidRPr="004C0D35" w:rsidRDefault="006516CE" w:rsidP="00930894">
            <w:pPr>
              <w:jc w:val="center"/>
              <w:rPr>
                <w:sz w:val="24"/>
                <w:szCs w:val="24"/>
              </w:rPr>
            </w:pPr>
            <w:r w:rsidRPr="004C0D35">
              <w:rPr>
                <w:sz w:val="24"/>
                <w:szCs w:val="24"/>
              </w:rPr>
              <w:t>286</w:t>
            </w:r>
          </w:p>
        </w:tc>
      </w:tr>
      <w:tr w:rsidR="006516CE" w:rsidRPr="004C0D35" w14:paraId="43DAFC04" w14:textId="77777777" w:rsidTr="00930894">
        <w:tc>
          <w:tcPr>
            <w:tcW w:w="2157" w:type="dxa"/>
            <w:tcBorders>
              <w:bottom w:val="double" w:sz="4" w:space="0" w:color="auto"/>
            </w:tcBorders>
            <w:vAlign w:val="center"/>
          </w:tcPr>
          <w:p w14:paraId="30AF3105" w14:textId="77777777" w:rsidR="006516CE" w:rsidRPr="004C0D35" w:rsidRDefault="006516CE" w:rsidP="00930894">
            <w:pPr>
              <w:rPr>
                <w:sz w:val="24"/>
                <w:szCs w:val="24"/>
              </w:rPr>
            </w:pPr>
            <w:r w:rsidRPr="004C0D35">
              <w:rPr>
                <w:sz w:val="24"/>
                <w:szCs w:val="24"/>
              </w:rPr>
              <w:t>R Squared</w:t>
            </w:r>
          </w:p>
        </w:tc>
        <w:tc>
          <w:tcPr>
            <w:tcW w:w="2161" w:type="dxa"/>
            <w:tcBorders>
              <w:bottom w:val="double" w:sz="4" w:space="0" w:color="auto"/>
            </w:tcBorders>
            <w:vAlign w:val="center"/>
          </w:tcPr>
          <w:p w14:paraId="4BF85499" w14:textId="77777777" w:rsidR="006516CE" w:rsidRPr="004C0D35" w:rsidRDefault="00854275" w:rsidP="00930894">
            <w:pPr>
              <w:jc w:val="center"/>
              <w:rPr>
                <w:sz w:val="24"/>
                <w:szCs w:val="24"/>
              </w:rPr>
            </w:pPr>
            <w:r>
              <w:rPr>
                <w:sz w:val="24"/>
                <w:szCs w:val="24"/>
              </w:rPr>
              <w:t>0.168</w:t>
            </w:r>
          </w:p>
        </w:tc>
        <w:tc>
          <w:tcPr>
            <w:tcW w:w="2161" w:type="dxa"/>
            <w:tcBorders>
              <w:bottom w:val="double" w:sz="4" w:space="0" w:color="auto"/>
            </w:tcBorders>
            <w:vAlign w:val="center"/>
          </w:tcPr>
          <w:p w14:paraId="10D24BE0" w14:textId="77777777" w:rsidR="006516CE" w:rsidRPr="004C0D35" w:rsidRDefault="00854275" w:rsidP="00930894">
            <w:pPr>
              <w:jc w:val="center"/>
              <w:rPr>
                <w:sz w:val="24"/>
                <w:szCs w:val="24"/>
              </w:rPr>
            </w:pPr>
            <w:r>
              <w:rPr>
                <w:sz w:val="24"/>
                <w:szCs w:val="24"/>
              </w:rPr>
              <w:t>0.17</w:t>
            </w:r>
          </w:p>
        </w:tc>
        <w:tc>
          <w:tcPr>
            <w:tcW w:w="2161" w:type="dxa"/>
            <w:tcBorders>
              <w:bottom w:val="double" w:sz="4" w:space="0" w:color="auto"/>
            </w:tcBorders>
            <w:vAlign w:val="center"/>
          </w:tcPr>
          <w:p w14:paraId="6EB57F21" w14:textId="77777777" w:rsidR="006516CE" w:rsidRPr="004C0D35" w:rsidRDefault="006516CE" w:rsidP="00854275">
            <w:pPr>
              <w:jc w:val="center"/>
              <w:rPr>
                <w:sz w:val="24"/>
                <w:szCs w:val="24"/>
              </w:rPr>
            </w:pPr>
            <w:r w:rsidRPr="004C0D35">
              <w:rPr>
                <w:sz w:val="24"/>
                <w:szCs w:val="24"/>
              </w:rPr>
              <w:t>0.428</w:t>
            </w:r>
          </w:p>
        </w:tc>
      </w:tr>
      <w:tr w:rsidR="006516CE" w:rsidRPr="004C0D35" w14:paraId="63A441F4" w14:textId="77777777" w:rsidTr="00930894">
        <w:trPr>
          <w:gridAfter w:val="3"/>
          <w:wAfter w:w="6483" w:type="dxa"/>
        </w:trPr>
        <w:tc>
          <w:tcPr>
            <w:tcW w:w="2157" w:type="dxa"/>
            <w:tcBorders>
              <w:top w:val="double" w:sz="4" w:space="0" w:color="auto"/>
            </w:tcBorders>
          </w:tcPr>
          <w:p w14:paraId="4302F600" w14:textId="77777777" w:rsidR="006516CE" w:rsidRPr="004C0D35" w:rsidRDefault="006516CE" w:rsidP="00930894">
            <w:pPr>
              <w:rPr>
                <w:sz w:val="24"/>
                <w:szCs w:val="24"/>
              </w:rPr>
            </w:pPr>
          </w:p>
        </w:tc>
      </w:tr>
    </w:tbl>
    <w:p w14:paraId="2F831352" w14:textId="77777777" w:rsidR="006516CE" w:rsidRPr="004C0D35" w:rsidRDefault="006516CE" w:rsidP="00854275">
      <w:pPr>
        <w:spacing w:after="0" w:line="240" w:lineRule="auto"/>
        <w:ind w:right="90"/>
        <w:rPr>
          <w:rFonts w:ascii="Times New Roman" w:hAnsi="Times New Roman" w:cs="Times New Roman"/>
          <w:sz w:val="24"/>
          <w:szCs w:val="24"/>
        </w:rPr>
      </w:pPr>
      <w:r w:rsidRPr="004F781B">
        <w:rPr>
          <w:rFonts w:ascii="Times New Roman" w:hAnsi="Times New Roman" w:cs="Times New Roman"/>
          <w:b/>
          <w:bCs/>
          <w:sz w:val="24"/>
          <w:szCs w:val="24"/>
        </w:rPr>
        <w:t>Note</w:t>
      </w:r>
      <w:r w:rsidRPr="004C0D35">
        <w:rPr>
          <w:rFonts w:ascii="Times New Roman" w:hAnsi="Times New Roman" w:cs="Times New Roman"/>
          <w:sz w:val="24"/>
          <w:szCs w:val="24"/>
        </w:rPr>
        <w:t>. Cell entries are ordinary least squares regression coefficients, with stan</w:t>
      </w:r>
      <w:r w:rsidRPr="004C0D35">
        <w:rPr>
          <w:rFonts w:ascii="Times New Roman" w:hAnsi="Times New Roman" w:cs="Times New Roman"/>
          <w:sz w:val="24"/>
          <w:szCs w:val="24"/>
        </w:rPr>
        <w:softHyphen/>
        <w:t>dard errors</w:t>
      </w:r>
      <w:r w:rsidR="00854275">
        <w:rPr>
          <w:rFonts w:ascii="Times New Roman" w:hAnsi="Times New Roman" w:cs="Times New Roman"/>
          <w:sz w:val="24"/>
          <w:szCs w:val="24"/>
        </w:rPr>
        <w:t>, clustered at the state level,</w:t>
      </w:r>
      <w:r w:rsidRPr="004C0D35">
        <w:rPr>
          <w:rFonts w:ascii="Times New Roman" w:hAnsi="Times New Roman" w:cs="Times New Roman"/>
          <w:sz w:val="24"/>
          <w:szCs w:val="24"/>
        </w:rPr>
        <w:t xml:space="preserve"> in parentheses. </w:t>
      </w:r>
    </w:p>
    <w:p w14:paraId="5288F6EC" w14:textId="77777777" w:rsidR="006516CE" w:rsidRPr="004C0D35" w:rsidRDefault="006516CE" w:rsidP="006516CE">
      <w:pPr>
        <w:spacing w:after="0" w:line="240" w:lineRule="auto"/>
        <w:ind w:right="90"/>
        <w:rPr>
          <w:rFonts w:ascii="Times New Roman" w:hAnsi="Times New Roman" w:cs="Times New Roman"/>
          <w:sz w:val="24"/>
          <w:szCs w:val="24"/>
        </w:rPr>
      </w:pPr>
      <w:r w:rsidRPr="004C0D35">
        <w:rPr>
          <w:rFonts w:ascii="Times New Roman" w:hAnsi="Times New Roman" w:cs="Times New Roman"/>
          <w:sz w:val="24"/>
          <w:szCs w:val="24"/>
        </w:rPr>
        <w:t xml:space="preserve">  *** p ≤ 0.01, ** p ≤ 0.05, * p ≤ 0.1</w:t>
      </w:r>
    </w:p>
    <w:p w14:paraId="6B75962C" w14:textId="77777777" w:rsidR="006516CE" w:rsidRPr="004C0D35" w:rsidRDefault="006516CE" w:rsidP="00D21F1A">
      <w:pPr>
        <w:spacing w:after="0" w:line="276" w:lineRule="auto"/>
        <w:jc w:val="both"/>
        <w:rPr>
          <w:rFonts w:ascii="Times New Roman" w:eastAsia="Times New Roman" w:hAnsi="Times New Roman" w:cs="Times New Roman"/>
          <w:sz w:val="24"/>
          <w:szCs w:val="24"/>
        </w:rPr>
      </w:pPr>
    </w:p>
    <w:p w14:paraId="190EF90B" w14:textId="6CDB0E8C" w:rsidR="009C4B35" w:rsidRPr="009C4B35" w:rsidRDefault="009C4B35" w:rsidP="00597FDC">
      <w:pPr>
        <w:spacing w:after="0" w:line="276" w:lineRule="auto"/>
        <w:jc w:val="both"/>
        <w:rPr>
          <w:rFonts w:ascii="Times New Roman" w:hAnsi="Times New Roman" w:cs="Times New Roman"/>
          <w:sz w:val="24"/>
          <w:szCs w:val="24"/>
        </w:rPr>
      </w:pPr>
      <w:r w:rsidRPr="009C4B35">
        <w:rPr>
          <w:rFonts w:ascii="Times New Roman" w:eastAsia="Times New Roman" w:hAnsi="Times New Roman" w:cs="Times New Roman"/>
          <w:sz w:val="24"/>
          <w:szCs w:val="24"/>
        </w:rPr>
        <w:t>I further attempted to investigate the relationship of trust law liberality to the market in trust services by using two more sets of dependent variables. One set reflects</w:t>
      </w:r>
      <w:r>
        <w:rPr>
          <w:rFonts w:ascii="Times New Roman" w:eastAsia="Times New Roman" w:hAnsi="Times New Roman" w:cs="Times New Roman"/>
          <w:sz w:val="24"/>
          <w:szCs w:val="24"/>
        </w:rPr>
        <w:t xml:space="preserve"> trust practice outside the U.S:</w:t>
      </w:r>
      <w:r w:rsidRPr="009C4B35">
        <w:rPr>
          <w:rFonts w:ascii="Times New Roman" w:eastAsia="Times New Roman" w:hAnsi="Times New Roman" w:cs="Times New Roman"/>
          <w:sz w:val="24"/>
          <w:szCs w:val="24"/>
        </w:rPr>
        <w:t xml:space="preserve"> I used data submitted to the I.R.S. respecting “foreign” trusts with a U.S. owner, which is available on a country-by-country basis for selected tax years.</w:t>
      </w:r>
      <w:r w:rsidR="00597FDC">
        <w:rPr>
          <w:rStyle w:val="FootnoteReference"/>
          <w:rFonts w:ascii="Times New Roman" w:eastAsia="Times New Roman" w:hAnsi="Times New Roman" w:cs="Times New Roman"/>
          <w:sz w:val="24"/>
          <w:szCs w:val="24"/>
        </w:rPr>
        <w:footnoteReference w:id="72"/>
      </w:r>
      <w:r w:rsidRPr="009C4B35">
        <w:rPr>
          <w:rFonts w:ascii="Times New Roman" w:eastAsia="Times New Roman" w:hAnsi="Times New Roman" w:cs="Times New Roman"/>
          <w:sz w:val="24"/>
          <w:szCs w:val="24"/>
        </w:rPr>
        <w:t xml:space="preserve"> The dependent variables used were number of returns</w:t>
      </w:r>
      <w:r w:rsidR="00B2209E">
        <w:rPr>
          <w:rFonts w:ascii="Times New Roman" w:eastAsia="Times New Roman" w:hAnsi="Times New Roman" w:cs="Times New Roman"/>
          <w:sz w:val="24"/>
          <w:szCs w:val="24"/>
        </w:rPr>
        <w:t xml:space="preserve"> filed</w:t>
      </w:r>
      <w:r w:rsidRPr="009C4B35">
        <w:rPr>
          <w:rFonts w:ascii="Times New Roman" w:eastAsia="Times New Roman" w:hAnsi="Times New Roman" w:cs="Times New Roman"/>
          <w:sz w:val="24"/>
          <w:szCs w:val="24"/>
        </w:rPr>
        <w:t xml:space="preserve">, total </w:t>
      </w:r>
      <w:r w:rsidR="00B2209E">
        <w:rPr>
          <w:rFonts w:ascii="Times New Roman" w:eastAsia="Times New Roman" w:hAnsi="Times New Roman" w:cs="Times New Roman"/>
          <w:sz w:val="24"/>
          <w:szCs w:val="24"/>
        </w:rPr>
        <w:t xml:space="preserve">trust </w:t>
      </w:r>
      <w:r w:rsidRPr="009C4B35">
        <w:rPr>
          <w:rFonts w:ascii="Times New Roman" w:eastAsia="Times New Roman" w:hAnsi="Times New Roman" w:cs="Times New Roman"/>
          <w:sz w:val="24"/>
          <w:szCs w:val="24"/>
        </w:rPr>
        <w:t>income, trustee and advisor fees</w:t>
      </w:r>
      <w:r w:rsidR="00B2209E">
        <w:rPr>
          <w:rFonts w:ascii="Times New Roman" w:eastAsia="Times New Roman" w:hAnsi="Times New Roman" w:cs="Times New Roman"/>
          <w:sz w:val="24"/>
          <w:szCs w:val="24"/>
        </w:rPr>
        <w:t xml:space="preserve"> deducted</w:t>
      </w:r>
      <w:r w:rsidRPr="009C4B35">
        <w:rPr>
          <w:rFonts w:ascii="Times New Roman" w:eastAsia="Times New Roman" w:hAnsi="Times New Roman" w:cs="Times New Roman"/>
          <w:sz w:val="24"/>
          <w:szCs w:val="24"/>
        </w:rPr>
        <w:t>, total assets and total net worth</w:t>
      </w:r>
      <w:r w:rsidR="001A694E">
        <w:rPr>
          <w:rFonts w:ascii="Times New Roman" w:eastAsia="Times New Roman" w:hAnsi="Times New Roman" w:cs="Times New Roman"/>
          <w:sz w:val="24"/>
          <w:szCs w:val="24"/>
        </w:rPr>
        <w:t xml:space="preserve">, </w:t>
      </w:r>
      <w:r w:rsidR="00B2209E">
        <w:rPr>
          <w:rFonts w:ascii="Times New Roman" w:eastAsia="Times New Roman" w:hAnsi="Times New Roman" w:cs="Times New Roman"/>
          <w:sz w:val="24"/>
          <w:szCs w:val="24"/>
        </w:rPr>
        <w:t xml:space="preserve">as reported </w:t>
      </w:r>
      <w:r w:rsidR="001A694E">
        <w:rPr>
          <w:rFonts w:ascii="Times New Roman" w:eastAsia="Times New Roman" w:hAnsi="Times New Roman" w:cs="Times New Roman"/>
          <w:sz w:val="24"/>
          <w:szCs w:val="24"/>
        </w:rPr>
        <w:t>for each jurisdiction/year</w:t>
      </w:r>
      <w:r w:rsidRPr="009C4B35">
        <w:rPr>
          <w:rFonts w:ascii="Times New Roman" w:eastAsia="Times New Roman" w:hAnsi="Times New Roman" w:cs="Times New Roman"/>
          <w:sz w:val="24"/>
          <w:szCs w:val="24"/>
        </w:rPr>
        <w:t>. Once additional predictors were introduced into the model, no statistically significant relationships were found between trust law liberality and any of the</w:t>
      </w:r>
      <w:r w:rsidR="00B2209E">
        <w:rPr>
          <w:rFonts w:ascii="Times New Roman" w:eastAsia="Times New Roman" w:hAnsi="Times New Roman" w:cs="Times New Roman"/>
          <w:sz w:val="24"/>
          <w:szCs w:val="24"/>
        </w:rPr>
        <w:t>se</w:t>
      </w:r>
      <w:r w:rsidRPr="009C4B35">
        <w:rPr>
          <w:rFonts w:ascii="Times New Roman" w:eastAsia="Times New Roman" w:hAnsi="Times New Roman" w:cs="Times New Roman"/>
          <w:sz w:val="24"/>
          <w:szCs w:val="24"/>
        </w:rPr>
        <w:t xml:space="preserve"> dependent variables.</w:t>
      </w:r>
      <w:r>
        <w:rPr>
          <w:rStyle w:val="FootnoteReference"/>
          <w:rFonts w:ascii="Times New Roman" w:eastAsia="Times New Roman" w:hAnsi="Times New Roman" w:cs="Times New Roman"/>
          <w:sz w:val="24"/>
          <w:szCs w:val="24"/>
        </w:rPr>
        <w:footnoteReference w:id="73"/>
      </w:r>
      <w:r w:rsidRPr="009C4B35">
        <w:rPr>
          <w:rFonts w:ascii="Times New Roman" w:hAnsi="Times New Roman" w:cs="Times New Roman"/>
          <w:sz w:val="24"/>
          <w:szCs w:val="24"/>
        </w:rPr>
        <w:t xml:space="preserve"> The final set of dependent variables I used </w:t>
      </w:r>
      <w:r w:rsidRPr="009C4B35">
        <w:rPr>
          <w:rFonts w:ascii="Times New Roman" w:hAnsi="Times New Roman" w:cs="Times New Roman"/>
          <w:sz w:val="24"/>
          <w:szCs w:val="24"/>
          <w:shd w:val="clear" w:color="auto" w:fill="FFFFFF"/>
        </w:rPr>
        <w:t xml:space="preserve">included Census Bureau data on the amount of establishments, the </w:t>
      </w:r>
      <w:r w:rsidRPr="009C4B35">
        <w:rPr>
          <w:rFonts w:ascii="Times New Roman" w:hAnsi="Times New Roman" w:cs="Times New Roman"/>
          <w:sz w:val="24"/>
          <w:szCs w:val="24"/>
        </w:rPr>
        <w:t>amount of employees and annual payroll in the “trust fiduciary and custody” sector of each U.S. state</w:t>
      </w:r>
      <w:r w:rsidR="001A694E">
        <w:rPr>
          <w:rFonts w:ascii="Times New Roman" w:hAnsi="Times New Roman" w:cs="Times New Roman"/>
          <w:sz w:val="24"/>
          <w:szCs w:val="24"/>
        </w:rPr>
        <w:t>, annually</w:t>
      </w:r>
      <w:r w:rsidRPr="009C4B35">
        <w:rPr>
          <w:rFonts w:ascii="Times New Roman" w:hAnsi="Times New Roman" w:cs="Times New Roman"/>
          <w:sz w:val="24"/>
          <w:szCs w:val="24"/>
        </w:rPr>
        <w:t xml:space="preserve"> from 2002-2015. I used Census Bureau data on North American Industry Classification System (</w:t>
      </w:r>
      <w:r w:rsidR="009C1D9B">
        <w:rPr>
          <w:rFonts w:ascii="Times New Roman" w:hAnsi="Times New Roman" w:cs="Times New Roman"/>
          <w:sz w:val="24"/>
          <w:szCs w:val="24"/>
        </w:rPr>
        <w:t>“</w:t>
      </w:r>
      <w:r w:rsidRPr="009C4B35">
        <w:rPr>
          <w:rFonts w:ascii="Times New Roman" w:hAnsi="Times New Roman" w:cs="Times New Roman"/>
          <w:sz w:val="24"/>
          <w:szCs w:val="24"/>
        </w:rPr>
        <w:t>NAICS</w:t>
      </w:r>
      <w:r w:rsidR="009C1D9B">
        <w:rPr>
          <w:rFonts w:ascii="Times New Roman" w:hAnsi="Times New Roman" w:cs="Times New Roman"/>
          <w:sz w:val="24"/>
          <w:szCs w:val="24"/>
        </w:rPr>
        <w:t>”</w:t>
      </w:r>
      <w:r w:rsidRPr="009C4B35">
        <w:rPr>
          <w:rFonts w:ascii="Times New Roman" w:hAnsi="Times New Roman" w:cs="Times New Roman"/>
          <w:sz w:val="24"/>
          <w:szCs w:val="24"/>
        </w:rPr>
        <w:t xml:space="preserve">) code 523991, which the NAICS Association defines as </w:t>
      </w:r>
      <w:r w:rsidRPr="009C4B35">
        <w:rPr>
          <w:rFonts w:ascii="Times New Roman" w:hAnsi="Times New Roman" w:cs="Times New Roman"/>
          <w:sz w:val="24"/>
          <w:szCs w:val="24"/>
          <w:shd w:val="clear" w:color="auto" w:fill="FFFFFF"/>
        </w:rPr>
        <w:t>“compris[ing] establishments primarily engaged in providing trust, fiduciary, and custody services to others, as instructed, on a fee or contract basis, such as bank trust offices and escrow agencies (except real estate</w:t>
      </w:r>
      <w:r w:rsidR="009C1D9B">
        <w:rPr>
          <w:rFonts w:ascii="Times New Roman" w:hAnsi="Times New Roman" w:cs="Times New Roman"/>
          <w:sz w:val="24"/>
          <w:szCs w:val="24"/>
          <w:shd w:val="clear" w:color="auto" w:fill="FFFFFF"/>
        </w:rPr>
        <w:t>.</w:t>
      </w:r>
      <w:r w:rsidRPr="009C4B35">
        <w:rPr>
          <w:rFonts w:ascii="Times New Roman" w:hAnsi="Times New Roman" w:cs="Times New Roman"/>
          <w:sz w:val="24"/>
          <w:szCs w:val="24"/>
          <w:shd w:val="clear" w:color="auto" w:fill="FFFFFF"/>
        </w:rPr>
        <w:t>)”</w:t>
      </w:r>
      <w:r w:rsidRPr="004C0D35">
        <w:rPr>
          <w:rStyle w:val="FootnoteReference"/>
          <w:rFonts w:ascii="Times New Roman" w:eastAsia="Times New Roman" w:hAnsi="Times New Roman" w:cs="Times New Roman"/>
          <w:sz w:val="24"/>
          <w:szCs w:val="24"/>
        </w:rPr>
        <w:footnoteReference w:id="74"/>
      </w:r>
      <w:r w:rsidRPr="009C4B35">
        <w:rPr>
          <w:rFonts w:ascii="Times New Roman" w:hAnsi="Times New Roman" w:cs="Times New Roman"/>
          <w:sz w:val="24"/>
          <w:szCs w:val="24"/>
          <w:shd w:val="clear" w:color="auto" w:fill="FFFFFF"/>
        </w:rPr>
        <w:t xml:space="preserve"> </w:t>
      </w:r>
      <w:r w:rsidRPr="009C4B35">
        <w:rPr>
          <w:rFonts w:ascii="Times New Roman" w:hAnsi="Times New Roman" w:cs="Times New Roman"/>
          <w:sz w:val="24"/>
          <w:szCs w:val="24"/>
        </w:rPr>
        <w:t>Once GDP, population, the savings rate, the tax rate applicable to fiduciary income, state and year fixed effects were taken into account in regressing these dependent variables on the liberalization scores, no significant relationships were found.</w:t>
      </w:r>
    </w:p>
    <w:p w14:paraId="6E74D390" w14:textId="03A793DA" w:rsidR="00DA4874" w:rsidRDefault="004C6813" w:rsidP="00E203F4">
      <w:pPr>
        <w:spacing w:after="0" w:line="276" w:lineRule="auto"/>
        <w:ind w:firstLine="720"/>
        <w:jc w:val="both"/>
        <w:rPr>
          <w:rFonts w:ascii="Times New Roman" w:eastAsia="Times New Roman" w:hAnsi="Times New Roman" w:cs="Times New Roman"/>
          <w:sz w:val="24"/>
          <w:szCs w:val="24"/>
        </w:rPr>
      </w:pPr>
      <w:r w:rsidRPr="004C0D35">
        <w:rPr>
          <w:rFonts w:ascii="Times New Roman" w:eastAsia="Times New Roman" w:hAnsi="Times New Roman" w:cs="Times New Roman"/>
          <w:sz w:val="24"/>
          <w:szCs w:val="24"/>
        </w:rPr>
        <w:t xml:space="preserve">These results lend themselves to </w:t>
      </w:r>
      <w:r w:rsidR="00DA4874">
        <w:rPr>
          <w:rFonts w:ascii="Times New Roman" w:eastAsia="Times New Roman" w:hAnsi="Times New Roman" w:cs="Times New Roman"/>
          <w:sz w:val="24"/>
          <w:szCs w:val="24"/>
        </w:rPr>
        <w:t>two different inter</w:t>
      </w:r>
      <w:r w:rsidRPr="004C0D35">
        <w:rPr>
          <w:rFonts w:ascii="Times New Roman" w:eastAsia="Times New Roman" w:hAnsi="Times New Roman" w:cs="Times New Roman"/>
          <w:sz w:val="24"/>
          <w:szCs w:val="24"/>
        </w:rPr>
        <w:t>pretation</w:t>
      </w:r>
      <w:r w:rsidR="00DA4874">
        <w:rPr>
          <w:rFonts w:ascii="Times New Roman" w:eastAsia="Times New Roman" w:hAnsi="Times New Roman" w:cs="Times New Roman"/>
          <w:sz w:val="24"/>
          <w:szCs w:val="24"/>
        </w:rPr>
        <w:t>s</w:t>
      </w:r>
      <w:r w:rsidRPr="004C0D35">
        <w:rPr>
          <w:rFonts w:ascii="Times New Roman" w:eastAsia="Times New Roman" w:hAnsi="Times New Roman" w:cs="Times New Roman"/>
          <w:sz w:val="24"/>
          <w:szCs w:val="24"/>
        </w:rPr>
        <w:t xml:space="preserve">. </w:t>
      </w:r>
      <w:r w:rsidR="00DA4874">
        <w:rPr>
          <w:rFonts w:ascii="Times New Roman" w:eastAsia="Times New Roman" w:hAnsi="Times New Roman" w:cs="Times New Roman"/>
          <w:sz w:val="24"/>
          <w:szCs w:val="24"/>
        </w:rPr>
        <w:t>On one view, given that</w:t>
      </w:r>
      <w:r w:rsidR="00DA4874" w:rsidRPr="004C0D35">
        <w:rPr>
          <w:rFonts w:ascii="Times New Roman" w:hAnsi="Times New Roman" w:cs="Times New Roman"/>
          <w:sz w:val="24"/>
          <w:szCs w:val="24"/>
        </w:rPr>
        <w:t xml:space="preserve"> </w:t>
      </w:r>
      <w:r w:rsidR="006448ED">
        <w:rPr>
          <w:rFonts w:ascii="Times New Roman" w:hAnsi="Times New Roman" w:cs="Times New Roman"/>
          <w:sz w:val="24"/>
          <w:szCs w:val="24"/>
        </w:rPr>
        <w:t xml:space="preserve">even </w:t>
      </w:r>
      <w:r w:rsidR="00DA4874" w:rsidRPr="004C0D35">
        <w:rPr>
          <w:rFonts w:ascii="Times New Roman" w:hAnsi="Times New Roman" w:cs="Times New Roman"/>
          <w:sz w:val="24"/>
          <w:szCs w:val="24"/>
        </w:rPr>
        <w:t xml:space="preserve">the relationships identified </w:t>
      </w:r>
      <w:r w:rsidR="006448ED">
        <w:rPr>
          <w:rFonts w:ascii="Times New Roman" w:hAnsi="Times New Roman" w:cs="Times New Roman"/>
          <w:sz w:val="24"/>
          <w:szCs w:val="24"/>
        </w:rPr>
        <w:t xml:space="preserve">in Table 2 </w:t>
      </w:r>
      <w:r w:rsidR="00DA4874">
        <w:rPr>
          <w:rFonts w:ascii="Times New Roman" w:hAnsi="Times New Roman" w:cs="Times New Roman"/>
          <w:sz w:val="24"/>
          <w:szCs w:val="24"/>
        </w:rPr>
        <w:t>above</w:t>
      </w:r>
      <w:r w:rsidR="00DA4874" w:rsidRPr="004C0D35">
        <w:rPr>
          <w:rFonts w:ascii="Times New Roman" w:hAnsi="Times New Roman" w:cs="Times New Roman"/>
          <w:sz w:val="24"/>
          <w:szCs w:val="24"/>
        </w:rPr>
        <w:t xml:space="preserve"> are only </w:t>
      </w:r>
      <w:r w:rsidR="00DA4874">
        <w:rPr>
          <w:rFonts w:ascii="Times New Roman" w:hAnsi="Times New Roman" w:cs="Times New Roman"/>
          <w:sz w:val="24"/>
          <w:szCs w:val="24"/>
        </w:rPr>
        <w:t>marginally statistically</w:t>
      </w:r>
      <w:r w:rsidR="00DA4874" w:rsidRPr="004C0D35">
        <w:rPr>
          <w:rFonts w:ascii="Times New Roman" w:hAnsi="Times New Roman" w:cs="Times New Roman"/>
          <w:sz w:val="24"/>
          <w:szCs w:val="24"/>
        </w:rPr>
        <w:t xml:space="preserve"> significant</w:t>
      </w:r>
      <w:r w:rsidR="00DA4874">
        <w:rPr>
          <w:rFonts w:ascii="Times New Roman" w:hAnsi="Times New Roman" w:cs="Times New Roman"/>
          <w:sz w:val="24"/>
          <w:szCs w:val="24"/>
        </w:rPr>
        <w:t xml:space="preserve">, and that they are the only relationships that emerged despite my having fit a </w:t>
      </w:r>
      <w:r w:rsidR="00F569DA">
        <w:rPr>
          <w:rFonts w:ascii="Times New Roman" w:hAnsi="Times New Roman" w:cs="Times New Roman"/>
          <w:sz w:val="24"/>
          <w:szCs w:val="24"/>
        </w:rPr>
        <w:t>large</w:t>
      </w:r>
      <w:r w:rsidR="00E203F4">
        <w:rPr>
          <w:rFonts w:ascii="Times New Roman" w:hAnsi="Times New Roman" w:cs="Times New Roman"/>
          <w:sz w:val="24"/>
          <w:szCs w:val="24"/>
        </w:rPr>
        <w:t xml:space="preserve"> number of models,</w:t>
      </w:r>
      <w:r w:rsidR="00DA33BC" w:rsidRPr="00DA33BC">
        <w:rPr>
          <w:rStyle w:val="FootnoteReference"/>
          <w:rFonts w:ascii="Times New Roman" w:eastAsia="Times New Roman" w:hAnsi="Times New Roman" w:cs="Times New Roman"/>
          <w:sz w:val="24"/>
          <w:szCs w:val="24"/>
        </w:rPr>
        <w:t xml:space="preserve"> </w:t>
      </w:r>
      <w:r w:rsidR="00DA4874">
        <w:rPr>
          <w:rFonts w:ascii="Times New Roman" w:hAnsi="Times New Roman" w:cs="Times New Roman"/>
          <w:sz w:val="24"/>
          <w:szCs w:val="24"/>
        </w:rPr>
        <w:t xml:space="preserve">my limited findings fail to disprove the null hypothesis – that the trust law reforms I examined had no effect on, and were not correlated with, trustee income per trust, attorney, </w:t>
      </w:r>
      <w:r w:rsidR="00DA4874" w:rsidRPr="004C0D35">
        <w:rPr>
          <w:rFonts w:ascii="Times New Roman" w:eastAsia="Times New Roman" w:hAnsi="Times New Roman" w:cs="Times New Roman"/>
          <w:sz w:val="24"/>
          <w:szCs w:val="24"/>
        </w:rPr>
        <w:t xml:space="preserve">accountant and return preparer </w:t>
      </w:r>
      <w:r w:rsidR="00DA4874">
        <w:rPr>
          <w:rFonts w:ascii="Times New Roman" w:eastAsia="Times New Roman" w:hAnsi="Times New Roman" w:cs="Times New Roman"/>
          <w:sz w:val="24"/>
          <w:szCs w:val="24"/>
        </w:rPr>
        <w:t>i</w:t>
      </w:r>
      <w:r w:rsidR="00DA4874" w:rsidRPr="004C0D35">
        <w:rPr>
          <w:rFonts w:ascii="Times New Roman" w:eastAsia="Times New Roman" w:hAnsi="Times New Roman" w:cs="Times New Roman"/>
          <w:sz w:val="24"/>
          <w:szCs w:val="24"/>
        </w:rPr>
        <w:t xml:space="preserve">ncome </w:t>
      </w:r>
      <w:r w:rsidR="00DA4874">
        <w:rPr>
          <w:rFonts w:ascii="Times New Roman" w:eastAsia="Times New Roman" w:hAnsi="Times New Roman" w:cs="Times New Roman"/>
          <w:sz w:val="24"/>
          <w:szCs w:val="24"/>
        </w:rPr>
        <w:t>from trust-related services</w:t>
      </w:r>
      <w:r w:rsidR="00E203F4">
        <w:rPr>
          <w:rFonts w:ascii="Times New Roman" w:eastAsia="Times New Roman" w:hAnsi="Times New Roman" w:cs="Times New Roman"/>
          <w:sz w:val="24"/>
          <w:szCs w:val="24"/>
        </w:rPr>
        <w:t>,</w:t>
      </w:r>
      <w:r w:rsidR="00DA4874">
        <w:rPr>
          <w:rFonts w:ascii="Times New Roman" w:eastAsia="Times New Roman" w:hAnsi="Times New Roman" w:cs="Times New Roman"/>
          <w:sz w:val="24"/>
          <w:szCs w:val="24"/>
        </w:rPr>
        <w:t xml:space="preserve"> </w:t>
      </w:r>
      <w:r w:rsidR="00DA4874" w:rsidRPr="004C0D35">
        <w:rPr>
          <w:rFonts w:ascii="Times New Roman" w:eastAsia="Times New Roman" w:hAnsi="Times New Roman" w:cs="Times New Roman"/>
          <w:sz w:val="24"/>
          <w:szCs w:val="24"/>
        </w:rPr>
        <w:t>total trust income (less loss)</w:t>
      </w:r>
      <w:r w:rsidR="00E203F4">
        <w:rPr>
          <w:rFonts w:ascii="Times New Roman" w:eastAsia="Times New Roman" w:hAnsi="Times New Roman" w:cs="Times New Roman"/>
          <w:sz w:val="24"/>
          <w:szCs w:val="24"/>
        </w:rPr>
        <w:t xml:space="preserve">, the </w:t>
      </w:r>
      <w:r w:rsidR="00E203F4" w:rsidRPr="009C4B35">
        <w:rPr>
          <w:rFonts w:ascii="Times New Roman" w:hAnsi="Times New Roman" w:cs="Times New Roman"/>
          <w:sz w:val="24"/>
          <w:szCs w:val="24"/>
          <w:shd w:val="clear" w:color="auto" w:fill="FFFFFF"/>
        </w:rPr>
        <w:t>amount of establishments</w:t>
      </w:r>
      <w:r w:rsidR="00E203F4">
        <w:rPr>
          <w:rFonts w:ascii="Times New Roman" w:hAnsi="Times New Roman" w:cs="Times New Roman"/>
          <w:sz w:val="24"/>
          <w:szCs w:val="24"/>
          <w:shd w:val="clear" w:color="auto" w:fill="FFFFFF"/>
        </w:rPr>
        <w:t xml:space="preserve"> in the “trust fiduciary and custody” sector</w:t>
      </w:r>
      <w:r w:rsidR="00E203F4" w:rsidRPr="009C4B35">
        <w:rPr>
          <w:rFonts w:ascii="Times New Roman" w:hAnsi="Times New Roman" w:cs="Times New Roman"/>
          <w:sz w:val="24"/>
          <w:szCs w:val="24"/>
          <w:shd w:val="clear" w:color="auto" w:fill="FFFFFF"/>
        </w:rPr>
        <w:t xml:space="preserve">, the </w:t>
      </w:r>
      <w:r w:rsidR="00E203F4" w:rsidRPr="009C4B35">
        <w:rPr>
          <w:rFonts w:ascii="Times New Roman" w:hAnsi="Times New Roman" w:cs="Times New Roman"/>
          <w:sz w:val="24"/>
          <w:szCs w:val="24"/>
        </w:rPr>
        <w:t xml:space="preserve">amount of employees </w:t>
      </w:r>
      <w:r w:rsidR="00E203F4">
        <w:rPr>
          <w:rFonts w:ascii="Times New Roman" w:hAnsi="Times New Roman" w:cs="Times New Roman"/>
          <w:sz w:val="24"/>
          <w:szCs w:val="24"/>
        </w:rPr>
        <w:t xml:space="preserve">in that sector </w:t>
      </w:r>
      <w:r w:rsidR="00E203F4" w:rsidRPr="009C4B35">
        <w:rPr>
          <w:rFonts w:ascii="Times New Roman" w:hAnsi="Times New Roman" w:cs="Times New Roman"/>
          <w:sz w:val="24"/>
          <w:szCs w:val="24"/>
        </w:rPr>
        <w:t>and annual payroll</w:t>
      </w:r>
      <w:r w:rsidR="00E203F4">
        <w:rPr>
          <w:rFonts w:ascii="Times New Roman" w:hAnsi="Times New Roman" w:cs="Times New Roman"/>
          <w:sz w:val="24"/>
          <w:szCs w:val="24"/>
        </w:rPr>
        <w:t xml:space="preserve"> in that sector</w:t>
      </w:r>
      <w:r w:rsidR="00DA4874">
        <w:rPr>
          <w:rFonts w:ascii="Times New Roman" w:eastAsia="Times New Roman" w:hAnsi="Times New Roman" w:cs="Times New Roman"/>
          <w:sz w:val="24"/>
          <w:szCs w:val="24"/>
        </w:rPr>
        <w:t>. That is a significant finding, given that many instances of liberalizing legislation in the trusts field were motivated by professionals’ arguments that such legislation is necessary to bolster the fortunes of the trusts services sector in the relevant state, or prevent</w:t>
      </w:r>
      <w:r w:rsidR="00DA4874" w:rsidRPr="004C0D35">
        <w:rPr>
          <w:rFonts w:ascii="Times New Roman" w:hAnsi="Times New Roman" w:cs="Times New Roman"/>
          <w:sz w:val="24"/>
          <w:szCs w:val="24"/>
        </w:rPr>
        <w:t xml:space="preserve"> </w:t>
      </w:r>
      <w:r w:rsidR="00DA4874">
        <w:rPr>
          <w:rFonts w:ascii="Times New Roman" w:hAnsi="Times New Roman" w:cs="Times New Roman"/>
          <w:sz w:val="24"/>
          <w:szCs w:val="24"/>
        </w:rPr>
        <w:t>them from declining.</w:t>
      </w:r>
      <w:r w:rsidR="00DA4874">
        <w:rPr>
          <w:rStyle w:val="FootnoteReference"/>
          <w:rFonts w:ascii="Times New Roman" w:hAnsi="Times New Roman" w:cs="Times New Roman"/>
          <w:sz w:val="24"/>
          <w:szCs w:val="24"/>
        </w:rPr>
        <w:footnoteReference w:id="75"/>
      </w:r>
      <w:r w:rsidR="00DA4874">
        <w:rPr>
          <w:rFonts w:ascii="Times New Roman" w:hAnsi="Times New Roman" w:cs="Times New Roman"/>
          <w:sz w:val="24"/>
          <w:szCs w:val="24"/>
        </w:rPr>
        <w:t xml:space="preserve"> My null result </w:t>
      </w:r>
      <w:r w:rsidR="00C236E1">
        <w:rPr>
          <w:rFonts w:ascii="Times New Roman" w:hAnsi="Times New Roman" w:cs="Times New Roman"/>
          <w:sz w:val="24"/>
          <w:szCs w:val="24"/>
        </w:rPr>
        <w:t>casts a pall on the validity of</w:t>
      </w:r>
      <w:r w:rsidR="00DA4874">
        <w:rPr>
          <w:rFonts w:ascii="Times New Roman" w:hAnsi="Times New Roman" w:cs="Times New Roman"/>
          <w:sz w:val="24"/>
          <w:szCs w:val="24"/>
        </w:rPr>
        <w:t xml:space="preserve"> those arguments, </w:t>
      </w:r>
      <w:r w:rsidR="00C236E1">
        <w:rPr>
          <w:rFonts w:ascii="Times New Roman" w:hAnsi="Times New Roman" w:cs="Times New Roman"/>
          <w:sz w:val="24"/>
          <w:szCs w:val="24"/>
        </w:rPr>
        <w:t>which were</w:t>
      </w:r>
      <w:r w:rsidR="00DA4874">
        <w:rPr>
          <w:rFonts w:ascii="Times New Roman" w:hAnsi="Times New Roman" w:cs="Times New Roman"/>
          <w:sz w:val="24"/>
          <w:szCs w:val="24"/>
        </w:rPr>
        <w:t xml:space="preserve"> the principal support</w:t>
      </w:r>
      <w:r w:rsidR="00C236E1">
        <w:rPr>
          <w:rFonts w:ascii="Times New Roman" w:hAnsi="Times New Roman" w:cs="Times New Roman"/>
          <w:sz w:val="24"/>
          <w:szCs w:val="24"/>
        </w:rPr>
        <w:t>s</w:t>
      </w:r>
      <w:r w:rsidR="00DA4874">
        <w:rPr>
          <w:rFonts w:ascii="Times New Roman" w:hAnsi="Times New Roman" w:cs="Times New Roman"/>
          <w:sz w:val="24"/>
          <w:szCs w:val="24"/>
        </w:rPr>
        <w:t xml:space="preserve"> for legislative innovations often seen as normatively undesirable.</w:t>
      </w:r>
      <w:r w:rsidR="00F569DA">
        <w:rPr>
          <w:rStyle w:val="FootnoteReference"/>
          <w:rFonts w:ascii="Times New Roman" w:hAnsi="Times New Roman" w:cs="Times New Roman"/>
          <w:sz w:val="24"/>
          <w:szCs w:val="24"/>
        </w:rPr>
        <w:footnoteReference w:id="76"/>
      </w:r>
    </w:p>
    <w:p w14:paraId="12E540D6" w14:textId="4ACFA447" w:rsidR="002D2F51" w:rsidRPr="004C0D35" w:rsidRDefault="005528E4" w:rsidP="00294FE3">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Alternatively, the relationships identified </w:t>
      </w:r>
      <w:r w:rsidR="006448ED">
        <w:rPr>
          <w:rFonts w:ascii="Times New Roman" w:eastAsia="Times New Roman" w:hAnsi="Times New Roman" w:cs="Times New Roman"/>
          <w:sz w:val="24"/>
          <w:szCs w:val="24"/>
        </w:rPr>
        <w:t xml:space="preserve">in Table 2 </w:t>
      </w:r>
      <w:r>
        <w:rPr>
          <w:rFonts w:ascii="Times New Roman" w:eastAsia="Times New Roman" w:hAnsi="Times New Roman" w:cs="Times New Roman"/>
          <w:sz w:val="24"/>
          <w:szCs w:val="24"/>
        </w:rPr>
        <w:t xml:space="preserve">above can be taken seriously despite their marginal statistical significance. </w:t>
      </w:r>
      <w:r w:rsidR="000563DC">
        <w:rPr>
          <w:rFonts w:ascii="Times New Roman" w:eastAsia="Times New Roman" w:hAnsi="Times New Roman" w:cs="Times New Roman"/>
          <w:sz w:val="24"/>
          <w:szCs w:val="24"/>
        </w:rPr>
        <w:t>It appears unsurprising that a</w:t>
      </w:r>
      <w:r w:rsidR="00C74B45" w:rsidRPr="004C0D35">
        <w:rPr>
          <w:rFonts w:ascii="Times New Roman" w:eastAsia="Times New Roman" w:hAnsi="Times New Roman" w:cs="Times New Roman"/>
          <w:sz w:val="24"/>
          <w:szCs w:val="24"/>
        </w:rPr>
        <w:t xml:space="preserve">s </w:t>
      </w:r>
      <w:r w:rsidR="00F25DFA" w:rsidRPr="004C0D35">
        <w:rPr>
          <w:rFonts w:ascii="Times New Roman" w:eastAsia="Times New Roman" w:hAnsi="Times New Roman" w:cs="Times New Roman"/>
          <w:sz w:val="24"/>
          <w:szCs w:val="24"/>
        </w:rPr>
        <w:t xml:space="preserve">jurisdictions change their </w:t>
      </w:r>
      <w:r w:rsidR="00C74B45" w:rsidRPr="004C0D35">
        <w:rPr>
          <w:rFonts w:ascii="Times New Roman" w:eastAsia="Times New Roman" w:hAnsi="Times New Roman" w:cs="Times New Roman"/>
          <w:sz w:val="24"/>
          <w:szCs w:val="24"/>
        </w:rPr>
        <w:t xml:space="preserve">trust law to protect trustees from erstwhile heads of liability, clients are prepared to pay less </w:t>
      </w:r>
      <w:r w:rsidR="00F25DFA" w:rsidRPr="004C0D35">
        <w:rPr>
          <w:rFonts w:ascii="Times New Roman" w:eastAsia="Times New Roman" w:hAnsi="Times New Roman" w:cs="Times New Roman"/>
          <w:sz w:val="24"/>
          <w:szCs w:val="24"/>
        </w:rPr>
        <w:t xml:space="preserve">for trust services consumed, which makes economic sense given clients’ increasingly limited access to trustee liability. </w:t>
      </w:r>
      <w:r w:rsidR="00294FE3">
        <w:rPr>
          <w:rFonts w:ascii="Times New Roman" w:eastAsia="Times New Roman" w:hAnsi="Times New Roman" w:cs="Times New Roman"/>
          <w:sz w:val="24"/>
          <w:szCs w:val="24"/>
        </w:rPr>
        <w:t>One should n</w:t>
      </w:r>
      <w:r w:rsidR="00F25DFA" w:rsidRPr="004C0D35">
        <w:rPr>
          <w:rFonts w:ascii="Times New Roman" w:eastAsia="Times New Roman" w:hAnsi="Times New Roman" w:cs="Times New Roman"/>
          <w:sz w:val="24"/>
          <w:szCs w:val="24"/>
        </w:rPr>
        <w:t>ote</w:t>
      </w:r>
      <w:r w:rsidR="00294FE3">
        <w:rPr>
          <w:rFonts w:ascii="Times New Roman" w:eastAsia="Times New Roman" w:hAnsi="Times New Roman" w:cs="Times New Roman"/>
          <w:sz w:val="24"/>
          <w:szCs w:val="24"/>
        </w:rPr>
        <w:t>, though,</w:t>
      </w:r>
      <w:r w:rsidR="00F25DFA" w:rsidRPr="004C0D35">
        <w:rPr>
          <w:rFonts w:ascii="Times New Roman" w:eastAsia="Times New Roman" w:hAnsi="Times New Roman" w:cs="Times New Roman"/>
          <w:sz w:val="24"/>
          <w:szCs w:val="24"/>
        </w:rPr>
        <w:t xml:space="preserve"> that some legal changes which protect trustees</w:t>
      </w:r>
      <w:r w:rsidR="00657EAA" w:rsidRPr="004C0D35">
        <w:rPr>
          <w:rFonts w:ascii="Times New Roman" w:eastAsia="Times New Roman" w:hAnsi="Times New Roman" w:cs="Times New Roman"/>
          <w:sz w:val="24"/>
          <w:szCs w:val="24"/>
        </w:rPr>
        <w:t xml:space="preserve"> from liability</w:t>
      </w:r>
      <w:r w:rsidR="00F25DFA" w:rsidRPr="004C0D35">
        <w:rPr>
          <w:rFonts w:ascii="Times New Roman" w:eastAsia="Times New Roman" w:hAnsi="Times New Roman" w:cs="Times New Roman"/>
          <w:sz w:val="24"/>
          <w:szCs w:val="24"/>
        </w:rPr>
        <w:t xml:space="preserve"> are </w:t>
      </w:r>
      <w:r w:rsidR="00C74B45" w:rsidRPr="004C0D35">
        <w:rPr>
          <w:rFonts w:ascii="Times New Roman" w:eastAsia="Times New Roman" w:hAnsi="Times New Roman" w:cs="Times New Roman"/>
          <w:sz w:val="24"/>
          <w:szCs w:val="24"/>
        </w:rPr>
        <w:t xml:space="preserve">sometimes welcomed by settlors, </w:t>
      </w:r>
      <w:r w:rsidR="00F25DFA" w:rsidRPr="004C0D35">
        <w:rPr>
          <w:rFonts w:ascii="Times New Roman" w:eastAsia="Times New Roman" w:hAnsi="Times New Roman" w:cs="Times New Roman"/>
          <w:sz w:val="24"/>
          <w:szCs w:val="24"/>
        </w:rPr>
        <w:t>as</w:t>
      </w:r>
      <w:r w:rsidR="00C74B45" w:rsidRPr="004C0D35">
        <w:rPr>
          <w:rFonts w:ascii="Times New Roman" w:eastAsia="Times New Roman" w:hAnsi="Times New Roman" w:cs="Times New Roman"/>
          <w:sz w:val="24"/>
          <w:szCs w:val="24"/>
        </w:rPr>
        <w:t xml:space="preserve"> where</w:t>
      </w:r>
      <w:r w:rsidR="00F25DFA" w:rsidRPr="004C0D35">
        <w:rPr>
          <w:rFonts w:ascii="Times New Roman" w:eastAsia="Times New Roman" w:hAnsi="Times New Roman" w:cs="Times New Roman"/>
          <w:sz w:val="24"/>
          <w:szCs w:val="24"/>
        </w:rPr>
        <w:t xml:space="preserve"> a</w:t>
      </w:r>
      <w:r w:rsidR="00C74B45" w:rsidRPr="004C0D35">
        <w:rPr>
          <w:rFonts w:ascii="Times New Roman" w:eastAsia="Times New Roman" w:hAnsi="Times New Roman" w:cs="Times New Roman"/>
          <w:sz w:val="24"/>
          <w:szCs w:val="24"/>
        </w:rPr>
        <w:t xml:space="preserve"> settlor wants to prevent trust information from flowing to beneficiaries</w:t>
      </w:r>
      <w:r w:rsidR="00657EAA" w:rsidRPr="004C0D35">
        <w:rPr>
          <w:rFonts w:ascii="Times New Roman" w:eastAsia="Times New Roman" w:hAnsi="Times New Roman" w:cs="Times New Roman"/>
          <w:sz w:val="24"/>
          <w:szCs w:val="24"/>
        </w:rPr>
        <w:t xml:space="preserve"> (doctrinal variable 11)</w:t>
      </w:r>
      <w:r w:rsidR="00C74B45" w:rsidRPr="004C0D35">
        <w:rPr>
          <w:rFonts w:ascii="Times New Roman" w:eastAsia="Times New Roman" w:hAnsi="Times New Roman" w:cs="Times New Roman"/>
          <w:sz w:val="24"/>
          <w:szCs w:val="24"/>
        </w:rPr>
        <w:t>, or to prevent trustees from meddling in the management of a family business settled on trust</w:t>
      </w:r>
      <w:r w:rsidR="00657EAA" w:rsidRPr="004C0D35">
        <w:rPr>
          <w:rFonts w:ascii="Times New Roman" w:eastAsia="Times New Roman" w:hAnsi="Times New Roman" w:cs="Times New Roman"/>
          <w:sz w:val="24"/>
          <w:szCs w:val="24"/>
        </w:rPr>
        <w:t xml:space="preserve"> (doctrinal variable 12)</w:t>
      </w:r>
      <w:r w:rsidR="004E0797" w:rsidRPr="004C0D35">
        <w:rPr>
          <w:rFonts w:ascii="Times New Roman" w:eastAsia="Times New Roman" w:hAnsi="Times New Roman" w:cs="Times New Roman"/>
          <w:sz w:val="24"/>
          <w:szCs w:val="24"/>
        </w:rPr>
        <w:t>. From trustees’ perspective, t</w:t>
      </w:r>
      <w:r w:rsidR="00C74B45" w:rsidRPr="004C0D35">
        <w:rPr>
          <w:rFonts w:ascii="Times New Roman" w:eastAsia="Times New Roman" w:hAnsi="Times New Roman" w:cs="Times New Roman"/>
          <w:sz w:val="24"/>
          <w:szCs w:val="24"/>
        </w:rPr>
        <w:t xml:space="preserve">he loss in </w:t>
      </w:r>
      <w:r w:rsidR="00811CFD" w:rsidRPr="004C0D35">
        <w:rPr>
          <w:rFonts w:ascii="Times New Roman" w:eastAsia="Times New Roman" w:hAnsi="Times New Roman" w:cs="Times New Roman"/>
          <w:sz w:val="24"/>
          <w:szCs w:val="24"/>
        </w:rPr>
        <w:t>fees earned per return</w:t>
      </w:r>
      <w:r w:rsidR="00C74B45" w:rsidRPr="004C0D35">
        <w:rPr>
          <w:rFonts w:ascii="Times New Roman" w:eastAsia="Times New Roman" w:hAnsi="Times New Roman" w:cs="Times New Roman"/>
          <w:sz w:val="24"/>
          <w:szCs w:val="24"/>
        </w:rPr>
        <w:t xml:space="preserve"> may be counterbalanced, or more, by the reduction in liability risk </w:t>
      </w:r>
      <w:r w:rsidR="004E0797" w:rsidRPr="004C0D35">
        <w:rPr>
          <w:rFonts w:ascii="Times New Roman" w:eastAsia="Times New Roman" w:hAnsi="Times New Roman" w:cs="Times New Roman"/>
          <w:sz w:val="24"/>
          <w:szCs w:val="24"/>
        </w:rPr>
        <w:t>they</w:t>
      </w:r>
      <w:r w:rsidR="00C74B45" w:rsidRPr="004C0D35">
        <w:rPr>
          <w:rFonts w:ascii="Times New Roman" w:eastAsia="Times New Roman" w:hAnsi="Times New Roman" w:cs="Times New Roman"/>
          <w:sz w:val="24"/>
          <w:szCs w:val="24"/>
        </w:rPr>
        <w:t xml:space="preserve"> enjoy. </w:t>
      </w:r>
      <w:r w:rsidR="00811CFD" w:rsidRPr="004C0D35">
        <w:rPr>
          <w:rFonts w:ascii="Times New Roman" w:eastAsia="Times New Roman" w:hAnsi="Times New Roman" w:cs="Times New Roman"/>
          <w:sz w:val="24"/>
          <w:szCs w:val="24"/>
        </w:rPr>
        <w:t>Further, t</w:t>
      </w:r>
      <w:r w:rsidR="00C10C66" w:rsidRPr="004C0D35">
        <w:rPr>
          <w:rFonts w:ascii="Times New Roman" w:eastAsia="Times New Roman" w:hAnsi="Times New Roman" w:cs="Times New Roman"/>
          <w:sz w:val="24"/>
          <w:szCs w:val="24"/>
        </w:rPr>
        <w:t>rust law</w:t>
      </w:r>
      <w:r w:rsidR="00C74B45" w:rsidRPr="004C0D35">
        <w:rPr>
          <w:rFonts w:ascii="Times New Roman" w:eastAsia="Times New Roman" w:hAnsi="Times New Roman" w:cs="Times New Roman"/>
          <w:sz w:val="24"/>
          <w:szCs w:val="24"/>
        </w:rPr>
        <w:t xml:space="preserve"> changes</w:t>
      </w:r>
      <w:r w:rsidR="00C10C66" w:rsidRPr="004C0D35">
        <w:rPr>
          <w:rFonts w:ascii="Times New Roman" w:eastAsia="Times New Roman" w:hAnsi="Times New Roman" w:cs="Times New Roman"/>
          <w:sz w:val="24"/>
          <w:szCs w:val="24"/>
        </w:rPr>
        <w:t xml:space="preserve"> protecting trustees from erstwhile heads of liability</w:t>
      </w:r>
      <w:r w:rsidR="00C74B45" w:rsidRPr="004C0D35">
        <w:rPr>
          <w:rFonts w:ascii="Times New Roman" w:eastAsia="Times New Roman" w:hAnsi="Times New Roman" w:cs="Times New Roman"/>
          <w:sz w:val="24"/>
          <w:szCs w:val="24"/>
        </w:rPr>
        <w:t xml:space="preserve"> are </w:t>
      </w:r>
      <w:r w:rsidR="00171781" w:rsidRPr="004C0D35">
        <w:rPr>
          <w:rFonts w:ascii="Times New Roman" w:eastAsia="Times New Roman" w:hAnsi="Times New Roman" w:cs="Times New Roman"/>
          <w:sz w:val="24"/>
          <w:szCs w:val="24"/>
        </w:rPr>
        <w:t xml:space="preserve">also </w:t>
      </w:r>
      <w:r w:rsidR="00C74B45" w:rsidRPr="004C0D35">
        <w:rPr>
          <w:rFonts w:ascii="Times New Roman" w:eastAsia="Times New Roman" w:hAnsi="Times New Roman" w:cs="Times New Roman"/>
          <w:sz w:val="24"/>
          <w:szCs w:val="24"/>
        </w:rPr>
        <w:t>associated with increases in trust income</w:t>
      </w:r>
      <w:r w:rsidR="00294FE3">
        <w:rPr>
          <w:rFonts w:ascii="Times New Roman" w:eastAsia="Times New Roman" w:hAnsi="Times New Roman" w:cs="Times New Roman"/>
          <w:sz w:val="24"/>
          <w:szCs w:val="24"/>
        </w:rPr>
        <w:t xml:space="preserve"> per state and year</w:t>
      </w:r>
      <w:r w:rsidR="00C74B45" w:rsidRPr="004C0D35">
        <w:rPr>
          <w:rFonts w:ascii="Times New Roman" w:eastAsia="Times New Roman" w:hAnsi="Times New Roman" w:cs="Times New Roman"/>
          <w:sz w:val="24"/>
          <w:szCs w:val="24"/>
        </w:rPr>
        <w:t xml:space="preserve">. Increased income may result from an increased supply of trust services given law which </w:t>
      </w:r>
      <w:r w:rsidR="00811CFD" w:rsidRPr="004C0D35">
        <w:rPr>
          <w:rFonts w:ascii="Times New Roman" w:eastAsia="Times New Roman" w:hAnsi="Times New Roman" w:cs="Times New Roman"/>
          <w:sz w:val="24"/>
          <w:szCs w:val="24"/>
        </w:rPr>
        <w:t xml:space="preserve">provides </w:t>
      </w:r>
      <w:r w:rsidR="00C74B45" w:rsidRPr="004C0D35">
        <w:rPr>
          <w:rFonts w:ascii="Times New Roman" w:eastAsia="Times New Roman" w:hAnsi="Times New Roman" w:cs="Times New Roman"/>
          <w:sz w:val="24"/>
          <w:szCs w:val="24"/>
        </w:rPr>
        <w:t>trustee</w:t>
      </w:r>
      <w:r w:rsidR="00811CFD" w:rsidRPr="004C0D35">
        <w:rPr>
          <w:rFonts w:ascii="Times New Roman" w:eastAsia="Times New Roman" w:hAnsi="Times New Roman" w:cs="Times New Roman"/>
          <w:sz w:val="24"/>
          <w:szCs w:val="24"/>
        </w:rPr>
        <w:t>s with increased protection</w:t>
      </w:r>
      <w:r w:rsidR="00C74B45" w:rsidRPr="004C0D35">
        <w:rPr>
          <w:rFonts w:ascii="Times New Roman" w:eastAsia="Times New Roman" w:hAnsi="Times New Roman" w:cs="Times New Roman"/>
          <w:sz w:val="24"/>
          <w:szCs w:val="24"/>
        </w:rPr>
        <w:t>. It may also result from trustee</w:t>
      </w:r>
      <w:r w:rsidR="00811CFD" w:rsidRPr="004C0D35">
        <w:rPr>
          <w:rFonts w:ascii="Times New Roman" w:eastAsia="Times New Roman" w:hAnsi="Times New Roman" w:cs="Times New Roman"/>
          <w:sz w:val="24"/>
          <w:szCs w:val="24"/>
        </w:rPr>
        <w:t>s taking more risks</w:t>
      </w:r>
      <w:r w:rsidR="00C505E3" w:rsidRPr="004C0D35">
        <w:rPr>
          <w:rFonts w:ascii="Times New Roman" w:eastAsia="Times New Roman" w:hAnsi="Times New Roman" w:cs="Times New Roman"/>
          <w:sz w:val="24"/>
          <w:szCs w:val="24"/>
        </w:rPr>
        <w:t xml:space="preserve"> in trust</w:t>
      </w:r>
      <w:r w:rsidR="00C74B45" w:rsidRPr="004C0D35">
        <w:rPr>
          <w:rFonts w:ascii="Times New Roman" w:eastAsia="Times New Roman" w:hAnsi="Times New Roman" w:cs="Times New Roman"/>
          <w:sz w:val="24"/>
          <w:szCs w:val="24"/>
        </w:rPr>
        <w:t xml:space="preserve"> management</w:t>
      </w:r>
      <w:r w:rsidR="00811CFD" w:rsidRPr="004C0D35">
        <w:rPr>
          <w:rFonts w:ascii="Times New Roman" w:eastAsia="Times New Roman" w:hAnsi="Times New Roman" w:cs="Times New Roman"/>
          <w:sz w:val="24"/>
          <w:szCs w:val="24"/>
        </w:rPr>
        <w:t>, emboldened by the</w:t>
      </w:r>
      <w:r w:rsidR="00C74B45" w:rsidRPr="004C0D35">
        <w:rPr>
          <w:rFonts w:ascii="Times New Roman" w:eastAsia="Times New Roman" w:hAnsi="Times New Roman" w:cs="Times New Roman"/>
          <w:sz w:val="24"/>
          <w:szCs w:val="24"/>
        </w:rPr>
        <w:t xml:space="preserve"> </w:t>
      </w:r>
      <w:r w:rsidR="00811CFD" w:rsidRPr="004C0D35">
        <w:rPr>
          <w:rFonts w:ascii="Times New Roman" w:eastAsia="Times New Roman" w:hAnsi="Times New Roman" w:cs="Times New Roman"/>
          <w:sz w:val="24"/>
          <w:szCs w:val="24"/>
        </w:rPr>
        <w:t>increased</w:t>
      </w:r>
      <w:r w:rsidR="00C74B45" w:rsidRPr="004C0D35">
        <w:rPr>
          <w:rFonts w:ascii="Times New Roman" w:eastAsia="Times New Roman" w:hAnsi="Times New Roman" w:cs="Times New Roman"/>
          <w:sz w:val="24"/>
          <w:szCs w:val="24"/>
        </w:rPr>
        <w:t xml:space="preserve"> protection </w:t>
      </w:r>
      <w:r w:rsidR="00811CFD" w:rsidRPr="004C0D35">
        <w:rPr>
          <w:rFonts w:ascii="Times New Roman" w:eastAsia="Times New Roman" w:hAnsi="Times New Roman" w:cs="Times New Roman"/>
          <w:sz w:val="24"/>
          <w:szCs w:val="24"/>
        </w:rPr>
        <w:t>they</w:t>
      </w:r>
      <w:r w:rsidR="00C74B45" w:rsidRPr="004C0D35">
        <w:rPr>
          <w:rFonts w:ascii="Times New Roman" w:eastAsia="Times New Roman" w:hAnsi="Times New Roman" w:cs="Times New Roman"/>
          <w:sz w:val="24"/>
          <w:szCs w:val="24"/>
        </w:rPr>
        <w:t xml:space="preserve"> enjoy</w:t>
      </w:r>
      <w:r w:rsidR="00811CFD" w:rsidRPr="004C0D35">
        <w:rPr>
          <w:rFonts w:ascii="Times New Roman" w:eastAsia="Times New Roman" w:hAnsi="Times New Roman" w:cs="Times New Roman"/>
          <w:sz w:val="24"/>
          <w:szCs w:val="24"/>
        </w:rPr>
        <w:t xml:space="preserve">. </w:t>
      </w:r>
    </w:p>
    <w:p w14:paraId="7FF51F97" w14:textId="102B4C47" w:rsidR="001D1C9B" w:rsidRDefault="00177A39" w:rsidP="00303890">
      <w:pPr>
        <w:spacing w:after="0" w:line="276" w:lineRule="auto"/>
        <w:jc w:val="both"/>
        <w:rPr>
          <w:rFonts w:ascii="Times New Roman" w:eastAsia="Times New Roman" w:hAnsi="Times New Roman" w:cs="Times New Roman"/>
          <w:sz w:val="24"/>
          <w:szCs w:val="24"/>
        </w:rPr>
      </w:pPr>
      <w:r w:rsidRPr="004C0D35">
        <w:rPr>
          <w:rFonts w:ascii="Times New Roman" w:eastAsia="Times New Roman" w:hAnsi="Times New Roman" w:cs="Times New Roman"/>
          <w:sz w:val="24"/>
          <w:szCs w:val="24"/>
        </w:rPr>
        <w:tab/>
      </w:r>
      <w:r w:rsidR="00041B75">
        <w:rPr>
          <w:rFonts w:ascii="Times New Roman" w:eastAsia="Times New Roman" w:hAnsi="Times New Roman" w:cs="Times New Roman"/>
          <w:sz w:val="24"/>
          <w:szCs w:val="24"/>
        </w:rPr>
        <w:t>Finally,</w:t>
      </w:r>
      <w:r w:rsidRPr="004C0D35">
        <w:rPr>
          <w:rFonts w:ascii="Times New Roman" w:eastAsia="Times New Roman" w:hAnsi="Times New Roman" w:cs="Times New Roman"/>
          <w:sz w:val="24"/>
          <w:szCs w:val="24"/>
        </w:rPr>
        <w:t xml:space="preserve"> </w:t>
      </w:r>
      <w:r w:rsidR="005F510F" w:rsidRPr="004C0D35">
        <w:rPr>
          <w:rFonts w:ascii="Times New Roman" w:eastAsia="Times New Roman" w:hAnsi="Times New Roman" w:cs="Times New Roman"/>
          <w:sz w:val="24"/>
          <w:szCs w:val="24"/>
        </w:rPr>
        <w:t>regressing</w:t>
      </w:r>
      <w:r w:rsidR="00E203F4">
        <w:rPr>
          <w:rFonts w:ascii="Times New Roman" w:hAnsi="Times New Roman" w:cs="Times New Roman"/>
          <w:sz w:val="24"/>
          <w:szCs w:val="24"/>
        </w:rPr>
        <w:t xml:space="preserve"> trustee income per trust, attorney, </w:t>
      </w:r>
      <w:r w:rsidR="00E203F4" w:rsidRPr="004C0D35">
        <w:rPr>
          <w:rFonts w:ascii="Times New Roman" w:eastAsia="Times New Roman" w:hAnsi="Times New Roman" w:cs="Times New Roman"/>
          <w:sz w:val="24"/>
          <w:szCs w:val="24"/>
        </w:rPr>
        <w:t xml:space="preserve">accountant and return preparer </w:t>
      </w:r>
      <w:r w:rsidR="00E203F4">
        <w:rPr>
          <w:rFonts w:ascii="Times New Roman" w:eastAsia="Times New Roman" w:hAnsi="Times New Roman" w:cs="Times New Roman"/>
          <w:sz w:val="24"/>
          <w:szCs w:val="24"/>
        </w:rPr>
        <w:t>i</w:t>
      </w:r>
      <w:r w:rsidR="00E203F4" w:rsidRPr="004C0D35">
        <w:rPr>
          <w:rFonts w:ascii="Times New Roman" w:eastAsia="Times New Roman" w:hAnsi="Times New Roman" w:cs="Times New Roman"/>
          <w:sz w:val="24"/>
          <w:szCs w:val="24"/>
        </w:rPr>
        <w:t xml:space="preserve">ncome </w:t>
      </w:r>
      <w:r w:rsidR="00E203F4">
        <w:rPr>
          <w:rFonts w:ascii="Times New Roman" w:eastAsia="Times New Roman" w:hAnsi="Times New Roman" w:cs="Times New Roman"/>
          <w:sz w:val="24"/>
          <w:szCs w:val="24"/>
        </w:rPr>
        <w:t xml:space="preserve">from trust-related services and </w:t>
      </w:r>
      <w:r w:rsidR="00E203F4" w:rsidRPr="004C0D35">
        <w:rPr>
          <w:rFonts w:ascii="Times New Roman" w:eastAsia="Times New Roman" w:hAnsi="Times New Roman" w:cs="Times New Roman"/>
          <w:sz w:val="24"/>
          <w:szCs w:val="24"/>
        </w:rPr>
        <w:t>total trust income (less loss)</w:t>
      </w:r>
      <w:r w:rsidR="00E203F4">
        <w:rPr>
          <w:rFonts w:ascii="Times New Roman" w:eastAsia="Times New Roman" w:hAnsi="Times New Roman" w:cs="Times New Roman"/>
          <w:sz w:val="24"/>
          <w:szCs w:val="24"/>
        </w:rPr>
        <w:t xml:space="preserve"> </w:t>
      </w:r>
      <w:r w:rsidR="005F510F" w:rsidRPr="004C0D35">
        <w:rPr>
          <w:rFonts w:ascii="Times New Roman" w:eastAsia="Times New Roman" w:hAnsi="Times New Roman" w:cs="Times New Roman"/>
          <w:sz w:val="24"/>
          <w:szCs w:val="24"/>
        </w:rPr>
        <w:t>on</w:t>
      </w:r>
      <w:r w:rsidRPr="004C0D35">
        <w:rPr>
          <w:rFonts w:ascii="Times New Roman" w:eastAsia="Times New Roman" w:hAnsi="Times New Roman" w:cs="Times New Roman"/>
          <w:sz w:val="24"/>
          <w:szCs w:val="24"/>
        </w:rPr>
        <w:t xml:space="preserve"> liberality scores calculated to reflect only those doctrinal variables that </w:t>
      </w:r>
      <w:r w:rsidR="00981C56">
        <w:rPr>
          <w:rFonts w:ascii="Times New Roman" w:eastAsia="Times New Roman" w:hAnsi="Times New Roman" w:cs="Times New Roman"/>
          <w:sz w:val="24"/>
          <w:szCs w:val="24"/>
        </w:rPr>
        <w:t>express</w:t>
      </w:r>
      <w:r w:rsidRPr="004C0D35">
        <w:rPr>
          <w:rFonts w:ascii="Times New Roman" w:eastAsia="Times New Roman" w:hAnsi="Times New Roman" w:cs="Times New Roman"/>
          <w:sz w:val="24"/>
          <w:szCs w:val="24"/>
        </w:rPr>
        <w:t xml:space="preserve"> law reform efforts protecting and empowering trustees’</w:t>
      </w:r>
      <w:r w:rsidR="006F093A" w:rsidRPr="004C0D35">
        <w:rPr>
          <w:rFonts w:ascii="Times New Roman" w:eastAsia="Times New Roman" w:hAnsi="Times New Roman" w:cs="Times New Roman"/>
          <w:sz w:val="24"/>
          <w:szCs w:val="24"/>
        </w:rPr>
        <w:t xml:space="preserve"> clients (settlors and beneficiaries)</w:t>
      </w:r>
      <w:r w:rsidRPr="004C0D35">
        <w:rPr>
          <w:rFonts w:ascii="Times New Roman" w:eastAsia="Times New Roman" w:hAnsi="Times New Roman" w:cs="Times New Roman"/>
          <w:sz w:val="24"/>
          <w:szCs w:val="24"/>
        </w:rPr>
        <w:t xml:space="preserve"> </w:t>
      </w:r>
      <w:r w:rsidR="005F510F" w:rsidRPr="004C0D35">
        <w:rPr>
          <w:rFonts w:ascii="Times New Roman" w:eastAsia="Times New Roman" w:hAnsi="Times New Roman" w:cs="Times New Roman"/>
          <w:sz w:val="24"/>
          <w:szCs w:val="24"/>
        </w:rPr>
        <w:t>permitted the identification of statistically significant relationships between the dependent variables and trust law liberality so long as only state GDP, the federal CPI, state population and the state savings rate wer</w:t>
      </w:r>
      <w:r w:rsidR="00041B75">
        <w:rPr>
          <w:rFonts w:ascii="Times New Roman" w:eastAsia="Times New Roman" w:hAnsi="Times New Roman" w:cs="Times New Roman"/>
          <w:sz w:val="24"/>
          <w:szCs w:val="24"/>
        </w:rPr>
        <w:t>e used as additional predictors. T</w:t>
      </w:r>
      <w:r w:rsidR="005F510F" w:rsidRPr="004C0D35">
        <w:rPr>
          <w:rFonts w:ascii="Times New Roman" w:eastAsia="Times New Roman" w:hAnsi="Times New Roman" w:cs="Times New Roman"/>
          <w:sz w:val="24"/>
          <w:szCs w:val="24"/>
        </w:rPr>
        <w:t>hose relationships lost their significance once</w:t>
      </w:r>
      <w:r w:rsidR="00060812" w:rsidRPr="004C0D35">
        <w:rPr>
          <w:rFonts w:ascii="Times New Roman" w:eastAsia="Times New Roman" w:hAnsi="Times New Roman" w:cs="Times New Roman"/>
          <w:sz w:val="24"/>
          <w:szCs w:val="24"/>
        </w:rPr>
        <w:t xml:space="preserve"> state income</w:t>
      </w:r>
      <w:r w:rsidR="006F093A" w:rsidRPr="004C0D35">
        <w:rPr>
          <w:rFonts w:ascii="Times New Roman" w:eastAsia="Times New Roman" w:hAnsi="Times New Roman" w:cs="Times New Roman"/>
          <w:sz w:val="24"/>
          <w:szCs w:val="24"/>
        </w:rPr>
        <w:t xml:space="preserve"> tax rates applicable to fiduciary income, state fixed effects and year fixed effects were added to the model. It therefore appears that </w:t>
      </w:r>
      <w:r w:rsidR="00E50C3A" w:rsidRPr="004C0D35">
        <w:rPr>
          <w:rFonts w:ascii="Times New Roman" w:eastAsia="Times New Roman" w:hAnsi="Times New Roman" w:cs="Times New Roman"/>
          <w:sz w:val="24"/>
          <w:szCs w:val="24"/>
        </w:rPr>
        <w:t xml:space="preserve">if </w:t>
      </w:r>
      <w:r w:rsidR="006F093A" w:rsidRPr="004C0D35">
        <w:rPr>
          <w:rFonts w:ascii="Times New Roman" w:eastAsia="Times New Roman" w:hAnsi="Times New Roman" w:cs="Times New Roman"/>
          <w:sz w:val="24"/>
          <w:szCs w:val="24"/>
        </w:rPr>
        <w:t xml:space="preserve">law reform efforts intended </w:t>
      </w:r>
      <w:r w:rsidR="00E50C3A" w:rsidRPr="004C0D35">
        <w:rPr>
          <w:rFonts w:ascii="Times New Roman" w:eastAsia="Times New Roman" w:hAnsi="Times New Roman" w:cs="Times New Roman"/>
          <w:sz w:val="24"/>
          <w:szCs w:val="24"/>
        </w:rPr>
        <w:t xml:space="preserve">to attract or retain clients by offering what are seen as legal features clients want, such as self-settled spendthrift trusts and perpetual trusts, are having any positive </w:t>
      </w:r>
      <w:r w:rsidR="00EF673C" w:rsidRPr="004C0D35">
        <w:rPr>
          <w:rFonts w:ascii="Times New Roman" w:eastAsia="Times New Roman" w:hAnsi="Times New Roman" w:cs="Times New Roman"/>
          <w:sz w:val="24"/>
          <w:szCs w:val="24"/>
        </w:rPr>
        <w:t xml:space="preserve">effect on fiduciary fees deducted per return, aggregate attorney, accountant and return preparer fees </w:t>
      </w:r>
      <w:r w:rsidR="00303890">
        <w:rPr>
          <w:rFonts w:ascii="Times New Roman" w:eastAsia="Times New Roman" w:hAnsi="Times New Roman" w:cs="Times New Roman"/>
          <w:sz w:val="24"/>
          <w:szCs w:val="24"/>
        </w:rPr>
        <w:t>deducted</w:t>
      </w:r>
      <w:r w:rsidR="00303890" w:rsidRPr="004C0D35">
        <w:rPr>
          <w:rFonts w:ascii="Times New Roman" w:eastAsia="Times New Roman" w:hAnsi="Times New Roman" w:cs="Times New Roman"/>
          <w:sz w:val="24"/>
          <w:szCs w:val="24"/>
        </w:rPr>
        <w:t xml:space="preserve"> </w:t>
      </w:r>
      <w:r w:rsidR="00EF673C" w:rsidRPr="004C0D35">
        <w:rPr>
          <w:rFonts w:ascii="Times New Roman" w:eastAsia="Times New Roman" w:hAnsi="Times New Roman" w:cs="Times New Roman"/>
          <w:sz w:val="24"/>
          <w:szCs w:val="24"/>
        </w:rPr>
        <w:t>from trust income</w:t>
      </w:r>
      <w:r w:rsidR="00BC6619">
        <w:rPr>
          <w:rFonts w:ascii="Times New Roman" w:eastAsia="Times New Roman" w:hAnsi="Times New Roman" w:cs="Times New Roman"/>
          <w:sz w:val="24"/>
          <w:szCs w:val="24"/>
        </w:rPr>
        <w:t>,</w:t>
      </w:r>
      <w:r w:rsidR="00EF673C" w:rsidRPr="004C0D35">
        <w:rPr>
          <w:rFonts w:ascii="Times New Roman" w:eastAsia="Times New Roman" w:hAnsi="Times New Roman" w:cs="Times New Roman"/>
          <w:sz w:val="24"/>
          <w:szCs w:val="24"/>
        </w:rPr>
        <w:t xml:space="preserve"> total trust income (less loss), </w:t>
      </w:r>
      <w:r w:rsidR="00BC6619">
        <w:rPr>
          <w:rFonts w:ascii="Times New Roman" w:hAnsi="Times New Roman" w:cs="Times New Roman"/>
          <w:sz w:val="24"/>
          <w:szCs w:val="24"/>
        </w:rPr>
        <w:t xml:space="preserve">the amount of establishments in the </w:t>
      </w:r>
      <w:r w:rsidR="00BC6619">
        <w:rPr>
          <w:rFonts w:ascii="Times New Roman" w:hAnsi="Times New Roman" w:cs="Times New Roman"/>
          <w:sz w:val="24"/>
          <w:szCs w:val="24"/>
          <w:shd w:val="clear" w:color="auto" w:fill="FFFFFF"/>
        </w:rPr>
        <w:t>“trust fiduciary and custody” sector</w:t>
      </w:r>
      <w:r w:rsidR="00BC6619">
        <w:rPr>
          <w:rFonts w:ascii="Times New Roman" w:hAnsi="Times New Roman" w:cs="Times New Roman"/>
          <w:sz w:val="24"/>
          <w:szCs w:val="24"/>
        </w:rPr>
        <w:t xml:space="preserve">, </w:t>
      </w:r>
      <w:r w:rsidR="00BC6619" w:rsidRPr="009C4B35">
        <w:rPr>
          <w:rFonts w:ascii="Times New Roman" w:hAnsi="Times New Roman" w:cs="Times New Roman"/>
          <w:sz w:val="24"/>
          <w:szCs w:val="24"/>
          <w:shd w:val="clear" w:color="auto" w:fill="FFFFFF"/>
        </w:rPr>
        <w:t xml:space="preserve">the </w:t>
      </w:r>
      <w:r w:rsidR="00BC6619" w:rsidRPr="009C4B35">
        <w:rPr>
          <w:rFonts w:ascii="Times New Roman" w:hAnsi="Times New Roman" w:cs="Times New Roman"/>
          <w:sz w:val="24"/>
          <w:szCs w:val="24"/>
        </w:rPr>
        <w:t xml:space="preserve">amount of employees </w:t>
      </w:r>
      <w:r w:rsidR="00BC6619">
        <w:rPr>
          <w:rFonts w:ascii="Times New Roman" w:hAnsi="Times New Roman" w:cs="Times New Roman"/>
          <w:sz w:val="24"/>
          <w:szCs w:val="24"/>
        </w:rPr>
        <w:t>in that sector</w:t>
      </w:r>
      <w:r w:rsidR="00BC6619" w:rsidRPr="009C4B35">
        <w:rPr>
          <w:rFonts w:ascii="Times New Roman" w:hAnsi="Times New Roman" w:cs="Times New Roman"/>
          <w:sz w:val="24"/>
          <w:szCs w:val="24"/>
        </w:rPr>
        <w:t xml:space="preserve"> </w:t>
      </w:r>
      <w:r w:rsidR="00B366F6">
        <w:rPr>
          <w:rFonts w:ascii="Times New Roman" w:hAnsi="Times New Roman" w:cs="Times New Roman"/>
          <w:sz w:val="24"/>
          <w:szCs w:val="24"/>
        </w:rPr>
        <w:t>or</w:t>
      </w:r>
      <w:r w:rsidR="00BC6619" w:rsidRPr="009C4B35">
        <w:rPr>
          <w:rFonts w:ascii="Times New Roman" w:hAnsi="Times New Roman" w:cs="Times New Roman"/>
          <w:sz w:val="24"/>
          <w:szCs w:val="24"/>
        </w:rPr>
        <w:t xml:space="preserve"> annual payroll</w:t>
      </w:r>
      <w:r w:rsidR="00BC6619">
        <w:rPr>
          <w:rFonts w:ascii="Times New Roman" w:hAnsi="Times New Roman" w:cs="Times New Roman"/>
          <w:sz w:val="24"/>
          <w:szCs w:val="24"/>
        </w:rPr>
        <w:t xml:space="preserve"> in that sector,</w:t>
      </w:r>
      <w:r w:rsidR="00BC6619" w:rsidRPr="004C0D35">
        <w:rPr>
          <w:rFonts w:ascii="Times New Roman" w:eastAsia="Times New Roman" w:hAnsi="Times New Roman" w:cs="Times New Roman"/>
          <w:sz w:val="24"/>
          <w:szCs w:val="24"/>
        </w:rPr>
        <w:t xml:space="preserve"> </w:t>
      </w:r>
      <w:r w:rsidR="00EF673C" w:rsidRPr="004C0D35">
        <w:rPr>
          <w:rFonts w:ascii="Times New Roman" w:eastAsia="Times New Roman" w:hAnsi="Times New Roman" w:cs="Times New Roman"/>
          <w:sz w:val="24"/>
          <w:szCs w:val="24"/>
        </w:rPr>
        <w:t>this effect</w:t>
      </w:r>
      <w:r w:rsidR="001D1C9B" w:rsidRPr="004C0D35">
        <w:rPr>
          <w:rFonts w:ascii="Times New Roman" w:eastAsia="Times New Roman" w:hAnsi="Times New Roman" w:cs="Times New Roman"/>
          <w:sz w:val="24"/>
          <w:szCs w:val="24"/>
        </w:rPr>
        <w:t xml:space="preserve"> is not caught by the analysis above.</w:t>
      </w:r>
    </w:p>
    <w:p w14:paraId="79C9D97D" w14:textId="77777777" w:rsidR="00BC6619" w:rsidRPr="004C0D35" w:rsidRDefault="00BC6619" w:rsidP="00BC6619">
      <w:pPr>
        <w:spacing w:after="0" w:line="276" w:lineRule="auto"/>
        <w:jc w:val="both"/>
        <w:rPr>
          <w:rFonts w:ascii="Times New Roman" w:eastAsia="Times New Roman" w:hAnsi="Times New Roman" w:cs="Times New Roman"/>
          <w:sz w:val="24"/>
          <w:szCs w:val="24"/>
        </w:rPr>
      </w:pPr>
    </w:p>
    <w:p w14:paraId="4FA99781" w14:textId="77777777" w:rsidR="00A32A36" w:rsidRPr="00830F38" w:rsidRDefault="00183F91" w:rsidP="00830F38">
      <w:pPr>
        <w:spacing w:line="276" w:lineRule="auto"/>
        <w:jc w:val="center"/>
        <w:rPr>
          <w:rFonts w:ascii="Times New Roman" w:hAnsi="Times New Roman" w:cs="Times New Roman"/>
          <w:smallCaps/>
          <w:sz w:val="24"/>
          <w:szCs w:val="24"/>
        </w:rPr>
      </w:pPr>
      <w:r w:rsidRPr="00830F38">
        <w:rPr>
          <w:rFonts w:ascii="Times New Roman" w:hAnsi="Times New Roman" w:cs="Times New Roman"/>
          <w:smallCaps/>
          <w:sz w:val="24"/>
          <w:szCs w:val="24"/>
        </w:rPr>
        <w:t xml:space="preserve">V. </w:t>
      </w:r>
      <w:r w:rsidR="002E5214" w:rsidRPr="00830F38">
        <w:rPr>
          <w:rFonts w:ascii="Times New Roman" w:hAnsi="Times New Roman" w:cs="Times New Roman"/>
          <w:smallCaps/>
          <w:sz w:val="24"/>
          <w:szCs w:val="24"/>
        </w:rPr>
        <w:t>Discussion</w:t>
      </w:r>
    </w:p>
    <w:p w14:paraId="38261CE2" w14:textId="5DBC85BE" w:rsidR="004B066B" w:rsidRDefault="001D1C9B" w:rsidP="00D06A8A">
      <w:pPr>
        <w:spacing w:after="0" w:line="276" w:lineRule="auto"/>
        <w:jc w:val="both"/>
        <w:rPr>
          <w:rFonts w:ascii="Times New Roman" w:hAnsi="Times New Roman" w:cs="Times New Roman"/>
          <w:sz w:val="24"/>
          <w:szCs w:val="24"/>
          <w:rtl/>
        </w:rPr>
      </w:pPr>
      <w:r w:rsidRPr="004C0D35">
        <w:rPr>
          <w:rFonts w:ascii="Times New Roman" w:hAnsi="Times New Roman" w:cs="Times New Roman"/>
          <w:sz w:val="24"/>
          <w:szCs w:val="24"/>
        </w:rPr>
        <w:t xml:space="preserve">The analysis in </w:t>
      </w:r>
      <w:r w:rsidR="008318F4" w:rsidRPr="004C0D35">
        <w:rPr>
          <w:rFonts w:ascii="Times New Roman" w:hAnsi="Times New Roman" w:cs="Times New Roman"/>
          <w:sz w:val="24"/>
          <w:szCs w:val="24"/>
        </w:rPr>
        <w:t>Part</w:t>
      </w:r>
      <w:r w:rsidRPr="004C0D35">
        <w:rPr>
          <w:rFonts w:ascii="Times New Roman" w:hAnsi="Times New Roman" w:cs="Times New Roman"/>
          <w:sz w:val="24"/>
          <w:szCs w:val="24"/>
        </w:rPr>
        <w:t xml:space="preserve"> IV.3 draws </w:t>
      </w:r>
      <w:r w:rsidR="00D06A8A">
        <w:rPr>
          <w:rFonts w:ascii="Times New Roman" w:hAnsi="Times New Roman" w:cs="Times New Roman"/>
          <w:sz w:val="24"/>
          <w:szCs w:val="24"/>
        </w:rPr>
        <w:t xml:space="preserve">what may be </w:t>
      </w:r>
      <w:r w:rsidRPr="004C0D35">
        <w:rPr>
          <w:rFonts w:ascii="Times New Roman" w:hAnsi="Times New Roman" w:cs="Times New Roman"/>
          <w:sz w:val="24"/>
          <w:szCs w:val="24"/>
        </w:rPr>
        <w:t xml:space="preserve">a counterintuitive picture of the results of the statutory liberalization of trust law in the U.S., </w:t>
      </w:r>
      <w:r w:rsidR="004F0A7F" w:rsidRPr="004C0D35">
        <w:rPr>
          <w:rFonts w:ascii="Times New Roman" w:hAnsi="Times New Roman" w:cs="Times New Roman"/>
          <w:sz w:val="24"/>
          <w:szCs w:val="24"/>
        </w:rPr>
        <w:t>the world</w:t>
      </w:r>
      <w:r w:rsidRPr="004C0D35">
        <w:rPr>
          <w:rFonts w:ascii="Times New Roman" w:hAnsi="Times New Roman" w:cs="Times New Roman"/>
          <w:sz w:val="24"/>
          <w:szCs w:val="24"/>
        </w:rPr>
        <w:t xml:space="preserve"> lead</w:t>
      </w:r>
      <w:r w:rsidR="004F0A7F" w:rsidRPr="004C0D35">
        <w:rPr>
          <w:rFonts w:ascii="Times New Roman" w:hAnsi="Times New Roman" w:cs="Times New Roman"/>
          <w:sz w:val="24"/>
          <w:szCs w:val="24"/>
        </w:rPr>
        <w:t>er</w:t>
      </w:r>
      <w:r w:rsidRPr="004C0D35">
        <w:rPr>
          <w:rFonts w:ascii="Times New Roman" w:hAnsi="Times New Roman" w:cs="Times New Roman"/>
          <w:sz w:val="24"/>
          <w:szCs w:val="24"/>
        </w:rPr>
        <w:t xml:space="preserve"> in such liberalization. </w:t>
      </w:r>
      <w:r w:rsidR="004B066B">
        <w:rPr>
          <w:rFonts w:ascii="Times New Roman" w:hAnsi="Times New Roman" w:cs="Times New Roman"/>
          <w:sz w:val="24"/>
          <w:szCs w:val="24"/>
        </w:rPr>
        <w:t xml:space="preserve">On one reading of the results, far-reaching changes made to U.S. states’ law of trusts </w:t>
      </w:r>
      <w:r w:rsidR="00B56256">
        <w:rPr>
          <w:rFonts w:ascii="Times New Roman" w:hAnsi="Times New Roman" w:cs="Times New Roman"/>
          <w:sz w:val="24"/>
          <w:szCs w:val="24"/>
        </w:rPr>
        <w:t>in order to bolster the fortunes of enacting states’ trust</w:t>
      </w:r>
      <w:r w:rsidR="00CD07E7">
        <w:rPr>
          <w:rFonts w:ascii="Times New Roman" w:hAnsi="Times New Roman" w:cs="Times New Roman"/>
          <w:sz w:val="24"/>
          <w:szCs w:val="24"/>
        </w:rPr>
        <w:t>, legal and financial</w:t>
      </w:r>
      <w:r w:rsidR="00B56256">
        <w:rPr>
          <w:rFonts w:ascii="Times New Roman" w:hAnsi="Times New Roman" w:cs="Times New Roman"/>
          <w:sz w:val="24"/>
          <w:szCs w:val="24"/>
        </w:rPr>
        <w:t xml:space="preserve"> industries </w:t>
      </w:r>
      <w:r w:rsidR="00C236E1">
        <w:rPr>
          <w:rFonts w:ascii="Times New Roman" w:hAnsi="Times New Roman" w:cs="Times New Roman"/>
          <w:sz w:val="24"/>
          <w:szCs w:val="24"/>
        </w:rPr>
        <w:t xml:space="preserve">are found to </w:t>
      </w:r>
      <w:r w:rsidR="00B56256">
        <w:rPr>
          <w:rFonts w:ascii="Times New Roman" w:hAnsi="Times New Roman" w:cs="Times New Roman"/>
          <w:sz w:val="24"/>
          <w:szCs w:val="24"/>
        </w:rPr>
        <w:t xml:space="preserve">have </w:t>
      </w:r>
      <w:r w:rsidR="00C236E1">
        <w:rPr>
          <w:rFonts w:ascii="Times New Roman" w:hAnsi="Times New Roman" w:cs="Times New Roman"/>
          <w:sz w:val="24"/>
          <w:szCs w:val="24"/>
        </w:rPr>
        <w:t>had no impact on</w:t>
      </w:r>
      <w:r w:rsidR="00C8183E">
        <w:rPr>
          <w:rFonts w:ascii="Times New Roman" w:hAnsi="Times New Roman" w:cs="Times New Roman"/>
          <w:sz w:val="24"/>
          <w:szCs w:val="24"/>
        </w:rPr>
        <w:t xml:space="preserve"> several indicia of those fortunes</w:t>
      </w:r>
      <w:r w:rsidR="00137863">
        <w:rPr>
          <w:rFonts w:ascii="Times New Roman" w:hAnsi="Times New Roman" w:cs="Times New Roman"/>
          <w:sz w:val="24"/>
          <w:szCs w:val="24"/>
        </w:rPr>
        <w:t>.</w:t>
      </w:r>
      <w:r w:rsidR="00B03A04">
        <w:rPr>
          <w:rStyle w:val="FootnoteReference"/>
          <w:rFonts w:ascii="Times New Roman" w:hAnsi="Times New Roman" w:cs="Times New Roman"/>
          <w:sz w:val="24"/>
          <w:szCs w:val="24"/>
        </w:rPr>
        <w:footnoteReference w:id="77"/>
      </w:r>
      <w:r w:rsidR="00137863">
        <w:rPr>
          <w:rFonts w:ascii="Times New Roman" w:hAnsi="Times New Roman" w:cs="Times New Roman"/>
          <w:sz w:val="24"/>
          <w:szCs w:val="24"/>
        </w:rPr>
        <w:t xml:space="preserve"> Given th</w:t>
      </w:r>
      <w:r w:rsidR="00D06A8A">
        <w:rPr>
          <w:rFonts w:ascii="Times New Roman" w:hAnsi="Times New Roman" w:cs="Times New Roman"/>
          <w:sz w:val="24"/>
          <w:szCs w:val="24"/>
        </w:rPr>
        <w:t>is</w:t>
      </w:r>
      <w:r w:rsidR="00DA0B95">
        <w:rPr>
          <w:rFonts w:ascii="Times New Roman" w:hAnsi="Times New Roman" w:cs="Times New Roman"/>
          <w:sz w:val="24"/>
          <w:szCs w:val="24"/>
        </w:rPr>
        <w:t xml:space="preserve"> finding, one wonders whether trust law liberalization by statute in fact benefitted enacting states’ trust</w:t>
      </w:r>
      <w:r w:rsidR="00CD07E7">
        <w:rPr>
          <w:rFonts w:ascii="Times New Roman" w:hAnsi="Times New Roman" w:cs="Times New Roman"/>
          <w:sz w:val="24"/>
          <w:szCs w:val="24"/>
        </w:rPr>
        <w:t>, legal and financial</w:t>
      </w:r>
      <w:r w:rsidR="00DA0B95">
        <w:rPr>
          <w:rFonts w:ascii="Times New Roman" w:hAnsi="Times New Roman" w:cs="Times New Roman"/>
          <w:sz w:val="24"/>
          <w:szCs w:val="24"/>
        </w:rPr>
        <w:t xml:space="preserve"> industries. </w:t>
      </w:r>
      <w:r w:rsidR="00712586">
        <w:rPr>
          <w:rFonts w:ascii="Times New Roman" w:hAnsi="Times New Roman" w:cs="Times New Roman"/>
          <w:sz w:val="24"/>
          <w:szCs w:val="24"/>
        </w:rPr>
        <w:t xml:space="preserve">If trust law liberalization by statute did not benefit those industries, it appears to be a policy failure, </w:t>
      </w:r>
      <w:r w:rsidR="009D34E8">
        <w:rPr>
          <w:rFonts w:ascii="Times New Roman" w:hAnsi="Times New Roman" w:cs="Times New Roman"/>
          <w:sz w:val="24"/>
          <w:szCs w:val="24"/>
        </w:rPr>
        <w:t xml:space="preserve">since the commercial potential of trust liberalization </w:t>
      </w:r>
      <w:r w:rsidR="00625A8A">
        <w:rPr>
          <w:rFonts w:ascii="Times New Roman" w:hAnsi="Times New Roman" w:cs="Times New Roman"/>
          <w:sz w:val="24"/>
          <w:szCs w:val="24"/>
        </w:rPr>
        <w:t xml:space="preserve">for those industries </w:t>
      </w:r>
      <w:r w:rsidR="009D34E8">
        <w:rPr>
          <w:rFonts w:ascii="Times New Roman" w:hAnsi="Times New Roman" w:cs="Times New Roman"/>
          <w:sz w:val="24"/>
          <w:szCs w:val="24"/>
        </w:rPr>
        <w:t>has long been touted as its primary advantage.</w:t>
      </w:r>
      <w:r w:rsidR="009D34E8">
        <w:rPr>
          <w:rStyle w:val="FootnoteReference"/>
          <w:rFonts w:ascii="Times New Roman" w:hAnsi="Times New Roman" w:cs="Times New Roman"/>
          <w:sz w:val="24"/>
          <w:szCs w:val="24"/>
        </w:rPr>
        <w:footnoteReference w:id="78"/>
      </w:r>
      <w:r w:rsidR="009D34E8">
        <w:rPr>
          <w:rFonts w:ascii="Times New Roman" w:hAnsi="Times New Roman" w:cs="Times New Roman"/>
          <w:sz w:val="24"/>
          <w:szCs w:val="24"/>
        </w:rPr>
        <w:t xml:space="preserve"> It could of course be that the purported commercial benefits of trust law liberalization were a red herring, and that the advocates of reforms such as </w:t>
      </w:r>
      <w:r w:rsidR="002A02D8">
        <w:rPr>
          <w:rFonts w:ascii="Times New Roman" w:hAnsi="Times New Roman" w:cs="Times New Roman"/>
          <w:sz w:val="24"/>
          <w:szCs w:val="24"/>
        </w:rPr>
        <w:t>the regulation of trust decanting and trust protectors</w:t>
      </w:r>
      <w:r w:rsidR="002A02D8">
        <w:rPr>
          <w:rFonts w:ascii="Times New Roman" w:hAnsi="Times New Roman" w:cs="Times New Roman"/>
          <w:color w:val="000000"/>
          <w:sz w:val="24"/>
          <w:szCs w:val="24"/>
          <w:shd w:val="clear" w:color="auto" w:fill="FFFFFF"/>
        </w:rPr>
        <w:t xml:space="preserve"> wanted the substance of these reforms to take place regardless of any resulting commercial benefit. </w:t>
      </w:r>
      <w:r w:rsidR="00686B7B">
        <w:rPr>
          <w:rFonts w:ascii="Times New Roman" w:hAnsi="Times New Roman" w:cs="Times New Roman"/>
          <w:color w:val="000000"/>
          <w:sz w:val="24"/>
          <w:szCs w:val="24"/>
          <w:shd w:val="clear" w:color="auto" w:fill="FFFFFF"/>
        </w:rPr>
        <w:t xml:space="preserve">It could also be that such reforms benefitted the practitioners who advocated them, though not the relevant sectors as a whole. It could even be that reform advocates believed, pre-reform, that the reforms they promoted would benefit either themselves or the trust, legal and financial services sectors as a whole, only to be proven wrong once the reforms were enacted. </w:t>
      </w:r>
    </w:p>
    <w:p w14:paraId="292EEEF5" w14:textId="48D835BE" w:rsidR="0033200E" w:rsidRPr="004C0D35" w:rsidRDefault="00712586" w:rsidP="007E13DD">
      <w:pPr>
        <w:spacing w:after="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On an alternative </w:t>
      </w:r>
      <w:r w:rsidR="004B066B">
        <w:rPr>
          <w:rFonts w:ascii="Times New Roman" w:hAnsi="Times New Roman" w:cs="Times New Roman"/>
          <w:sz w:val="24"/>
          <w:szCs w:val="24"/>
        </w:rPr>
        <w:t>reading</w:t>
      </w:r>
      <w:r>
        <w:rPr>
          <w:rFonts w:ascii="Times New Roman" w:hAnsi="Times New Roman" w:cs="Times New Roman"/>
          <w:sz w:val="24"/>
          <w:szCs w:val="24"/>
        </w:rPr>
        <w:t xml:space="preserve"> of the findings in </w:t>
      </w:r>
      <w:r w:rsidRPr="004C0D35">
        <w:rPr>
          <w:rFonts w:ascii="Times New Roman" w:hAnsi="Times New Roman" w:cs="Times New Roman"/>
          <w:sz w:val="24"/>
          <w:szCs w:val="24"/>
        </w:rPr>
        <w:t>Part IV.3</w:t>
      </w:r>
      <w:r w:rsidR="004B066B">
        <w:rPr>
          <w:rFonts w:ascii="Times New Roman" w:hAnsi="Times New Roman" w:cs="Times New Roman"/>
          <w:sz w:val="24"/>
          <w:szCs w:val="24"/>
        </w:rPr>
        <w:t>,</w:t>
      </w:r>
      <w:r>
        <w:rPr>
          <w:rFonts w:ascii="Times New Roman" w:hAnsi="Times New Roman" w:cs="Times New Roman"/>
          <w:sz w:val="24"/>
          <w:szCs w:val="24"/>
        </w:rPr>
        <w:t xml:space="preserve"> which takes the relationships </w:t>
      </w:r>
      <w:r w:rsidR="006A5E5C">
        <w:rPr>
          <w:rFonts w:ascii="Times New Roman" w:hAnsi="Times New Roman" w:cs="Times New Roman"/>
          <w:sz w:val="24"/>
          <w:szCs w:val="24"/>
        </w:rPr>
        <w:t xml:space="preserve">identified </w:t>
      </w:r>
      <w:r w:rsidR="007E13DD">
        <w:rPr>
          <w:rFonts w:ascii="Times New Roman" w:hAnsi="Times New Roman" w:cs="Times New Roman"/>
          <w:sz w:val="24"/>
          <w:szCs w:val="24"/>
        </w:rPr>
        <w:t xml:space="preserve">in Table 2 </w:t>
      </w:r>
      <w:r>
        <w:rPr>
          <w:rFonts w:ascii="Times New Roman" w:hAnsi="Times New Roman" w:cs="Times New Roman"/>
          <w:sz w:val="24"/>
          <w:szCs w:val="24"/>
        </w:rPr>
        <w:t>seriously despite their limited statistical significance,</w:t>
      </w:r>
      <w:r w:rsidR="004B066B">
        <w:rPr>
          <w:rFonts w:ascii="Times New Roman" w:hAnsi="Times New Roman" w:cs="Times New Roman"/>
          <w:sz w:val="24"/>
          <w:szCs w:val="24"/>
        </w:rPr>
        <w:t xml:space="preserve"> l</w:t>
      </w:r>
      <w:r w:rsidR="004F0A7F" w:rsidRPr="004C0D35">
        <w:rPr>
          <w:rFonts w:ascii="Times New Roman" w:hAnsi="Times New Roman" w:cs="Times New Roman"/>
          <w:sz w:val="24"/>
          <w:szCs w:val="24"/>
        </w:rPr>
        <w:t xml:space="preserve">aw reforms designed to </w:t>
      </w:r>
      <w:r w:rsidR="008431C1" w:rsidRPr="004C0D35">
        <w:rPr>
          <w:rFonts w:ascii="Times New Roman" w:hAnsi="Times New Roman" w:cs="Times New Roman"/>
          <w:sz w:val="24"/>
          <w:szCs w:val="24"/>
        </w:rPr>
        <w:t>benefit those providing trust services</w:t>
      </w:r>
      <w:r w:rsidR="004744E1" w:rsidRPr="004C0D35">
        <w:rPr>
          <w:rFonts w:ascii="Times New Roman" w:hAnsi="Times New Roman" w:cs="Times New Roman"/>
          <w:sz w:val="24"/>
          <w:szCs w:val="24"/>
        </w:rPr>
        <w:t>, if necessary</w:t>
      </w:r>
      <w:r w:rsidR="008431C1" w:rsidRPr="004C0D35">
        <w:rPr>
          <w:rFonts w:ascii="Times New Roman" w:hAnsi="Times New Roman" w:cs="Times New Roman"/>
          <w:sz w:val="24"/>
          <w:szCs w:val="24"/>
        </w:rPr>
        <w:t xml:space="preserve"> at the expense of the trust</w:t>
      </w:r>
      <w:r w:rsidR="003041F2" w:rsidRPr="004C0D35">
        <w:rPr>
          <w:rFonts w:ascii="Times New Roman" w:hAnsi="Times New Roman" w:cs="Times New Roman"/>
          <w:sz w:val="24"/>
          <w:szCs w:val="24"/>
        </w:rPr>
        <w:t xml:space="preserve"> fund</w:t>
      </w:r>
      <w:r w:rsidR="008431C1" w:rsidRPr="004C0D35">
        <w:rPr>
          <w:rFonts w:ascii="Times New Roman" w:hAnsi="Times New Roman" w:cs="Times New Roman"/>
          <w:sz w:val="24"/>
          <w:szCs w:val="24"/>
        </w:rPr>
        <w:t xml:space="preserve">, such as reforms allowing the </w:t>
      </w:r>
      <w:r w:rsidR="008431C1" w:rsidRPr="004C0D35">
        <w:rPr>
          <w:rFonts w:ascii="Times New Roman" w:hAnsi="Times New Roman" w:cs="Times New Roman"/>
          <w:color w:val="000000"/>
          <w:sz w:val="24"/>
          <w:szCs w:val="24"/>
          <w:shd w:val="clear" w:color="auto" w:fill="FFFFFF"/>
        </w:rPr>
        <w:t xml:space="preserve">exclusion of trustees’ duties of prudence and loyalty and/or their liability for harm caused by infringing those duties, reforms restricting trustees’ personal exposure to debts arising from their activities as </w:t>
      </w:r>
      <w:r w:rsidR="003041F2" w:rsidRPr="004C0D35">
        <w:rPr>
          <w:rFonts w:ascii="Times New Roman" w:hAnsi="Times New Roman" w:cs="Times New Roman"/>
          <w:color w:val="000000"/>
          <w:sz w:val="24"/>
          <w:szCs w:val="24"/>
          <w:shd w:val="clear" w:color="auto" w:fill="FFFFFF"/>
        </w:rPr>
        <w:t>such</w:t>
      </w:r>
      <w:r w:rsidR="008431C1" w:rsidRPr="004C0D35">
        <w:rPr>
          <w:rFonts w:ascii="Times New Roman" w:hAnsi="Times New Roman" w:cs="Times New Roman"/>
          <w:color w:val="000000"/>
          <w:sz w:val="24"/>
          <w:szCs w:val="24"/>
          <w:shd w:val="clear" w:color="auto" w:fill="FFFFFF"/>
        </w:rPr>
        <w:t xml:space="preserve"> and reforms entrenching every trustee’s right to be remunerated, are found to permit trustees to </w:t>
      </w:r>
      <w:r w:rsidR="00D1614B" w:rsidRPr="004C0D35">
        <w:rPr>
          <w:rFonts w:ascii="Times New Roman" w:hAnsi="Times New Roman" w:cs="Times New Roman"/>
          <w:color w:val="000000"/>
          <w:sz w:val="24"/>
          <w:szCs w:val="24"/>
          <w:shd w:val="clear" w:color="auto" w:fill="FFFFFF"/>
        </w:rPr>
        <w:t>produce</w:t>
      </w:r>
      <w:r w:rsidR="008431C1" w:rsidRPr="004C0D35">
        <w:rPr>
          <w:rFonts w:ascii="Times New Roman" w:hAnsi="Times New Roman" w:cs="Times New Roman"/>
          <w:color w:val="000000"/>
          <w:sz w:val="24"/>
          <w:szCs w:val="24"/>
          <w:shd w:val="clear" w:color="auto" w:fill="FFFFFF"/>
        </w:rPr>
        <w:t xml:space="preserve"> more</w:t>
      </w:r>
      <w:r w:rsidR="00D1614B" w:rsidRPr="004C0D35">
        <w:rPr>
          <w:rFonts w:ascii="Times New Roman" w:hAnsi="Times New Roman" w:cs="Times New Roman"/>
          <w:color w:val="000000"/>
          <w:sz w:val="24"/>
          <w:szCs w:val="24"/>
          <w:shd w:val="clear" w:color="auto" w:fill="FFFFFF"/>
        </w:rPr>
        <w:t xml:space="preserve"> trust</w:t>
      </w:r>
      <w:r w:rsidR="008431C1" w:rsidRPr="004C0D35">
        <w:rPr>
          <w:rFonts w:ascii="Times New Roman" w:hAnsi="Times New Roman" w:cs="Times New Roman"/>
          <w:color w:val="000000"/>
          <w:sz w:val="24"/>
          <w:szCs w:val="24"/>
          <w:shd w:val="clear" w:color="auto" w:fill="FFFFFF"/>
        </w:rPr>
        <w:t xml:space="preserve"> income </w:t>
      </w:r>
      <w:r w:rsidR="00D1614B" w:rsidRPr="004C0D35">
        <w:rPr>
          <w:rFonts w:ascii="Times New Roman" w:hAnsi="Times New Roman" w:cs="Times New Roman"/>
          <w:color w:val="000000"/>
          <w:sz w:val="24"/>
          <w:szCs w:val="24"/>
          <w:shd w:val="clear" w:color="auto" w:fill="FFFFFF"/>
        </w:rPr>
        <w:t xml:space="preserve">while </w:t>
      </w:r>
      <w:r w:rsidR="003041F2" w:rsidRPr="004C0D35">
        <w:rPr>
          <w:rFonts w:ascii="Times New Roman" w:hAnsi="Times New Roman" w:cs="Times New Roman"/>
          <w:color w:val="000000"/>
          <w:sz w:val="24"/>
          <w:szCs w:val="24"/>
          <w:shd w:val="clear" w:color="auto" w:fill="FFFFFF"/>
        </w:rPr>
        <w:t>charging</w:t>
      </w:r>
      <w:r w:rsidR="00D1614B" w:rsidRPr="004C0D35">
        <w:rPr>
          <w:rFonts w:ascii="Times New Roman" w:hAnsi="Times New Roman" w:cs="Times New Roman"/>
          <w:color w:val="000000"/>
          <w:sz w:val="24"/>
          <w:szCs w:val="24"/>
          <w:shd w:val="clear" w:color="auto" w:fill="FFFFFF"/>
        </w:rPr>
        <w:t xml:space="preserve"> </w:t>
      </w:r>
      <w:r w:rsidR="00873D77" w:rsidRPr="004C0D35">
        <w:rPr>
          <w:rFonts w:ascii="Times New Roman" w:hAnsi="Times New Roman" w:cs="Times New Roman"/>
          <w:color w:val="000000"/>
          <w:sz w:val="24"/>
          <w:szCs w:val="24"/>
          <w:shd w:val="clear" w:color="auto" w:fill="FFFFFF"/>
        </w:rPr>
        <w:t xml:space="preserve">the trust fund </w:t>
      </w:r>
      <w:r w:rsidR="00D1614B" w:rsidRPr="004C0D35">
        <w:rPr>
          <w:rFonts w:ascii="Times New Roman" w:hAnsi="Times New Roman" w:cs="Times New Roman"/>
          <w:color w:val="000000"/>
          <w:sz w:val="24"/>
          <w:szCs w:val="24"/>
          <w:shd w:val="clear" w:color="auto" w:fill="FFFFFF"/>
        </w:rPr>
        <w:t xml:space="preserve">less </w:t>
      </w:r>
      <w:r w:rsidR="003041F2" w:rsidRPr="004C0D35">
        <w:rPr>
          <w:rFonts w:ascii="Times New Roman" w:hAnsi="Times New Roman" w:cs="Times New Roman"/>
          <w:color w:val="000000"/>
          <w:sz w:val="24"/>
          <w:szCs w:val="24"/>
          <w:shd w:val="clear" w:color="auto" w:fill="FFFFFF"/>
        </w:rPr>
        <w:t>for their services</w:t>
      </w:r>
      <w:r w:rsidR="00D1614B" w:rsidRPr="004C0D35">
        <w:rPr>
          <w:rFonts w:ascii="Times New Roman" w:hAnsi="Times New Roman" w:cs="Times New Roman"/>
          <w:color w:val="000000"/>
          <w:sz w:val="24"/>
          <w:szCs w:val="24"/>
          <w:shd w:val="clear" w:color="auto" w:fill="FFFFFF"/>
        </w:rPr>
        <w:t>. This result is</w:t>
      </w:r>
      <w:r w:rsidR="009767AD" w:rsidRPr="004C0D35">
        <w:rPr>
          <w:rFonts w:ascii="Times New Roman" w:hAnsi="Times New Roman" w:cs="Times New Roman"/>
          <w:color w:val="000000"/>
          <w:sz w:val="24"/>
          <w:szCs w:val="24"/>
          <w:shd w:val="clear" w:color="auto" w:fill="FFFFFF"/>
        </w:rPr>
        <w:t xml:space="preserve"> not merely an artefact of good economic times: it is</w:t>
      </w:r>
      <w:r w:rsidR="00D1614B" w:rsidRPr="004C0D35">
        <w:rPr>
          <w:rFonts w:ascii="Times New Roman" w:hAnsi="Times New Roman" w:cs="Times New Roman"/>
          <w:color w:val="000000"/>
          <w:sz w:val="24"/>
          <w:szCs w:val="24"/>
          <w:shd w:val="clear" w:color="auto" w:fill="FFFFFF"/>
        </w:rPr>
        <w:t xml:space="preserve"> based on </w:t>
      </w:r>
      <w:r w:rsidR="003041F2" w:rsidRPr="004C0D35">
        <w:rPr>
          <w:rFonts w:ascii="Times New Roman" w:hAnsi="Times New Roman" w:cs="Times New Roman"/>
          <w:color w:val="000000"/>
          <w:sz w:val="24"/>
          <w:szCs w:val="24"/>
          <w:shd w:val="clear" w:color="auto" w:fill="FFFFFF"/>
        </w:rPr>
        <w:t>I.R.S.-collected</w:t>
      </w:r>
      <w:r w:rsidR="00D1614B" w:rsidRPr="004C0D35">
        <w:rPr>
          <w:rFonts w:ascii="Times New Roman" w:hAnsi="Times New Roman" w:cs="Times New Roman"/>
          <w:color w:val="000000"/>
          <w:sz w:val="24"/>
          <w:szCs w:val="24"/>
          <w:shd w:val="clear" w:color="auto" w:fill="FFFFFF"/>
        </w:rPr>
        <w:t xml:space="preserve"> data reflecting a period of time </w:t>
      </w:r>
      <w:r w:rsidR="003041F2" w:rsidRPr="004C0D35">
        <w:rPr>
          <w:rFonts w:ascii="Times New Roman" w:hAnsi="Times New Roman" w:cs="Times New Roman"/>
          <w:color w:val="000000"/>
          <w:sz w:val="24"/>
          <w:szCs w:val="24"/>
          <w:shd w:val="clear" w:color="auto" w:fill="FFFFFF"/>
        </w:rPr>
        <w:t>(</w:t>
      </w:r>
      <w:r w:rsidR="00D1614B" w:rsidRPr="004C0D35">
        <w:rPr>
          <w:rFonts w:ascii="Times New Roman" w:hAnsi="Times New Roman" w:cs="Times New Roman"/>
          <w:color w:val="000000"/>
          <w:sz w:val="24"/>
          <w:szCs w:val="24"/>
          <w:shd w:val="clear" w:color="auto" w:fill="FFFFFF"/>
        </w:rPr>
        <w:t>2000-2013</w:t>
      </w:r>
      <w:r w:rsidR="003041F2" w:rsidRPr="004C0D35">
        <w:rPr>
          <w:rFonts w:ascii="Times New Roman" w:hAnsi="Times New Roman" w:cs="Times New Roman"/>
          <w:color w:val="000000"/>
          <w:sz w:val="24"/>
          <w:szCs w:val="24"/>
          <w:shd w:val="clear" w:color="auto" w:fill="FFFFFF"/>
        </w:rPr>
        <w:t>)</w:t>
      </w:r>
      <w:r w:rsidR="00D1614B" w:rsidRPr="004C0D35">
        <w:rPr>
          <w:rFonts w:ascii="Times New Roman" w:hAnsi="Times New Roman" w:cs="Times New Roman"/>
          <w:color w:val="000000"/>
          <w:sz w:val="24"/>
          <w:szCs w:val="24"/>
          <w:shd w:val="clear" w:color="auto" w:fill="FFFFFF"/>
        </w:rPr>
        <w:t xml:space="preserve"> which included two serious economic downturns, those of </w:t>
      </w:r>
      <w:r w:rsidR="008431C1" w:rsidRPr="004C0D35">
        <w:rPr>
          <w:rFonts w:ascii="Times New Roman" w:hAnsi="Times New Roman" w:cs="Times New Roman"/>
          <w:color w:val="000000"/>
          <w:sz w:val="24"/>
          <w:szCs w:val="24"/>
          <w:shd w:val="clear" w:color="auto" w:fill="FFFFFF"/>
        </w:rPr>
        <w:t>2000 and 2008</w:t>
      </w:r>
      <w:r w:rsidR="003041F2" w:rsidRPr="004C0D35">
        <w:rPr>
          <w:rFonts w:ascii="Times New Roman" w:hAnsi="Times New Roman" w:cs="Times New Roman"/>
          <w:color w:val="000000"/>
          <w:sz w:val="24"/>
          <w:szCs w:val="24"/>
          <w:shd w:val="clear" w:color="auto" w:fill="FFFFFF"/>
        </w:rPr>
        <w:t>.</w:t>
      </w:r>
      <w:r w:rsidR="00D1614B" w:rsidRPr="004C0D35">
        <w:rPr>
          <w:rFonts w:ascii="Times New Roman" w:hAnsi="Times New Roman" w:cs="Times New Roman"/>
          <w:color w:val="000000"/>
          <w:sz w:val="24"/>
          <w:szCs w:val="24"/>
          <w:shd w:val="clear" w:color="auto" w:fill="FFFFFF"/>
        </w:rPr>
        <w:t xml:space="preserve"> </w:t>
      </w:r>
      <w:r w:rsidR="003041F2" w:rsidRPr="004C0D35">
        <w:rPr>
          <w:rFonts w:ascii="Times New Roman" w:hAnsi="Times New Roman" w:cs="Times New Roman"/>
          <w:color w:val="000000"/>
          <w:sz w:val="24"/>
          <w:szCs w:val="24"/>
          <w:shd w:val="clear" w:color="auto" w:fill="FFFFFF"/>
        </w:rPr>
        <w:t>F</w:t>
      </w:r>
      <w:r w:rsidR="00D1614B" w:rsidRPr="004C0D35">
        <w:rPr>
          <w:rFonts w:ascii="Times New Roman" w:hAnsi="Times New Roman" w:cs="Times New Roman"/>
          <w:color w:val="000000"/>
          <w:sz w:val="24"/>
          <w:szCs w:val="24"/>
          <w:shd w:val="clear" w:color="auto" w:fill="FFFFFF"/>
        </w:rPr>
        <w:t xml:space="preserve">urther, economic growth was controlled for by incorporating state GDP </w:t>
      </w:r>
      <w:r w:rsidR="003041F2" w:rsidRPr="004C0D35">
        <w:rPr>
          <w:rFonts w:ascii="Times New Roman" w:hAnsi="Times New Roman" w:cs="Times New Roman"/>
          <w:color w:val="000000"/>
          <w:sz w:val="24"/>
          <w:szCs w:val="24"/>
          <w:shd w:val="clear" w:color="auto" w:fill="FFFFFF"/>
        </w:rPr>
        <w:t>as a predictor</w:t>
      </w:r>
      <w:r w:rsidR="00D1614B" w:rsidRPr="004C0D35">
        <w:rPr>
          <w:rFonts w:ascii="Times New Roman" w:hAnsi="Times New Roman" w:cs="Times New Roman"/>
          <w:color w:val="000000"/>
          <w:sz w:val="24"/>
          <w:szCs w:val="24"/>
          <w:shd w:val="clear" w:color="auto" w:fill="FFFFFF"/>
        </w:rPr>
        <w:t>. It therefore appears</w:t>
      </w:r>
      <w:r>
        <w:rPr>
          <w:rFonts w:ascii="Times New Roman" w:hAnsi="Times New Roman" w:cs="Times New Roman"/>
          <w:color w:val="000000"/>
          <w:sz w:val="24"/>
          <w:szCs w:val="24"/>
          <w:shd w:val="clear" w:color="auto" w:fill="FFFFFF"/>
        </w:rPr>
        <w:t>, on this reading of my findings,</w:t>
      </w:r>
      <w:r w:rsidR="00D1614B" w:rsidRPr="004C0D35">
        <w:rPr>
          <w:rFonts w:ascii="Times New Roman" w:hAnsi="Times New Roman" w:cs="Times New Roman"/>
          <w:color w:val="000000"/>
          <w:sz w:val="24"/>
          <w:szCs w:val="24"/>
          <w:shd w:val="clear" w:color="auto" w:fill="FFFFFF"/>
        </w:rPr>
        <w:t xml:space="preserve"> that </w:t>
      </w:r>
      <w:r w:rsidR="00BD1A63" w:rsidRPr="004C0D35">
        <w:rPr>
          <w:rFonts w:ascii="Times New Roman" w:hAnsi="Times New Roman" w:cs="Times New Roman"/>
          <w:color w:val="000000"/>
          <w:sz w:val="24"/>
          <w:szCs w:val="24"/>
          <w:shd w:val="clear" w:color="auto" w:fill="FFFFFF"/>
        </w:rPr>
        <w:t xml:space="preserve">some </w:t>
      </w:r>
      <w:r w:rsidR="00D1614B" w:rsidRPr="004C0D35">
        <w:rPr>
          <w:rFonts w:ascii="Times New Roman" w:hAnsi="Times New Roman" w:cs="Times New Roman"/>
          <w:color w:val="000000"/>
          <w:sz w:val="24"/>
          <w:szCs w:val="24"/>
          <w:shd w:val="clear" w:color="auto" w:fill="FFFFFF"/>
        </w:rPr>
        <w:t>seemingly pro-trustee</w:t>
      </w:r>
      <w:r w:rsidR="00AE148A">
        <w:rPr>
          <w:rFonts w:ascii="Times New Roman" w:hAnsi="Times New Roman" w:cs="Times New Roman"/>
          <w:color w:val="000000"/>
          <w:sz w:val="24"/>
          <w:szCs w:val="24"/>
          <w:shd w:val="clear" w:color="auto" w:fill="FFFFFF"/>
        </w:rPr>
        <w:t xml:space="preserve"> </w:t>
      </w:r>
      <w:r w:rsidR="00D1614B" w:rsidRPr="004C0D35">
        <w:rPr>
          <w:rFonts w:ascii="Times New Roman" w:hAnsi="Times New Roman" w:cs="Times New Roman"/>
          <w:color w:val="000000"/>
          <w:sz w:val="24"/>
          <w:szCs w:val="24"/>
          <w:shd w:val="clear" w:color="auto" w:fill="FFFFFF"/>
        </w:rPr>
        <w:t xml:space="preserve">reforms to trust law actually benefit clients, a result which </w:t>
      </w:r>
      <w:r w:rsidR="009767AD" w:rsidRPr="004C0D35">
        <w:rPr>
          <w:rFonts w:ascii="Times New Roman" w:hAnsi="Times New Roman" w:cs="Times New Roman"/>
          <w:sz w:val="24"/>
          <w:szCs w:val="24"/>
        </w:rPr>
        <w:t xml:space="preserve">invites an intervention in the normative </w:t>
      </w:r>
      <w:r w:rsidR="00603FB1" w:rsidRPr="004C0D35">
        <w:rPr>
          <w:rFonts w:ascii="Times New Roman" w:hAnsi="Times New Roman" w:cs="Times New Roman"/>
          <w:sz w:val="24"/>
          <w:szCs w:val="24"/>
        </w:rPr>
        <w:t xml:space="preserve">trust law </w:t>
      </w:r>
      <w:r w:rsidR="009767AD" w:rsidRPr="004C0D35">
        <w:rPr>
          <w:rFonts w:ascii="Times New Roman" w:hAnsi="Times New Roman" w:cs="Times New Roman"/>
          <w:sz w:val="24"/>
          <w:szCs w:val="24"/>
        </w:rPr>
        <w:t xml:space="preserve">literature. </w:t>
      </w:r>
      <w:r w:rsidR="009767AD" w:rsidRPr="004C0D35">
        <w:rPr>
          <w:rFonts w:ascii="Times New Roman" w:hAnsi="Times New Roman" w:cs="Times New Roman"/>
          <w:color w:val="000000"/>
          <w:sz w:val="24"/>
          <w:szCs w:val="24"/>
          <w:shd w:val="clear" w:color="auto" w:fill="FFFFFF"/>
        </w:rPr>
        <w:t>M</w:t>
      </w:r>
      <w:r w:rsidR="00BD1A63" w:rsidRPr="004C0D35">
        <w:rPr>
          <w:rFonts w:ascii="Times New Roman" w:hAnsi="Times New Roman" w:cs="Times New Roman"/>
          <w:color w:val="000000"/>
          <w:sz w:val="24"/>
          <w:szCs w:val="24"/>
          <w:shd w:val="clear" w:color="auto" w:fill="FFFFFF"/>
        </w:rPr>
        <w:t>any commentators condemn</w:t>
      </w:r>
      <w:r w:rsidR="009767AD" w:rsidRPr="004C0D35">
        <w:rPr>
          <w:rFonts w:ascii="Times New Roman" w:hAnsi="Times New Roman" w:cs="Times New Roman"/>
          <w:color w:val="000000"/>
          <w:sz w:val="24"/>
          <w:szCs w:val="24"/>
          <w:shd w:val="clear" w:color="auto" w:fill="FFFFFF"/>
        </w:rPr>
        <w:t>ed</w:t>
      </w:r>
      <w:r w:rsidR="00D1614B" w:rsidRPr="004C0D35">
        <w:rPr>
          <w:rFonts w:ascii="Times New Roman" w:hAnsi="Times New Roman" w:cs="Times New Roman"/>
          <w:color w:val="000000"/>
          <w:sz w:val="24"/>
          <w:szCs w:val="24"/>
          <w:shd w:val="clear" w:color="auto" w:fill="FFFFFF"/>
        </w:rPr>
        <w:t xml:space="preserve"> </w:t>
      </w:r>
      <w:r w:rsidR="009767AD" w:rsidRPr="004C0D35">
        <w:rPr>
          <w:rFonts w:ascii="Times New Roman" w:hAnsi="Times New Roman" w:cs="Times New Roman"/>
          <w:color w:val="000000"/>
          <w:sz w:val="24"/>
          <w:szCs w:val="24"/>
          <w:shd w:val="clear" w:color="auto" w:fill="FFFFFF"/>
        </w:rPr>
        <w:t>reforms such as turning trustees’ key duties and liabilities into mere default rules, arguing that they wrongly prefer</w:t>
      </w:r>
      <w:r w:rsidR="00831C5B" w:rsidRPr="004C0D35">
        <w:rPr>
          <w:rFonts w:ascii="Times New Roman" w:hAnsi="Times New Roman" w:cs="Times New Roman"/>
          <w:color w:val="000000"/>
          <w:sz w:val="24"/>
          <w:szCs w:val="24"/>
          <w:shd w:val="clear" w:color="auto" w:fill="FFFFFF"/>
        </w:rPr>
        <w:t xml:space="preserve"> professionals’ interests </w:t>
      </w:r>
      <w:r w:rsidR="009767AD" w:rsidRPr="004C0D35">
        <w:rPr>
          <w:rFonts w:ascii="Times New Roman" w:hAnsi="Times New Roman" w:cs="Times New Roman"/>
          <w:color w:val="000000"/>
          <w:sz w:val="24"/>
          <w:szCs w:val="24"/>
          <w:shd w:val="clear" w:color="auto" w:fill="FFFFFF"/>
        </w:rPr>
        <w:t>to</w:t>
      </w:r>
      <w:r w:rsidR="00830F38">
        <w:rPr>
          <w:rFonts w:ascii="Times New Roman" w:hAnsi="Times New Roman" w:cs="Times New Roman"/>
          <w:color w:val="000000"/>
          <w:sz w:val="24"/>
          <w:szCs w:val="24"/>
          <w:shd w:val="clear" w:color="auto" w:fill="FFFFFF"/>
        </w:rPr>
        <w:t xml:space="preserve"> those of their clients</w:t>
      </w:r>
      <w:r w:rsidR="00D1614B" w:rsidRPr="004C0D35">
        <w:rPr>
          <w:rFonts w:ascii="Times New Roman" w:hAnsi="Times New Roman" w:cs="Times New Roman"/>
          <w:color w:val="000000"/>
          <w:sz w:val="24"/>
          <w:szCs w:val="24"/>
          <w:shd w:val="clear" w:color="auto" w:fill="FFFFFF"/>
        </w:rPr>
        <w:t>.</w:t>
      </w:r>
      <w:r w:rsidR="00830F38">
        <w:rPr>
          <w:rStyle w:val="FootnoteReference"/>
          <w:rFonts w:ascii="Times New Roman" w:hAnsi="Times New Roman" w:cs="Times New Roman"/>
          <w:color w:val="000000"/>
          <w:sz w:val="24"/>
          <w:szCs w:val="24"/>
          <w:shd w:val="clear" w:color="auto" w:fill="FFFFFF"/>
        </w:rPr>
        <w:footnoteReference w:id="79"/>
      </w:r>
      <w:r w:rsidR="00BD1A63" w:rsidRPr="004C0D35">
        <w:rPr>
          <w:rFonts w:ascii="Times New Roman" w:hAnsi="Times New Roman" w:cs="Times New Roman"/>
          <w:color w:val="000000"/>
          <w:sz w:val="24"/>
          <w:szCs w:val="24"/>
          <w:shd w:val="clear" w:color="auto" w:fill="FFFFFF"/>
        </w:rPr>
        <w:t xml:space="preserve"> It may of course be that these pro-trustee reforms do in fact harbor potential harm for trust funds and the beneficiaries entitled to them, despite this harm not having materialized to 2013. </w:t>
      </w:r>
      <w:r w:rsidR="00445F13" w:rsidRPr="004C0D35">
        <w:rPr>
          <w:rFonts w:ascii="Times New Roman" w:hAnsi="Times New Roman" w:cs="Times New Roman"/>
          <w:color w:val="000000"/>
          <w:sz w:val="24"/>
          <w:szCs w:val="24"/>
          <w:shd w:val="clear" w:color="auto" w:fill="FFFFFF"/>
        </w:rPr>
        <w:t xml:space="preserve">It may also be that despite the production of more trust income at lower cost, the reforms have in fact already harmed trust funds and beneficiaries by 2013, in ways not captured by the analysis in </w:t>
      </w:r>
      <w:r w:rsidR="008318F4" w:rsidRPr="004C0D35">
        <w:rPr>
          <w:rFonts w:ascii="Times New Roman" w:hAnsi="Times New Roman" w:cs="Times New Roman"/>
          <w:color w:val="000000"/>
          <w:sz w:val="24"/>
          <w:szCs w:val="24"/>
          <w:shd w:val="clear" w:color="auto" w:fill="FFFFFF"/>
        </w:rPr>
        <w:t>Part</w:t>
      </w:r>
      <w:r w:rsidR="00445F13" w:rsidRPr="004C0D35">
        <w:rPr>
          <w:rFonts w:ascii="Times New Roman" w:hAnsi="Times New Roman" w:cs="Times New Roman"/>
          <w:color w:val="000000"/>
          <w:sz w:val="24"/>
          <w:szCs w:val="24"/>
          <w:shd w:val="clear" w:color="auto" w:fill="FFFFFF"/>
        </w:rPr>
        <w:t xml:space="preserve"> IV.3.</w:t>
      </w:r>
      <w:r w:rsidR="00384306">
        <w:rPr>
          <w:rFonts w:ascii="Times New Roman" w:hAnsi="Times New Roman" w:cs="Times New Roman"/>
          <w:color w:val="000000"/>
          <w:sz w:val="24"/>
          <w:szCs w:val="24"/>
          <w:shd w:val="clear" w:color="auto" w:fill="FFFFFF"/>
        </w:rPr>
        <w:t xml:space="preserve"> </w:t>
      </w:r>
    </w:p>
    <w:p w14:paraId="0891F337" w14:textId="77777777" w:rsidR="00D1614B" w:rsidRPr="004C0D35" w:rsidRDefault="00384306" w:rsidP="00384306">
      <w:pPr>
        <w:spacing w:after="0" w:line="276"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What is </w:t>
      </w:r>
      <w:r w:rsidR="00BC6619">
        <w:rPr>
          <w:rFonts w:ascii="Times New Roman" w:hAnsi="Times New Roman" w:cs="Times New Roman"/>
          <w:sz w:val="24"/>
          <w:szCs w:val="24"/>
        </w:rPr>
        <w:t xml:space="preserve">especially </w:t>
      </w:r>
      <w:r>
        <w:rPr>
          <w:rFonts w:ascii="Times New Roman" w:hAnsi="Times New Roman" w:cs="Times New Roman"/>
          <w:sz w:val="24"/>
          <w:szCs w:val="24"/>
        </w:rPr>
        <w:t>clear from the analysis in</w:t>
      </w:r>
      <w:r w:rsidR="00712586" w:rsidRPr="004C0D35">
        <w:rPr>
          <w:rFonts w:ascii="Times New Roman" w:hAnsi="Times New Roman" w:cs="Times New Roman"/>
          <w:sz w:val="24"/>
          <w:szCs w:val="24"/>
        </w:rPr>
        <w:t xml:space="preserve"> Part IV.3 </w:t>
      </w:r>
      <w:r>
        <w:rPr>
          <w:rFonts w:ascii="Times New Roman" w:hAnsi="Times New Roman" w:cs="Times New Roman"/>
          <w:sz w:val="24"/>
          <w:szCs w:val="24"/>
        </w:rPr>
        <w:t>is</w:t>
      </w:r>
      <w:r w:rsidR="00712586">
        <w:rPr>
          <w:rFonts w:ascii="Times New Roman" w:hAnsi="Times New Roman" w:cs="Times New Roman"/>
          <w:sz w:val="24"/>
          <w:szCs w:val="24"/>
        </w:rPr>
        <w:t xml:space="preserve"> </w:t>
      </w:r>
      <w:r w:rsidR="0033200E" w:rsidRPr="004C0D35">
        <w:rPr>
          <w:rFonts w:ascii="Times New Roman" w:hAnsi="Times New Roman" w:cs="Times New Roman"/>
          <w:color w:val="000000"/>
          <w:sz w:val="24"/>
          <w:szCs w:val="24"/>
          <w:shd w:val="clear" w:color="auto" w:fill="FFFFFF"/>
        </w:rPr>
        <w:t xml:space="preserve">that law reform specifically designed to provide what </w:t>
      </w:r>
      <w:r>
        <w:rPr>
          <w:rFonts w:ascii="Times New Roman" w:hAnsi="Times New Roman" w:cs="Times New Roman"/>
          <w:color w:val="000000"/>
          <w:sz w:val="24"/>
          <w:szCs w:val="24"/>
          <w:shd w:val="clear" w:color="auto" w:fill="FFFFFF"/>
        </w:rPr>
        <w:t xml:space="preserve">some </w:t>
      </w:r>
      <w:r w:rsidR="0033200E" w:rsidRPr="004C0D35">
        <w:rPr>
          <w:rFonts w:ascii="Times New Roman" w:hAnsi="Times New Roman" w:cs="Times New Roman"/>
          <w:color w:val="000000"/>
          <w:sz w:val="24"/>
          <w:szCs w:val="24"/>
          <w:shd w:val="clear" w:color="auto" w:fill="FFFFFF"/>
        </w:rPr>
        <w:t>clients want</w:t>
      </w:r>
      <w:r>
        <w:rPr>
          <w:rFonts w:ascii="Times New Roman" w:hAnsi="Times New Roman" w:cs="Times New Roman"/>
          <w:color w:val="000000"/>
          <w:sz w:val="24"/>
          <w:szCs w:val="24"/>
          <w:shd w:val="clear" w:color="auto" w:fill="FFFFFF"/>
        </w:rPr>
        <w:t>, or are believed to want,</w:t>
      </w:r>
      <w:r w:rsidR="0033200E" w:rsidRPr="004C0D35">
        <w:rPr>
          <w:rFonts w:ascii="Times New Roman" w:hAnsi="Times New Roman" w:cs="Times New Roman"/>
          <w:color w:val="000000"/>
          <w:sz w:val="24"/>
          <w:szCs w:val="24"/>
          <w:shd w:val="clear" w:color="auto" w:fill="FFFFFF"/>
        </w:rPr>
        <w:t xml:space="preserve"> and thereby assist service providers to trusts – trustees, attorneys, accountants and ot</w:t>
      </w:r>
      <w:r w:rsidR="006A0969" w:rsidRPr="004C0D35">
        <w:rPr>
          <w:rFonts w:ascii="Times New Roman" w:hAnsi="Times New Roman" w:cs="Times New Roman"/>
          <w:color w:val="000000"/>
          <w:sz w:val="24"/>
          <w:szCs w:val="24"/>
          <w:shd w:val="clear" w:color="auto" w:fill="FFFFFF"/>
        </w:rPr>
        <w:t>hers – in</w:t>
      </w:r>
      <w:r w:rsidR="0033200E" w:rsidRPr="004C0D35">
        <w:rPr>
          <w:rFonts w:ascii="Times New Roman" w:hAnsi="Times New Roman" w:cs="Times New Roman"/>
          <w:color w:val="000000"/>
          <w:sz w:val="24"/>
          <w:szCs w:val="24"/>
          <w:shd w:val="clear" w:color="auto" w:fill="FFFFFF"/>
        </w:rPr>
        <w:t xml:space="preserve"> attract</w:t>
      </w:r>
      <w:r w:rsidR="006A0969" w:rsidRPr="004C0D35">
        <w:rPr>
          <w:rFonts w:ascii="Times New Roman" w:hAnsi="Times New Roman" w:cs="Times New Roman"/>
          <w:color w:val="000000"/>
          <w:sz w:val="24"/>
          <w:szCs w:val="24"/>
          <w:shd w:val="clear" w:color="auto" w:fill="FFFFFF"/>
        </w:rPr>
        <w:t>ing</w:t>
      </w:r>
      <w:r w:rsidR="0033200E" w:rsidRPr="004C0D35">
        <w:rPr>
          <w:rFonts w:ascii="Times New Roman" w:hAnsi="Times New Roman" w:cs="Times New Roman"/>
          <w:color w:val="000000"/>
          <w:sz w:val="24"/>
          <w:szCs w:val="24"/>
          <w:shd w:val="clear" w:color="auto" w:fill="FFFFFF"/>
        </w:rPr>
        <w:t xml:space="preserve"> and retain</w:t>
      </w:r>
      <w:r w:rsidR="006A0969" w:rsidRPr="004C0D35">
        <w:rPr>
          <w:rFonts w:ascii="Times New Roman" w:hAnsi="Times New Roman" w:cs="Times New Roman"/>
          <w:color w:val="000000"/>
          <w:sz w:val="24"/>
          <w:szCs w:val="24"/>
          <w:shd w:val="clear" w:color="auto" w:fill="FFFFFF"/>
        </w:rPr>
        <w:t>ing</w:t>
      </w:r>
      <w:r w:rsidR="0033200E" w:rsidRPr="004C0D35">
        <w:rPr>
          <w:rFonts w:ascii="Times New Roman" w:hAnsi="Times New Roman" w:cs="Times New Roman"/>
          <w:color w:val="000000"/>
          <w:sz w:val="24"/>
          <w:szCs w:val="24"/>
          <w:shd w:val="clear" w:color="auto" w:fill="FFFFFF"/>
        </w:rPr>
        <w:t xml:space="preserve"> clients, </w:t>
      </w:r>
      <w:r w:rsidR="003A581B" w:rsidRPr="004C0D35">
        <w:rPr>
          <w:rFonts w:ascii="Times New Roman" w:hAnsi="Times New Roman" w:cs="Times New Roman"/>
          <w:color w:val="000000"/>
          <w:sz w:val="24"/>
          <w:szCs w:val="24"/>
          <w:shd w:val="clear" w:color="auto" w:fill="FFFFFF"/>
        </w:rPr>
        <w:t>such as</w:t>
      </w:r>
      <w:r w:rsidR="0095647F" w:rsidRPr="004C0D35">
        <w:rPr>
          <w:rFonts w:ascii="Times New Roman" w:hAnsi="Times New Roman" w:cs="Times New Roman"/>
          <w:color w:val="000000"/>
          <w:sz w:val="24"/>
          <w:szCs w:val="24"/>
          <w:shd w:val="clear" w:color="auto" w:fill="FFFFFF"/>
        </w:rPr>
        <w:t xml:space="preserve"> reforms allowing self-settled spendthrift trusts and abolishing the rule against perpetuities</w:t>
      </w:r>
      <w:r w:rsidR="003A581B" w:rsidRPr="004C0D35">
        <w:rPr>
          <w:rFonts w:ascii="Times New Roman" w:hAnsi="Times New Roman" w:cs="Times New Roman"/>
          <w:color w:val="000000"/>
          <w:sz w:val="24"/>
          <w:szCs w:val="24"/>
          <w:shd w:val="clear" w:color="auto" w:fill="FFFFFF"/>
        </w:rPr>
        <w:t xml:space="preserve">, </w:t>
      </w:r>
      <w:r w:rsidR="0033200E" w:rsidRPr="004C0D35">
        <w:rPr>
          <w:rFonts w:ascii="Times New Roman" w:hAnsi="Times New Roman" w:cs="Times New Roman"/>
          <w:color w:val="000000"/>
          <w:sz w:val="24"/>
          <w:szCs w:val="24"/>
          <w:shd w:val="clear" w:color="auto" w:fill="FFFFFF"/>
        </w:rPr>
        <w:t xml:space="preserve">does nothing to </w:t>
      </w:r>
      <w:r w:rsidR="003A581B" w:rsidRPr="004C0D35">
        <w:rPr>
          <w:rFonts w:ascii="Times New Roman" w:hAnsi="Times New Roman" w:cs="Times New Roman"/>
          <w:color w:val="000000"/>
          <w:sz w:val="24"/>
          <w:szCs w:val="24"/>
          <w:shd w:val="clear" w:color="auto" w:fill="FFFFFF"/>
        </w:rPr>
        <w:t xml:space="preserve">increase </w:t>
      </w:r>
      <w:r w:rsidR="006A0969" w:rsidRPr="004C0D35">
        <w:rPr>
          <w:rFonts w:ascii="Times New Roman" w:hAnsi="Times New Roman" w:cs="Times New Roman"/>
          <w:color w:val="000000"/>
          <w:sz w:val="24"/>
          <w:szCs w:val="24"/>
          <w:shd w:val="clear" w:color="auto" w:fill="FFFFFF"/>
        </w:rPr>
        <w:t xml:space="preserve">the </w:t>
      </w:r>
      <w:r w:rsidR="003A581B" w:rsidRPr="004C0D35">
        <w:rPr>
          <w:rFonts w:ascii="Times New Roman" w:hAnsi="Times New Roman" w:cs="Times New Roman"/>
          <w:color w:val="000000"/>
          <w:sz w:val="24"/>
          <w:szCs w:val="24"/>
          <w:shd w:val="clear" w:color="auto" w:fill="FFFFFF"/>
        </w:rPr>
        <w:t>fees fiduciaries earn per trust</w:t>
      </w:r>
      <w:r w:rsidR="0095647F" w:rsidRPr="004C0D35">
        <w:rPr>
          <w:rFonts w:ascii="Times New Roman" w:hAnsi="Times New Roman" w:cs="Times New Roman"/>
          <w:color w:val="000000"/>
          <w:sz w:val="24"/>
          <w:szCs w:val="24"/>
          <w:shd w:val="clear" w:color="auto" w:fill="FFFFFF"/>
        </w:rPr>
        <w:t xml:space="preserve">, </w:t>
      </w:r>
      <w:r w:rsidR="006A0969" w:rsidRPr="004C0D35">
        <w:rPr>
          <w:rFonts w:ascii="Times New Roman" w:hAnsi="Times New Roman" w:cs="Times New Roman"/>
          <w:color w:val="000000"/>
          <w:sz w:val="24"/>
          <w:szCs w:val="24"/>
          <w:shd w:val="clear" w:color="auto" w:fill="FFFFFF"/>
        </w:rPr>
        <w:t xml:space="preserve">the </w:t>
      </w:r>
      <w:r w:rsidR="0095647F" w:rsidRPr="004C0D35">
        <w:rPr>
          <w:rFonts w:ascii="Times New Roman" w:hAnsi="Times New Roman" w:cs="Times New Roman"/>
          <w:color w:val="000000"/>
          <w:sz w:val="24"/>
          <w:szCs w:val="24"/>
          <w:shd w:val="clear" w:color="auto" w:fill="FFFFFF"/>
        </w:rPr>
        <w:t>fees attorney</w:t>
      </w:r>
      <w:r w:rsidR="003A581B" w:rsidRPr="004C0D35">
        <w:rPr>
          <w:rFonts w:ascii="Times New Roman" w:hAnsi="Times New Roman" w:cs="Times New Roman"/>
          <w:color w:val="000000"/>
          <w:sz w:val="24"/>
          <w:szCs w:val="24"/>
          <w:shd w:val="clear" w:color="auto" w:fill="FFFFFF"/>
        </w:rPr>
        <w:t>s, accountants and return preparers earn by providing trust-related services</w:t>
      </w:r>
      <w:r w:rsidR="009C5A1F">
        <w:rPr>
          <w:rFonts w:ascii="Times New Roman" w:hAnsi="Times New Roman" w:cs="Times New Roman"/>
          <w:color w:val="000000"/>
          <w:sz w:val="24"/>
          <w:szCs w:val="24"/>
          <w:shd w:val="clear" w:color="auto" w:fill="FFFFFF"/>
        </w:rPr>
        <w:t>,</w:t>
      </w:r>
      <w:r w:rsidR="006A0969" w:rsidRPr="004C0D35">
        <w:rPr>
          <w:rFonts w:ascii="Times New Roman" w:hAnsi="Times New Roman" w:cs="Times New Roman"/>
          <w:color w:val="000000"/>
          <w:sz w:val="24"/>
          <w:szCs w:val="24"/>
          <w:shd w:val="clear" w:color="auto" w:fill="FFFFFF"/>
        </w:rPr>
        <w:t xml:space="preserve"> total</w:t>
      </w:r>
      <w:r w:rsidR="003A581B" w:rsidRPr="004C0D35">
        <w:rPr>
          <w:rFonts w:ascii="Times New Roman" w:hAnsi="Times New Roman" w:cs="Times New Roman"/>
          <w:color w:val="000000"/>
          <w:sz w:val="24"/>
          <w:szCs w:val="24"/>
          <w:shd w:val="clear" w:color="auto" w:fill="FFFFFF"/>
        </w:rPr>
        <w:t xml:space="preserve"> trust income</w:t>
      </w:r>
      <w:r w:rsidR="00BC6619">
        <w:rPr>
          <w:rFonts w:ascii="Times New Roman" w:hAnsi="Times New Roman" w:cs="Times New Roman"/>
          <w:color w:val="000000"/>
          <w:sz w:val="24"/>
          <w:szCs w:val="24"/>
          <w:shd w:val="clear" w:color="auto" w:fill="FFFFFF"/>
        </w:rPr>
        <w:t xml:space="preserve"> (less loss), </w:t>
      </w:r>
      <w:r w:rsidR="00BC6619">
        <w:rPr>
          <w:rFonts w:ascii="Times New Roman" w:hAnsi="Times New Roman" w:cs="Times New Roman"/>
          <w:sz w:val="24"/>
          <w:szCs w:val="24"/>
        </w:rPr>
        <w:t xml:space="preserve">the amount of establishments in the </w:t>
      </w:r>
      <w:r w:rsidR="00BC6619">
        <w:rPr>
          <w:rFonts w:ascii="Times New Roman" w:hAnsi="Times New Roman" w:cs="Times New Roman"/>
          <w:sz w:val="24"/>
          <w:szCs w:val="24"/>
          <w:shd w:val="clear" w:color="auto" w:fill="FFFFFF"/>
        </w:rPr>
        <w:t>“trust fiduciary and custody” sector</w:t>
      </w:r>
      <w:r w:rsidR="00BC6619">
        <w:rPr>
          <w:rFonts w:ascii="Times New Roman" w:hAnsi="Times New Roman" w:cs="Times New Roman"/>
          <w:sz w:val="24"/>
          <w:szCs w:val="24"/>
        </w:rPr>
        <w:t xml:space="preserve">, </w:t>
      </w:r>
      <w:r w:rsidR="00BC6619" w:rsidRPr="009C4B35">
        <w:rPr>
          <w:rFonts w:ascii="Times New Roman" w:hAnsi="Times New Roman" w:cs="Times New Roman"/>
          <w:sz w:val="24"/>
          <w:szCs w:val="24"/>
          <w:shd w:val="clear" w:color="auto" w:fill="FFFFFF"/>
        </w:rPr>
        <w:t xml:space="preserve">the </w:t>
      </w:r>
      <w:r w:rsidR="00BC6619" w:rsidRPr="009C4B35">
        <w:rPr>
          <w:rFonts w:ascii="Times New Roman" w:hAnsi="Times New Roman" w:cs="Times New Roman"/>
          <w:sz w:val="24"/>
          <w:szCs w:val="24"/>
        </w:rPr>
        <w:t xml:space="preserve">amount of employees </w:t>
      </w:r>
      <w:r w:rsidR="00BC6619">
        <w:rPr>
          <w:rFonts w:ascii="Times New Roman" w:hAnsi="Times New Roman" w:cs="Times New Roman"/>
          <w:sz w:val="24"/>
          <w:szCs w:val="24"/>
        </w:rPr>
        <w:t>in that sector</w:t>
      </w:r>
      <w:r w:rsidR="00BC6619" w:rsidRPr="009C4B35">
        <w:rPr>
          <w:rFonts w:ascii="Times New Roman" w:hAnsi="Times New Roman" w:cs="Times New Roman"/>
          <w:sz w:val="24"/>
          <w:szCs w:val="24"/>
        </w:rPr>
        <w:t xml:space="preserve"> </w:t>
      </w:r>
      <w:r w:rsidR="00BC6619">
        <w:rPr>
          <w:rFonts w:ascii="Times New Roman" w:hAnsi="Times New Roman" w:cs="Times New Roman"/>
          <w:sz w:val="24"/>
          <w:szCs w:val="24"/>
        </w:rPr>
        <w:t>or</w:t>
      </w:r>
      <w:r w:rsidR="00BC6619" w:rsidRPr="009C4B35">
        <w:rPr>
          <w:rFonts w:ascii="Times New Roman" w:hAnsi="Times New Roman" w:cs="Times New Roman"/>
          <w:sz w:val="24"/>
          <w:szCs w:val="24"/>
        </w:rPr>
        <w:t xml:space="preserve"> annual payroll</w:t>
      </w:r>
      <w:r w:rsidR="00BC6619">
        <w:rPr>
          <w:rFonts w:ascii="Times New Roman" w:hAnsi="Times New Roman" w:cs="Times New Roman"/>
          <w:sz w:val="24"/>
          <w:szCs w:val="24"/>
        </w:rPr>
        <w:t xml:space="preserve"> in that sector</w:t>
      </w:r>
      <w:r w:rsidR="003A581B" w:rsidRPr="004C0D35">
        <w:rPr>
          <w:rFonts w:ascii="Times New Roman" w:hAnsi="Times New Roman" w:cs="Times New Roman"/>
          <w:color w:val="000000"/>
          <w:sz w:val="24"/>
          <w:szCs w:val="24"/>
          <w:shd w:val="clear" w:color="auto" w:fill="FFFFFF"/>
        </w:rPr>
        <w:t xml:space="preserve">. </w:t>
      </w:r>
      <w:r w:rsidR="00BD1A63" w:rsidRPr="004C0D35">
        <w:rPr>
          <w:rFonts w:ascii="Times New Roman" w:hAnsi="Times New Roman" w:cs="Times New Roman"/>
          <w:color w:val="000000"/>
          <w:sz w:val="24"/>
          <w:szCs w:val="24"/>
          <w:shd w:val="clear" w:color="auto" w:fill="FFFFFF"/>
        </w:rPr>
        <w:t>Given that self-settled spendthrift trusts leave settlor-beneficiaries’ creditors</w:t>
      </w:r>
      <w:r w:rsidR="006A0969" w:rsidRPr="004C0D35">
        <w:rPr>
          <w:rFonts w:ascii="Times New Roman" w:hAnsi="Times New Roman" w:cs="Times New Roman"/>
          <w:color w:val="000000"/>
          <w:sz w:val="24"/>
          <w:szCs w:val="24"/>
          <w:shd w:val="clear" w:color="auto" w:fill="FFFFFF"/>
        </w:rPr>
        <w:t>, including spouses, tort victims</w:t>
      </w:r>
      <w:r w:rsidR="00BD1A63" w:rsidRPr="004C0D35">
        <w:rPr>
          <w:rFonts w:ascii="Times New Roman" w:hAnsi="Times New Roman" w:cs="Times New Roman"/>
          <w:color w:val="000000"/>
          <w:sz w:val="24"/>
          <w:szCs w:val="24"/>
          <w:shd w:val="clear" w:color="auto" w:fill="FFFFFF"/>
        </w:rPr>
        <w:t xml:space="preserve"> </w:t>
      </w:r>
      <w:r w:rsidR="006A0969" w:rsidRPr="004C0D35">
        <w:rPr>
          <w:rFonts w:ascii="Times New Roman" w:hAnsi="Times New Roman" w:cs="Times New Roman"/>
          <w:color w:val="000000"/>
          <w:sz w:val="24"/>
          <w:szCs w:val="24"/>
          <w:shd w:val="clear" w:color="auto" w:fill="FFFFFF"/>
        </w:rPr>
        <w:t xml:space="preserve">and governments, </w:t>
      </w:r>
      <w:r w:rsidR="00BD1A63" w:rsidRPr="004C0D35">
        <w:rPr>
          <w:rFonts w:ascii="Times New Roman" w:hAnsi="Times New Roman" w:cs="Times New Roman"/>
          <w:color w:val="000000"/>
          <w:sz w:val="24"/>
          <w:szCs w:val="24"/>
          <w:shd w:val="clear" w:color="auto" w:fill="FFFFFF"/>
        </w:rPr>
        <w:t>empty handed and perpetual trusts lea</w:t>
      </w:r>
      <w:r w:rsidR="009767AD" w:rsidRPr="004C0D35">
        <w:rPr>
          <w:rFonts w:ascii="Times New Roman" w:hAnsi="Times New Roman" w:cs="Times New Roman"/>
          <w:color w:val="000000"/>
          <w:sz w:val="24"/>
          <w:szCs w:val="24"/>
          <w:shd w:val="clear" w:color="auto" w:fill="FFFFFF"/>
        </w:rPr>
        <w:t>ve the public fisc wanting,</w:t>
      </w:r>
      <w:r w:rsidR="00830F38">
        <w:rPr>
          <w:rStyle w:val="FootnoteReference"/>
          <w:rFonts w:ascii="Times New Roman" w:hAnsi="Times New Roman" w:cs="Times New Roman"/>
          <w:color w:val="000000"/>
          <w:sz w:val="24"/>
          <w:szCs w:val="24"/>
          <w:shd w:val="clear" w:color="auto" w:fill="FFFFFF"/>
        </w:rPr>
        <w:footnoteReference w:id="80"/>
      </w:r>
      <w:r w:rsidR="009767AD" w:rsidRPr="004C0D35">
        <w:rPr>
          <w:rFonts w:ascii="Times New Roman" w:hAnsi="Times New Roman" w:cs="Times New Roman"/>
          <w:color w:val="000000"/>
          <w:sz w:val="24"/>
          <w:szCs w:val="24"/>
          <w:shd w:val="clear" w:color="auto" w:fill="FFFFFF"/>
        </w:rPr>
        <w:t xml:space="preserve"> if</w:t>
      </w:r>
      <w:r w:rsidR="00BD1A63" w:rsidRPr="004C0D35">
        <w:rPr>
          <w:rFonts w:ascii="Times New Roman" w:hAnsi="Times New Roman" w:cs="Times New Roman"/>
          <w:color w:val="000000"/>
          <w:sz w:val="24"/>
          <w:szCs w:val="24"/>
          <w:shd w:val="clear" w:color="auto" w:fill="FFFFFF"/>
        </w:rPr>
        <w:t xml:space="preserve"> even the professionals </w:t>
      </w:r>
      <w:r w:rsidR="009767AD" w:rsidRPr="004C0D35">
        <w:rPr>
          <w:rFonts w:ascii="Times New Roman" w:hAnsi="Times New Roman" w:cs="Times New Roman"/>
          <w:color w:val="000000"/>
          <w:sz w:val="24"/>
          <w:szCs w:val="24"/>
          <w:shd w:val="clear" w:color="auto" w:fill="FFFFFF"/>
        </w:rPr>
        <w:t>who lobbied for them are not enriched by them, it is unclear what merits, if any, they have.</w:t>
      </w:r>
    </w:p>
    <w:p w14:paraId="622C4006" w14:textId="245A2EEB" w:rsidR="00C54902" w:rsidRDefault="00445F13" w:rsidP="005B6CC2">
      <w:pPr>
        <w:spacing w:after="0" w:line="276" w:lineRule="auto"/>
        <w:jc w:val="both"/>
        <w:rPr>
          <w:rFonts w:ascii="Times New Roman" w:hAnsi="Times New Roman" w:cs="Times New Roman"/>
          <w:sz w:val="24"/>
          <w:szCs w:val="24"/>
        </w:rPr>
      </w:pPr>
      <w:r w:rsidRPr="004C0D35">
        <w:rPr>
          <w:rFonts w:ascii="Times New Roman" w:hAnsi="Times New Roman" w:cs="Times New Roman"/>
          <w:sz w:val="24"/>
          <w:szCs w:val="24"/>
        </w:rPr>
        <w:tab/>
      </w:r>
      <w:r w:rsidR="008734EC">
        <w:rPr>
          <w:rFonts w:ascii="Times New Roman" w:hAnsi="Times New Roman" w:cs="Times New Roman"/>
          <w:sz w:val="24"/>
          <w:szCs w:val="24"/>
        </w:rPr>
        <w:t>One</w:t>
      </w:r>
      <w:r w:rsidRPr="004C0D35">
        <w:rPr>
          <w:rFonts w:ascii="Times New Roman" w:hAnsi="Times New Roman" w:cs="Times New Roman"/>
          <w:sz w:val="24"/>
          <w:szCs w:val="24"/>
        </w:rPr>
        <w:t xml:space="preserve"> c</w:t>
      </w:r>
      <w:r w:rsidR="003A581B" w:rsidRPr="004C0D35">
        <w:rPr>
          <w:rFonts w:ascii="Times New Roman" w:hAnsi="Times New Roman" w:cs="Times New Roman"/>
          <w:sz w:val="24"/>
          <w:szCs w:val="24"/>
        </w:rPr>
        <w:t>aveat</w:t>
      </w:r>
      <w:r w:rsidRPr="004C0D35">
        <w:rPr>
          <w:rFonts w:ascii="Times New Roman" w:hAnsi="Times New Roman" w:cs="Times New Roman"/>
          <w:sz w:val="24"/>
          <w:szCs w:val="24"/>
        </w:rPr>
        <w:t xml:space="preserve"> </w:t>
      </w:r>
      <w:r w:rsidR="008734EC">
        <w:rPr>
          <w:rFonts w:ascii="Times New Roman" w:hAnsi="Times New Roman" w:cs="Times New Roman"/>
          <w:sz w:val="24"/>
          <w:szCs w:val="24"/>
        </w:rPr>
        <w:t>is</w:t>
      </w:r>
      <w:r w:rsidRPr="004C0D35">
        <w:rPr>
          <w:rFonts w:ascii="Times New Roman" w:hAnsi="Times New Roman" w:cs="Times New Roman"/>
          <w:sz w:val="24"/>
          <w:szCs w:val="24"/>
        </w:rPr>
        <w:t xml:space="preserve"> in order. </w:t>
      </w:r>
      <w:r w:rsidR="008734EC">
        <w:rPr>
          <w:rFonts w:ascii="Times New Roman" w:hAnsi="Times New Roman" w:cs="Times New Roman"/>
          <w:sz w:val="24"/>
          <w:szCs w:val="24"/>
        </w:rPr>
        <w:t>W</w:t>
      </w:r>
      <w:r w:rsidR="007607BF" w:rsidRPr="004C0D35">
        <w:rPr>
          <w:rFonts w:ascii="Times New Roman" w:hAnsi="Times New Roman" w:cs="Times New Roman"/>
          <w:sz w:val="24"/>
          <w:szCs w:val="24"/>
        </w:rPr>
        <w:t>hile it m</w:t>
      </w:r>
      <w:r w:rsidR="00D172A3" w:rsidRPr="004C0D35">
        <w:rPr>
          <w:rFonts w:ascii="Times New Roman" w:hAnsi="Times New Roman" w:cs="Times New Roman"/>
          <w:sz w:val="24"/>
          <w:szCs w:val="24"/>
        </w:rPr>
        <w:t xml:space="preserve">ay </w:t>
      </w:r>
      <w:r w:rsidR="007607BF" w:rsidRPr="004C0D35">
        <w:rPr>
          <w:rFonts w:ascii="Times New Roman" w:hAnsi="Times New Roman" w:cs="Times New Roman"/>
          <w:sz w:val="24"/>
          <w:szCs w:val="24"/>
        </w:rPr>
        <w:t xml:space="preserve">in principle </w:t>
      </w:r>
      <w:r w:rsidR="00D172A3" w:rsidRPr="004C0D35">
        <w:rPr>
          <w:rFonts w:ascii="Times New Roman" w:hAnsi="Times New Roman" w:cs="Times New Roman"/>
          <w:sz w:val="24"/>
          <w:szCs w:val="24"/>
        </w:rPr>
        <w:t xml:space="preserve">be that the increase I identified in total </w:t>
      </w:r>
      <w:r w:rsidR="00121545" w:rsidRPr="004C0D35">
        <w:rPr>
          <w:rFonts w:ascii="Times New Roman" w:hAnsi="Times New Roman" w:cs="Times New Roman"/>
          <w:sz w:val="24"/>
          <w:szCs w:val="24"/>
        </w:rPr>
        <w:t>trust income</w:t>
      </w:r>
      <w:r w:rsidR="008734EC">
        <w:rPr>
          <w:rFonts w:ascii="Times New Roman" w:hAnsi="Times New Roman" w:cs="Times New Roman"/>
          <w:sz w:val="24"/>
          <w:szCs w:val="24"/>
        </w:rPr>
        <w:t xml:space="preserve"> (less loss)</w:t>
      </w:r>
      <w:r w:rsidR="005B6CC2">
        <w:rPr>
          <w:rFonts w:ascii="Times New Roman" w:hAnsi="Times New Roman" w:cs="Times New Roman"/>
          <w:sz w:val="24"/>
          <w:szCs w:val="24"/>
        </w:rPr>
        <w:t xml:space="preserve"> for each increment of trust law liberalization protecting trustees</w:t>
      </w:r>
      <w:r w:rsidR="00121545" w:rsidRPr="004C0D35">
        <w:rPr>
          <w:rFonts w:ascii="Times New Roman" w:hAnsi="Times New Roman" w:cs="Times New Roman"/>
          <w:sz w:val="24"/>
          <w:szCs w:val="24"/>
        </w:rPr>
        <w:t xml:space="preserve"> resulted</w:t>
      </w:r>
      <w:r w:rsidR="00D172A3" w:rsidRPr="004C0D35">
        <w:rPr>
          <w:rFonts w:ascii="Times New Roman" w:hAnsi="Times New Roman" w:cs="Times New Roman"/>
          <w:sz w:val="24"/>
          <w:szCs w:val="24"/>
        </w:rPr>
        <w:t xml:space="preserve"> not from</w:t>
      </w:r>
      <w:r w:rsidR="005714EC" w:rsidRPr="004C0D35">
        <w:rPr>
          <w:rFonts w:ascii="Times New Roman" w:hAnsi="Times New Roman" w:cs="Times New Roman"/>
          <w:sz w:val="24"/>
          <w:szCs w:val="24"/>
        </w:rPr>
        <w:t xml:space="preserve"> reform of</w:t>
      </w:r>
      <w:r w:rsidR="00D172A3" w:rsidRPr="004C0D35">
        <w:rPr>
          <w:rFonts w:ascii="Times New Roman" w:hAnsi="Times New Roman" w:cs="Times New Roman"/>
          <w:sz w:val="24"/>
          <w:szCs w:val="24"/>
        </w:rPr>
        <w:t xml:space="preserve"> the doctrinal variables I examined, but f</w:t>
      </w:r>
      <w:r w:rsidR="00121545" w:rsidRPr="004C0D35">
        <w:rPr>
          <w:rFonts w:ascii="Times New Roman" w:hAnsi="Times New Roman" w:cs="Times New Roman"/>
          <w:sz w:val="24"/>
          <w:szCs w:val="24"/>
        </w:rPr>
        <w:t>rom</w:t>
      </w:r>
      <w:r w:rsidR="004F16CF" w:rsidRPr="004C0D35">
        <w:rPr>
          <w:rFonts w:ascii="Times New Roman" w:hAnsi="Times New Roman" w:cs="Times New Roman"/>
          <w:sz w:val="24"/>
          <w:szCs w:val="24"/>
        </w:rPr>
        <w:t xml:space="preserve"> changes in trustee</w:t>
      </w:r>
      <w:r w:rsidR="007607BF" w:rsidRPr="004C0D35">
        <w:rPr>
          <w:rFonts w:ascii="Times New Roman" w:hAnsi="Times New Roman" w:cs="Times New Roman"/>
          <w:sz w:val="24"/>
          <w:szCs w:val="24"/>
        </w:rPr>
        <w:t>s’</w:t>
      </w:r>
      <w:r w:rsidR="00121545" w:rsidRPr="004C0D35">
        <w:rPr>
          <w:rFonts w:ascii="Times New Roman" w:hAnsi="Times New Roman" w:cs="Times New Roman"/>
          <w:sz w:val="24"/>
          <w:szCs w:val="24"/>
        </w:rPr>
        <w:t xml:space="preserve"> investment </w:t>
      </w:r>
      <w:r w:rsidR="007607BF" w:rsidRPr="004C0D35">
        <w:rPr>
          <w:rFonts w:ascii="Times New Roman" w:hAnsi="Times New Roman" w:cs="Times New Roman"/>
          <w:sz w:val="24"/>
          <w:szCs w:val="24"/>
        </w:rPr>
        <w:t>practices</w:t>
      </w:r>
      <w:r w:rsidR="00121545" w:rsidRPr="004C0D35">
        <w:rPr>
          <w:rFonts w:ascii="Times New Roman" w:hAnsi="Times New Roman" w:cs="Times New Roman"/>
          <w:sz w:val="24"/>
          <w:szCs w:val="24"/>
        </w:rPr>
        <w:t xml:space="preserve">, </w:t>
      </w:r>
      <w:r w:rsidR="00C54902" w:rsidRPr="004C0D35">
        <w:rPr>
          <w:rFonts w:ascii="Times New Roman" w:hAnsi="Times New Roman" w:cs="Times New Roman"/>
          <w:sz w:val="24"/>
          <w:szCs w:val="24"/>
        </w:rPr>
        <w:t>research by Rob Sitkoff and Max Schanzenbach makes this possibility unlikely. While S</w:t>
      </w:r>
      <w:r w:rsidR="00D172A3" w:rsidRPr="004C0D35">
        <w:rPr>
          <w:rFonts w:ascii="Times New Roman" w:hAnsi="Times New Roman" w:cs="Times New Roman"/>
          <w:sz w:val="24"/>
          <w:szCs w:val="24"/>
        </w:rPr>
        <w:t xml:space="preserve">itkoff and Schanzenbach </w:t>
      </w:r>
      <w:r w:rsidR="00C54902" w:rsidRPr="004C0D35">
        <w:rPr>
          <w:rFonts w:ascii="Times New Roman" w:hAnsi="Times New Roman" w:cs="Times New Roman"/>
          <w:sz w:val="24"/>
          <w:szCs w:val="24"/>
        </w:rPr>
        <w:t xml:space="preserve">found that trustees of FDIC-reporting “personal trusts” (including both private and charitable trusts) who had investment management discretion over their trusts substantially increased the proportion of funds under management invested in stock, at the expense of “safe[r] assets”, from 1990 to 1999, their data shows no further such increase, and some </w:t>
      </w:r>
      <w:r w:rsidR="005714EC" w:rsidRPr="004C0D35">
        <w:rPr>
          <w:rFonts w:ascii="Times New Roman" w:hAnsi="Times New Roman" w:cs="Times New Roman"/>
          <w:sz w:val="24"/>
          <w:szCs w:val="24"/>
        </w:rPr>
        <w:t>backtracking</w:t>
      </w:r>
      <w:r w:rsidR="00C54902" w:rsidRPr="004C0D35">
        <w:rPr>
          <w:rFonts w:ascii="Times New Roman" w:hAnsi="Times New Roman" w:cs="Times New Roman"/>
          <w:sz w:val="24"/>
          <w:szCs w:val="24"/>
        </w:rPr>
        <w:t xml:space="preserve"> to “safe[r] assets”, in the years after 2000</w:t>
      </w:r>
      <w:r w:rsidR="007E13DD">
        <w:rPr>
          <w:rFonts w:ascii="Times New Roman" w:hAnsi="Times New Roman" w:cs="Times New Roman"/>
          <w:sz w:val="24"/>
          <w:szCs w:val="24"/>
        </w:rPr>
        <w:t>, and it is these later years that are</w:t>
      </w:r>
      <w:r w:rsidR="00C54902" w:rsidRPr="004C0D35">
        <w:rPr>
          <w:rFonts w:ascii="Times New Roman" w:hAnsi="Times New Roman" w:cs="Times New Roman"/>
          <w:sz w:val="24"/>
          <w:szCs w:val="24"/>
        </w:rPr>
        <w:t xml:space="preserve"> cov</w:t>
      </w:r>
      <w:r w:rsidR="0051701E">
        <w:rPr>
          <w:rFonts w:ascii="Times New Roman" w:hAnsi="Times New Roman" w:cs="Times New Roman"/>
          <w:sz w:val="24"/>
          <w:szCs w:val="24"/>
        </w:rPr>
        <w:t>ered by the I.R.S. data I used</w:t>
      </w:r>
      <w:r w:rsidR="005714EC" w:rsidRPr="004C0D35">
        <w:rPr>
          <w:rFonts w:ascii="Times New Roman" w:hAnsi="Times New Roman" w:cs="Times New Roman"/>
          <w:sz w:val="24"/>
          <w:szCs w:val="24"/>
        </w:rPr>
        <w:t>.</w:t>
      </w:r>
      <w:r w:rsidR="0051701E">
        <w:rPr>
          <w:rStyle w:val="FootnoteReference"/>
          <w:rFonts w:ascii="Times New Roman" w:hAnsi="Times New Roman" w:cs="Times New Roman"/>
          <w:sz w:val="24"/>
          <w:szCs w:val="24"/>
        </w:rPr>
        <w:footnoteReference w:id="81"/>
      </w:r>
      <w:r w:rsidR="00384306">
        <w:rPr>
          <w:rFonts w:ascii="Times New Roman" w:hAnsi="Times New Roman" w:cs="Times New Roman"/>
          <w:sz w:val="24"/>
          <w:szCs w:val="24"/>
        </w:rPr>
        <w:t xml:space="preserve"> It could of course be</w:t>
      </w:r>
      <w:r w:rsidR="005714EC" w:rsidRPr="004C0D35">
        <w:rPr>
          <w:rFonts w:ascii="Times New Roman" w:hAnsi="Times New Roman" w:cs="Times New Roman"/>
          <w:sz w:val="24"/>
          <w:szCs w:val="24"/>
        </w:rPr>
        <w:t xml:space="preserve"> that trustees and others responsible for the investment of trust assets increased trust income earned after 2000 in some other way than increasing the proportion of assets under management invested in stock</w:t>
      </w:r>
      <w:r w:rsidR="00AE148A">
        <w:rPr>
          <w:rFonts w:ascii="Times New Roman" w:hAnsi="Times New Roman" w:cs="Times New Roman"/>
          <w:sz w:val="24"/>
          <w:szCs w:val="24"/>
        </w:rPr>
        <w:t xml:space="preserve"> at the expense of safer assets</w:t>
      </w:r>
      <w:r w:rsidR="00384306">
        <w:rPr>
          <w:rFonts w:ascii="Times New Roman" w:hAnsi="Times New Roman" w:cs="Times New Roman"/>
          <w:sz w:val="24"/>
          <w:szCs w:val="24"/>
        </w:rPr>
        <w:t>, the increase having nothing to do with reform of the doctrinal variables I examined</w:t>
      </w:r>
      <w:r w:rsidR="005714EC" w:rsidRPr="004C0D35">
        <w:rPr>
          <w:rFonts w:ascii="Times New Roman" w:hAnsi="Times New Roman" w:cs="Times New Roman"/>
          <w:sz w:val="24"/>
          <w:szCs w:val="24"/>
        </w:rPr>
        <w:t xml:space="preserve">. </w:t>
      </w:r>
    </w:p>
    <w:p w14:paraId="56A1051D" w14:textId="04F2329E" w:rsidR="005B6CC2" w:rsidRPr="004C0D35" w:rsidRDefault="005B6CC2" w:rsidP="000A7A90">
      <w:pPr>
        <w:spacing w:after="0" w:line="276"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Finally, my results</w:t>
      </w:r>
      <w:r w:rsidR="003E47F4">
        <w:rPr>
          <w:rFonts w:ascii="Times New Roman" w:hAnsi="Times New Roman" w:cs="Times New Roman"/>
          <w:color w:val="000000"/>
          <w:sz w:val="24"/>
          <w:szCs w:val="24"/>
          <w:shd w:val="clear" w:color="auto" w:fill="FFFFFF"/>
        </w:rPr>
        <w:t xml:space="preserve"> may</w:t>
      </w:r>
      <w:r>
        <w:rPr>
          <w:rFonts w:ascii="Times New Roman" w:hAnsi="Times New Roman" w:cs="Times New Roman"/>
          <w:color w:val="000000"/>
          <w:sz w:val="24"/>
          <w:szCs w:val="24"/>
          <w:shd w:val="clear" w:color="auto" w:fill="FFFFFF"/>
        </w:rPr>
        <w:t xml:space="preserve"> </w:t>
      </w:r>
      <w:r w:rsidR="003E47F4">
        <w:rPr>
          <w:rFonts w:ascii="Times New Roman" w:hAnsi="Times New Roman" w:cs="Times New Roman"/>
          <w:color w:val="000000"/>
          <w:sz w:val="24"/>
          <w:szCs w:val="24"/>
          <w:shd w:val="clear" w:color="auto" w:fill="FFFFFF"/>
        </w:rPr>
        <w:t xml:space="preserve">appear surprising given </w:t>
      </w:r>
      <w:r w:rsidRPr="004C0D35">
        <w:rPr>
          <w:rFonts w:ascii="Times New Roman" w:hAnsi="Times New Roman" w:cs="Times New Roman"/>
          <w:color w:val="000000"/>
          <w:sz w:val="24"/>
          <w:szCs w:val="24"/>
          <w:shd w:val="clear" w:color="auto" w:fill="FFFFFF"/>
        </w:rPr>
        <w:t>Sitkoff and Schanzenbach</w:t>
      </w:r>
      <w:r>
        <w:rPr>
          <w:rFonts w:ascii="Times New Roman" w:hAnsi="Times New Roman" w:cs="Times New Roman"/>
          <w:color w:val="000000"/>
          <w:sz w:val="24"/>
          <w:szCs w:val="24"/>
          <w:shd w:val="clear" w:color="auto" w:fill="FFFFFF"/>
        </w:rPr>
        <w:t>’s 200</w:t>
      </w:r>
      <w:r w:rsidR="000A7A90">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 xml:space="preserve"> finding</w:t>
      </w:r>
      <w:r w:rsidRPr="004C0D35">
        <w:rPr>
          <w:rFonts w:ascii="Times New Roman" w:hAnsi="Times New Roman" w:cs="Times New Roman"/>
          <w:color w:val="000000"/>
          <w:sz w:val="24"/>
          <w:szCs w:val="24"/>
          <w:shd w:val="clear" w:color="auto" w:fill="FFFFFF"/>
        </w:rPr>
        <w:t xml:space="preserve"> that </w:t>
      </w:r>
      <w:r w:rsidRPr="004C0D35">
        <w:rPr>
          <w:rFonts w:ascii="Times New Roman" w:hAnsi="Times New Roman" w:cs="Times New Roman"/>
          <w:sz w:val="24"/>
          <w:szCs w:val="24"/>
        </w:rPr>
        <w:t>a U.S. state’s abolition of the rule against perpetuities</w:t>
      </w:r>
      <w:r>
        <w:rPr>
          <w:rFonts w:ascii="Times New Roman" w:hAnsi="Times New Roman" w:cs="Times New Roman"/>
          <w:sz w:val="24"/>
          <w:szCs w:val="24"/>
        </w:rPr>
        <w:t xml:space="preserve"> (to 2003)</w:t>
      </w:r>
      <w:r w:rsidRPr="004C0D35">
        <w:rPr>
          <w:rFonts w:ascii="Times New Roman" w:hAnsi="Times New Roman" w:cs="Times New Roman"/>
          <w:sz w:val="24"/>
          <w:szCs w:val="24"/>
        </w:rPr>
        <w:t xml:space="preserve"> significantly increased the trust assets managed by fiduciary institutions resident in that state, so long as the state did not impose an income tax on trust funds attracted from out of state</w:t>
      </w:r>
      <w:r>
        <w:rPr>
          <w:rFonts w:ascii="Times New Roman" w:hAnsi="Times New Roman" w:cs="Times New Roman"/>
          <w:sz w:val="24"/>
          <w:szCs w:val="24"/>
        </w:rPr>
        <w:t xml:space="preserve">. </w:t>
      </w:r>
      <w:r w:rsidR="009D6DDF">
        <w:rPr>
          <w:rFonts w:ascii="Times New Roman" w:hAnsi="Times New Roman" w:cs="Times New Roman"/>
          <w:sz w:val="24"/>
          <w:szCs w:val="24"/>
        </w:rPr>
        <w:t xml:space="preserve">To </w:t>
      </w:r>
      <w:r w:rsidR="003E47F4">
        <w:rPr>
          <w:rFonts w:ascii="Times New Roman" w:hAnsi="Times New Roman" w:cs="Times New Roman"/>
          <w:sz w:val="24"/>
          <w:szCs w:val="24"/>
        </w:rPr>
        <w:t>approximate</w:t>
      </w:r>
      <w:r w:rsidR="009D6DDF">
        <w:rPr>
          <w:rFonts w:ascii="Times New Roman" w:hAnsi="Times New Roman" w:cs="Times New Roman"/>
          <w:sz w:val="24"/>
          <w:szCs w:val="24"/>
        </w:rPr>
        <w:t xml:space="preserve"> their study</w:t>
      </w:r>
      <w:r w:rsidR="003E47F4">
        <w:rPr>
          <w:rFonts w:ascii="Times New Roman" w:hAnsi="Times New Roman" w:cs="Times New Roman"/>
          <w:sz w:val="24"/>
          <w:szCs w:val="24"/>
        </w:rPr>
        <w:t xml:space="preserve"> using my data</w:t>
      </w:r>
      <w:r w:rsidR="009D6DDF">
        <w:rPr>
          <w:rFonts w:ascii="Times New Roman" w:hAnsi="Times New Roman" w:cs="Times New Roman"/>
          <w:sz w:val="24"/>
          <w:szCs w:val="24"/>
        </w:rPr>
        <w:t xml:space="preserve">, I </w:t>
      </w:r>
      <w:r w:rsidR="003E47F4">
        <w:rPr>
          <w:rFonts w:ascii="Times New Roman" w:hAnsi="Times New Roman" w:cs="Times New Roman"/>
          <w:sz w:val="24"/>
          <w:szCs w:val="24"/>
        </w:rPr>
        <w:t xml:space="preserve">regressed </w:t>
      </w:r>
      <w:r w:rsidR="003E47F4" w:rsidRPr="004C0D35">
        <w:rPr>
          <w:rFonts w:ascii="Times New Roman" w:eastAsia="Times New Roman" w:hAnsi="Times New Roman" w:cs="Times New Roman"/>
          <w:sz w:val="24"/>
          <w:szCs w:val="24"/>
        </w:rPr>
        <w:t xml:space="preserve">fiduciary fees deducted per return, aggregate attorney, accountant and return preparer fees </w:t>
      </w:r>
      <w:r w:rsidR="000A7A90">
        <w:rPr>
          <w:rFonts w:ascii="Times New Roman" w:eastAsia="Times New Roman" w:hAnsi="Times New Roman" w:cs="Times New Roman"/>
          <w:sz w:val="24"/>
          <w:szCs w:val="24"/>
        </w:rPr>
        <w:t>deducted</w:t>
      </w:r>
      <w:r w:rsidR="003E47F4" w:rsidRPr="004C0D35">
        <w:rPr>
          <w:rFonts w:ascii="Times New Roman" w:eastAsia="Times New Roman" w:hAnsi="Times New Roman" w:cs="Times New Roman"/>
          <w:sz w:val="24"/>
          <w:szCs w:val="24"/>
        </w:rPr>
        <w:t xml:space="preserve"> from trust income</w:t>
      </w:r>
      <w:r w:rsidR="003E47F4">
        <w:rPr>
          <w:rFonts w:ascii="Times New Roman" w:eastAsia="Times New Roman" w:hAnsi="Times New Roman" w:cs="Times New Roman"/>
          <w:sz w:val="24"/>
          <w:szCs w:val="24"/>
        </w:rPr>
        <w:t xml:space="preserve"> and</w:t>
      </w:r>
      <w:r w:rsidR="003E47F4" w:rsidRPr="004C0D35">
        <w:rPr>
          <w:rFonts w:ascii="Times New Roman" w:eastAsia="Times New Roman" w:hAnsi="Times New Roman" w:cs="Times New Roman"/>
          <w:sz w:val="24"/>
          <w:szCs w:val="24"/>
        </w:rPr>
        <w:t xml:space="preserve"> total trust income (less lo</w:t>
      </w:r>
      <w:r w:rsidR="003E47F4">
        <w:rPr>
          <w:rFonts w:ascii="Times New Roman" w:eastAsia="Times New Roman" w:hAnsi="Times New Roman" w:cs="Times New Roman"/>
          <w:sz w:val="24"/>
          <w:szCs w:val="24"/>
        </w:rPr>
        <w:t>ss) on my data for variable 16 (</w:t>
      </w:r>
      <w:r w:rsidR="003E47F4" w:rsidRPr="004C0D35">
        <w:rPr>
          <w:rFonts w:ascii="Times New Roman" w:hAnsi="Times New Roman" w:cs="Times New Roman"/>
          <w:color w:val="000000"/>
          <w:sz w:val="24"/>
          <w:szCs w:val="24"/>
          <w:shd w:val="clear" w:color="auto" w:fill="FFFFFF"/>
        </w:rPr>
        <w:t xml:space="preserve">maximum </w:t>
      </w:r>
      <w:r w:rsidR="000A7A90">
        <w:rPr>
          <w:rFonts w:ascii="Times New Roman" w:hAnsi="Times New Roman" w:cs="Times New Roman"/>
          <w:color w:val="000000"/>
          <w:sz w:val="24"/>
          <w:szCs w:val="24"/>
          <w:shd w:val="clear" w:color="auto" w:fill="FFFFFF"/>
        </w:rPr>
        <w:t xml:space="preserve">permitted </w:t>
      </w:r>
      <w:r w:rsidR="003E47F4" w:rsidRPr="004C0D35">
        <w:rPr>
          <w:rFonts w:ascii="Times New Roman" w:hAnsi="Times New Roman" w:cs="Times New Roman"/>
          <w:color w:val="000000"/>
          <w:sz w:val="24"/>
          <w:szCs w:val="24"/>
          <w:shd w:val="clear" w:color="auto" w:fill="FFFFFF"/>
        </w:rPr>
        <w:t>trust duration</w:t>
      </w:r>
      <w:r w:rsidR="003E47F4">
        <w:rPr>
          <w:rFonts w:ascii="Times New Roman" w:hAnsi="Times New Roman" w:cs="Times New Roman"/>
          <w:color w:val="000000"/>
          <w:sz w:val="24"/>
          <w:szCs w:val="24"/>
          <w:shd w:val="clear" w:color="auto" w:fill="FFFFFF"/>
        </w:rPr>
        <w:t>) for each state and year, replacing my multivariate liberality scores with scores for this single variable. Once the additional predictors in model 1 were included, no statistically significant relationships were found.</w:t>
      </w:r>
      <w:r w:rsidR="00220615">
        <w:rPr>
          <w:rStyle w:val="FootnoteReference"/>
          <w:rFonts w:ascii="Times New Roman" w:hAnsi="Times New Roman" w:cs="Times New Roman"/>
          <w:color w:val="000000"/>
          <w:sz w:val="24"/>
          <w:szCs w:val="24"/>
          <w:shd w:val="clear" w:color="auto" w:fill="FFFFFF"/>
        </w:rPr>
        <w:footnoteReference w:id="82"/>
      </w:r>
      <w:r w:rsidR="003E47F4" w:rsidRPr="004C0D35">
        <w:rPr>
          <w:rFonts w:ascii="Times New Roman" w:eastAsia="Times New Roman" w:hAnsi="Times New Roman" w:cs="Times New Roman"/>
          <w:sz w:val="24"/>
          <w:szCs w:val="24"/>
        </w:rPr>
        <w:t xml:space="preserve"> </w:t>
      </w:r>
      <w:r w:rsidR="003E47F4">
        <w:rPr>
          <w:rFonts w:ascii="Times New Roman" w:hAnsi="Times New Roman" w:cs="Times New Roman"/>
          <w:sz w:val="24"/>
          <w:szCs w:val="24"/>
        </w:rPr>
        <w:t>My</w:t>
      </w:r>
      <w:r w:rsidR="009D6DDF">
        <w:rPr>
          <w:rFonts w:ascii="Times New Roman" w:hAnsi="Times New Roman" w:cs="Times New Roman"/>
          <w:sz w:val="24"/>
          <w:szCs w:val="24"/>
        </w:rPr>
        <w:t xml:space="preserve"> </w:t>
      </w:r>
      <w:r w:rsidR="003E47F4">
        <w:rPr>
          <w:rFonts w:ascii="Times New Roman" w:hAnsi="Times New Roman" w:cs="Times New Roman"/>
          <w:sz w:val="24"/>
          <w:szCs w:val="24"/>
        </w:rPr>
        <w:t>findings and theirs could both be true, given that t</w:t>
      </w:r>
      <w:r w:rsidR="009D6DDF">
        <w:rPr>
          <w:rFonts w:ascii="Times New Roman" w:hAnsi="Times New Roman" w:cs="Times New Roman"/>
          <w:sz w:val="24"/>
          <w:szCs w:val="24"/>
        </w:rPr>
        <w:t xml:space="preserve">he analysis in Part IV.3 covers a later period than that </w:t>
      </w:r>
      <w:r w:rsidR="000A7A90">
        <w:rPr>
          <w:rFonts w:ascii="Times New Roman" w:hAnsi="Times New Roman" w:cs="Times New Roman"/>
          <w:sz w:val="24"/>
          <w:szCs w:val="24"/>
        </w:rPr>
        <w:t xml:space="preserve">covered </w:t>
      </w:r>
      <w:r w:rsidR="009D6DDF">
        <w:rPr>
          <w:rFonts w:ascii="Times New Roman" w:hAnsi="Times New Roman" w:cs="Times New Roman"/>
          <w:sz w:val="24"/>
          <w:szCs w:val="24"/>
        </w:rPr>
        <w:t>by Sitkoff and Schanzenbach, and trends could have changed. It is also possible th</w:t>
      </w:r>
      <w:r w:rsidR="003E47F4">
        <w:rPr>
          <w:rFonts w:ascii="Times New Roman" w:hAnsi="Times New Roman" w:cs="Times New Roman"/>
          <w:sz w:val="24"/>
          <w:szCs w:val="24"/>
        </w:rPr>
        <w:t>at trust assets under management per state could increase without fid</w:t>
      </w:r>
      <w:r w:rsidR="00220615">
        <w:rPr>
          <w:rFonts w:ascii="Times New Roman" w:hAnsi="Times New Roman" w:cs="Times New Roman"/>
          <w:sz w:val="24"/>
          <w:szCs w:val="24"/>
        </w:rPr>
        <w:t>uciary fees deducted per return</w:t>
      </w:r>
      <w:r w:rsidR="000A7A90">
        <w:rPr>
          <w:rFonts w:ascii="Times New Roman" w:hAnsi="Times New Roman" w:cs="Times New Roman"/>
          <w:sz w:val="24"/>
          <w:szCs w:val="24"/>
        </w:rPr>
        <w:t>,</w:t>
      </w:r>
      <w:r w:rsidR="00220615">
        <w:rPr>
          <w:rFonts w:ascii="Times New Roman" w:hAnsi="Times New Roman" w:cs="Times New Roman"/>
          <w:sz w:val="24"/>
          <w:szCs w:val="24"/>
        </w:rPr>
        <w:t xml:space="preserve"> </w:t>
      </w:r>
      <w:r w:rsidR="003E47F4" w:rsidRPr="004C0D35">
        <w:rPr>
          <w:rFonts w:ascii="Times New Roman" w:eastAsia="Times New Roman" w:hAnsi="Times New Roman" w:cs="Times New Roman"/>
          <w:sz w:val="24"/>
          <w:szCs w:val="24"/>
        </w:rPr>
        <w:t xml:space="preserve">aggregate attorney, accountant and return preparer fees </w:t>
      </w:r>
      <w:r w:rsidR="000A7A90">
        <w:rPr>
          <w:rFonts w:ascii="Times New Roman" w:eastAsia="Times New Roman" w:hAnsi="Times New Roman" w:cs="Times New Roman"/>
          <w:sz w:val="24"/>
          <w:szCs w:val="24"/>
        </w:rPr>
        <w:t>deducted</w:t>
      </w:r>
      <w:r w:rsidR="000A7A90" w:rsidRPr="004C0D35">
        <w:rPr>
          <w:rFonts w:ascii="Times New Roman" w:eastAsia="Times New Roman" w:hAnsi="Times New Roman" w:cs="Times New Roman"/>
          <w:sz w:val="24"/>
          <w:szCs w:val="24"/>
        </w:rPr>
        <w:t xml:space="preserve"> </w:t>
      </w:r>
      <w:r w:rsidR="003E47F4" w:rsidRPr="004C0D35">
        <w:rPr>
          <w:rFonts w:ascii="Times New Roman" w:eastAsia="Times New Roman" w:hAnsi="Times New Roman" w:cs="Times New Roman"/>
          <w:sz w:val="24"/>
          <w:szCs w:val="24"/>
        </w:rPr>
        <w:t>from trust income</w:t>
      </w:r>
      <w:r w:rsidR="000A7A90">
        <w:rPr>
          <w:rFonts w:ascii="Times New Roman" w:eastAsia="Times New Roman" w:hAnsi="Times New Roman" w:cs="Times New Roman"/>
          <w:sz w:val="24"/>
          <w:szCs w:val="24"/>
        </w:rPr>
        <w:t xml:space="preserve"> or total trust income (less loss)</w:t>
      </w:r>
      <w:r w:rsidR="003E47F4">
        <w:rPr>
          <w:rFonts w:ascii="Times New Roman" w:eastAsia="Times New Roman" w:hAnsi="Times New Roman" w:cs="Times New Roman"/>
          <w:sz w:val="24"/>
          <w:szCs w:val="24"/>
        </w:rPr>
        <w:t xml:space="preserve"> </w:t>
      </w:r>
      <w:r w:rsidR="00220615">
        <w:rPr>
          <w:rFonts w:ascii="Times New Roman" w:eastAsia="Times New Roman" w:hAnsi="Times New Roman" w:cs="Times New Roman"/>
          <w:sz w:val="24"/>
          <w:szCs w:val="24"/>
        </w:rPr>
        <w:t xml:space="preserve">increasing; though if an increase in assets under management did not produce increased fees for professionals, one wonders whether the intense legislative activity documented in this article was worth it. </w:t>
      </w:r>
    </w:p>
    <w:p w14:paraId="7A4E08B1" w14:textId="77777777" w:rsidR="001D456B" w:rsidRPr="004C0D35" w:rsidRDefault="001D456B" w:rsidP="001D456B">
      <w:pPr>
        <w:spacing w:after="0" w:line="276" w:lineRule="auto"/>
        <w:jc w:val="both"/>
        <w:rPr>
          <w:rFonts w:ascii="Times New Roman" w:hAnsi="Times New Roman" w:cs="Times New Roman"/>
          <w:sz w:val="24"/>
          <w:szCs w:val="24"/>
        </w:rPr>
      </w:pPr>
    </w:p>
    <w:p w14:paraId="1EB0625E" w14:textId="77777777" w:rsidR="00183F91" w:rsidRPr="0051701E" w:rsidRDefault="00183F91" w:rsidP="0051701E">
      <w:pPr>
        <w:spacing w:line="276" w:lineRule="auto"/>
        <w:jc w:val="center"/>
        <w:rPr>
          <w:rFonts w:ascii="Times New Roman" w:hAnsi="Times New Roman" w:cs="Times New Roman"/>
          <w:smallCaps/>
          <w:sz w:val="24"/>
          <w:szCs w:val="24"/>
        </w:rPr>
      </w:pPr>
      <w:r w:rsidRPr="0051701E">
        <w:rPr>
          <w:rFonts w:ascii="Times New Roman" w:hAnsi="Times New Roman" w:cs="Times New Roman"/>
          <w:smallCaps/>
          <w:sz w:val="24"/>
          <w:szCs w:val="24"/>
        </w:rPr>
        <w:t>VI. Conclusion</w:t>
      </w:r>
    </w:p>
    <w:p w14:paraId="6FBA718F" w14:textId="2B0CA4FD" w:rsidR="00727B3F" w:rsidRPr="004C0D35" w:rsidRDefault="00700891" w:rsidP="00C901EE">
      <w:pPr>
        <w:spacing w:after="0"/>
        <w:jc w:val="both"/>
        <w:rPr>
          <w:rFonts w:ascii="Times New Roman" w:hAnsi="Times New Roman" w:cs="Times New Roman"/>
          <w:color w:val="000000"/>
          <w:sz w:val="24"/>
          <w:szCs w:val="24"/>
          <w:shd w:val="clear" w:color="auto" w:fill="FFFFFF"/>
        </w:rPr>
      </w:pPr>
      <w:r w:rsidRPr="004C0D35">
        <w:rPr>
          <w:rFonts w:ascii="Times New Roman" w:hAnsi="Times New Roman" w:cs="Times New Roman"/>
          <w:color w:val="000000"/>
          <w:sz w:val="24"/>
          <w:szCs w:val="24"/>
          <w:shd w:val="clear" w:color="auto" w:fill="FFFFFF"/>
        </w:rPr>
        <w:t>This article reported the findings of the first systematic overview of the statutory liberalization of trust law worldwide. Results show the United States to be the global leader in trust</w:t>
      </w:r>
      <w:r w:rsidR="00F25E29" w:rsidRPr="004C0D35">
        <w:rPr>
          <w:rFonts w:ascii="Times New Roman" w:hAnsi="Times New Roman" w:cs="Times New Roman"/>
          <w:color w:val="000000"/>
          <w:sz w:val="24"/>
          <w:szCs w:val="24"/>
          <w:shd w:val="clear" w:color="auto" w:fill="FFFFFF"/>
        </w:rPr>
        <w:t xml:space="preserve"> law liberality: </w:t>
      </w:r>
      <w:r w:rsidR="009C1D9B">
        <w:rPr>
          <w:rFonts w:ascii="Times New Roman" w:hAnsi="Times New Roman" w:cs="Times New Roman"/>
          <w:color w:val="000000"/>
          <w:sz w:val="24"/>
          <w:szCs w:val="24"/>
          <w:shd w:val="clear" w:color="auto" w:fill="FFFFFF"/>
        </w:rPr>
        <w:t>seventeen</w:t>
      </w:r>
      <w:r w:rsidR="009C1D9B" w:rsidRPr="004C0D35">
        <w:rPr>
          <w:rFonts w:ascii="Times New Roman" w:hAnsi="Times New Roman" w:cs="Times New Roman"/>
          <w:color w:val="000000"/>
          <w:sz w:val="24"/>
          <w:szCs w:val="24"/>
          <w:shd w:val="clear" w:color="auto" w:fill="FFFFFF"/>
        </w:rPr>
        <w:t xml:space="preserve"> </w:t>
      </w:r>
      <w:r w:rsidRPr="004C0D35">
        <w:rPr>
          <w:rFonts w:ascii="Times New Roman" w:hAnsi="Times New Roman" w:cs="Times New Roman"/>
          <w:color w:val="000000"/>
          <w:sz w:val="24"/>
          <w:szCs w:val="24"/>
          <w:shd w:val="clear" w:color="auto" w:fill="FFFFFF"/>
        </w:rPr>
        <w:t xml:space="preserve">of the </w:t>
      </w:r>
      <w:r w:rsidR="009C1D9B">
        <w:rPr>
          <w:rFonts w:ascii="Times New Roman" w:hAnsi="Times New Roman" w:cs="Times New Roman"/>
          <w:color w:val="000000"/>
          <w:sz w:val="24"/>
          <w:szCs w:val="24"/>
          <w:shd w:val="clear" w:color="auto" w:fill="FFFFFF"/>
        </w:rPr>
        <w:t>twenty</w:t>
      </w:r>
      <w:r w:rsidR="009C1D9B" w:rsidRPr="004C0D35">
        <w:rPr>
          <w:rFonts w:ascii="Times New Roman" w:hAnsi="Times New Roman" w:cs="Times New Roman"/>
          <w:color w:val="000000"/>
          <w:sz w:val="24"/>
          <w:szCs w:val="24"/>
          <w:shd w:val="clear" w:color="auto" w:fill="FFFFFF"/>
        </w:rPr>
        <w:t xml:space="preserve"> </w:t>
      </w:r>
      <w:r w:rsidRPr="004C0D35">
        <w:rPr>
          <w:rFonts w:ascii="Times New Roman" w:hAnsi="Times New Roman" w:cs="Times New Roman"/>
          <w:color w:val="000000"/>
          <w:sz w:val="24"/>
          <w:szCs w:val="24"/>
          <w:shd w:val="clear" w:color="auto" w:fill="FFFFFF"/>
        </w:rPr>
        <w:t xml:space="preserve">jurisdictions which have </w:t>
      </w:r>
      <w:r w:rsidR="00070203" w:rsidRPr="004C0D35">
        <w:rPr>
          <w:rFonts w:ascii="Times New Roman" w:hAnsi="Times New Roman" w:cs="Times New Roman"/>
          <w:color w:val="000000"/>
          <w:sz w:val="24"/>
          <w:szCs w:val="24"/>
          <w:shd w:val="clear" w:color="auto" w:fill="FFFFFF"/>
        </w:rPr>
        <w:t xml:space="preserve">the </w:t>
      </w:r>
      <w:r w:rsidRPr="004C0D35">
        <w:rPr>
          <w:rFonts w:ascii="Times New Roman" w:hAnsi="Times New Roman" w:cs="Times New Roman"/>
          <w:color w:val="000000"/>
          <w:sz w:val="24"/>
          <w:szCs w:val="24"/>
          <w:shd w:val="clear" w:color="auto" w:fill="FFFFFF"/>
        </w:rPr>
        <w:t xml:space="preserve">most liberal </w:t>
      </w:r>
      <w:r w:rsidR="00070203" w:rsidRPr="004C0D35">
        <w:rPr>
          <w:rFonts w:ascii="Times New Roman" w:hAnsi="Times New Roman" w:cs="Times New Roman"/>
          <w:color w:val="000000"/>
          <w:sz w:val="24"/>
          <w:szCs w:val="24"/>
          <w:shd w:val="clear" w:color="auto" w:fill="FFFFFF"/>
        </w:rPr>
        <w:t>trust</w:t>
      </w:r>
      <w:r w:rsidRPr="004C0D35">
        <w:rPr>
          <w:rFonts w:ascii="Times New Roman" w:hAnsi="Times New Roman" w:cs="Times New Roman"/>
          <w:color w:val="000000"/>
          <w:sz w:val="24"/>
          <w:szCs w:val="24"/>
          <w:shd w:val="clear" w:color="auto" w:fill="FFFFFF"/>
        </w:rPr>
        <w:t xml:space="preserve"> law</w:t>
      </w:r>
      <w:r w:rsidR="00E663D6" w:rsidRPr="004C0D35">
        <w:rPr>
          <w:rFonts w:ascii="Times New Roman" w:hAnsi="Times New Roman" w:cs="Times New Roman"/>
          <w:color w:val="000000"/>
          <w:sz w:val="24"/>
          <w:szCs w:val="24"/>
          <w:shd w:val="clear" w:color="auto" w:fill="FFFFFF"/>
        </w:rPr>
        <w:t>s</w:t>
      </w:r>
      <w:r w:rsidRPr="004C0D35">
        <w:rPr>
          <w:rFonts w:ascii="Times New Roman" w:hAnsi="Times New Roman" w:cs="Times New Roman"/>
          <w:color w:val="000000"/>
          <w:sz w:val="24"/>
          <w:szCs w:val="24"/>
          <w:shd w:val="clear" w:color="auto" w:fill="FFFFFF"/>
        </w:rPr>
        <w:t xml:space="preserve"> are American states. When jurisdictions are ranked according to the extent to which each liberalized</w:t>
      </w:r>
      <w:r w:rsidR="00D97B51" w:rsidRPr="004C0D35">
        <w:rPr>
          <w:rFonts w:ascii="Times New Roman" w:hAnsi="Times New Roman" w:cs="Times New Roman"/>
          <w:color w:val="000000"/>
          <w:sz w:val="24"/>
          <w:szCs w:val="24"/>
          <w:shd w:val="clear" w:color="auto" w:fill="FFFFFF"/>
        </w:rPr>
        <w:t xml:space="preserve"> its trust</w:t>
      </w:r>
      <w:r w:rsidRPr="004C0D35">
        <w:rPr>
          <w:rFonts w:ascii="Times New Roman" w:hAnsi="Times New Roman" w:cs="Times New Roman"/>
          <w:color w:val="000000"/>
          <w:sz w:val="24"/>
          <w:szCs w:val="24"/>
          <w:shd w:val="clear" w:color="auto" w:fill="FFFFFF"/>
        </w:rPr>
        <w:t xml:space="preserve"> law by legislation, U.S. states still make </w:t>
      </w:r>
      <w:r w:rsidR="009C1D9B">
        <w:rPr>
          <w:rFonts w:ascii="Times New Roman" w:hAnsi="Times New Roman" w:cs="Times New Roman"/>
          <w:color w:val="000000"/>
          <w:sz w:val="24"/>
          <w:szCs w:val="24"/>
          <w:shd w:val="clear" w:color="auto" w:fill="FFFFFF"/>
        </w:rPr>
        <w:t>fifteen</w:t>
      </w:r>
      <w:r w:rsidR="009C1D9B" w:rsidRPr="004C0D35">
        <w:rPr>
          <w:rFonts w:ascii="Times New Roman" w:hAnsi="Times New Roman" w:cs="Times New Roman"/>
          <w:color w:val="000000"/>
          <w:sz w:val="24"/>
          <w:szCs w:val="24"/>
          <w:shd w:val="clear" w:color="auto" w:fill="FFFFFF"/>
        </w:rPr>
        <w:t xml:space="preserve"> </w:t>
      </w:r>
      <w:r w:rsidRPr="004C0D35">
        <w:rPr>
          <w:rFonts w:ascii="Times New Roman" w:hAnsi="Times New Roman" w:cs="Times New Roman"/>
          <w:color w:val="000000"/>
          <w:sz w:val="24"/>
          <w:szCs w:val="24"/>
          <w:shd w:val="clear" w:color="auto" w:fill="FFFFFF"/>
        </w:rPr>
        <w:t xml:space="preserve">of the top </w:t>
      </w:r>
      <w:r w:rsidR="009C1D9B">
        <w:rPr>
          <w:rFonts w:ascii="Times New Roman" w:hAnsi="Times New Roman" w:cs="Times New Roman"/>
          <w:color w:val="000000"/>
          <w:sz w:val="24"/>
          <w:szCs w:val="24"/>
          <w:shd w:val="clear" w:color="auto" w:fill="FFFFFF"/>
        </w:rPr>
        <w:t>twenty</w:t>
      </w:r>
      <w:r w:rsidRPr="004C0D35">
        <w:rPr>
          <w:rFonts w:ascii="Times New Roman" w:hAnsi="Times New Roman" w:cs="Times New Roman"/>
          <w:color w:val="000000"/>
          <w:sz w:val="24"/>
          <w:szCs w:val="24"/>
          <w:shd w:val="clear" w:color="auto" w:fill="FFFFFF"/>
        </w:rPr>
        <w:t xml:space="preserve">. Trust law liberalization in the U.S. is a result of the widespread adoption </w:t>
      </w:r>
      <w:r w:rsidR="00F25E29" w:rsidRPr="004C0D35">
        <w:rPr>
          <w:rFonts w:ascii="Times New Roman" w:hAnsi="Times New Roman" w:cs="Times New Roman"/>
          <w:color w:val="000000"/>
          <w:sz w:val="24"/>
          <w:szCs w:val="24"/>
          <w:shd w:val="clear" w:color="auto" w:fill="FFFFFF"/>
        </w:rPr>
        <w:t xml:space="preserve">among the states </w:t>
      </w:r>
      <w:r w:rsidRPr="004C0D35">
        <w:rPr>
          <w:rFonts w:ascii="Times New Roman" w:hAnsi="Times New Roman" w:cs="Times New Roman"/>
          <w:color w:val="000000"/>
          <w:sz w:val="24"/>
          <w:szCs w:val="24"/>
          <w:shd w:val="clear" w:color="auto" w:fill="FFFFFF"/>
        </w:rPr>
        <w:t>of the Uniform Trust Code, which includes many highly liberal positions, as well as of many states having followed an offshore dynamic in adopting highly permissive positions in order to draw users from out of state to resident service providers. The trust laws of many American states are more liberal than those of</w:t>
      </w:r>
      <w:r w:rsidR="00F25E29" w:rsidRPr="004C0D35">
        <w:rPr>
          <w:rFonts w:ascii="Times New Roman" w:hAnsi="Times New Roman" w:cs="Times New Roman"/>
          <w:color w:val="000000"/>
          <w:sz w:val="24"/>
          <w:szCs w:val="24"/>
          <w:shd w:val="clear" w:color="auto" w:fill="FFFFFF"/>
        </w:rPr>
        <w:t xml:space="preserve"> most</w:t>
      </w:r>
      <w:r w:rsidRPr="004C0D35">
        <w:rPr>
          <w:rFonts w:ascii="Times New Roman" w:hAnsi="Times New Roman" w:cs="Times New Roman"/>
          <w:color w:val="000000"/>
          <w:sz w:val="24"/>
          <w:szCs w:val="24"/>
          <w:shd w:val="clear" w:color="auto" w:fill="FFFFFF"/>
        </w:rPr>
        <w:t xml:space="preserve"> offshore island jurisdictions. Even the laws of such relatively conservative American states, on trust matters, as New York and California are quite liberal by global standards. Much of the recent global increase in trust law liberali</w:t>
      </w:r>
      <w:r w:rsidR="00F25E29" w:rsidRPr="004C0D35">
        <w:rPr>
          <w:rFonts w:ascii="Times New Roman" w:hAnsi="Times New Roman" w:cs="Times New Roman"/>
          <w:color w:val="000000"/>
          <w:sz w:val="24"/>
          <w:szCs w:val="24"/>
          <w:shd w:val="clear" w:color="auto" w:fill="FFFFFF"/>
        </w:rPr>
        <w:t xml:space="preserve">ty occurred from </w:t>
      </w:r>
      <w:r w:rsidR="00E8525E" w:rsidRPr="004C0D35">
        <w:rPr>
          <w:rFonts w:ascii="Times New Roman" w:hAnsi="Times New Roman" w:cs="Times New Roman"/>
          <w:color w:val="000000"/>
          <w:sz w:val="24"/>
          <w:szCs w:val="24"/>
          <w:shd w:val="clear" w:color="auto" w:fill="FFFFFF"/>
        </w:rPr>
        <w:t>1988-201</w:t>
      </w:r>
      <w:r w:rsidRPr="004C0D35">
        <w:rPr>
          <w:rFonts w:ascii="Times New Roman" w:hAnsi="Times New Roman" w:cs="Times New Roman"/>
          <w:color w:val="000000"/>
          <w:sz w:val="24"/>
          <w:szCs w:val="24"/>
          <w:shd w:val="clear" w:color="auto" w:fill="FFFFFF"/>
        </w:rPr>
        <w:t xml:space="preserve">6. </w:t>
      </w:r>
    </w:p>
    <w:p w14:paraId="5EA36ABE" w14:textId="77777777" w:rsidR="00694E5A" w:rsidRDefault="00727B3F" w:rsidP="00EB1304">
      <w:pPr>
        <w:spacing w:after="0"/>
        <w:ind w:firstLine="720"/>
        <w:jc w:val="both"/>
        <w:rPr>
          <w:rFonts w:ascii="Times New Roman" w:hAnsi="Times New Roman" w:cs="Times New Roman"/>
          <w:color w:val="000000"/>
          <w:sz w:val="24"/>
          <w:szCs w:val="24"/>
          <w:shd w:val="clear" w:color="auto" w:fill="FFFFFF"/>
          <w:rtl/>
        </w:rPr>
      </w:pPr>
      <w:r w:rsidRPr="004C0D35">
        <w:rPr>
          <w:rFonts w:ascii="Times New Roman" w:hAnsi="Times New Roman" w:cs="Times New Roman"/>
          <w:color w:val="000000"/>
          <w:sz w:val="24"/>
          <w:szCs w:val="24"/>
          <w:shd w:val="clear" w:color="auto" w:fill="FFFFFF"/>
        </w:rPr>
        <w:t>M</w:t>
      </w:r>
      <w:r w:rsidR="00700891" w:rsidRPr="004C0D35">
        <w:rPr>
          <w:rFonts w:ascii="Times New Roman" w:hAnsi="Times New Roman" w:cs="Times New Roman"/>
          <w:color w:val="000000"/>
          <w:sz w:val="24"/>
          <w:szCs w:val="24"/>
          <w:shd w:val="clear" w:color="auto" w:fill="FFFFFF"/>
        </w:rPr>
        <w:t xml:space="preserve">ultivariate regression analysis of U.S. data </w:t>
      </w:r>
      <w:r w:rsidR="00833D73" w:rsidRPr="004C0D35">
        <w:rPr>
          <w:rFonts w:ascii="Times New Roman" w:hAnsi="Times New Roman" w:cs="Times New Roman"/>
          <w:color w:val="000000"/>
          <w:sz w:val="24"/>
          <w:szCs w:val="24"/>
          <w:shd w:val="clear" w:color="auto" w:fill="FFFFFF"/>
        </w:rPr>
        <w:t>shows</w:t>
      </w:r>
      <w:r w:rsidRPr="004C0D35">
        <w:rPr>
          <w:rFonts w:ascii="Times New Roman" w:hAnsi="Times New Roman" w:cs="Times New Roman"/>
          <w:color w:val="000000"/>
          <w:sz w:val="24"/>
          <w:szCs w:val="24"/>
          <w:shd w:val="clear" w:color="auto" w:fill="FFFFFF"/>
        </w:rPr>
        <w:t xml:space="preserve"> </w:t>
      </w:r>
      <w:r w:rsidR="00D55DD5" w:rsidRPr="004C0D35">
        <w:rPr>
          <w:rFonts w:ascii="Times New Roman" w:hAnsi="Times New Roman" w:cs="Times New Roman"/>
          <w:color w:val="000000"/>
          <w:sz w:val="24"/>
          <w:szCs w:val="24"/>
          <w:shd w:val="clear" w:color="auto" w:fill="FFFFFF"/>
        </w:rPr>
        <w:t xml:space="preserve">that </w:t>
      </w:r>
      <w:r w:rsidR="00694E5A">
        <w:rPr>
          <w:rFonts w:ascii="Times New Roman" w:hAnsi="Times New Roman" w:cs="Times New Roman"/>
          <w:color w:val="000000"/>
          <w:sz w:val="24"/>
          <w:szCs w:val="24"/>
          <w:shd w:val="clear" w:color="auto" w:fill="FFFFFF"/>
        </w:rPr>
        <w:t xml:space="preserve">the statutory liberalization of trust law had no effect on </w:t>
      </w:r>
      <w:r w:rsidR="00694E5A">
        <w:rPr>
          <w:rFonts w:ascii="Times New Roman" w:hAnsi="Times New Roman" w:cs="Times New Roman"/>
          <w:sz w:val="24"/>
          <w:szCs w:val="24"/>
        </w:rPr>
        <w:t xml:space="preserve">trustee income per trust, attorney, </w:t>
      </w:r>
      <w:r w:rsidR="00694E5A" w:rsidRPr="004C0D35">
        <w:rPr>
          <w:rFonts w:ascii="Times New Roman" w:eastAsia="Times New Roman" w:hAnsi="Times New Roman" w:cs="Times New Roman"/>
          <w:sz w:val="24"/>
          <w:szCs w:val="24"/>
        </w:rPr>
        <w:t xml:space="preserve">accountant and return preparer </w:t>
      </w:r>
      <w:r w:rsidR="00694E5A">
        <w:rPr>
          <w:rFonts w:ascii="Times New Roman" w:eastAsia="Times New Roman" w:hAnsi="Times New Roman" w:cs="Times New Roman"/>
          <w:sz w:val="24"/>
          <w:szCs w:val="24"/>
        </w:rPr>
        <w:t>i</w:t>
      </w:r>
      <w:r w:rsidR="00694E5A" w:rsidRPr="004C0D35">
        <w:rPr>
          <w:rFonts w:ascii="Times New Roman" w:eastAsia="Times New Roman" w:hAnsi="Times New Roman" w:cs="Times New Roman"/>
          <w:sz w:val="24"/>
          <w:szCs w:val="24"/>
        </w:rPr>
        <w:t xml:space="preserve">ncome </w:t>
      </w:r>
      <w:r w:rsidR="00694E5A">
        <w:rPr>
          <w:rFonts w:ascii="Times New Roman" w:eastAsia="Times New Roman" w:hAnsi="Times New Roman" w:cs="Times New Roman"/>
          <w:sz w:val="24"/>
          <w:szCs w:val="24"/>
        </w:rPr>
        <w:t xml:space="preserve">from trust-related services, </w:t>
      </w:r>
      <w:r w:rsidR="00694E5A" w:rsidRPr="004C0D35">
        <w:rPr>
          <w:rFonts w:ascii="Times New Roman" w:eastAsia="Times New Roman" w:hAnsi="Times New Roman" w:cs="Times New Roman"/>
          <w:sz w:val="24"/>
          <w:szCs w:val="24"/>
        </w:rPr>
        <w:t>total trust income (less loss)</w:t>
      </w:r>
      <w:r w:rsidR="00694E5A">
        <w:rPr>
          <w:rFonts w:ascii="Times New Roman" w:hAnsi="Times New Roman" w:cs="Times New Roman"/>
          <w:sz w:val="24"/>
          <w:szCs w:val="24"/>
        </w:rPr>
        <w:t xml:space="preserve">, the amount of establishments in the </w:t>
      </w:r>
      <w:r w:rsidR="00694E5A">
        <w:rPr>
          <w:rFonts w:ascii="Times New Roman" w:hAnsi="Times New Roman" w:cs="Times New Roman"/>
          <w:sz w:val="24"/>
          <w:szCs w:val="24"/>
          <w:shd w:val="clear" w:color="auto" w:fill="FFFFFF"/>
        </w:rPr>
        <w:t>“trust fiduciary and custody” sector</w:t>
      </w:r>
      <w:r w:rsidR="00694E5A">
        <w:rPr>
          <w:rFonts w:ascii="Times New Roman" w:hAnsi="Times New Roman" w:cs="Times New Roman"/>
          <w:sz w:val="24"/>
          <w:szCs w:val="24"/>
        </w:rPr>
        <w:t xml:space="preserve">, </w:t>
      </w:r>
      <w:r w:rsidR="00694E5A" w:rsidRPr="009C4B35">
        <w:rPr>
          <w:rFonts w:ascii="Times New Roman" w:hAnsi="Times New Roman" w:cs="Times New Roman"/>
          <w:sz w:val="24"/>
          <w:szCs w:val="24"/>
          <w:shd w:val="clear" w:color="auto" w:fill="FFFFFF"/>
        </w:rPr>
        <w:t xml:space="preserve">the </w:t>
      </w:r>
      <w:r w:rsidR="00694E5A" w:rsidRPr="009C4B35">
        <w:rPr>
          <w:rFonts w:ascii="Times New Roman" w:hAnsi="Times New Roman" w:cs="Times New Roman"/>
          <w:sz w:val="24"/>
          <w:szCs w:val="24"/>
        </w:rPr>
        <w:t xml:space="preserve">amount of employees </w:t>
      </w:r>
      <w:r w:rsidR="00694E5A">
        <w:rPr>
          <w:rFonts w:ascii="Times New Roman" w:hAnsi="Times New Roman" w:cs="Times New Roman"/>
          <w:sz w:val="24"/>
          <w:szCs w:val="24"/>
        </w:rPr>
        <w:t>in that sector</w:t>
      </w:r>
      <w:r w:rsidR="00694E5A" w:rsidRPr="009C4B35">
        <w:rPr>
          <w:rFonts w:ascii="Times New Roman" w:hAnsi="Times New Roman" w:cs="Times New Roman"/>
          <w:sz w:val="24"/>
          <w:szCs w:val="24"/>
        </w:rPr>
        <w:t xml:space="preserve"> </w:t>
      </w:r>
      <w:r w:rsidR="00BC6619">
        <w:rPr>
          <w:rFonts w:ascii="Times New Roman" w:hAnsi="Times New Roman" w:cs="Times New Roman"/>
          <w:sz w:val="24"/>
          <w:szCs w:val="24"/>
        </w:rPr>
        <w:t>or</w:t>
      </w:r>
      <w:r w:rsidR="00694E5A" w:rsidRPr="009C4B35">
        <w:rPr>
          <w:rFonts w:ascii="Times New Roman" w:hAnsi="Times New Roman" w:cs="Times New Roman"/>
          <w:sz w:val="24"/>
          <w:szCs w:val="24"/>
        </w:rPr>
        <w:t xml:space="preserve"> annual payroll</w:t>
      </w:r>
      <w:r w:rsidR="00694E5A">
        <w:rPr>
          <w:rFonts w:ascii="Times New Roman" w:hAnsi="Times New Roman" w:cs="Times New Roman"/>
          <w:sz w:val="24"/>
          <w:szCs w:val="24"/>
        </w:rPr>
        <w:t xml:space="preserve"> in that sector. </w:t>
      </w:r>
      <w:r w:rsidR="00BC6619">
        <w:rPr>
          <w:rFonts w:ascii="Times New Roman" w:hAnsi="Times New Roman" w:cs="Times New Roman"/>
          <w:sz w:val="24"/>
          <w:szCs w:val="24"/>
        </w:rPr>
        <w:t xml:space="preserve">It is especially clear that </w:t>
      </w:r>
      <w:r w:rsidR="00BC6619" w:rsidRPr="004C0D35">
        <w:rPr>
          <w:rFonts w:ascii="Times New Roman" w:hAnsi="Times New Roman" w:cs="Times New Roman"/>
          <w:color w:val="000000"/>
          <w:sz w:val="24"/>
          <w:szCs w:val="24"/>
          <w:shd w:val="clear" w:color="auto" w:fill="FFFFFF"/>
        </w:rPr>
        <w:t xml:space="preserve">reforms seen as pandering to trust users’ </w:t>
      </w:r>
      <w:r w:rsidR="00EB1304">
        <w:rPr>
          <w:rFonts w:ascii="Times New Roman" w:hAnsi="Times New Roman" w:cs="Times New Roman"/>
          <w:color w:val="000000"/>
          <w:sz w:val="24"/>
          <w:szCs w:val="24"/>
          <w:shd w:val="clear" w:color="auto" w:fill="FFFFFF"/>
        </w:rPr>
        <w:t>interests</w:t>
      </w:r>
      <w:r w:rsidR="00BC6619" w:rsidRPr="004C0D35">
        <w:rPr>
          <w:rFonts w:ascii="Times New Roman" w:hAnsi="Times New Roman" w:cs="Times New Roman"/>
          <w:color w:val="000000"/>
          <w:sz w:val="24"/>
          <w:szCs w:val="24"/>
          <w:shd w:val="clear" w:color="auto" w:fill="FFFFFF"/>
        </w:rPr>
        <w:t xml:space="preserve"> at great social cost, such as self-settled spendthrift trusts and perpetual trusts, all in order to create or sustain demand for professional services in the trust context, have</w:t>
      </w:r>
      <w:r w:rsidR="00BC6619">
        <w:rPr>
          <w:rFonts w:ascii="Times New Roman" w:hAnsi="Times New Roman" w:cs="Times New Roman"/>
          <w:color w:val="000000"/>
          <w:sz w:val="24"/>
          <w:szCs w:val="24"/>
          <w:shd w:val="clear" w:color="auto" w:fill="FFFFFF"/>
        </w:rPr>
        <w:t xml:space="preserve"> had</w:t>
      </w:r>
      <w:r w:rsidR="00BC6619" w:rsidRPr="004C0D35">
        <w:rPr>
          <w:rFonts w:ascii="Times New Roman" w:hAnsi="Times New Roman" w:cs="Times New Roman"/>
          <w:color w:val="000000"/>
          <w:sz w:val="24"/>
          <w:szCs w:val="24"/>
          <w:shd w:val="clear" w:color="auto" w:fill="FFFFFF"/>
        </w:rPr>
        <w:t xml:space="preserve"> no impact</w:t>
      </w:r>
      <w:r w:rsidR="00BC6619">
        <w:rPr>
          <w:rFonts w:ascii="Times New Roman" w:hAnsi="Times New Roman" w:cs="Times New Roman"/>
          <w:color w:val="000000"/>
          <w:sz w:val="24"/>
          <w:szCs w:val="24"/>
          <w:shd w:val="clear" w:color="auto" w:fill="FFFFFF"/>
        </w:rPr>
        <w:t xml:space="preserve"> on any of these indicia for the success of service provision to trusts as a commercial enterprise. </w:t>
      </w:r>
    </w:p>
    <w:p w14:paraId="3E42D52A" w14:textId="5A8C7F2F" w:rsidR="00830F38" w:rsidRPr="00487FF0" w:rsidRDefault="00216567" w:rsidP="00237205">
      <w:pPr>
        <w:spacing w:after="0"/>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an exception to the general finding of a null result, s</w:t>
      </w:r>
      <w:r w:rsidR="00BC6619">
        <w:rPr>
          <w:rFonts w:ascii="Times New Roman" w:hAnsi="Times New Roman" w:cs="Times New Roman"/>
          <w:color w:val="000000"/>
          <w:sz w:val="24"/>
          <w:szCs w:val="24"/>
          <w:shd w:val="clear" w:color="auto" w:fill="FFFFFF"/>
        </w:rPr>
        <w:t xml:space="preserve">ome findings with marginal statistical significance </w:t>
      </w:r>
      <w:r>
        <w:rPr>
          <w:rFonts w:ascii="Times New Roman" w:hAnsi="Times New Roman" w:cs="Times New Roman"/>
          <w:color w:val="000000"/>
          <w:sz w:val="24"/>
          <w:szCs w:val="24"/>
          <w:shd w:val="clear" w:color="auto" w:fill="FFFFFF"/>
        </w:rPr>
        <w:t>show that</w:t>
      </w:r>
      <w:r w:rsidR="00BC6619">
        <w:rPr>
          <w:rFonts w:ascii="Times New Roman" w:hAnsi="Times New Roman" w:cs="Times New Roman"/>
          <w:color w:val="000000"/>
          <w:sz w:val="24"/>
          <w:szCs w:val="24"/>
          <w:shd w:val="clear" w:color="auto" w:fill="FFFFFF"/>
        </w:rPr>
        <w:t xml:space="preserve"> </w:t>
      </w:r>
      <w:r w:rsidR="00D55DD5" w:rsidRPr="004C0D35">
        <w:rPr>
          <w:rFonts w:ascii="Times New Roman" w:hAnsi="Times New Roman" w:cs="Times New Roman"/>
          <w:color w:val="000000"/>
          <w:sz w:val="24"/>
          <w:szCs w:val="24"/>
          <w:shd w:val="clear" w:color="auto" w:fill="FFFFFF"/>
        </w:rPr>
        <w:t xml:space="preserve">law reforms </w:t>
      </w:r>
      <w:r w:rsidR="00833D73" w:rsidRPr="004C0D35">
        <w:rPr>
          <w:rFonts w:ascii="Times New Roman" w:hAnsi="Times New Roman" w:cs="Times New Roman"/>
          <w:color w:val="000000"/>
          <w:sz w:val="24"/>
          <w:szCs w:val="24"/>
          <w:shd w:val="clear" w:color="auto" w:fill="FFFFFF"/>
        </w:rPr>
        <w:t>which reduced trustees’ exposure to liability and entrenched their entitlement to remuneration led to a decline in their earnings per trust. Those reforms are also</w:t>
      </w:r>
      <w:r w:rsidR="00814473">
        <w:rPr>
          <w:rFonts w:ascii="Times New Roman" w:hAnsi="Times New Roman" w:cs="Times New Roman"/>
          <w:color w:val="000000"/>
          <w:sz w:val="24"/>
          <w:szCs w:val="24"/>
          <w:shd w:val="clear" w:color="auto" w:fill="FFFFFF"/>
        </w:rPr>
        <w:t xml:space="preserve"> weakly</w:t>
      </w:r>
      <w:r w:rsidR="00833D73" w:rsidRPr="004C0D35">
        <w:rPr>
          <w:rFonts w:ascii="Times New Roman" w:hAnsi="Times New Roman" w:cs="Times New Roman"/>
          <w:color w:val="000000"/>
          <w:sz w:val="24"/>
          <w:szCs w:val="24"/>
          <w:shd w:val="clear" w:color="auto" w:fill="FFFFFF"/>
        </w:rPr>
        <w:t xml:space="preserve"> associated with an increase in trust income. It is therefore possible that reforms widely seen as preferring trustees over their clients have resulted in </w:t>
      </w:r>
      <w:r w:rsidR="00276963">
        <w:rPr>
          <w:rFonts w:ascii="Times New Roman" w:hAnsi="Times New Roman" w:cs="Times New Roman"/>
          <w:color w:val="000000"/>
          <w:sz w:val="24"/>
          <w:szCs w:val="24"/>
          <w:shd w:val="clear" w:color="auto" w:fill="FFFFFF"/>
        </w:rPr>
        <w:t>trustees providing</w:t>
      </w:r>
      <w:r w:rsidR="00276963" w:rsidRPr="004C0D35">
        <w:rPr>
          <w:rFonts w:ascii="Times New Roman" w:hAnsi="Times New Roman" w:cs="Times New Roman"/>
          <w:color w:val="000000"/>
          <w:sz w:val="24"/>
          <w:szCs w:val="24"/>
          <w:shd w:val="clear" w:color="auto" w:fill="FFFFFF"/>
        </w:rPr>
        <w:t xml:space="preserve"> </w:t>
      </w:r>
      <w:r w:rsidR="00276963">
        <w:rPr>
          <w:rFonts w:ascii="Times New Roman" w:hAnsi="Times New Roman" w:cs="Times New Roman"/>
          <w:color w:val="000000"/>
          <w:sz w:val="24"/>
          <w:szCs w:val="24"/>
          <w:shd w:val="clear" w:color="auto" w:fill="FFFFFF"/>
        </w:rPr>
        <w:t xml:space="preserve">a </w:t>
      </w:r>
      <w:r w:rsidR="00276963" w:rsidRPr="004C0D35">
        <w:rPr>
          <w:rFonts w:ascii="Times New Roman" w:hAnsi="Times New Roman" w:cs="Times New Roman"/>
          <w:color w:val="000000"/>
          <w:sz w:val="24"/>
          <w:szCs w:val="24"/>
          <w:shd w:val="clear" w:color="auto" w:fill="FFFFFF"/>
        </w:rPr>
        <w:t>better servic</w:t>
      </w:r>
      <w:r w:rsidR="00276963">
        <w:rPr>
          <w:rFonts w:ascii="Times New Roman" w:hAnsi="Times New Roman" w:cs="Times New Roman"/>
          <w:color w:val="000000"/>
          <w:sz w:val="24"/>
          <w:szCs w:val="24"/>
          <w:shd w:val="clear" w:color="auto" w:fill="FFFFFF"/>
        </w:rPr>
        <w:t>e at lower cost</w:t>
      </w:r>
      <w:r w:rsidR="00BC6619">
        <w:rPr>
          <w:rFonts w:ascii="Times New Roman" w:hAnsi="Times New Roman" w:cs="Times New Roman"/>
          <w:color w:val="000000"/>
          <w:sz w:val="24"/>
          <w:szCs w:val="24"/>
          <w:shd w:val="clear" w:color="auto" w:fill="FFFFFF"/>
        </w:rPr>
        <w:t>.</w:t>
      </w:r>
    </w:p>
    <w:sectPr w:rsidR="00830F38" w:rsidRPr="00487FF0" w:rsidSect="00A97803">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achel Melanie Schiff" w:date="2019-12-26T23:00:00Z" w:initials="RMS">
    <w:p w14:paraId="231CA809" w14:textId="7C09FE6A" w:rsidR="00664E5F" w:rsidRPr="00B37D5C" w:rsidRDefault="00664E5F" w:rsidP="00B37D5C">
      <w:pPr>
        <w:rPr>
          <w:rFonts w:ascii="Times New Roman" w:eastAsia="Times New Roman" w:hAnsi="Times New Roman" w:cs="Times New Roman"/>
          <w:sz w:val="24"/>
          <w:szCs w:val="24"/>
          <w:lang w:bidi="ar-SA"/>
        </w:rPr>
      </w:pPr>
      <w:r>
        <w:rPr>
          <w:rStyle w:val="CommentReference"/>
        </w:rPr>
        <w:annotationRef/>
      </w:r>
      <w:r>
        <w:rPr>
          <w:rFonts w:ascii="Arial" w:eastAsia="Times New Roman" w:hAnsi="Arial" w:cs="Arial"/>
          <w:color w:val="222222"/>
          <w:sz w:val="24"/>
          <w:szCs w:val="24"/>
          <w:shd w:val="clear" w:color="auto" w:fill="FFFFFF"/>
          <w:lang w:bidi="ar-SA"/>
        </w:rPr>
        <w:t xml:space="preserve">We wanted to let you know that the our journal prints in black and white. Therefore, </w:t>
      </w:r>
      <w:r w:rsidRPr="00B37D5C">
        <w:rPr>
          <w:rFonts w:ascii="Arial" w:eastAsia="Times New Roman" w:hAnsi="Arial" w:cs="Arial"/>
          <w:color w:val="222222"/>
          <w:sz w:val="24"/>
          <w:szCs w:val="24"/>
          <w:shd w:val="clear" w:color="auto" w:fill="FFFFFF"/>
          <w:lang w:bidi="ar-SA"/>
        </w:rPr>
        <w:t>figures 2a, 2b, 3a, and 3b will not be as clear as it is now in color. We usually suggest using lines with markers or chang</w:t>
      </w:r>
      <w:r>
        <w:rPr>
          <w:rFonts w:ascii="Arial" w:eastAsia="Times New Roman" w:hAnsi="Arial" w:cs="Arial"/>
          <w:color w:val="222222"/>
          <w:sz w:val="24"/>
          <w:szCs w:val="24"/>
          <w:shd w:val="clear" w:color="auto" w:fill="FFFFFF"/>
          <w:lang w:bidi="ar-SA"/>
        </w:rPr>
        <w:t>ing</w:t>
      </w:r>
      <w:r w:rsidRPr="00B37D5C">
        <w:rPr>
          <w:rFonts w:ascii="Arial" w:eastAsia="Times New Roman" w:hAnsi="Arial" w:cs="Arial"/>
          <w:color w:val="222222"/>
          <w:sz w:val="24"/>
          <w:szCs w:val="24"/>
          <w:shd w:val="clear" w:color="auto" w:fill="FFFFFF"/>
          <w:lang w:bidi="ar-SA"/>
        </w:rPr>
        <w:t xml:space="preserve"> the thickness of the lines</w:t>
      </w:r>
      <w:r>
        <w:rPr>
          <w:rFonts w:ascii="Arial" w:eastAsia="Times New Roman" w:hAnsi="Arial" w:cs="Arial"/>
          <w:color w:val="222222"/>
          <w:sz w:val="24"/>
          <w:szCs w:val="24"/>
          <w:shd w:val="clear" w:color="auto" w:fill="FFFFFF"/>
          <w:lang w:bidi="ar-SA"/>
        </w:rPr>
        <w:t xml:space="preserve">. Please let us know your preference, but do keep the black and white limitation in mind. </w:t>
      </w:r>
    </w:p>
    <w:p w14:paraId="68BDFCF0" w14:textId="5B9D69B0" w:rsidR="00664E5F" w:rsidRDefault="00664E5F">
      <w:pPr>
        <w:pStyle w:val="CommentText"/>
      </w:pPr>
    </w:p>
  </w:comment>
  <w:comment w:id="3" w:author="Adam Hofri" w:date="2020-01-08T23:41:00Z" w:initials="AH">
    <w:p w14:paraId="76311F79" w14:textId="6D1FE54D" w:rsidR="00664E5F" w:rsidRDefault="00664E5F">
      <w:pPr>
        <w:pStyle w:val="CommentText"/>
      </w:pPr>
      <w:r>
        <w:rPr>
          <w:rStyle w:val="CommentReference"/>
        </w:rPr>
        <w:annotationRef/>
      </w:r>
      <w:r>
        <w:rPr>
          <w:noProof/>
        </w:rPr>
        <w:t>Dear Rachel, I suggest you use a dotted line for country A, a dashed line for country B, a solid line for country C, and so on.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DFCF0" w15:done="0"/>
  <w15:commentEx w15:paraId="76311F79" w15:paraIdParent="68BDFC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25829" w16cid:durableId="21AA7C93"/>
  <w16cid:commentId w16cid:paraId="72C99BFF" w16cid:durableId="21AA7CB6"/>
  <w16cid:commentId w16cid:paraId="11A9ECE5" w16cid:durableId="21AA7D10"/>
  <w16cid:commentId w16cid:paraId="1E893779" w16cid:durableId="21AA7E0E"/>
  <w16cid:commentId w16cid:paraId="3E591DA1" w16cid:durableId="21AA7E16"/>
  <w16cid:commentId w16cid:paraId="59B21FDC" w16cid:durableId="21AA7E1A"/>
  <w16cid:commentId w16cid:paraId="5941228F" w16cid:durableId="21AFB6FE"/>
  <w16cid:commentId w16cid:paraId="73DD320D" w16cid:durableId="21AA7D58"/>
  <w16cid:commentId w16cid:paraId="45F9EE16" w16cid:durableId="21AA7E23"/>
  <w16cid:commentId w16cid:paraId="76FA649C" w16cid:durableId="21AA7E32"/>
  <w16cid:commentId w16cid:paraId="2C6E0247" w16cid:durableId="21AA7E37"/>
  <w16cid:commentId w16cid:paraId="37EDACD6" w16cid:durableId="21AA7D92"/>
  <w16cid:commentId w16cid:paraId="2AE54A43" w16cid:durableId="21AA7E3C"/>
  <w16cid:commentId w16cid:paraId="1200515B" w16cid:durableId="21AA7E40"/>
  <w16cid:commentId w16cid:paraId="640B1323" w16cid:durableId="21AA7DC3"/>
  <w16cid:commentId w16cid:paraId="32E52130" w16cid:durableId="21AA7E4E"/>
  <w16cid:commentId w16cid:paraId="4963291B" w16cid:durableId="21AA7E6A"/>
  <w16cid:commentId w16cid:paraId="0407695C" w16cid:durableId="21AA7E7C"/>
  <w16cid:commentId w16cid:paraId="2E196E42" w16cid:durableId="21AA7EA6"/>
  <w16cid:commentId w16cid:paraId="38AF2048" w16cid:durableId="21AA7EB2"/>
  <w16cid:commentId w16cid:paraId="43098026" w16cid:durableId="21AFB5C8"/>
  <w16cid:commentId w16cid:paraId="22A17FB9" w16cid:durableId="21AA7EED"/>
  <w16cid:commentId w16cid:paraId="6FD4D98C" w16cid:durableId="21AA7EF4"/>
  <w16cid:commentId w16cid:paraId="430309A7" w16cid:durableId="21AA7F0A"/>
  <w16cid:commentId w16cid:paraId="746E9DFE" w16cid:durableId="21AA7F0F"/>
  <w16cid:commentId w16cid:paraId="56A0CEB6" w16cid:durableId="21AA7F28"/>
  <w16cid:commentId w16cid:paraId="2A9C0519" w16cid:durableId="21AA7F3B"/>
  <w16cid:commentId w16cid:paraId="3ECC25D5" w16cid:durableId="21AA7F46"/>
  <w16cid:commentId w16cid:paraId="18FF53FE" w16cid:durableId="21AA7F94"/>
  <w16cid:commentId w16cid:paraId="4D85A846" w16cid:durableId="21AA7FBC"/>
  <w16cid:commentId w16cid:paraId="0742FD0B" w16cid:durableId="21AA7FC5"/>
  <w16cid:commentId w16cid:paraId="4A221730" w16cid:durableId="21AA8077"/>
  <w16cid:commentId w16cid:paraId="332C4AB0" w16cid:durableId="21AA80E7"/>
  <w16cid:commentId w16cid:paraId="71B6F3B7" w16cid:durableId="21AA81A0"/>
  <w16cid:commentId w16cid:paraId="575FEEB3" w16cid:durableId="21AA81B1"/>
  <w16cid:commentId w16cid:paraId="345AE11F" w16cid:durableId="21AA81C3"/>
  <w16cid:commentId w16cid:paraId="22446D46" w16cid:durableId="21AA81DB"/>
  <w16cid:commentId w16cid:paraId="68BDFCF0" w16cid:durableId="21AFB9FA"/>
  <w16cid:commentId w16cid:paraId="5B05F3D5" w16cid:durableId="21AFB789"/>
  <w16cid:commentId w16cid:paraId="13A0C02C" w16cid:durableId="21AFB7A7"/>
  <w16cid:commentId w16cid:paraId="3F869438" w16cid:durableId="21AFB7E2"/>
  <w16cid:commentId w16cid:paraId="5CFF921D" w16cid:durableId="21AFB864"/>
  <w16cid:commentId w16cid:paraId="4DEB641E" w16cid:durableId="21AA82AD"/>
  <w16cid:commentId w16cid:paraId="07DC114F" w16cid:durableId="21AFB8AD"/>
  <w16cid:commentId w16cid:paraId="00128B6A" w16cid:durableId="21AFB8D2"/>
  <w16cid:commentId w16cid:paraId="3859319D" w16cid:durableId="21AA82D9"/>
  <w16cid:commentId w16cid:paraId="26721ADA" w16cid:durableId="21AFBA58"/>
  <w16cid:commentId w16cid:paraId="7AAE3D6A" w16cid:durableId="21AA82F8"/>
  <w16cid:commentId w16cid:paraId="0477BA60" w16cid:durableId="21AA831B"/>
  <w16cid:commentId w16cid:paraId="54182D2B" w16cid:durableId="21AA8346"/>
  <w16cid:commentId w16cid:paraId="7F8552D5" w16cid:durableId="21AA83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3D9E" w14:textId="77777777" w:rsidR="00E66562" w:rsidRDefault="00E66562" w:rsidP="005F0BEE">
      <w:pPr>
        <w:spacing w:after="0" w:line="240" w:lineRule="auto"/>
      </w:pPr>
      <w:r>
        <w:separator/>
      </w:r>
    </w:p>
  </w:endnote>
  <w:endnote w:type="continuationSeparator" w:id="0">
    <w:p w14:paraId="32064D98" w14:textId="77777777" w:rsidR="00E66562" w:rsidRDefault="00E66562" w:rsidP="005F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3915"/>
      <w:docPartObj>
        <w:docPartGallery w:val="Page Numbers (Bottom of Page)"/>
        <w:docPartUnique/>
      </w:docPartObj>
    </w:sdtPr>
    <w:sdtEndPr>
      <w:rPr>
        <w:noProof/>
      </w:rPr>
    </w:sdtEndPr>
    <w:sdtContent>
      <w:p w14:paraId="4E23C501" w14:textId="6A71922A" w:rsidR="00664E5F" w:rsidRDefault="00664E5F">
        <w:pPr>
          <w:pStyle w:val="Footer"/>
          <w:jc w:val="center"/>
        </w:pPr>
        <w:r>
          <w:fldChar w:fldCharType="begin"/>
        </w:r>
        <w:r>
          <w:instrText xml:space="preserve"> PAGE   \* MERGEFORMAT </w:instrText>
        </w:r>
        <w:r>
          <w:fldChar w:fldCharType="separate"/>
        </w:r>
        <w:r w:rsidR="007D39A0">
          <w:rPr>
            <w:noProof/>
          </w:rPr>
          <w:t>22</w:t>
        </w:r>
        <w:r>
          <w:rPr>
            <w:noProof/>
          </w:rPr>
          <w:fldChar w:fldCharType="end"/>
        </w:r>
      </w:p>
    </w:sdtContent>
  </w:sdt>
  <w:p w14:paraId="4D499DDD" w14:textId="77777777" w:rsidR="00664E5F" w:rsidRDefault="0066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A7EF9" w14:textId="77777777" w:rsidR="00E66562" w:rsidRDefault="00E66562" w:rsidP="005F0BEE">
      <w:pPr>
        <w:spacing w:after="0" w:line="240" w:lineRule="auto"/>
      </w:pPr>
      <w:r>
        <w:separator/>
      </w:r>
    </w:p>
  </w:footnote>
  <w:footnote w:type="continuationSeparator" w:id="0">
    <w:p w14:paraId="666CADC2" w14:textId="77777777" w:rsidR="00E66562" w:rsidRDefault="00E66562" w:rsidP="005F0BEE">
      <w:pPr>
        <w:spacing w:after="0" w:line="240" w:lineRule="auto"/>
      </w:pPr>
      <w:r>
        <w:continuationSeparator/>
      </w:r>
    </w:p>
  </w:footnote>
  <w:footnote w:id="1">
    <w:p w14:paraId="21F69D35" w14:textId="2C79C873" w:rsidR="00664E5F" w:rsidRPr="00AE3755" w:rsidRDefault="00664E5F" w:rsidP="00AE3755">
      <w:pPr>
        <w:autoSpaceDE w:val="0"/>
        <w:autoSpaceDN w:val="0"/>
        <w:adjustRightInd w:val="0"/>
        <w:spacing w:after="0" w:line="240" w:lineRule="auto"/>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sym w:font="Symbol" w:char="F02A"/>
      </w:r>
      <w:r w:rsidRPr="00AE3755">
        <w:rPr>
          <w:rFonts w:ascii="Times New Roman" w:hAnsi="Times New Roman" w:cs="Times New Roman"/>
          <w:sz w:val="20"/>
          <w:szCs w:val="20"/>
        </w:rPr>
        <w:t xml:space="preserve"> Montesquieu Chair in Comparative Law, Faculty of Law, Hebrew University of Jerusalem, adam.hofri@mail.huji.ac.il. I would like to thank my RAs in Israel (Hila Ben-Shabat, Gadi Weiss, Or Simantov, Ori Katz, Hadas Artzi, Daniel Ben-Amram, Asaf Swisa, Idan Ben-David, Guy Manor, Yazid Ersheid, Yuval Rabello) and elsewhere (Jingyi Huang, Annie Wood, Ryoga Konno, Eric Vice, Alvin Cheng, Eleanor Makeig, Timothy Cargill, Ellen McClure, Adele Browne); participants in my survey of trust experts; audiences at IDC Herzliya, the Singapore Management University Trusts and Wealth Management Conference 2019, the 2019 annual meeting of the Canadian Law and Economics Association, and the 2019 ACTEC symposium on empirical analysis of wealth transfer law, held at the U.C. Davis School of Law; Keith Dixon of Carey Olsen, Nicholas Malumian of Estudio Malumian, Maurizio Lupoi, István Sándor, Paolo Panico, the many providers of sage advice (including, int. al., Adi Leibovich, Yishay Yaffe, Moinuddin Yahya and Chris Elmendorf), and the U.C. Davis Law Review editorial team. This research was supported by the Israel Science Foundation (grant no. 367/15).</w:t>
      </w:r>
    </w:p>
  </w:footnote>
  <w:footnote w:id="2">
    <w:p w14:paraId="6ACEF697" w14:textId="2B348789" w:rsidR="00664E5F" w:rsidRPr="00AE3755" w:rsidRDefault="00664E5F" w:rsidP="006F626E">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John H. Langbein, </w:t>
      </w:r>
      <w:r w:rsidRPr="00AE3755">
        <w:rPr>
          <w:rFonts w:ascii="Times New Roman" w:hAnsi="Times New Roman" w:cs="Times New Roman"/>
          <w:i/>
          <w:iCs/>
        </w:rPr>
        <w:t>Why Did Trust Law Become Statute Law in the United States?</w:t>
      </w:r>
      <w:r w:rsidRPr="00AE3755">
        <w:rPr>
          <w:rFonts w:ascii="Times New Roman" w:hAnsi="Times New Roman" w:cs="Times New Roman"/>
        </w:rPr>
        <w:t xml:space="preserve">, 58 </w:t>
      </w:r>
      <w:r w:rsidRPr="00AE3755">
        <w:rPr>
          <w:rFonts w:ascii="Times New Roman" w:hAnsi="Times New Roman" w:cs="Times New Roman"/>
          <w:smallCaps/>
        </w:rPr>
        <w:t>Ala. L. Rev.</w:t>
      </w:r>
      <w:r w:rsidRPr="00AE3755">
        <w:rPr>
          <w:rFonts w:ascii="Times New Roman" w:hAnsi="Times New Roman" w:cs="Times New Roman"/>
        </w:rPr>
        <w:t xml:space="preserve"> 1069, 1073-1074 </w:t>
      </w:r>
      <w:r w:rsidRPr="00AE3755">
        <w:rPr>
          <w:rFonts w:ascii="Times New Roman" w:hAnsi="Times New Roman" w:cs="Times New Roman"/>
          <w:rtl/>
        </w:rPr>
        <w:t>)</w:t>
      </w:r>
      <w:r w:rsidRPr="00AE3755">
        <w:rPr>
          <w:rFonts w:ascii="Times New Roman" w:hAnsi="Times New Roman" w:cs="Times New Roman"/>
        </w:rPr>
        <w:t>2006-2007</w:t>
      </w:r>
      <w:r w:rsidRPr="00AE3755">
        <w:rPr>
          <w:rFonts w:ascii="Times New Roman" w:hAnsi="Times New Roman" w:cs="Times New Roman"/>
          <w:rtl/>
        </w:rPr>
        <w:t>(</w:t>
      </w:r>
      <w:r w:rsidRPr="00AE3755">
        <w:rPr>
          <w:rFonts w:ascii="Times New Roman" w:hAnsi="Times New Roman" w:cs="Times New Roman"/>
        </w:rPr>
        <w:t xml:space="preserve"> (discussing trustees’ lack of powers, and burdens imposed on persons transacting with trustee</w:t>
      </w:r>
      <w:r>
        <w:rPr>
          <w:rFonts w:ascii="Times New Roman" w:hAnsi="Times New Roman" w:cs="Times New Roman"/>
        </w:rPr>
        <w:t>s</w:t>
      </w:r>
      <w:r w:rsidRPr="00AE3755">
        <w:rPr>
          <w:rFonts w:ascii="Times New Roman" w:hAnsi="Times New Roman" w:cs="Times New Roman"/>
        </w:rPr>
        <w:t xml:space="preserve">, under traditional trust law); </w:t>
      </w:r>
      <w:r w:rsidRPr="00AE3755">
        <w:rPr>
          <w:rFonts w:ascii="Times New Roman" w:hAnsi="Times New Roman" w:cs="Times New Roman"/>
          <w:smallCaps/>
        </w:rPr>
        <w:t>Jonathan Garton, Moffat’s Trusts Law</w:t>
      </w:r>
      <w:r w:rsidRPr="00AE3755">
        <w:rPr>
          <w:rFonts w:ascii="Times New Roman" w:hAnsi="Times New Roman" w:cs="Times New Roman"/>
        </w:rPr>
        <w:t xml:space="preserve"> 49 (6</w:t>
      </w:r>
      <w:r w:rsidRPr="00AE3755">
        <w:rPr>
          <w:rFonts w:ascii="Times New Roman" w:hAnsi="Times New Roman" w:cs="Times New Roman"/>
          <w:vertAlign w:val="superscript"/>
        </w:rPr>
        <w:t>th</w:t>
      </w:r>
      <w:r w:rsidRPr="00AE3755">
        <w:rPr>
          <w:rFonts w:ascii="Times New Roman" w:hAnsi="Times New Roman" w:cs="Times New Roman"/>
        </w:rPr>
        <w:t xml:space="preserve"> ed. 2016) (“The first general [English, A.H.W.] statute on trusts was the Trustee Act 1850”).</w:t>
      </w:r>
    </w:p>
  </w:footnote>
  <w:footnote w:id="3">
    <w:p w14:paraId="165ACA50" w14:textId="62FCF569"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For trust law’s increasing permissiveness, </w:t>
      </w:r>
      <w:r w:rsidRPr="00AE3755">
        <w:rPr>
          <w:rFonts w:ascii="Times New Roman" w:hAnsi="Times New Roman" w:cs="Times New Roman"/>
          <w:i/>
          <w:iCs/>
        </w:rPr>
        <w:t>see</w:t>
      </w:r>
      <w:r w:rsidRPr="00AE3755">
        <w:rPr>
          <w:rFonts w:ascii="Times New Roman" w:hAnsi="Times New Roman" w:cs="Times New Roman"/>
        </w:rPr>
        <w:t xml:space="preserve"> Adam Hofri-Winogradow, </w:t>
      </w:r>
      <w:r w:rsidRPr="00AE3755">
        <w:rPr>
          <w:rFonts w:ascii="Times New Roman" w:hAnsi="Times New Roman" w:cs="Times New Roman"/>
          <w:i/>
          <w:iCs/>
        </w:rPr>
        <w:t>The Stripping of the Trust: a Study in Legal Evolution</w:t>
      </w:r>
      <w:r w:rsidRPr="00AE3755">
        <w:rPr>
          <w:rFonts w:ascii="Times New Roman" w:hAnsi="Times New Roman" w:cs="Times New Roman"/>
        </w:rPr>
        <w:t xml:space="preserve">, 65 </w:t>
      </w:r>
      <w:r w:rsidRPr="00AE3755">
        <w:rPr>
          <w:rFonts w:ascii="Times New Roman" w:hAnsi="Times New Roman" w:cs="Times New Roman"/>
          <w:smallCaps/>
        </w:rPr>
        <w:t>U. Toronto L. J.</w:t>
      </w:r>
      <w:r w:rsidRPr="00AE3755">
        <w:rPr>
          <w:rFonts w:ascii="Times New Roman" w:hAnsi="Times New Roman" w:cs="Times New Roman"/>
        </w:rPr>
        <w:t xml:space="preserve"> 1 (2015); Lionel Smith, </w:t>
      </w:r>
      <w:r w:rsidRPr="00AE3755">
        <w:rPr>
          <w:rFonts w:ascii="Times New Roman" w:hAnsi="Times New Roman" w:cs="Times New Roman"/>
          <w:i/>
          <w:iCs/>
        </w:rPr>
        <w:t>Give the People What They Want? The Onshoring of the Offshore</w:t>
      </w:r>
      <w:r w:rsidRPr="00AE3755">
        <w:rPr>
          <w:rFonts w:ascii="Times New Roman" w:hAnsi="Times New Roman" w:cs="Times New Roman"/>
        </w:rPr>
        <w:t xml:space="preserve">, 103 </w:t>
      </w:r>
      <w:r w:rsidRPr="00AE3755">
        <w:rPr>
          <w:rFonts w:ascii="Times New Roman" w:hAnsi="Times New Roman" w:cs="Times New Roman"/>
          <w:smallCaps/>
        </w:rPr>
        <w:t>Iowa L. Rev.</w:t>
      </w:r>
      <w:r w:rsidRPr="00AE3755">
        <w:rPr>
          <w:rFonts w:ascii="Times New Roman" w:hAnsi="Times New Roman" w:cs="Times New Roman"/>
        </w:rPr>
        <w:t xml:space="preserve"> 2155 (2018). For its increasingly statutory character, </w:t>
      </w:r>
      <w:r w:rsidRPr="00AE3755">
        <w:rPr>
          <w:rFonts w:ascii="Times New Roman" w:hAnsi="Times New Roman" w:cs="Times New Roman"/>
          <w:i/>
          <w:iCs/>
        </w:rPr>
        <w:t>see</w:t>
      </w:r>
      <w:r w:rsidRPr="00AE3755">
        <w:rPr>
          <w:rFonts w:ascii="Times New Roman" w:hAnsi="Times New Roman" w:cs="Times New Roman"/>
        </w:rPr>
        <w:t xml:space="preserve"> Langbein, </w:t>
      </w:r>
      <w:r w:rsidRPr="00AE3755">
        <w:rPr>
          <w:rFonts w:ascii="Times New Roman" w:hAnsi="Times New Roman" w:cs="Times New Roman"/>
          <w:i/>
          <w:iCs/>
        </w:rPr>
        <w:t>supra</w:t>
      </w:r>
      <w:r w:rsidRPr="00AE3755">
        <w:rPr>
          <w:rFonts w:ascii="Times New Roman" w:hAnsi="Times New Roman" w:cs="Times New Roman"/>
        </w:rPr>
        <w:t xml:space="preserve"> note 1.</w:t>
      </w:r>
    </w:p>
  </w:footnote>
  <w:footnote w:id="4">
    <w:p w14:paraId="76D2A99B" w14:textId="194063B2"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For liberalization of English trust law in the 19</w:t>
      </w:r>
      <w:r w:rsidRPr="00AE3755">
        <w:rPr>
          <w:rFonts w:ascii="Times New Roman" w:hAnsi="Times New Roman" w:cs="Times New Roman"/>
          <w:vertAlign w:val="superscript"/>
        </w:rPr>
        <w:t>th</w:t>
      </w:r>
      <w:r w:rsidRPr="00AE3755">
        <w:rPr>
          <w:rFonts w:ascii="Times New Roman" w:hAnsi="Times New Roman" w:cs="Times New Roman"/>
        </w:rPr>
        <w:t xml:space="preserve"> century, see, e.g., Garton, </w:t>
      </w:r>
      <w:r w:rsidRPr="00AE3755">
        <w:rPr>
          <w:rFonts w:ascii="Times New Roman" w:hAnsi="Times New Roman" w:cs="Times New Roman"/>
          <w:i/>
          <w:iCs/>
        </w:rPr>
        <w:t>supra</w:t>
      </w:r>
      <w:r w:rsidRPr="00AE3755">
        <w:rPr>
          <w:rFonts w:ascii="Times New Roman" w:hAnsi="Times New Roman" w:cs="Times New Roman"/>
        </w:rPr>
        <w:t xml:space="preserve"> note 1, at 49; for the recent acceleration of trust liberalization and its spreading to additional jurisdictions, see, e.g., Smith, </w:t>
      </w:r>
      <w:r w:rsidRPr="00AE3755">
        <w:rPr>
          <w:rFonts w:ascii="Times New Roman" w:hAnsi="Times New Roman" w:cs="Times New Roman"/>
          <w:i/>
          <w:iCs/>
        </w:rPr>
        <w:t>supra</w:t>
      </w:r>
      <w:r w:rsidRPr="00AE3755">
        <w:rPr>
          <w:rFonts w:ascii="Times New Roman" w:hAnsi="Times New Roman" w:cs="Times New Roman"/>
        </w:rPr>
        <w:t xml:space="preserve"> note 2.</w:t>
      </w:r>
    </w:p>
  </w:footnote>
  <w:footnote w:id="5">
    <w:p w14:paraId="7969A42B" w14:textId="563D5DBC"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 infra</w:t>
      </w:r>
      <w:r w:rsidRPr="00AE3755">
        <w:rPr>
          <w:rFonts w:ascii="Times New Roman" w:hAnsi="Times New Roman" w:cs="Times New Roman"/>
        </w:rPr>
        <w:t xml:space="preserve"> p. 14.</w:t>
      </w:r>
    </w:p>
  </w:footnote>
  <w:footnote w:id="6">
    <w:p w14:paraId="47965BEB" w14:textId="59632DC4"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w:t>
      </w:r>
      <w:r w:rsidRPr="00953133">
        <w:rPr>
          <w:rFonts w:ascii="Times New Roman" w:hAnsi="Times New Roman" w:cs="Times New Roman"/>
          <w:i/>
          <w:iCs/>
        </w:rPr>
        <w:t xml:space="preserve"> </w:t>
      </w:r>
      <w:r w:rsidRPr="00AE3755">
        <w:rPr>
          <w:rFonts w:ascii="Times New Roman" w:hAnsi="Times New Roman" w:cs="Times New Roman"/>
        </w:rPr>
        <w:t xml:space="preserve">discussion of these processes </w:t>
      </w:r>
      <w:r w:rsidRPr="00AE3755">
        <w:rPr>
          <w:rFonts w:ascii="Times New Roman" w:hAnsi="Times New Roman" w:cs="Times New Roman"/>
          <w:i/>
          <w:iCs/>
        </w:rPr>
        <w:t>infra</w:t>
      </w:r>
      <w:r w:rsidRPr="00AE3755">
        <w:rPr>
          <w:rFonts w:ascii="Times New Roman" w:hAnsi="Times New Roman" w:cs="Times New Roman"/>
        </w:rPr>
        <w:t xml:space="preserve"> pp. 14-15.</w:t>
      </w:r>
    </w:p>
  </w:footnote>
  <w:footnote w:id="7">
    <w:p w14:paraId="473205BB" w14:textId="592A6FA7" w:rsidR="00664E5F" w:rsidRPr="00953133"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w:t>
      </w:r>
      <w:r w:rsidRPr="00AE3755">
        <w:rPr>
          <w:rFonts w:ascii="Times New Roman" w:hAnsi="Times New Roman" w:cs="Times New Roman"/>
          <w:i/>
          <w:iCs/>
        </w:rPr>
        <w:t>infra</w:t>
      </w:r>
      <w:r w:rsidRPr="00AE3755">
        <w:rPr>
          <w:rFonts w:ascii="Times New Roman" w:hAnsi="Times New Roman" w:cs="Times New Roman"/>
        </w:rPr>
        <w:t xml:space="preserve"> Table 1.</w:t>
      </w:r>
    </w:p>
  </w:footnote>
  <w:footnote w:id="8">
    <w:p w14:paraId="1AE4E5B1" w14:textId="0B41C65F" w:rsidR="00664E5F" w:rsidRPr="00AE3755" w:rsidRDefault="00664E5F" w:rsidP="00953133">
      <w:pPr>
        <w:pStyle w:val="FootnoteText"/>
        <w:jc w:val="both"/>
        <w:rPr>
          <w:rFonts w:ascii="Times New Roman" w:hAnsi="Times New Roman" w:cs="Times New Roman"/>
          <w:u w:val="single"/>
          <w:rtl/>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953133">
        <w:rPr>
          <w:rFonts w:ascii="Times New Roman" w:hAnsi="Times New Roman" w:cs="Times New Roman"/>
          <w:i/>
          <w:iCs/>
        </w:rPr>
        <w:t>See infra</w:t>
      </w:r>
      <w:r w:rsidRPr="00953133">
        <w:rPr>
          <w:rFonts w:ascii="Times New Roman" w:hAnsi="Times New Roman" w:cs="Times New Roman"/>
        </w:rPr>
        <w:t xml:space="preserve"> Table 1 and pp. 19</w:t>
      </w:r>
      <w:r w:rsidRPr="00AE3755">
        <w:rPr>
          <w:rFonts w:ascii="Times New Roman" w:hAnsi="Times New Roman" w:cs="Times New Roman"/>
        </w:rPr>
        <w:t>-20</w:t>
      </w:r>
      <w:r w:rsidRPr="00953133">
        <w:rPr>
          <w:rFonts w:ascii="Times New Roman" w:hAnsi="Times New Roman" w:cs="Times New Roman"/>
        </w:rPr>
        <w:t>.</w:t>
      </w:r>
      <w:r w:rsidRPr="00AE3755">
        <w:rPr>
          <w:rFonts w:ascii="Times New Roman" w:hAnsi="Times New Roman" w:cs="Times New Roman"/>
          <w:u w:val="single"/>
        </w:rPr>
        <w:t xml:space="preserve"> </w:t>
      </w:r>
    </w:p>
  </w:footnote>
  <w:footnote w:id="9">
    <w:p w14:paraId="16F5A376" w14:textId="5239D388"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953133">
        <w:rPr>
          <w:rFonts w:ascii="Times New Roman" w:hAnsi="Times New Roman" w:cs="Times New Roman"/>
          <w:i/>
          <w:iCs/>
        </w:rPr>
        <w:t>See infra</w:t>
      </w:r>
      <w:r w:rsidRPr="00953133">
        <w:rPr>
          <w:rFonts w:ascii="Times New Roman" w:hAnsi="Times New Roman" w:cs="Times New Roman"/>
        </w:rPr>
        <w:t xml:space="preserve"> Figures 4a, 4b, 5a and 5b. For the history of Uniform Trust Code adoptions across the U.S., starting with Kansas in 2002, see </w:t>
      </w:r>
      <w:r w:rsidRPr="00AE3755">
        <w:rPr>
          <w:rFonts w:ascii="Times New Roman" w:hAnsi="Times New Roman" w:cs="Times New Roman"/>
          <w:color w:val="000000"/>
          <w:shd w:val="clear" w:color="auto" w:fill="FFFFFF"/>
        </w:rPr>
        <w:t xml:space="preserve">http://tinyurl.com/y6dke5nw </w:t>
      </w:r>
      <w:r w:rsidRPr="00AE3755">
        <w:rPr>
          <w:rFonts w:ascii="Times New Roman" w:hAnsi="Times New Roman" w:cs="Times New Roman"/>
        </w:rPr>
        <w:t>(last visited Nov. 12, 2019, 7:59 PM)</w:t>
      </w:r>
      <w:r w:rsidRPr="00AE3755">
        <w:rPr>
          <w:rFonts w:ascii="Times New Roman" w:hAnsi="Times New Roman" w:cs="Times New Roman"/>
          <w:color w:val="000000"/>
          <w:shd w:val="clear" w:color="auto" w:fill="FFFFFF"/>
        </w:rPr>
        <w:t>.</w:t>
      </w:r>
    </w:p>
  </w:footnote>
  <w:footnote w:id="10">
    <w:p w14:paraId="0CF9BA52" w14:textId="4597E349"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Robert H. Sitkoff &amp; Max M. Schanzenbach, </w:t>
      </w:r>
      <w:r w:rsidRPr="00AE3755">
        <w:rPr>
          <w:rFonts w:ascii="Times New Roman" w:hAnsi="Times New Roman" w:cs="Times New Roman"/>
          <w:i/>
          <w:iCs/>
        </w:rPr>
        <w:t>Jurisdictional Competition for Trust Funds: An Empirical Analysis of Perpetuities and Taxes</w:t>
      </w:r>
      <w:r w:rsidRPr="00AE3755">
        <w:rPr>
          <w:rFonts w:ascii="Times New Roman" w:hAnsi="Times New Roman" w:cs="Times New Roman"/>
        </w:rPr>
        <w:t xml:space="preserve">, 115 </w:t>
      </w:r>
      <w:r w:rsidRPr="00AE3755">
        <w:rPr>
          <w:rFonts w:ascii="Times New Roman" w:hAnsi="Times New Roman" w:cs="Times New Roman"/>
          <w:smallCaps/>
          <w:lang w:val="es-MX"/>
        </w:rPr>
        <w:t>Yale L.J. </w:t>
      </w:r>
      <w:r w:rsidRPr="00AE3755">
        <w:rPr>
          <w:rFonts w:ascii="Times New Roman" w:hAnsi="Times New Roman" w:cs="Times New Roman"/>
        </w:rPr>
        <w:t xml:space="preserve">356 (2005) [hereinafter </w:t>
      </w:r>
      <w:r w:rsidRPr="00AE3755">
        <w:rPr>
          <w:rFonts w:ascii="Times New Roman" w:hAnsi="Times New Roman" w:cs="Times New Roman"/>
          <w:i/>
          <w:iCs/>
        </w:rPr>
        <w:t>Jurisdictional Competition</w:t>
      </w:r>
      <w:r w:rsidRPr="00AE3755">
        <w:rPr>
          <w:rFonts w:ascii="Times New Roman" w:hAnsi="Times New Roman" w:cs="Times New Roman"/>
        </w:rPr>
        <w:t>].</w:t>
      </w:r>
    </w:p>
  </w:footnote>
  <w:footnote w:id="11">
    <w:p w14:paraId="782A5E2E" w14:textId="2DAB6BA7" w:rsidR="00664E5F" w:rsidRPr="00953133"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 infra</w:t>
      </w:r>
      <w:r w:rsidRPr="00AE3755">
        <w:rPr>
          <w:rFonts w:ascii="Times New Roman" w:hAnsi="Times New Roman" w:cs="Times New Roman"/>
        </w:rPr>
        <w:t xml:space="preserve"> Part IV.C.</w:t>
      </w:r>
    </w:p>
  </w:footnote>
  <w:footnote w:id="12">
    <w:p w14:paraId="7F931F8D" w14:textId="165BA126"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i/>
          <w:iCs/>
        </w:rPr>
        <w:t>See infra</w:t>
      </w:r>
      <w:r w:rsidRPr="00AE3755">
        <w:rPr>
          <w:rFonts w:ascii="Times New Roman" w:hAnsi="Times New Roman" w:cs="Times New Roman"/>
        </w:rPr>
        <w:t xml:space="preserve"> p. 32. </w:t>
      </w:r>
    </w:p>
  </w:footnote>
  <w:footnote w:id="13">
    <w:p w14:paraId="2EFA800B" w14:textId="7794794C"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Trustee Act, 1925, 15 &amp; 16 Geo. 5, c. 19.</w:t>
      </w:r>
    </w:p>
  </w:footnote>
  <w:footnote w:id="14">
    <w:p w14:paraId="575D2957" w14:textId="0BFA1A48" w:rsidR="00664E5F" w:rsidRPr="00953133"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For transplanted versions of the Act </w:t>
      </w:r>
      <w:r w:rsidRPr="00AE3755">
        <w:rPr>
          <w:rFonts w:ascii="Times New Roman" w:hAnsi="Times New Roman" w:cs="Times New Roman"/>
          <w:i/>
          <w:iCs/>
        </w:rPr>
        <w:t>see</w:t>
      </w:r>
      <w:r w:rsidRPr="00AE3755">
        <w:rPr>
          <w:rFonts w:ascii="Times New Roman" w:hAnsi="Times New Roman" w:cs="Times New Roman"/>
        </w:rPr>
        <w:t xml:space="preserve">, </w:t>
      </w:r>
      <w:r w:rsidRPr="00953133">
        <w:rPr>
          <w:rFonts w:ascii="Times New Roman" w:hAnsi="Times New Roman" w:cs="Times New Roman"/>
          <w:i/>
          <w:iCs/>
        </w:rPr>
        <w:t>e.g.</w:t>
      </w:r>
      <w:r w:rsidRPr="00AE3755">
        <w:rPr>
          <w:rFonts w:ascii="Times New Roman" w:hAnsi="Times New Roman" w:cs="Times New Roman"/>
        </w:rPr>
        <w:t xml:space="preserve">: Trustee Act (Northern Ireland) 1968, 15 &amp; 16 Geo. 5, c. 23; </w:t>
      </w:r>
      <w:r w:rsidRPr="00AE3755">
        <w:rPr>
          <w:rFonts w:ascii="Times New Roman" w:hAnsi="Times New Roman" w:cs="Times New Roman"/>
          <w:i/>
          <w:iCs/>
        </w:rPr>
        <w:t xml:space="preserve">Trustee Act 1925 </w:t>
      </w:r>
      <w:r w:rsidRPr="00AE3755">
        <w:rPr>
          <w:rFonts w:ascii="Times New Roman" w:hAnsi="Times New Roman" w:cs="Times New Roman"/>
        </w:rPr>
        <w:t xml:space="preserve">(NSW) (Austl.); Trustee Law 1955, c. 193 (Cyprus); </w:t>
      </w:r>
      <w:r w:rsidRPr="00953133">
        <w:rPr>
          <w:rFonts w:ascii="Times New Roman" w:hAnsi="Times New Roman" w:cs="Times New Roman"/>
        </w:rPr>
        <w:t>Trustee Act 1949</w:t>
      </w:r>
      <w:r w:rsidRPr="00AE3755">
        <w:rPr>
          <w:rFonts w:ascii="Times New Roman" w:hAnsi="Times New Roman" w:cs="Times New Roman"/>
        </w:rPr>
        <w:t xml:space="preserve"> (Malaysia); </w:t>
      </w:r>
      <w:r w:rsidRPr="00953133">
        <w:rPr>
          <w:rFonts w:ascii="Times New Roman" w:hAnsi="Times New Roman" w:cs="Times New Roman"/>
        </w:rPr>
        <w:t>Trustee Act 1967</w:t>
      </w:r>
      <w:r w:rsidRPr="00AE3755">
        <w:rPr>
          <w:rFonts w:ascii="Times New Roman" w:hAnsi="Times New Roman" w:cs="Times New Roman"/>
        </w:rPr>
        <w:t xml:space="preserve"> (Malawi).</w:t>
      </w:r>
    </w:p>
  </w:footnote>
  <w:footnote w:id="15">
    <w:p w14:paraId="1EC809FE" w14:textId="2A3A4A80"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hyperlink r:id="rId1" w:tgtFrame="_blank" w:tooltip="More info about this word" w:history="1">
        <w:r w:rsidRPr="00AE3755">
          <w:rPr>
            <w:rFonts w:ascii="Times New Roman" w:hAnsi="Times New Roman" w:cs="Times New Roman"/>
          </w:rPr>
          <w:t>Shintakuhō</w:t>
        </w:r>
      </w:hyperlink>
      <w:r w:rsidRPr="00AE3755">
        <w:rPr>
          <w:rFonts w:ascii="Times New Roman" w:hAnsi="Times New Roman" w:cs="Times New Roman"/>
        </w:rPr>
        <w:t xml:space="preserve"> [Trust Act], Act No. 512 of 1922 (Japan).</w:t>
      </w:r>
    </w:p>
  </w:footnote>
  <w:footnote w:id="16">
    <w:p w14:paraId="65EF0FE9" w14:textId="719DEEC2" w:rsidR="00664E5F" w:rsidRPr="00953133" w:rsidRDefault="00664E5F" w:rsidP="00AE3755">
      <w:pPr>
        <w:pStyle w:val="FootnoteText"/>
        <w:jc w:val="both"/>
        <w:rPr>
          <w:rFonts w:ascii="Times New Roman" w:hAnsi="Times New Roman" w:cs="Times New Roman"/>
          <w:rtl/>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w:t>
      </w:r>
      <w:r w:rsidRPr="00AE3755">
        <w:rPr>
          <w:rFonts w:ascii="Times New Roman" w:hAnsi="Times New Roman" w:cs="Times New Roman"/>
          <w:i/>
          <w:iCs/>
        </w:rPr>
        <w:t>e.g.</w:t>
      </w:r>
      <w:r w:rsidRPr="00AE3755">
        <w:rPr>
          <w:rFonts w:ascii="Times New Roman" w:hAnsi="Times New Roman" w:cs="Times New Roman"/>
        </w:rPr>
        <w:t xml:space="preserve">, the judicial development of the English law governing the remedies available following mistakes and inadequate decision making on the part of trustees, discussed in </w:t>
      </w:r>
      <w:r w:rsidRPr="00953133">
        <w:rPr>
          <w:rFonts w:ascii="Times New Roman" w:hAnsi="Times New Roman" w:cs="Times New Roman"/>
          <w:i/>
          <w:iCs/>
        </w:rPr>
        <w:t xml:space="preserve">Pitt </w:t>
      </w:r>
      <w:r w:rsidRPr="00953133">
        <w:rPr>
          <w:rFonts w:ascii="Times New Roman" w:hAnsi="Times New Roman" w:cs="Times New Roman"/>
        </w:rPr>
        <w:t xml:space="preserve">v </w:t>
      </w:r>
      <w:r w:rsidRPr="00953133">
        <w:rPr>
          <w:rFonts w:ascii="Times New Roman" w:hAnsi="Times New Roman" w:cs="Times New Roman"/>
          <w:i/>
          <w:iCs/>
        </w:rPr>
        <w:t xml:space="preserve">Holt </w:t>
      </w:r>
      <w:r w:rsidRPr="00953133">
        <w:rPr>
          <w:rFonts w:ascii="Times New Roman" w:hAnsi="Times New Roman" w:cs="Times New Roman"/>
        </w:rPr>
        <w:t xml:space="preserve">[2011] EWCA Civ 197, [2012] Ch 132 (Eng.); [2013] UKSC 26, [2013] 2 AC 108 (U.K.). And </w:t>
      </w:r>
      <w:r w:rsidRPr="00953133">
        <w:rPr>
          <w:rFonts w:ascii="Times New Roman" w:hAnsi="Times New Roman" w:cs="Times New Roman"/>
          <w:i/>
          <w:iCs/>
        </w:rPr>
        <w:t>see</w:t>
      </w:r>
      <w:r w:rsidRPr="00953133">
        <w:rPr>
          <w:rFonts w:ascii="Times New Roman" w:hAnsi="Times New Roman" w:cs="Times New Roman"/>
        </w:rPr>
        <w:t xml:space="preserve"> discussion in Adam S. Hofri-Winogradow and Gadi Weiss, </w:t>
      </w:r>
      <w:r w:rsidRPr="00953133">
        <w:rPr>
          <w:rFonts w:ascii="Times New Roman" w:hAnsi="Times New Roman" w:cs="Times New Roman"/>
          <w:i/>
          <w:iCs/>
        </w:rPr>
        <w:t>Trust Parties’ Uniquely Easy Access to Rescission:  Analysis, Critique and Reform</w:t>
      </w:r>
      <w:r w:rsidRPr="00953133">
        <w:rPr>
          <w:rFonts w:ascii="Times New Roman" w:hAnsi="Times New Roman" w:cs="Times New Roman"/>
        </w:rPr>
        <w:t>,  82 </w:t>
      </w:r>
      <w:r w:rsidRPr="00953133">
        <w:rPr>
          <w:rFonts w:ascii="Times New Roman" w:hAnsi="Times New Roman" w:cs="Times New Roman"/>
          <w:smallCaps/>
        </w:rPr>
        <w:t>Modern L. Rev.</w:t>
      </w:r>
      <w:r w:rsidRPr="00953133">
        <w:rPr>
          <w:rFonts w:ascii="Times New Roman" w:hAnsi="Times New Roman" w:cs="Times New Roman" w:hint="eastAsia"/>
        </w:rPr>
        <w:t> </w:t>
      </w:r>
      <w:r w:rsidRPr="00953133">
        <w:rPr>
          <w:rFonts w:ascii="Times New Roman" w:hAnsi="Times New Roman" w:cs="Times New Roman"/>
        </w:rPr>
        <w:t xml:space="preserve">777 (2019).   </w:t>
      </w:r>
      <w:r w:rsidRPr="00953133">
        <w:rPr>
          <w:rFonts w:ascii="Times New Roman" w:hAnsi="Times New Roman" w:cs="Times New Roman" w:hint="eastAsia"/>
        </w:rPr>
        <w:t> </w:t>
      </w:r>
    </w:p>
  </w:footnote>
  <w:footnote w:id="17">
    <w:p w14:paraId="424F92EE" w14:textId="56F13058"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w:t>
      </w:r>
      <w:r w:rsidRPr="00AE3755">
        <w:rPr>
          <w:rFonts w:ascii="Times New Roman" w:hAnsi="Times New Roman" w:cs="Times New Roman"/>
          <w:i/>
          <w:iCs/>
        </w:rPr>
        <w:t>e.g.</w:t>
      </w:r>
      <w:r w:rsidRPr="00AE3755">
        <w:rPr>
          <w:rFonts w:ascii="Times New Roman" w:hAnsi="Times New Roman" w:cs="Times New Roman"/>
        </w:rPr>
        <w:t xml:space="preserve">, the Trusts (Jersey) Law, first enacted in 1984, during the takeoff of the local trusts industry, and amended seven times since. The statutory text is, unsurprisingly, easily available at </w:t>
      </w:r>
      <w:hyperlink r:id="rId2" w:history="1">
        <w:r w:rsidRPr="00AE3755">
          <w:rPr>
            <w:rStyle w:val="Hyperlink"/>
            <w:rFonts w:ascii="Times New Roman" w:hAnsi="Times New Roman" w:cs="Times New Roman"/>
          </w:rPr>
          <w:t>https://www.jerseylaw.je/laws/revised/Pages/13.875.aspx</w:t>
        </w:r>
      </w:hyperlink>
      <w:r w:rsidRPr="00AE3755">
        <w:rPr>
          <w:rFonts w:ascii="Times New Roman" w:hAnsi="Times New Roman" w:cs="Times New Roman"/>
        </w:rPr>
        <w:t xml:space="preserve"> (last visited Jan. 8, 2020, 6:57 PM).</w:t>
      </w:r>
    </w:p>
  </w:footnote>
  <w:footnote w:id="18">
    <w:p w14:paraId="68DD0571" w14:textId="2CE5B2C2" w:rsidR="00664E5F" w:rsidRPr="00953133" w:rsidRDefault="00664E5F">
      <w:pPr>
        <w:pStyle w:val="Default"/>
        <w:jc w:val="both"/>
        <w:rPr>
          <w:sz w:val="20"/>
          <w:szCs w:val="20"/>
        </w:rPr>
      </w:pPr>
      <w:r w:rsidRPr="00953133">
        <w:rPr>
          <w:rStyle w:val="FootnoteReference"/>
          <w:sz w:val="20"/>
          <w:szCs w:val="20"/>
        </w:rPr>
        <w:footnoteRef/>
      </w:r>
      <w:r w:rsidRPr="00953133">
        <w:rPr>
          <w:sz w:val="20"/>
          <w:szCs w:val="20"/>
        </w:rPr>
        <w:t xml:space="preserve"> </w:t>
      </w:r>
      <w:r w:rsidRPr="00AE3755">
        <w:rPr>
          <w:i/>
          <w:iCs/>
          <w:sz w:val="20"/>
          <w:szCs w:val="20"/>
        </w:rPr>
        <w:t>See</w:t>
      </w:r>
      <w:r w:rsidRPr="00AE3755">
        <w:rPr>
          <w:sz w:val="20"/>
          <w:szCs w:val="20"/>
        </w:rPr>
        <w:t xml:space="preserve">, </w:t>
      </w:r>
      <w:r w:rsidRPr="00AE3755">
        <w:rPr>
          <w:i/>
          <w:iCs/>
          <w:sz w:val="20"/>
          <w:szCs w:val="20"/>
        </w:rPr>
        <w:t>e.g.</w:t>
      </w:r>
      <w:r w:rsidRPr="00AE3755">
        <w:rPr>
          <w:sz w:val="20"/>
          <w:szCs w:val="20"/>
        </w:rPr>
        <w:t xml:space="preserve">, </w:t>
      </w:r>
      <w:hyperlink r:id="rId3" w:tgtFrame="_blank" w:tooltip="More info about this word" w:history="1">
        <w:r w:rsidRPr="00AE3755">
          <w:rPr>
            <w:color w:val="auto"/>
            <w:sz w:val="20"/>
            <w:szCs w:val="20"/>
          </w:rPr>
          <w:t>Shintakuhō</w:t>
        </w:r>
      </w:hyperlink>
      <w:r w:rsidRPr="00AE3755">
        <w:rPr>
          <w:color w:val="auto"/>
          <w:sz w:val="20"/>
          <w:szCs w:val="20"/>
        </w:rPr>
        <w:t xml:space="preserve"> [Trust Act], Act No. 108 of December 15, 2006 (Japan); 2013. Évi V. törvény </w:t>
      </w:r>
      <w:r w:rsidRPr="00953133">
        <w:rPr>
          <w:color w:val="333333"/>
          <w:sz w:val="20"/>
          <w:szCs w:val="20"/>
          <w:shd w:val="clear" w:color="auto" w:fill="FFFFFF"/>
        </w:rPr>
        <w:t>A Polgári Törvénykönyvrõ</w:t>
      </w:r>
      <w:r w:rsidRPr="00AE3755">
        <w:rPr>
          <w:color w:val="auto"/>
          <w:sz w:val="20"/>
          <w:szCs w:val="20"/>
        </w:rPr>
        <w:t xml:space="preserve"> (</w:t>
      </w:r>
      <w:r w:rsidRPr="00AE3755">
        <w:rPr>
          <w:sz w:val="20"/>
          <w:szCs w:val="20"/>
        </w:rPr>
        <w:t>Act V of 2013 on the Civil Code) ss. 310-330 (Hung.);  Ley Numero 17 (de 20 de Febrero de 1941) sobre fideicomiso</w:t>
      </w:r>
      <w:r>
        <w:rPr>
          <w:sz w:val="20"/>
          <w:szCs w:val="20"/>
        </w:rPr>
        <w:t xml:space="preserve"> [Law no. 17 (of February 20, 1941) on Trusts]</w:t>
      </w:r>
      <w:r w:rsidRPr="00AE3755">
        <w:rPr>
          <w:sz w:val="20"/>
          <w:szCs w:val="20"/>
        </w:rPr>
        <w:t xml:space="preserve">, </w:t>
      </w:r>
      <w:r w:rsidRPr="00AE3755">
        <w:rPr>
          <w:smallCaps/>
          <w:sz w:val="20"/>
          <w:szCs w:val="20"/>
        </w:rPr>
        <w:t>Gaceta Oficial</w:t>
      </w:r>
      <w:r w:rsidRPr="00AE3755">
        <w:rPr>
          <w:sz w:val="20"/>
          <w:szCs w:val="20"/>
        </w:rPr>
        <w:t xml:space="preserve">, n. 8465, 6 de Marzo de 1941 (Panama); Código Civil y Comercial de la Nacion [National Civil and Commercial Code] arts. 1666-1707, Oct. 7, 2014 (Arg.). </w:t>
      </w:r>
    </w:p>
  </w:footnote>
  <w:footnote w:id="19">
    <w:p w14:paraId="2E35F0DE" w14:textId="0741264B"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tl/>
        </w:rPr>
        <w:t xml:space="preserve"> </w:t>
      </w:r>
      <w:r w:rsidRPr="00AE3755">
        <w:rPr>
          <w:rFonts w:ascii="Times New Roman" w:hAnsi="Times New Roman" w:cs="Times New Roman"/>
        </w:rPr>
        <w:t xml:space="preserve">discussion </w:t>
      </w:r>
      <w:r w:rsidRPr="00AE3755">
        <w:rPr>
          <w:rFonts w:ascii="Times New Roman" w:hAnsi="Times New Roman" w:cs="Times New Roman"/>
          <w:i/>
          <w:iCs/>
        </w:rPr>
        <w:t>infra</w:t>
      </w:r>
      <w:r w:rsidRPr="00AE3755">
        <w:rPr>
          <w:rFonts w:ascii="Times New Roman" w:hAnsi="Times New Roman" w:cs="Times New Roman"/>
        </w:rPr>
        <w:t xml:space="preserve"> pp. 14-15.</w:t>
      </w:r>
    </w:p>
  </w:footnote>
  <w:footnote w:id="20">
    <w:p w14:paraId="07FBEFD4" w14:textId="5C9BFEFB" w:rsidR="00664E5F" w:rsidRPr="00AE3755" w:rsidRDefault="00664E5F" w:rsidP="00AE3755">
      <w:pPr>
        <w:autoSpaceDE w:val="0"/>
        <w:autoSpaceDN w:val="0"/>
        <w:adjustRightInd w:val="0"/>
        <w:spacing w:after="0" w:line="240" w:lineRule="auto"/>
        <w:jc w:val="both"/>
        <w:rPr>
          <w:rFonts w:ascii="Times New Roman" w:hAnsi="Times New Roman" w:cs="Times New Roman"/>
          <w:sz w:val="20"/>
          <w:szCs w:val="20"/>
        </w:rPr>
      </w:pPr>
      <w:r w:rsidRPr="00953133">
        <w:rPr>
          <w:rStyle w:val="FootnoteReference"/>
          <w:rFonts w:ascii="Times New Roman" w:hAnsi="Times New Roman" w:cs="Times New Roman"/>
          <w:sz w:val="20"/>
          <w:szCs w:val="20"/>
        </w:rPr>
        <w:footnoteRef/>
      </w:r>
      <w:r w:rsidRPr="00953133">
        <w:rPr>
          <w:rFonts w:ascii="Times New Roman" w:hAnsi="Times New Roman" w:cs="Times New Roman"/>
          <w:sz w:val="20"/>
          <w:szCs w:val="20"/>
        </w:rPr>
        <w:t xml:space="preserve"> </w:t>
      </w:r>
      <w:r w:rsidRPr="00AE3755">
        <w:rPr>
          <w:rFonts w:ascii="Times New Roman" w:hAnsi="Times New Roman" w:cs="Times New Roman"/>
          <w:i/>
          <w:iCs/>
          <w:sz w:val="20"/>
          <w:szCs w:val="20"/>
        </w:rPr>
        <w:t>See</w:t>
      </w:r>
      <w:r w:rsidRPr="00AE3755">
        <w:rPr>
          <w:rFonts w:ascii="Times New Roman" w:hAnsi="Times New Roman" w:cs="Times New Roman"/>
          <w:sz w:val="20"/>
          <w:szCs w:val="20"/>
        </w:rPr>
        <w:t xml:space="preserve">, </w:t>
      </w:r>
      <w:r w:rsidRPr="00AE3755">
        <w:rPr>
          <w:rFonts w:ascii="Times New Roman" w:hAnsi="Times New Roman" w:cs="Times New Roman"/>
          <w:i/>
          <w:iCs/>
          <w:sz w:val="20"/>
          <w:szCs w:val="20"/>
        </w:rPr>
        <w:t>e.g.</w:t>
      </w:r>
      <w:r w:rsidRPr="00AE3755">
        <w:rPr>
          <w:rFonts w:ascii="Times New Roman" w:hAnsi="Times New Roman" w:cs="Times New Roman"/>
          <w:sz w:val="20"/>
          <w:szCs w:val="20"/>
        </w:rPr>
        <w:t xml:space="preserve">, </w:t>
      </w:r>
      <w:r w:rsidRPr="00AE3755">
        <w:rPr>
          <w:rFonts w:ascii="Times New Roman" w:hAnsi="Times New Roman" w:cs="Times New Roman"/>
          <w:smallCaps/>
          <w:sz w:val="20"/>
          <w:szCs w:val="20"/>
        </w:rPr>
        <w:t>Donovan Waters et al, Waters’ Law of Trusts in Canada</w:t>
      </w:r>
      <w:r w:rsidRPr="00AE3755">
        <w:rPr>
          <w:rFonts w:ascii="Times New Roman" w:hAnsi="Times New Roman" w:cs="Times New Roman"/>
          <w:sz w:val="20"/>
          <w:szCs w:val="20"/>
        </w:rPr>
        <w:t xml:space="preserve"> (4th ed. 2012); </w:t>
      </w:r>
      <w:r w:rsidRPr="00AE3755">
        <w:rPr>
          <w:rFonts w:ascii="Times New Roman" w:hAnsi="Times New Roman" w:cs="Times New Roman"/>
          <w:smallCaps/>
          <w:sz w:val="20"/>
          <w:szCs w:val="20"/>
        </w:rPr>
        <w:t>Denis Ong, Trusts Law in Australia</w:t>
      </w:r>
      <w:r w:rsidRPr="00AE3755">
        <w:rPr>
          <w:rFonts w:ascii="Times New Roman" w:hAnsi="Times New Roman" w:cs="Times New Roman"/>
          <w:sz w:val="20"/>
          <w:szCs w:val="20"/>
        </w:rPr>
        <w:t xml:space="preserve"> (5</w:t>
      </w:r>
      <w:r w:rsidRPr="00AE3755">
        <w:rPr>
          <w:rFonts w:ascii="Times New Roman" w:hAnsi="Times New Roman" w:cs="Times New Roman"/>
          <w:sz w:val="20"/>
          <w:szCs w:val="20"/>
          <w:vertAlign w:val="superscript"/>
        </w:rPr>
        <w:t>th</w:t>
      </w:r>
      <w:r w:rsidRPr="00AE3755">
        <w:rPr>
          <w:rFonts w:ascii="Times New Roman" w:hAnsi="Times New Roman" w:cs="Times New Roman"/>
          <w:sz w:val="20"/>
          <w:szCs w:val="20"/>
        </w:rPr>
        <w:t xml:space="preserve"> ed. 2018). </w:t>
      </w:r>
    </w:p>
  </w:footnote>
  <w:footnote w:id="21">
    <w:p w14:paraId="636D9AE0" w14:textId="77777777" w:rsidR="00664E5F" w:rsidRPr="00AE3755" w:rsidRDefault="00664E5F" w:rsidP="00AE3755">
      <w:pPr>
        <w:spacing w:after="0" w:line="240" w:lineRule="auto"/>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Harold J. Spaeth et al, </w:t>
      </w:r>
      <w:r w:rsidRPr="00AE3755">
        <w:rPr>
          <w:rFonts w:ascii="Times New Roman" w:hAnsi="Times New Roman" w:cs="Times New Roman"/>
          <w:smallCaps/>
          <w:sz w:val="20"/>
          <w:szCs w:val="20"/>
        </w:rPr>
        <w:t>Supreme Court Database</w:t>
      </w:r>
      <w:r w:rsidRPr="00AE3755">
        <w:rPr>
          <w:rFonts w:ascii="Times New Roman" w:hAnsi="Times New Roman" w:cs="Times New Roman"/>
          <w:sz w:val="20"/>
          <w:szCs w:val="20"/>
        </w:rPr>
        <w:t xml:space="preserve"> (Sept. 13, 2019), </w:t>
      </w:r>
      <w:hyperlink r:id="rId4" w:history="1">
        <w:r w:rsidRPr="00AE3755">
          <w:rPr>
            <w:rStyle w:val="Hyperlink"/>
            <w:rFonts w:ascii="Times New Roman" w:hAnsi="Times New Roman" w:cs="Times New Roman"/>
            <w:sz w:val="20"/>
            <w:szCs w:val="20"/>
          </w:rPr>
          <w:t>http://supremecourtdatabase.org</w:t>
        </w:r>
      </w:hyperlink>
      <w:r w:rsidRPr="00AE3755">
        <w:rPr>
          <w:rFonts w:ascii="Times New Roman" w:hAnsi="Times New Roman" w:cs="Times New Roman"/>
          <w:sz w:val="20"/>
          <w:szCs w:val="20"/>
        </w:rPr>
        <w:t xml:space="preserve">; Keren Weinshall et al, </w:t>
      </w:r>
      <w:r w:rsidRPr="00AE3755">
        <w:rPr>
          <w:rFonts w:ascii="Times New Roman" w:hAnsi="Times New Roman" w:cs="Times New Roman"/>
          <w:smallCaps/>
          <w:sz w:val="20"/>
          <w:szCs w:val="20"/>
        </w:rPr>
        <w:t>The Israeli Supreme Court Database</w:t>
      </w:r>
      <w:r w:rsidRPr="00AE3755">
        <w:rPr>
          <w:rFonts w:ascii="Times New Roman" w:hAnsi="Times New Roman" w:cs="Times New Roman"/>
          <w:sz w:val="20"/>
          <w:szCs w:val="20"/>
        </w:rPr>
        <w:t xml:space="preserve">, </w:t>
      </w:r>
      <w:hyperlink r:id="rId5" w:history="1">
        <w:r w:rsidRPr="00AE3755">
          <w:rPr>
            <w:rStyle w:val="Hyperlink"/>
            <w:rFonts w:ascii="Times New Roman" w:hAnsi="Times New Roman" w:cs="Times New Roman"/>
            <w:sz w:val="20"/>
            <w:szCs w:val="20"/>
          </w:rPr>
          <w:t>http://iscdbstaging.wustl.edu/home</w:t>
        </w:r>
      </w:hyperlink>
      <w:r w:rsidRPr="00AE3755">
        <w:rPr>
          <w:rFonts w:ascii="Times New Roman" w:hAnsi="Times New Roman" w:cs="Times New Roman"/>
          <w:sz w:val="20"/>
          <w:szCs w:val="20"/>
        </w:rPr>
        <w:t xml:space="preserve"> (last visited Nov. 12, 2019, 5:10 PM).</w:t>
      </w:r>
    </w:p>
  </w:footnote>
  <w:footnote w:id="22">
    <w:p w14:paraId="7EDB8153" w14:textId="5331629F"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Spaeth et al, </w:t>
      </w:r>
      <w:r w:rsidRPr="00AE3755">
        <w:rPr>
          <w:rFonts w:ascii="Times New Roman" w:hAnsi="Times New Roman" w:cs="Times New Roman"/>
          <w:i/>
          <w:iCs/>
        </w:rPr>
        <w:t>Online Code Book: Decision Direction</w:t>
      </w:r>
      <w:r w:rsidRPr="00AE3755">
        <w:rPr>
          <w:rFonts w:ascii="Times New Roman" w:hAnsi="Times New Roman" w:cs="Times New Roman"/>
        </w:rPr>
        <w:t xml:space="preserve">, </w:t>
      </w:r>
      <w:r w:rsidRPr="00AE3755">
        <w:rPr>
          <w:rFonts w:ascii="Times New Roman" w:hAnsi="Times New Roman" w:cs="Times New Roman"/>
          <w:smallCaps/>
        </w:rPr>
        <w:t>Supreme Court Database,</w:t>
      </w:r>
      <w:r w:rsidRPr="00AE3755">
        <w:rPr>
          <w:rFonts w:ascii="Times New Roman" w:hAnsi="Times New Roman" w:cs="Times New Roman"/>
        </w:rPr>
        <w:t xml:space="preserve"> </w:t>
      </w:r>
      <w:hyperlink r:id="rId6" w:history="1">
        <w:r w:rsidRPr="00AE3755">
          <w:rPr>
            <w:rStyle w:val="Hyperlink"/>
            <w:rFonts w:ascii="Times New Roman" w:hAnsi="Times New Roman" w:cs="Times New Roman"/>
          </w:rPr>
          <w:t>http://supremecourtdatabase.org/documentation.php?var=decisionDirection</w:t>
        </w:r>
      </w:hyperlink>
      <w:r w:rsidRPr="00AE3755">
        <w:rPr>
          <w:rFonts w:ascii="Times New Roman" w:hAnsi="Times New Roman" w:cs="Times New Roman"/>
        </w:rPr>
        <w:t xml:space="preserve"> (last visited Jan. 8, 20</w:t>
      </w:r>
      <w:r w:rsidRPr="00AE3755">
        <w:rPr>
          <w:rFonts w:ascii="Times New Roman" w:hAnsi="Times New Roman" w:cs="Times New Roman"/>
          <w:rtl/>
        </w:rPr>
        <w:t>20</w:t>
      </w:r>
      <w:r w:rsidRPr="00AE3755">
        <w:rPr>
          <w:rFonts w:ascii="Times New Roman" w:hAnsi="Times New Roman" w:cs="Times New Roman"/>
        </w:rPr>
        <w:t>, 5:27 PM).</w:t>
      </w:r>
    </w:p>
  </w:footnote>
  <w:footnote w:id="23">
    <w:p w14:paraId="5345D636" w14:textId="47D9D55B"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discussion in Hofri-Winogradow, </w:t>
      </w:r>
      <w:r w:rsidRPr="00AE3755">
        <w:rPr>
          <w:rFonts w:ascii="Times New Roman" w:hAnsi="Times New Roman" w:cs="Times New Roman"/>
          <w:i/>
          <w:iCs/>
        </w:rPr>
        <w:t>supra</w:t>
      </w:r>
      <w:r w:rsidRPr="00AE3755">
        <w:rPr>
          <w:rFonts w:ascii="Times New Roman" w:hAnsi="Times New Roman" w:cs="Times New Roman"/>
        </w:rPr>
        <w:t xml:space="preserve"> note 2.</w:t>
      </w:r>
    </w:p>
  </w:footnote>
  <w:footnote w:id="24">
    <w:p w14:paraId="73C1CFB6" w14:textId="26599772"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w:t>
      </w:r>
      <w:r w:rsidRPr="00AE3755">
        <w:rPr>
          <w:rFonts w:ascii="Times New Roman" w:hAnsi="Times New Roman" w:cs="Times New Roman"/>
          <w:i/>
          <w:iCs/>
        </w:rPr>
        <w:t>e.g.</w:t>
      </w:r>
      <w:r w:rsidRPr="00AE3755">
        <w:rPr>
          <w:rFonts w:ascii="Times New Roman" w:hAnsi="Times New Roman" w:cs="Times New Roman"/>
        </w:rPr>
        <w:t xml:space="preserve">, </w:t>
      </w:r>
      <w:r w:rsidRPr="00953133">
        <w:rPr>
          <w:rFonts w:ascii="Times New Roman" w:hAnsi="Times New Roman" w:cs="Times New Roman"/>
        </w:rPr>
        <w:t>Rule Against Perpetuities (Abolition) Act, no. 55 of 2011, s. 3 (Bahamas).</w:t>
      </w:r>
    </w:p>
  </w:footnote>
  <w:footnote w:id="25">
    <w:p w14:paraId="73093BA2" w14:textId="3FE32357" w:rsidR="00664E5F" w:rsidRPr="00AE3755" w:rsidRDefault="00664E5F" w:rsidP="00AE3755">
      <w:pPr>
        <w:pStyle w:val="Heading2"/>
        <w:spacing w:line="240" w:lineRule="auto"/>
        <w:suppressOverlap/>
        <w:jc w:val="both"/>
        <w:rPr>
          <w:rFonts w:ascii="Times New Roman" w:eastAsiaTheme="minorHAnsi" w:hAnsi="Times New Roman" w:cs="Times New Roman"/>
          <w:color w:val="auto"/>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i/>
          <w:iCs/>
          <w:sz w:val="20"/>
          <w:szCs w:val="20"/>
        </w:rPr>
        <w:t>See</w:t>
      </w:r>
      <w:r w:rsidRPr="00AE3755">
        <w:rPr>
          <w:rFonts w:ascii="Times New Roman" w:hAnsi="Times New Roman" w:cs="Times New Roman"/>
          <w:sz w:val="20"/>
          <w:szCs w:val="20"/>
        </w:rPr>
        <w:t xml:space="preserve">, </w:t>
      </w:r>
      <w:r w:rsidRPr="00AE3755">
        <w:rPr>
          <w:rFonts w:ascii="Times New Roman" w:hAnsi="Times New Roman" w:cs="Times New Roman"/>
          <w:i/>
          <w:iCs/>
          <w:sz w:val="20"/>
          <w:szCs w:val="20"/>
        </w:rPr>
        <w:t>e.g.</w:t>
      </w:r>
      <w:r w:rsidRPr="00AE3755">
        <w:rPr>
          <w:rFonts w:ascii="Times New Roman" w:hAnsi="Times New Roman" w:cs="Times New Roman"/>
          <w:sz w:val="20"/>
          <w:szCs w:val="20"/>
        </w:rPr>
        <w:t xml:space="preserve">, </w:t>
      </w:r>
      <w:r w:rsidRPr="00AE3755">
        <w:rPr>
          <w:rFonts w:ascii="Times New Roman" w:hAnsi="Times New Roman" w:cs="Times New Roman"/>
          <w:smallCaps/>
          <w:color w:val="000000" w:themeColor="text1"/>
          <w:sz w:val="20"/>
          <w:szCs w:val="20"/>
        </w:rPr>
        <w:t>Tenn. Code Ann.</w:t>
      </w:r>
      <w:r w:rsidRPr="00AE3755">
        <w:rPr>
          <w:rFonts w:ascii="Times New Roman" w:hAnsi="Times New Roman" w:cs="Times New Roman"/>
          <w:color w:val="000000" w:themeColor="text1"/>
          <w:sz w:val="20"/>
          <w:szCs w:val="20"/>
        </w:rPr>
        <w:t xml:space="preserve"> </w:t>
      </w:r>
      <w:r w:rsidRPr="00AE3755">
        <w:rPr>
          <w:rStyle w:val="Strong"/>
          <w:rFonts w:ascii="Times New Roman" w:hAnsi="Times New Roman" w:cs="Times New Roman"/>
          <w:b w:val="0"/>
          <w:bCs w:val="0"/>
          <w:color w:val="000000" w:themeColor="text1"/>
          <w:sz w:val="20"/>
          <w:szCs w:val="20"/>
        </w:rPr>
        <w:t xml:space="preserve">§ 35-15-1010 (2010) </w:t>
      </w:r>
      <w:r w:rsidRPr="00AE3755">
        <w:rPr>
          <w:rFonts w:ascii="Times New Roman" w:eastAsiaTheme="minorHAnsi" w:hAnsi="Times New Roman" w:cs="Times New Roman"/>
          <w:color w:val="auto"/>
          <w:sz w:val="20"/>
          <w:szCs w:val="20"/>
        </w:rPr>
        <w:t>(“a trustee is not personally liable on a contract properly entered into in the trustee's fiduciary capacity in the course of administering the trust if the trustee in the contract disclosed the fiduciary capacity”)</w:t>
      </w:r>
      <w:r w:rsidRPr="00953133">
        <w:rPr>
          <w:rFonts w:ascii="Times New Roman" w:eastAsiaTheme="minorHAnsi" w:hAnsi="Times New Roman" w:cs="Times New Roman"/>
          <w:color w:val="auto"/>
          <w:sz w:val="20"/>
          <w:szCs w:val="20"/>
        </w:rPr>
        <w:t>.</w:t>
      </w:r>
    </w:p>
  </w:footnote>
  <w:footnote w:id="26">
    <w:p w14:paraId="2B95BFD5" w14:textId="7C0C34B1" w:rsidR="00664E5F" w:rsidRPr="00953133"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w:t>
      </w:r>
      <w:r w:rsidRPr="00AE3755">
        <w:rPr>
          <w:rFonts w:ascii="Times New Roman" w:hAnsi="Times New Roman" w:cs="Times New Roman"/>
          <w:i/>
          <w:iCs/>
        </w:rPr>
        <w:t>e.g.</w:t>
      </w:r>
      <w:r w:rsidRPr="00AE3755">
        <w:rPr>
          <w:rFonts w:ascii="Times New Roman" w:hAnsi="Times New Roman" w:cs="Times New Roman"/>
        </w:rPr>
        <w:t>,</w:t>
      </w:r>
      <w:r w:rsidRPr="00953133">
        <w:rPr>
          <w:rFonts w:ascii="Times New Roman" w:hAnsi="Times New Roman" w:cs="Times New Roman"/>
        </w:rPr>
        <w:t xml:space="preserve"> </w:t>
      </w:r>
      <w:r w:rsidRPr="00953133">
        <w:rPr>
          <w:rFonts w:ascii="Times New Roman" w:hAnsi="Times New Roman" w:cs="Times New Roman"/>
          <w:smallCaps/>
        </w:rPr>
        <w:t xml:space="preserve">Nev. Rev. Stat. Ann. </w:t>
      </w:r>
      <w:r w:rsidRPr="00953133">
        <w:rPr>
          <w:rFonts w:ascii="Times New Roman" w:hAnsi="Times New Roman" w:cs="Times New Roman"/>
        </w:rPr>
        <w:t>§ 163.5505.2 (2017)</w:t>
      </w:r>
      <w:r w:rsidRPr="00953133">
        <w:rPr>
          <w:rFonts w:ascii="Times New Roman" w:hAnsi="Times New Roman" w:cs="Times New Roman"/>
          <w:b/>
          <w:bCs/>
        </w:rPr>
        <w:t xml:space="preserve"> (“</w:t>
      </w:r>
      <w:r w:rsidRPr="00953133">
        <w:rPr>
          <w:rFonts w:ascii="Times New Roman" w:hAnsi="Times New Roman" w:cs="Times New Roman"/>
        </w:rPr>
        <w:t>A trust authorized by this section may be enforced by a …</w:t>
      </w:r>
      <w:r w:rsidRPr="00953133">
        <w:rPr>
          <w:rFonts w:ascii="Times New Roman" w:hAnsi="Times New Roman" w:cs="Times New Roman"/>
          <w:b/>
          <w:bCs/>
        </w:rPr>
        <w:t xml:space="preserve"> </w:t>
      </w:r>
      <w:r w:rsidRPr="00953133">
        <w:rPr>
          <w:rFonts w:ascii="Times New Roman" w:hAnsi="Times New Roman" w:cs="Times New Roman"/>
        </w:rPr>
        <w:t>person appointed under the terms of the trust”).</w:t>
      </w:r>
    </w:p>
  </w:footnote>
  <w:footnote w:id="27">
    <w:p w14:paraId="06339D60" w14:textId="5441F78F"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Spaeth et al, </w:t>
      </w:r>
      <w:r w:rsidRPr="00AE3755">
        <w:rPr>
          <w:rFonts w:ascii="Times New Roman" w:hAnsi="Times New Roman" w:cs="Times New Roman"/>
          <w:i/>
          <w:iCs/>
        </w:rPr>
        <w:t>supra</w:t>
      </w:r>
      <w:r w:rsidRPr="00AE3755">
        <w:rPr>
          <w:rFonts w:ascii="Times New Roman" w:hAnsi="Times New Roman" w:cs="Times New Roman"/>
        </w:rPr>
        <w:t xml:space="preserve"> note 2</w:t>
      </w:r>
      <w:r>
        <w:rPr>
          <w:rFonts w:ascii="Times New Roman" w:hAnsi="Times New Roman" w:cs="Times New Roman"/>
        </w:rPr>
        <w:t>1</w:t>
      </w:r>
      <w:r w:rsidRPr="00AE3755">
        <w:rPr>
          <w:rFonts w:ascii="Times New Roman" w:hAnsi="Times New Roman" w:cs="Times New Roman"/>
        </w:rPr>
        <w:t xml:space="preserve">. </w:t>
      </w:r>
    </w:p>
  </w:footnote>
  <w:footnote w:id="28">
    <w:p w14:paraId="45FD5A51" w14:textId="0FA1A371"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Clifford J. Carrubba et al, An Introduction to the CompLaw Database (Sept. 25, 2012) (unpublished manuscript) </w:t>
      </w:r>
      <w:hyperlink r:id="rId7" w:history="1">
        <w:r w:rsidRPr="00AE3755">
          <w:rPr>
            <w:rStyle w:val="Hyperlink"/>
            <w:rFonts w:ascii="Times New Roman" w:hAnsi="Times New Roman" w:cs="Times New Roman"/>
          </w:rPr>
          <w:t>http://perma.cc/MMA6-UBVR</w:t>
        </w:r>
      </w:hyperlink>
      <w:r w:rsidRPr="00AE3755">
        <w:rPr>
          <w:rFonts w:ascii="Times New Roman" w:hAnsi="Times New Roman" w:cs="Times New Roman"/>
        </w:rPr>
        <w:t xml:space="preserve"> (last visited Nov. 12, 2019, 5:27 PM).</w:t>
      </w:r>
    </w:p>
  </w:footnote>
  <w:footnote w:id="29">
    <w:p w14:paraId="237EB75C" w14:textId="2557A154"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For comparative studies of trust law using traditional research methods </w:t>
      </w:r>
      <w:r w:rsidRPr="00953133">
        <w:rPr>
          <w:rFonts w:ascii="Times New Roman" w:hAnsi="Times New Roman" w:cs="Times New Roman"/>
          <w:i/>
          <w:iCs/>
          <w:sz w:val="20"/>
          <w:szCs w:val="20"/>
        </w:rPr>
        <w:t>see</w:t>
      </w:r>
      <w:r w:rsidRPr="00AE3755">
        <w:rPr>
          <w:rFonts w:ascii="Times New Roman" w:hAnsi="Times New Roman" w:cs="Times New Roman"/>
          <w:sz w:val="20"/>
          <w:szCs w:val="20"/>
        </w:rPr>
        <w:t xml:space="preserve">, </w:t>
      </w:r>
      <w:r w:rsidRPr="00953133">
        <w:rPr>
          <w:rFonts w:ascii="Times New Roman" w:hAnsi="Times New Roman" w:cs="Times New Roman"/>
          <w:i/>
          <w:iCs/>
          <w:sz w:val="20"/>
          <w:szCs w:val="20"/>
        </w:rPr>
        <w:t>e.g.</w:t>
      </w:r>
      <w:r w:rsidRPr="00AE3755">
        <w:rPr>
          <w:rFonts w:ascii="Times New Roman" w:hAnsi="Times New Roman" w:cs="Times New Roman"/>
          <w:sz w:val="20"/>
          <w:szCs w:val="20"/>
        </w:rPr>
        <w:t xml:space="preserve">: </w:t>
      </w:r>
      <w:r w:rsidRPr="00AE3755">
        <w:rPr>
          <w:rFonts w:ascii="Times New Roman" w:hAnsi="Times New Roman" w:cs="Times New Roman"/>
          <w:smallCaps/>
          <w:sz w:val="20"/>
          <w:szCs w:val="20"/>
        </w:rPr>
        <w:t xml:space="preserve">Pierre </w:t>
      </w:r>
      <w:r w:rsidRPr="00AE3755">
        <w:rPr>
          <w:rFonts w:ascii="Times New Roman" w:hAnsi="Times New Roman" w:cs="Times New Roman"/>
          <w:smallCaps/>
          <w:color w:val="000000"/>
          <w:sz w:val="20"/>
          <w:szCs w:val="20"/>
          <w:shd w:val="clear" w:color="auto" w:fill="FFFFFF"/>
        </w:rPr>
        <w:t xml:space="preserve">Lepaulle, Traité Théorique et Pratique du Trust en Droit Interne, Droit Fiscal, et en Droit International Privé </w:t>
      </w:r>
      <w:r w:rsidRPr="00AE3755">
        <w:rPr>
          <w:rFonts w:ascii="Times New Roman" w:hAnsi="Times New Roman" w:cs="Times New Roman"/>
          <w:color w:val="000000"/>
          <w:sz w:val="20"/>
          <w:szCs w:val="20"/>
          <w:shd w:val="clear" w:color="auto" w:fill="FFFFFF"/>
        </w:rPr>
        <w:t xml:space="preserve">(1932); </w:t>
      </w:r>
      <w:r w:rsidRPr="00AE3755">
        <w:rPr>
          <w:rFonts w:ascii="Times New Roman" w:hAnsi="Times New Roman" w:cs="Times New Roman"/>
          <w:smallCaps/>
          <w:color w:val="000000"/>
          <w:sz w:val="20"/>
          <w:szCs w:val="20"/>
          <w:shd w:val="clear" w:color="auto" w:fill="FFFFFF"/>
        </w:rPr>
        <w:t>David Hayton, Modern International Developments in Trust Law</w:t>
      </w:r>
      <w:r w:rsidRPr="00AE3755">
        <w:rPr>
          <w:rFonts w:ascii="Times New Roman" w:hAnsi="Times New Roman" w:cs="Times New Roman"/>
          <w:color w:val="000000"/>
          <w:sz w:val="20"/>
          <w:szCs w:val="20"/>
          <w:shd w:val="clear" w:color="auto" w:fill="FFFFFF"/>
        </w:rPr>
        <w:t xml:space="preserve"> (1999); </w:t>
      </w:r>
      <w:r w:rsidRPr="00AE3755">
        <w:rPr>
          <w:rFonts w:ascii="Times New Roman" w:hAnsi="Times New Roman" w:cs="Times New Roman"/>
          <w:smallCaps/>
          <w:color w:val="000000"/>
          <w:sz w:val="20"/>
          <w:szCs w:val="20"/>
          <w:shd w:val="clear" w:color="auto" w:fill="FFFFFF"/>
        </w:rPr>
        <w:t>David Hayton et al, Principles of European Trust Law</w:t>
      </w:r>
      <w:r w:rsidRPr="00AE3755">
        <w:rPr>
          <w:rFonts w:ascii="Times New Roman" w:hAnsi="Times New Roman" w:cs="Times New Roman"/>
          <w:color w:val="000000"/>
          <w:sz w:val="20"/>
          <w:szCs w:val="20"/>
          <w:shd w:val="clear" w:color="auto" w:fill="FFFFFF"/>
        </w:rPr>
        <w:t xml:space="preserve"> (1999); </w:t>
      </w:r>
      <w:r w:rsidRPr="00AE3755">
        <w:rPr>
          <w:rFonts w:ascii="Times New Roman" w:hAnsi="Times New Roman" w:cs="Times New Roman"/>
          <w:smallCaps/>
          <w:sz w:val="20"/>
          <w:szCs w:val="20"/>
        </w:rPr>
        <w:t>Maurizio Lupoi, Trusts: a Comparative Study</w:t>
      </w:r>
      <w:r w:rsidRPr="00AE3755">
        <w:rPr>
          <w:rFonts w:ascii="Times New Roman" w:hAnsi="Times New Roman" w:cs="Times New Roman"/>
          <w:sz w:val="20"/>
          <w:szCs w:val="20"/>
        </w:rPr>
        <w:t xml:space="preserve"> (Simon Dix trans., 2000); </w:t>
      </w:r>
      <w:r w:rsidRPr="00AE3755">
        <w:rPr>
          <w:rFonts w:ascii="Times New Roman" w:hAnsi="Times New Roman" w:cs="Times New Roman"/>
          <w:smallCaps/>
          <w:color w:val="000000"/>
          <w:sz w:val="20"/>
          <w:szCs w:val="20"/>
          <w:shd w:val="clear" w:color="auto" w:fill="FFFFFF"/>
        </w:rPr>
        <w:t>J.M. Milo &amp; Joan M. Smits, Trusts in Mixed Legal Systems</w:t>
      </w:r>
      <w:r w:rsidRPr="00AE3755">
        <w:rPr>
          <w:rFonts w:ascii="Times New Roman" w:hAnsi="Times New Roman" w:cs="Times New Roman"/>
          <w:color w:val="000000"/>
          <w:sz w:val="20"/>
          <w:szCs w:val="20"/>
          <w:shd w:val="clear" w:color="auto" w:fill="FFFFFF"/>
        </w:rPr>
        <w:t xml:space="preserve"> (2001); </w:t>
      </w:r>
      <w:r w:rsidRPr="00AE3755">
        <w:rPr>
          <w:rFonts w:ascii="Times New Roman" w:hAnsi="Times New Roman" w:cs="Times New Roman"/>
          <w:smallCaps/>
          <w:color w:val="000000"/>
          <w:sz w:val="20"/>
          <w:szCs w:val="20"/>
          <w:shd w:val="clear" w:color="auto" w:fill="FFFFFF"/>
        </w:rPr>
        <w:t>Michele Graziadei et al., Commercial Trusts in European Private Law</w:t>
      </w:r>
      <w:r w:rsidRPr="00AE3755">
        <w:rPr>
          <w:rFonts w:ascii="Times New Roman" w:hAnsi="Times New Roman" w:cs="Times New Roman"/>
          <w:color w:val="000000"/>
          <w:sz w:val="20"/>
          <w:szCs w:val="20"/>
          <w:shd w:val="clear" w:color="auto" w:fill="FFFFFF"/>
        </w:rPr>
        <w:t xml:space="preserve"> (2005); </w:t>
      </w:r>
      <w:r w:rsidRPr="00AE3755">
        <w:rPr>
          <w:rFonts w:ascii="Times New Roman" w:hAnsi="Times New Roman" w:cs="Times New Roman"/>
          <w:smallCaps/>
          <w:sz w:val="20"/>
          <w:szCs w:val="20"/>
        </w:rPr>
        <w:t>S.C.J.J. Kortmann et al., Towards An EU Directive On Protected Funds</w:t>
      </w:r>
      <w:r w:rsidRPr="00AE3755">
        <w:rPr>
          <w:rFonts w:ascii="Times New Roman" w:hAnsi="Times New Roman" w:cs="Times New Roman"/>
          <w:sz w:val="20"/>
          <w:szCs w:val="20"/>
        </w:rPr>
        <w:t xml:space="preserve"> (2009); </w:t>
      </w:r>
      <w:r w:rsidRPr="00AE3755">
        <w:rPr>
          <w:rFonts w:ascii="Times New Roman" w:hAnsi="Times New Roman" w:cs="Times New Roman"/>
          <w:smallCaps/>
          <w:sz w:val="20"/>
          <w:szCs w:val="20"/>
        </w:rPr>
        <w:t xml:space="preserve">Nicolas Malumian, Trusts in Latin America </w:t>
      </w:r>
      <w:r w:rsidRPr="00AE3755">
        <w:rPr>
          <w:rFonts w:ascii="Times New Roman" w:hAnsi="Times New Roman" w:cs="Times New Roman"/>
          <w:sz w:val="20"/>
          <w:szCs w:val="20"/>
        </w:rPr>
        <w:t xml:space="preserve">(2009); </w:t>
      </w:r>
      <w:r w:rsidRPr="00AE3755">
        <w:rPr>
          <w:rFonts w:ascii="Times New Roman" w:hAnsi="Times New Roman" w:cs="Times New Roman"/>
          <w:smallCaps/>
          <w:sz w:val="20"/>
          <w:szCs w:val="20"/>
        </w:rPr>
        <w:t>Lionel Smith, Re-Imagining The Trust: Trusts In Civil Law</w:t>
      </w:r>
      <w:r w:rsidRPr="00AE3755">
        <w:rPr>
          <w:rFonts w:ascii="Times New Roman" w:hAnsi="Times New Roman" w:cs="Times New Roman"/>
          <w:sz w:val="20"/>
          <w:szCs w:val="20"/>
        </w:rPr>
        <w:t xml:space="preserve"> (2012); </w:t>
      </w:r>
      <w:r w:rsidRPr="00AE3755">
        <w:rPr>
          <w:rFonts w:ascii="Times New Roman" w:hAnsi="Times New Roman" w:cs="Times New Roman"/>
          <w:smallCaps/>
          <w:color w:val="000000"/>
          <w:sz w:val="20"/>
          <w:szCs w:val="20"/>
          <w:shd w:val="clear" w:color="auto" w:fill="FFFFFF"/>
        </w:rPr>
        <w:t>Lusina Ho &amp; Rebecca Lee, Trust Law in Asian Civil Law Jurisdictions</w:t>
      </w:r>
      <w:r w:rsidRPr="00AE3755">
        <w:rPr>
          <w:rFonts w:ascii="Times New Roman" w:hAnsi="Times New Roman" w:cs="Times New Roman"/>
          <w:color w:val="000000"/>
          <w:sz w:val="20"/>
          <w:szCs w:val="20"/>
          <w:shd w:val="clear" w:color="auto" w:fill="FFFFFF"/>
        </w:rPr>
        <w:t xml:space="preserve"> (2013); </w:t>
      </w:r>
      <w:r w:rsidRPr="00AE3755">
        <w:rPr>
          <w:rFonts w:ascii="Times New Roman" w:hAnsi="Times New Roman" w:cs="Times New Roman"/>
          <w:smallCaps/>
          <w:sz w:val="20"/>
          <w:szCs w:val="20"/>
        </w:rPr>
        <w:t>Lionel Smith, The Worlds Of The Trust</w:t>
      </w:r>
      <w:r w:rsidRPr="00AE3755">
        <w:rPr>
          <w:rFonts w:ascii="Times New Roman" w:hAnsi="Times New Roman" w:cs="Times New Roman"/>
          <w:sz w:val="20"/>
          <w:szCs w:val="20"/>
        </w:rPr>
        <w:t xml:space="preserve"> (2013)</w:t>
      </w:r>
      <w:r w:rsidRPr="00AE3755">
        <w:rPr>
          <w:rFonts w:ascii="Times New Roman" w:hAnsi="Times New Roman" w:cs="Times New Roman"/>
          <w:color w:val="444444"/>
          <w:sz w:val="20"/>
          <w:szCs w:val="20"/>
          <w:shd w:val="clear" w:color="auto" w:fill="FFFFFF"/>
        </w:rPr>
        <w:t xml:space="preserve">; </w:t>
      </w:r>
      <w:r w:rsidRPr="00AE3755">
        <w:rPr>
          <w:rFonts w:ascii="Times New Roman" w:hAnsi="Times New Roman" w:cs="Times New Roman"/>
          <w:smallCaps/>
          <w:sz w:val="20"/>
          <w:szCs w:val="20"/>
        </w:rPr>
        <w:t>István Sándor, Fiduciary Property Management and the Trust</w:t>
      </w:r>
      <w:r w:rsidRPr="00AE3755">
        <w:rPr>
          <w:rFonts w:ascii="Times New Roman" w:hAnsi="Times New Roman" w:cs="Times New Roman"/>
          <w:sz w:val="20"/>
          <w:szCs w:val="20"/>
        </w:rPr>
        <w:t xml:space="preserve"> (2015); </w:t>
      </w:r>
      <w:r w:rsidRPr="00AE3755">
        <w:rPr>
          <w:rFonts w:ascii="Times New Roman" w:hAnsi="Times New Roman" w:cs="Times New Roman"/>
          <w:smallCaps/>
          <w:sz w:val="20"/>
          <w:szCs w:val="20"/>
        </w:rPr>
        <w:t>Paolo Panico, International Trust Laws</w:t>
      </w:r>
      <w:r w:rsidRPr="00AE3755">
        <w:rPr>
          <w:rFonts w:ascii="Times New Roman" w:hAnsi="Times New Roman" w:cs="Times New Roman"/>
          <w:sz w:val="20"/>
          <w:szCs w:val="20"/>
        </w:rPr>
        <w:t xml:space="preserve"> (2d ed. 2017);</w:t>
      </w:r>
      <w:r w:rsidRPr="00AE3755">
        <w:rPr>
          <w:rFonts w:ascii="Times New Roman" w:hAnsi="Times New Roman" w:cs="Times New Roman"/>
          <w:color w:val="444444"/>
          <w:sz w:val="20"/>
          <w:szCs w:val="20"/>
          <w:shd w:val="clear" w:color="auto" w:fill="FFFFFF"/>
        </w:rPr>
        <w:t xml:space="preserve"> </w:t>
      </w:r>
      <w:r w:rsidRPr="00AE3755">
        <w:rPr>
          <w:rFonts w:ascii="Times New Roman" w:hAnsi="Times New Roman" w:cs="Times New Roman"/>
          <w:color w:val="000000"/>
          <w:sz w:val="20"/>
          <w:szCs w:val="20"/>
          <w:shd w:val="clear" w:color="auto" w:fill="FFFFFF"/>
        </w:rPr>
        <w:t xml:space="preserve">Vera Bolgár, </w:t>
      </w:r>
      <w:r w:rsidRPr="00AE3755">
        <w:rPr>
          <w:rFonts w:ascii="Times New Roman" w:hAnsi="Times New Roman" w:cs="Times New Roman"/>
          <w:i/>
          <w:iCs/>
          <w:color w:val="000000"/>
          <w:sz w:val="20"/>
          <w:szCs w:val="20"/>
          <w:shd w:val="clear" w:color="auto" w:fill="FFFFFF"/>
        </w:rPr>
        <w:t>Why No Trusts in the Civil Law?</w:t>
      </w:r>
      <w:r w:rsidRPr="00AE3755">
        <w:rPr>
          <w:rFonts w:ascii="Times New Roman" w:hAnsi="Times New Roman" w:cs="Times New Roman"/>
          <w:color w:val="000000"/>
          <w:sz w:val="20"/>
          <w:szCs w:val="20"/>
          <w:shd w:val="clear" w:color="auto" w:fill="FFFFFF"/>
        </w:rPr>
        <w:t xml:space="preserve">, 2 </w:t>
      </w:r>
      <w:r w:rsidRPr="00AE3755">
        <w:rPr>
          <w:rFonts w:ascii="Times New Roman" w:hAnsi="Times New Roman" w:cs="Times New Roman"/>
          <w:smallCaps/>
          <w:color w:val="000000"/>
          <w:sz w:val="20"/>
          <w:szCs w:val="20"/>
          <w:shd w:val="clear" w:color="auto" w:fill="FFFFFF"/>
        </w:rPr>
        <w:t>Am. J. Comp. L.</w:t>
      </w:r>
      <w:r w:rsidRPr="00AE3755">
        <w:rPr>
          <w:rFonts w:ascii="Times New Roman" w:hAnsi="Times New Roman" w:cs="Times New Roman"/>
          <w:i/>
          <w:iCs/>
          <w:color w:val="000000"/>
          <w:sz w:val="20"/>
          <w:szCs w:val="20"/>
          <w:shd w:val="clear" w:color="auto" w:fill="FFFFFF"/>
        </w:rPr>
        <w:t xml:space="preserve"> </w:t>
      </w:r>
      <w:r w:rsidRPr="00AE3755">
        <w:rPr>
          <w:rFonts w:ascii="Times New Roman" w:hAnsi="Times New Roman" w:cs="Times New Roman"/>
          <w:color w:val="000000"/>
          <w:sz w:val="20"/>
          <w:szCs w:val="20"/>
          <w:shd w:val="clear" w:color="auto" w:fill="FFFFFF"/>
        </w:rPr>
        <w:t xml:space="preserve">204 (1953); Hofri-Winogradow, </w:t>
      </w:r>
      <w:r w:rsidRPr="00953133">
        <w:rPr>
          <w:rFonts w:ascii="Times New Roman" w:hAnsi="Times New Roman" w:cs="Times New Roman"/>
          <w:i/>
          <w:iCs/>
          <w:sz w:val="20"/>
          <w:szCs w:val="20"/>
        </w:rPr>
        <w:t>supra</w:t>
      </w:r>
      <w:r w:rsidRPr="00953133">
        <w:rPr>
          <w:rFonts w:ascii="Times New Roman" w:hAnsi="Times New Roman" w:cs="Times New Roman"/>
          <w:sz w:val="20"/>
          <w:szCs w:val="20"/>
        </w:rPr>
        <w:t xml:space="preserve"> note 2</w:t>
      </w:r>
      <w:r w:rsidRPr="00AE3755">
        <w:rPr>
          <w:rFonts w:ascii="Times New Roman" w:hAnsi="Times New Roman" w:cs="Times New Roman"/>
          <w:sz w:val="20"/>
          <w:szCs w:val="20"/>
        </w:rPr>
        <w:t>.</w:t>
      </w:r>
    </w:p>
  </w:footnote>
  <w:footnote w:id="30">
    <w:p w14:paraId="0B93F4F4" w14:textId="01C3111B"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w:t>
      </w:r>
      <w:r w:rsidRPr="00AE3755">
        <w:rPr>
          <w:rFonts w:ascii="Times New Roman" w:hAnsi="Times New Roman" w:cs="Times New Roman"/>
          <w:i/>
          <w:iCs/>
        </w:rPr>
        <w:t>e.g.</w:t>
      </w:r>
      <w:r w:rsidRPr="00AE3755">
        <w:rPr>
          <w:rFonts w:ascii="Times New Roman" w:hAnsi="Times New Roman" w:cs="Times New Roman"/>
        </w:rPr>
        <w:t xml:space="preserve">, David Brownbill, </w:t>
      </w:r>
      <w:r w:rsidRPr="00AE3755">
        <w:rPr>
          <w:rFonts w:ascii="Times New Roman" w:hAnsi="Times New Roman" w:cs="Times New Roman"/>
          <w:i/>
          <w:iCs/>
        </w:rPr>
        <w:t>The Role of Offshore Jurisdictions in the Development of the International Trust</w:t>
      </w:r>
      <w:r w:rsidRPr="00AE3755">
        <w:rPr>
          <w:rFonts w:ascii="Times New Roman" w:hAnsi="Times New Roman" w:cs="Times New Roman"/>
        </w:rPr>
        <w:t xml:space="preserve">, 32 </w:t>
      </w:r>
      <w:r w:rsidRPr="00AE3755">
        <w:rPr>
          <w:rFonts w:ascii="Times New Roman" w:hAnsi="Times New Roman" w:cs="Times New Roman"/>
          <w:smallCaps/>
        </w:rPr>
        <w:t>Vanderbilt J. of Transnational L.</w:t>
      </w:r>
      <w:r w:rsidRPr="00AE3755">
        <w:rPr>
          <w:rFonts w:ascii="Times New Roman" w:hAnsi="Times New Roman" w:cs="Times New Roman"/>
        </w:rPr>
        <w:t xml:space="preserve"> 953 (1999); Daniel Clarry, </w:t>
      </w:r>
      <w:r w:rsidRPr="00AE3755">
        <w:rPr>
          <w:rFonts w:ascii="Times New Roman" w:hAnsi="Times New Roman" w:cs="Times New Roman"/>
          <w:i/>
          <w:iCs/>
        </w:rPr>
        <w:t xml:space="preserve">Fiduciary </w:t>
      </w:r>
      <w:r>
        <w:rPr>
          <w:rFonts w:ascii="Times New Roman" w:hAnsi="Times New Roman" w:cs="Times New Roman"/>
          <w:i/>
          <w:iCs/>
        </w:rPr>
        <w:t>O</w:t>
      </w:r>
      <w:r w:rsidRPr="00AE3755">
        <w:rPr>
          <w:rFonts w:ascii="Times New Roman" w:hAnsi="Times New Roman" w:cs="Times New Roman"/>
          <w:i/>
          <w:iCs/>
        </w:rPr>
        <w:t>wnership and Trusts in a Comparative Perspective</w:t>
      </w:r>
      <w:r w:rsidRPr="00AE3755">
        <w:rPr>
          <w:rFonts w:ascii="Times New Roman" w:hAnsi="Times New Roman" w:cs="Times New Roman"/>
        </w:rPr>
        <w:t xml:space="preserve">, 63 </w:t>
      </w:r>
      <w:r w:rsidRPr="00AE3755">
        <w:rPr>
          <w:rFonts w:ascii="Times New Roman" w:hAnsi="Times New Roman" w:cs="Times New Roman"/>
          <w:smallCaps/>
        </w:rPr>
        <w:t>Int’l and Comp. L. Q.</w:t>
      </w:r>
      <w:r w:rsidRPr="00AE3755">
        <w:rPr>
          <w:rFonts w:ascii="Times New Roman" w:hAnsi="Times New Roman" w:cs="Times New Roman"/>
        </w:rPr>
        <w:t xml:space="preserve"> 901 (2014).</w:t>
      </w:r>
    </w:p>
  </w:footnote>
  <w:footnote w:id="31">
    <w:p w14:paraId="1407BB2F" w14:textId="0196BEE6"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rPr>
        <w:t xml:space="preserve">Sitkoff &amp; Schanzenbach, </w:t>
      </w:r>
      <w:r w:rsidRPr="00AE3755">
        <w:rPr>
          <w:rFonts w:ascii="Times New Roman" w:hAnsi="Times New Roman" w:cs="Times New Roman"/>
          <w:i/>
          <w:iCs/>
        </w:rPr>
        <w:t>Jurisdictional Competition</w:t>
      </w:r>
      <w:r w:rsidRPr="00AE3755">
        <w:rPr>
          <w:rFonts w:ascii="Times New Roman" w:hAnsi="Times New Roman" w:cs="Times New Roman"/>
        </w:rPr>
        <w:t xml:space="preserve">, </w:t>
      </w:r>
      <w:r w:rsidRPr="00AE3755">
        <w:rPr>
          <w:rFonts w:ascii="Times New Roman" w:hAnsi="Times New Roman" w:cs="Times New Roman"/>
          <w:i/>
          <w:iCs/>
        </w:rPr>
        <w:t>supra</w:t>
      </w:r>
      <w:r w:rsidRPr="00AE3755">
        <w:rPr>
          <w:rFonts w:ascii="Times New Roman" w:hAnsi="Times New Roman" w:cs="Times New Roman"/>
        </w:rPr>
        <w:t xml:space="preserve"> note 9.</w:t>
      </w:r>
    </w:p>
  </w:footnote>
  <w:footnote w:id="32">
    <w:p w14:paraId="4F4D0768" w14:textId="79ABFDF8"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Id.</w:t>
      </w:r>
    </w:p>
  </w:footnote>
  <w:footnote w:id="33">
    <w:p w14:paraId="59220974" w14:textId="77777777"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Robert Sitkoff &amp; Max Schanzenbach, </w:t>
      </w:r>
      <w:r w:rsidRPr="00AE3755">
        <w:rPr>
          <w:rFonts w:ascii="Times New Roman" w:hAnsi="Times New Roman" w:cs="Times New Roman"/>
          <w:i/>
          <w:iCs/>
          <w:sz w:val="20"/>
          <w:szCs w:val="20"/>
        </w:rPr>
        <w:t>Did Reform of Prudent Trust Investment Laws Change Trust Portfolio Allocation?</w:t>
      </w:r>
      <w:r w:rsidRPr="00AE3755">
        <w:rPr>
          <w:rFonts w:ascii="Times New Roman" w:hAnsi="Times New Roman" w:cs="Times New Roman"/>
          <w:sz w:val="20"/>
          <w:szCs w:val="20"/>
        </w:rPr>
        <w:t xml:space="preserve">, 50 </w:t>
      </w:r>
      <w:r w:rsidRPr="00AE3755">
        <w:rPr>
          <w:rFonts w:ascii="Times New Roman" w:hAnsi="Times New Roman" w:cs="Times New Roman"/>
          <w:smallCaps/>
          <w:sz w:val="20"/>
          <w:szCs w:val="20"/>
        </w:rPr>
        <w:t>J. L. &amp; Econ</w:t>
      </w:r>
      <w:r w:rsidRPr="00AE3755">
        <w:rPr>
          <w:rFonts w:ascii="Times New Roman" w:hAnsi="Times New Roman" w:cs="Times New Roman"/>
          <w:sz w:val="20"/>
          <w:szCs w:val="20"/>
        </w:rPr>
        <w:t xml:space="preserve"> 681, 682 (2007).</w:t>
      </w:r>
    </w:p>
  </w:footnote>
  <w:footnote w:id="34">
    <w:p w14:paraId="09D19DD5" w14:textId="027C4C78"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Robert Sitkoff &amp; Max Schanzenbach, </w:t>
      </w:r>
      <w:r w:rsidRPr="00AE3755">
        <w:rPr>
          <w:rFonts w:ascii="Times New Roman" w:hAnsi="Times New Roman" w:cs="Times New Roman"/>
          <w:i/>
          <w:iCs/>
          <w:sz w:val="20"/>
          <w:szCs w:val="20"/>
        </w:rPr>
        <w:t>The Prudent Investor Rule and Market Risk: an Empirical Analysis</w:t>
      </w:r>
      <w:r w:rsidRPr="00AE3755">
        <w:rPr>
          <w:rFonts w:ascii="Times New Roman" w:hAnsi="Times New Roman" w:cs="Times New Roman"/>
          <w:sz w:val="20"/>
          <w:szCs w:val="20"/>
        </w:rPr>
        <w:t xml:space="preserve">, 14 </w:t>
      </w:r>
      <w:r w:rsidRPr="00AE3755">
        <w:rPr>
          <w:rFonts w:ascii="Times New Roman" w:hAnsi="Times New Roman" w:cs="Times New Roman"/>
          <w:smallCaps/>
          <w:sz w:val="20"/>
          <w:szCs w:val="20"/>
        </w:rPr>
        <w:t>J. Empirical L. Stud.</w:t>
      </w:r>
      <w:r w:rsidRPr="00AE3755">
        <w:rPr>
          <w:rFonts w:ascii="Times New Roman" w:hAnsi="Times New Roman" w:cs="Times New Roman"/>
          <w:sz w:val="20"/>
          <w:szCs w:val="20"/>
        </w:rPr>
        <w:t xml:space="preserve"> 129, 131 (2017) [hereinafter </w:t>
      </w:r>
      <w:r w:rsidRPr="00AE3755">
        <w:rPr>
          <w:rFonts w:ascii="Times New Roman" w:hAnsi="Times New Roman" w:cs="Times New Roman"/>
          <w:i/>
          <w:iCs/>
          <w:sz w:val="20"/>
          <w:szCs w:val="20"/>
        </w:rPr>
        <w:t>The Prudent Investor Rule</w:t>
      </w:r>
      <w:r w:rsidRPr="00AE3755">
        <w:rPr>
          <w:rFonts w:ascii="Times New Roman" w:hAnsi="Times New Roman" w:cs="Times New Roman"/>
          <w:sz w:val="20"/>
          <w:szCs w:val="20"/>
        </w:rPr>
        <w:t>].</w:t>
      </w:r>
    </w:p>
  </w:footnote>
  <w:footnote w:id="35">
    <w:p w14:paraId="49A09D11" w14:textId="77777777" w:rsidR="00664E5F" w:rsidRPr="00AE3755" w:rsidRDefault="00664E5F" w:rsidP="00AE3755">
      <w:pPr>
        <w:spacing w:after="0"/>
        <w:jc w:val="both"/>
        <w:rPr>
          <w:rFonts w:ascii="Times New Roman" w:hAnsi="Times New Roman" w:cs="Times New Roman"/>
          <w:color w:val="000000"/>
          <w:sz w:val="20"/>
          <w:szCs w:val="20"/>
          <w:shd w:val="clear" w:color="auto" w:fill="FFFFFF"/>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color w:val="000000"/>
          <w:sz w:val="20"/>
          <w:szCs w:val="20"/>
          <w:shd w:val="clear" w:color="auto" w:fill="FFFFFF"/>
        </w:rPr>
        <w:t xml:space="preserve">Robert Sitkoff, </w:t>
      </w:r>
      <w:r w:rsidRPr="00AE3755">
        <w:rPr>
          <w:rFonts w:ascii="Times New Roman" w:hAnsi="Times New Roman" w:cs="Times New Roman"/>
          <w:i/>
          <w:iCs/>
          <w:color w:val="000000"/>
          <w:sz w:val="20"/>
          <w:szCs w:val="20"/>
          <w:shd w:val="clear" w:color="auto" w:fill="FFFFFF"/>
        </w:rPr>
        <w:t>The Rise of Trust Decanting in the United States</w:t>
      </w:r>
      <w:r w:rsidRPr="00AE3755">
        <w:rPr>
          <w:rFonts w:ascii="Times New Roman" w:hAnsi="Times New Roman" w:cs="Times New Roman"/>
          <w:color w:val="000000"/>
          <w:sz w:val="20"/>
          <w:szCs w:val="20"/>
          <w:shd w:val="clear" w:color="auto" w:fill="FFFFFF"/>
        </w:rPr>
        <w:t xml:space="preserve">, 23 </w:t>
      </w:r>
      <w:r w:rsidRPr="00AE3755">
        <w:rPr>
          <w:rFonts w:ascii="Times New Roman" w:hAnsi="Times New Roman" w:cs="Times New Roman"/>
          <w:smallCaps/>
          <w:color w:val="000000"/>
          <w:sz w:val="20"/>
          <w:szCs w:val="20"/>
          <w:shd w:val="clear" w:color="auto" w:fill="FFFFFF"/>
        </w:rPr>
        <w:t>Trusts &amp; Trustees</w:t>
      </w:r>
      <w:r w:rsidRPr="00AE3755">
        <w:rPr>
          <w:rFonts w:ascii="Times New Roman" w:hAnsi="Times New Roman" w:cs="Times New Roman"/>
          <w:color w:val="000000"/>
          <w:sz w:val="20"/>
          <w:szCs w:val="20"/>
          <w:shd w:val="clear" w:color="auto" w:fill="FFFFFF"/>
        </w:rPr>
        <w:t xml:space="preserve"> 976 (2017).</w:t>
      </w:r>
    </w:p>
  </w:footnote>
  <w:footnote w:id="36">
    <w:p w14:paraId="31B660DB" w14:textId="14035B84" w:rsidR="00664E5F" w:rsidRPr="00AE3755" w:rsidRDefault="00664E5F" w:rsidP="00AE3755">
      <w:pPr>
        <w:spacing w:after="0" w:line="240" w:lineRule="auto"/>
        <w:jc w:val="both"/>
        <w:rPr>
          <w:rFonts w:ascii="Times New Roman" w:hAnsi="Times New Roman" w:cs="Times New Roman"/>
          <w:sz w:val="20"/>
          <w:szCs w:val="20"/>
          <w:rtl/>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Respecting the good-faith purchase doctrine, Chang obtained data on 214 jurisdictions: Yun-chien Chang, </w:t>
      </w:r>
      <w:r w:rsidRPr="00AE3755">
        <w:rPr>
          <w:rFonts w:ascii="Times New Roman" w:hAnsi="Times New Roman" w:cs="Times New Roman"/>
          <w:i/>
          <w:iCs/>
          <w:sz w:val="20"/>
          <w:szCs w:val="20"/>
        </w:rPr>
        <w:t>247 Jurisdictions in the World Get the Good-faith Purchase Problem</w:t>
      </w:r>
      <w:r w:rsidRPr="00AE3755">
        <w:rPr>
          <w:rFonts w:ascii="Times New Roman" w:hAnsi="Times New Roman" w:cs="Times New Roman"/>
          <w:sz w:val="20"/>
          <w:szCs w:val="20"/>
        </w:rPr>
        <w:t xml:space="preserve"> </w:t>
      </w:r>
      <w:r w:rsidRPr="00AE3755">
        <w:rPr>
          <w:rFonts w:ascii="Times New Roman" w:hAnsi="Times New Roman" w:cs="Times New Roman"/>
          <w:i/>
          <w:iCs/>
          <w:sz w:val="20"/>
          <w:szCs w:val="20"/>
        </w:rPr>
        <w:t xml:space="preserve">Wrong: a New Economic Framework </w:t>
      </w:r>
      <w:r w:rsidRPr="00AE3755">
        <w:rPr>
          <w:rFonts w:ascii="Times New Roman" w:hAnsi="Times New Roman" w:cs="Times New Roman"/>
          <w:sz w:val="20"/>
          <w:szCs w:val="20"/>
        </w:rPr>
        <w:t>(</w:t>
      </w:r>
      <w:hyperlink r:id="rId8" w:anchor="#" w:history="1">
        <w:r w:rsidRPr="00AE3755">
          <w:rPr>
            <w:rStyle w:val="Hyperlink"/>
            <w:rFonts w:ascii="Times New Roman" w:hAnsi="Times New Roman" w:cs="Times New Roman"/>
            <w:color w:val="auto"/>
            <w:sz w:val="20"/>
            <w:szCs w:val="20"/>
            <w:u w:val="none"/>
            <w:shd w:val="clear" w:color="auto" w:fill="FFFFFF"/>
          </w:rPr>
          <w:t>NYU Law and Economics Research Paper No. 19-25</w:t>
        </w:r>
      </w:hyperlink>
      <w:r w:rsidRPr="00AE3755">
        <w:rPr>
          <w:rFonts w:ascii="Times New Roman" w:hAnsi="Times New Roman" w:cs="Times New Roman"/>
          <w:sz w:val="20"/>
          <w:szCs w:val="20"/>
        </w:rPr>
        <w:t>), https://papers.ssrn.com/sol3/papers.cfm?abstract_id=3208458</w:t>
      </w:r>
      <w:r>
        <w:rPr>
          <w:rFonts w:ascii="Times New Roman" w:hAnsi="Times New Roman" w:cs="Times New Roman"/>
          <w:sz w:val="20"/>
          <w:szCs w:val="20"/>
        </w:rPr>
        <w:t>.</w:t>
      </w:r>
    </w:p>
  </w:footnote>
  <w:footnote w:id="37">
    <w:p w14:paraId="3CAE7691" w14:textId="77777777" w:rsidR="00664E5F" w:rsidRPr="00AE3755" w:rsidRDefault="00664E5F" w:rsidP="00AE3755">
      <w:pPr>
        <w:spacing w:after="0" w:line="240" w:lineRule="auto"/>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Yun-chien Chang, </w:t>
      </w:r>
      <w:r w:rsidRPr="00AE3755">
        <w:rPr>
          <w:rFonts w:ascii="Times New Roman" w:hAnsi="Times New Roman" w:cs="Times New Roman"/>
          <w:i/>
          <w:iCs/>
          <w:sz w:val="20"/>
          <w:szCs w:val="20"/>
        </w:rPr>
        <w:t>Wealth Transfer Laws in 153 Jurisdictions: An Empirical Comparative Law Approach</w:t>
      </w:r>
      <w:r w:rsidRPr="00AE3755">
        <w:rPr>
          <w:rFonts w:ascii="Times New Roman" w:hAnsi="Times New Roman" w:cs="Times New Roman"/>
          <w:sz w:val="20"/>
          <w:szCs w:val="20"/>
        </w:rPr>
        <w:t xml:space="preserve">, 102 </w:t>
      </w:r>
      <w:r w:rsidRPr="00AE3755">
        <w:rPr>
          <w:rFonts w:ascii="Times New Roman" w:hAnsi="Times New Roman" w:cs="Times New Roman"/>
          <w:smallCaps/>
          <w:sz w:val="20"/>
          <w:szCs w:val="20"/>
        </w:rPr>
        <w:t>Iowa L. Rev.</w:t>
      </w:r>
      <w:r w:rsidRPr="00AE3755">
        <w:rPr>
          <w:rFonts w:ascii="Times New Roman" w:hAnsi="Times New Roman" w:cs="Times New Roman"/>
          <w:sz w:val="20"/>
          <w:szCs w:val="20"/>
        </w:rPr>
        <w:t xml:space="preserve"> 1915 (2018); Yun-chien Chang &amp; Henry Smith, </w:t>
      </w:r>
      <w:r w:rsidRPr="00AE3755">
        <w:rPr>
          <w:rFonts w:ascii="Times New Roman" w:hAnsi="Times New Roman" w:cs="Times New Roman"/>
          <w:i/>
          <w:iCs/>
          <w:sz w:val="20"/>
          <w:szCs w:val="20"/>
        </w:rPr>
        <w:t>Convergence and Divergence in Systems of Property Law: Theoretical and Empirical Analyses</w:t>
      </w:r>
      <w:r w:rsidRPr="00AE3755">
        <w:rPr>
          <w:rFonts w:ascii="Times New Roman" w:hAnsi="Times New Roman" w:cs="Times New Roman"/>
          <w:sz w:val="20"/>
          <w:szCs w:val="20"/>
        </w:rPr>
        <w:t xml:space="preserve">, 92 </w:t>
      </w:r>
      <w:r w:rsidRPr="00AE3755">
        <w:rPr>
          <w:rFonts w:ascii="Times New Roman" w:hAnsi="Times New Roman" w:cs="Times New Roman"/>
          <w:smallCaps/>
          <w:sz w:val="20"/>
          <w:szCs w:val="20"/>
        </w:rPr>
        <w:t>S. Cal. L. Rev.</w:t>
      </w:r>
      <w:r w:rsidRPr="00AE3755">
        <w:rPr>
          <w:rFonts w:ascii="Times New Roman" w:hAnsi="Times New Roman" w:cs="Times New Roman"/>
          <w:sz w:val="20"/>
          <w:szCs w:val="20"/>
        </w:rPr>
        <w:t xml:space="preserve"> 785 (2019); Yun-chien Chang et al., Drawing the Legal Family Tree: An Empirical Comparative Study of 108 Property Doctrines in 154 Jurisdictions (Oct. 2, 2019) (unpublished manuscript) (on file with author).</w:t>
      </w:r>
    </w:p>
  </w:footnote>
  <w:footnote w:id="38">
    <w:p w14:paraId="576234C2" w14:textId="5FB40E69" w:rsidR="00664E5F" w:rsidRPr="00953133" w:rsidRDefault="00664E5F" w:rsidP="00E9052F">
      <w:pPr>
        <w:spacing w:after="0" w:line="240" w:lineRule="auto"/>
        <w:jc w:val="both"/>
        <w:rPr>
          <w:rFonts w:ascii="Times New Roman" w:hAnsi="Times New Roman" w:cs="Times New Roman"/>
          <w:sz w:val="20"/>
          <w:szCs w:val="20"/>
        </w:rPr>
      </w:pPr>
      <w:r w:rsidRPr="00953133">
        <w:rPr>
          <w:rStyle w:val="FootnoteReference"/>
          <w:rFonts w:ascii="Times New Roman" w:hAnsi="Times New Roman" w:cs="Times New Roman"/>
          <w:sz w:val="20"/>
          <w:szCs w:val="20"/>
        </w:rPr>
        <w:footnoteRef/>
      </w:r>
      <w:r w:rsidRPr="00953133">
        <w:rPr>
          <w:rFonts w:ascii="Times New Roman" w:hAnsi="Times New Roman" w:cs="Times New Roman"/>
          <w:sz w:val="20"/>
          <w:szCs w:val="20"/>
        </w:rPr>
        <w:t xml:space="preserve"> </w:t>
      </w:r>
      <w:r w:rsidRPr="00AE3755">
        <w:rPr>
          <w:rFonts w:ascii="Times New Roman" w:hAnsi="Times New Roman" w:cs="Times New Roman"/>
          <w:sz w:val="20"/>
          <w:szCs w:val="20"/>
        </w:rPr>
        <w:t>Countries without a law of trusts include, e.g., Germany and the Netherlands. Many non-trust jurisdictions have legal forms</w:t>
      </w:r>
      <w:r>
        <w:rPr>
          <w:rFonts w:ascii="Times New Roman" w:hAnsi="Times New Roman" w:cs="Times New Roman"/>
          <w:sz w:val="20"/>
          <w:szCs w:val="20"/>
        </w:rPr>
        <w:t>,</w:t>
      </w:r>
      <w:r w:rsidRPr="00AE3755">
        <w:rPr>
          <w:rFonts w:ascii="Times New Roman" w:hAnsi="Times New Roman" w:cs="Times New Roman"/>
          <w:sz w:val="20"/>
          <w:szCs w:val="20"/>
        </w:rPr>
        <w:t xml:space="preserve"> such as the German treuhand and the Dutch bewind</w:t>
      </w:r>
      <w:r>
        <w:rPr>
          <w:rFonts w:ascii="Times New Roman" w:hAnsi="Times New Roman" w:cs="Times New Roman"/>
          <w:sz w:val="20"/>
          <w:szCs w:val="20"/>
        </w:rPr>
        <w:t>,</w:t>
      </w:r>
      <w:r w:rsidRPr="00AE3755">
        <w:rPr>
          <w:rFonts w:ascii="Times New Roman" w:hAnsi="Times New Roman" w:cs="Times New Roman"/>
          <w:sz w:val="20"/>
          <w:szCs w:val="20"/>
        </w:rPr>
        <w:t xml:space="preserve"> that fulfill roles trusts fulfill in other jurisdictions. See, e.g., </w:t>
      </w:r>
      <w:hyperlink r:id="rId9" w:history="1">
        <w:r w:rsidRPr="00AE3755">
          <w:rPr>
            <w:rFonts w:ascii="Times New Roman" w:hAnsi="Times New Roman" w:cs="Times New Roman"/>
            <w:smallCaps/>
            <w:sz w:val="20"/>
            <w:szCs w:val="20"/>
          </w:rPr>
          <w:t>Hein Kötz</w:t>
        </w:r>
      </w:hyperlink>
      <w:r w:rsidRPr="00AE3755">
        <w:rPr>
          <w:rFonts w:ascii="Times New Roman" w:hAnsi="Times New Roman" w:cs="Times New Roman"/>
          <w:smallCaps/>
          <w:sz w:val="20"/>
          <w:szCs w:val="20"/>
        </w:rPr>
        <w:t>, Trust und Treuhand: eine rechtsvergleichende Darstellung des anglo-amerikanischen trust und funktionsverwandter Institute des deutschen Rechts</w:t>
      </w:r>
      <w:r w:rsidRPr="00AE3755">
        <w:rPr>
          <w:rFonts w:ascii="Times New Roman" w:hAnsi="Times New Roman" w:cs="Times New Roman"/>
          <w:sz w:val="20"/>
          <w:szCs w:val="20"/>
        </w:rPr>
        <w:t xml:space="preserve"> (1963); Donovan W. M. Waters, </w:t>
      </w:r>
      <w:r w:rsidRPr="00AE3755">
        <w:rPr>
          <w:rFonts w:ascii="Times New Roman" w:hAnsi="Times New Roman" w:cs="Times New Roman"/>
          <w:i/>
          <w:iCs/>
          <w:sz w:val="20"/>
          <w:szCs w:val="20"/>
        </w:rPr>
        <w:t>The Trust in Civil Law Jurisdictions -- The Dutch Experience</w:t>
      </w:r>
      <w:r w:rsidRPr="00AE3755">
        <w:rPr>
          <w:rFonts w:ascii="Times New Roman" w:hAnsi="Times New Roman" w:cs="Times New Roman"/>
          <w:sz w:val="20"/>
          <w:szCs w:val="20"/>
        </w:rPr>
        <w:t xml:space="preserve">, 7 </w:t>
      </w:r>
      <w:r w:rsidRPr="00AE3755">
        <w:rPr>
          <w:rFonts w:ascii="Times New Roman" w:hAnsi="Times New Roman" w:cs="Times New Roman"/>
          <w:smallCaps/>
          <w:sz w:val="20"/>
          <w:szCs w:val="20"/>
        </w:rPr>
        <w:t>J. of Int’l Trust and Corporate Planning 131 (1999).</w:t>
      </w:r>
    </w:p>
  </w:footnote>
  <w:footnote w:id="39">
    <w:p w14:paraId="0C077DAF" w14:textId="77777777"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Chang et al., Drawing the Legal Family Tree, text after footnote 9.</w:t>
      </w:r>
    </w:p>
  </w:footnote>
  <w:footnote w:id="40">
    <w:p w14:paraId="166D505C" w14:textId="3373D85B"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Chang &amp; Smith, </w:t>
      </w:r>
      <w:r w:rsidRPr="00AE3755">
        <w:rPr>
          <w:rFonts w:ascii="Times New Roman" w:hAnsi="Times New Roman" w:cs="Times New Roman"/>
          <w:i/>
          <w:iCs/>
        </w:rPr>
        <w:t>supra</w:t>
      </w:r>
      <w:r w:rsidRPr="00AE3755">
        <w:rPr>
          <w:rFonts w:ascii="Times New Roman" w:hAnsi="Times New Roman" w:cs="Times New Roman"/>
        </w:rPr>
        <w:t xml:space="preserve"> note 36, at 796.</w:t>
      </w:r>
    </w:p>
  </w:footnote>
  <w:footnote w:id="41">
    <w:p w14:paraId="7AB08C38" w14:textId="77777777" w:rsidR="00664E5F" w:rsidRPr="00AE3755" w:rsidRDefault="00664E5F" w:rsidP="00953133">
      <w:pPr>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smallCaps/>
          <w:sz w:val="20"/>
          <w:szCs w:val="20"/>
        </w:rPr>
        <w:t>Maurizio Lupoi, Trust Laws of the World</w:t>
      </w:r>
      <w:r w:rsidRPr="00AE3755">
        <w:rPr>
          <w:rFonts w:ascii="Times New Roman" w:hAnsi="Times New Roman" w:cs="Times New Roman"/>
          <w:sz w:val="20"/>
          <w:szCs w:val="20"/>
        </w:rPr>
        <w:t xml:space="preserve"> (1996).</w:t>
      </w:r>
    </w:p>
  </w:footnote>
  <w:footnote w:id="42">
    <w:p w14:paraId="62004664"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Where a jurisdiction has not enacted any statute respecting a variable, this absence was also treated as a 0 for computational purposes, except regarding variables 18 and 19, the law governing which has, as explained below, evolved in a restrictive, rather than in a liberal direction. For this reason, the absence of any legislation respecting variables 18 and 19 was coded as equal to the most liberal state of the law available internationally. As a result, absence of legislation respecting variables 18 and 19 was coded with the largest numeral code given to any legislation enacted on topic. Following normalization using the min-max method, absence of legislation regarding these two variables was coded as 1.</w:t>
      </w:r>
    </w:p>
  </w:footnote>
  <w:footnote w:id="43">
    <w:p w14:paraId="3F994285" w14:textId="42F40C6C" w:rsidR="00664E5F" w:rsidRPr="00AE3755" w:rsidRDefault="00664E5F" w:rsidP="00F1222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Adam S. Hofri-Winogradow, </w:t>
      </w:r>
      <w:r w:rsidRPr="00AE3755">
        <w:rPr>
          <w:rFonts w:ascii="Times New Roman" w:hAnsi="Times New Roman" w:cs="Times New Roman"/>
          <w:i/>
          <w:iCs/>
        </w:rPr>
        <w:t>The Statutory Liberalization of Trust Law: Distribution in Time and Space</w:t>
      </w:r>
      <w:r w:rsidRPr="00AE3755">
        <w:rPr>
          <w:rFonts w:ascii="Times New Roman" w:hAnsi="Times New Roman" w:cs="Times New Roman"/>
        </w:rPr>
        <w:t xml:space="preserve"> </w:t>
      </w:r>
      <w:hyperlink r:id="rId10" w:history="1">
        <w:r w:rsidRPr="00AE3755">
          <w:rPr>
            <w:rStyle w:val="Hyperlink"/>
            <w:rFonts w:ascii="Times New Roman" w:hAnsi="Times New Roman" w:cs="Times New Roman"/>
          </w:rPr>
          <w:t>https://osf.io/yf5p6/</w:t>
        </w:r>
      </w:hyperlink>
      <w:r w:rsidRPr="00AE3755">
        <w:rPr>
          <w:rFonts w:ascii="Times New Roman" w:hAnsi="Times New Roman" w:cs="Times New Roman"/>
        </w:rPr>
        <w:t xml:space="preserve"> (last visited </w:t>
      </w:r>
      <w:r>
        <w:rPr>
          <w:rFonts w:ascii="Times New Roman" w:hAnsi="Times New Roman" w:cs="Times New Roman"/>
        </w:rPr>
        <w:t>Jan</w:t>
      </w:r>
      <w:r w:rsidRPr="00AE3755">
        <w:rPr>
          <w:rFonts w:ascii="Times New Roman" w:hAnsi="Times New Roman" w:cs="Times New Roman"/>
        </w:rPr>
        <w:t xml:space="preserve">. </w:t>
      </w:r>
      <w:r>
        <w:rPr>
          <w:rFonts w:ascii="Times New Roman" w:hAnsi="Times New Roman" w:cs="Times New Roman"/>
        </w:rPr>
        <w:t>9</w:t>
      </w:r>
      <w:r w:rsidRPr="00AE3755">
        <w:rPr>
          <w:rFonts w:ascii="Times New Roman" w:hAnsi="Times New Roman" w:cs="Times New Roman"/>
        </w:rPr>
        <w:t>, 20</w:t>
      </w:r>
      <w:r>
        <w:rPr>
          <w:rFonts w:ascii="Times New Roman" w:hAnsi="Times New Roman" w:cs="Times New Roman"/>
        </w:rPr>
        <w:t>20</w:t>
      </w:r>
      <w:r w:rsidRPr="00AE3755">
        <w:rPr>
          <w:rFonts w:ascii="Times New Roman" w:hAnsi="Times New Roman" w:cs="Times New Roman"/>
        </w:rPr>
        <w:t xml:space="preserve">, </w:t>
      </w:r>
      <w:r>
        <w:rPr>
          <w:rFonts w:ascii="Times New Roman" w:hAnsi="Times New Roman" w:cs="Times New Roman"/>
        </w:rPr>
        <w:t>4</w:t>
      </w:r>
      <w:r w:rsidRPr="00AE3755">
        <w:rPr>
          <w:rFonts w:ascii="Times New Roman" w:hAnsi="Times New Roman" w:cs="Times New Roman"/>
        </w:rPr>
        <w:t>:</w:t>
      </w:r>
      <w:r>
        <w:rPr>
          <w:rFonts w:ascii="Times New Roman" w:hAnsi="Times New Roman" w:cs="Times New Roman"/>
        </w:rPr>
        <w:t>1</w:t>
      </w:r>
      <w:r w:rsidRPr="00AE3755">
        <w:rPr>
          <w:rFonts w:ascii="Times New Roman" w:hAnsi="Times New Roman" w:cs="Times New Roman"/>
        </w:rPr>
        <w:t>5 PM).</w:t>
      </w:r>
    </w:p>
  </w:footnote>
  <w:footnote w:id="44">
    <w:p w14:paraId="7599BA23"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color w:val="000000"/>
          <w:shd w:val="clear" w:color="auto" w:fill="FFFFFF"/>
        </w:rPr>
        <w:t xml:space="preserve">For work following this practice </w:t>
      </w:r>
      <w:r w:rsidRPr="00953133">
        <w:rPr>
          <w:rFonts w:ascii="Times New Roman" w:hAnsi="Times New Roman" w:cs="Times New Roman"/>
          <w:i/>
          <w:iCs/>
          <w:color w:val="000000"/>
          <w:shd w:val="clear" w:color="auto" w:fill="FFFFFF"/>
        </w:rPr>
        <w:t>see</w:t>
      </w:r>
      <w:r w:rsidRPr="00AE3755">
        <w:rPr>
          <w:rFonts w:ascii="Times New Roman" w:hAnsi="Times New Roman" w:cs="Times New Roman"/>
          <w:color w:val="000000"/>
          <w:shd w:val="clear" w:color="auto" w:fill="FFFFFF"/>
        </w:rPr>
        <w:t xml:space="preserve">, </w:t>
      </w:r>
      <w:r w:rsidRPr="00953133">
        <w:rPr>
          <w:rFonts w:ascii="Times New Roman" w:hAnsi="Times New Roman" w:cs="Times New Roman"/>
          <w:i/>
          <w:iCs/>
          <w:color w:val="000000"/>
          <w:shd w:val="clear" w:color="auto" w:fill="FFFFFF"/>
        </w:rPr>
        <w:t>e.g.</w:t>
      </w:r>
      <w:r w:rsidRPr="00AE3755">
        <w:rPr>
          <w:rFonts w:ascii="Times New Roman" w:hAnsi="Times New Roman" w:cs="Times New Roman"/>
          <w:color w:val="000000"/>
          <w:shd w:val="clear" w:color="auto" w:fill="FFFFFF"/>
        </w:rPr>
        <w:t>, Timothy Besley &amp;</w:t>
      </w:r>
      <w:r w:rsidRPr="00AE3755">
        <w:rPr>
          <w:rFonts w:ascii="Times New Roman" w:hAnsi="Times New Roman" w:cs="Times New Roman"/>
        </w:rPr>
        <w:t xml:space="preserve"> Robin Burgess, </w:t>
      </w:r>
      <w:r w:rsidRPr="00AE3755">
        <w:rPr>
          <w:rFonts w:ascii="Times New Roman" w:hAnsi="Times New Roman" w:cs="Times New Roman"/>
          <w:i/>
          <w:iCs/>
        </w:rPr>
        <w:t>Can Labor Regulation Hinder Economic Performance? Evidence from India</w:t>
      </w:r>
      <w:r w:rsidRPr="00AE3755">
        <w:rPr>
          <w:rFonts w:ascii="Times New Roman" w:hAnsi="Times New Roman" w:cs="Times New Roman"/>
        </w:rPr>
        <w:t xml:space="preserve">, 119 </w:t>
      </w:r>
      <w:r w:rsidRPr="00AE3755">
        <w:rPr>
          <w:rFonts w:ascii="Times New Roman" w:hAnsi="Times New Roman" w:cs="Times New Roman"/>
          <w:smallCaps/>
        </w:rPr>
        <w:t xml:space="preserve">Quarterly J. of Econ. </w:t>
      </w:r>
      <w:r w:rsidRPr="00AE3755">
        <w:rPr>
          <w:rFonts w:ascii="Times New Roman" w:hAnsi="Times New Roman" w:cs="Times New Roman"/>
        </w:rPr>
        <w:t>91 (2004)</w:t>
      </w:r>
      <w:r w:rsidRPr="00AE3755">
        <w:rPr>
          <w:rFonts w:ascii="Times New Roman" w:hAnsi="Times New Roman" w:cs="Times New Roman"/>
          <w:color w:val="000000"/>
          <w:shd w:val="clear" w:color="auto" w:fill="FFFFFF"/>
        </w:rPr>
        <w:t xml:space="preserve">; </w:t>
      </w:r>
      <w:r w:rsidRPr="00953133">
        <w:rPr>
          <w:rFonts w:ascii="Times New Roman" w:hAnsi="Times New Roman" w:cs="Times New Roman"/>
          <w:i/>
          <w:iCs/>
          <w:color w:val="000000"/>
          <w:shd w:val="clear" w:color="auto" w:fill="FFFFFF"/>
        </w:rPr>
        <w:t>see</w:t>
      </w:r>
      <w:r w:rsidRPr="00AE3755">
        <w:rPr>
          <w:rFonts w:ascii="Times New Roman" w:hAnsi="Times New Roman" w:cs="Times New Roman"/>
          <w:color w:val="000000"/>
          <w:shd w:val="clear" w:color="auto" w:fill="FFFFFF"/>
        </w:rPr>
        <w:t xml:space="preserve"> their footnote 7 for their coding procedure.</w:t>
      </w:r>
    </w:p>
  </w:footnote>
  <w:footnote w:id="45">
    <w:p w14:paraId="2586B80B" w14:textId="77777777"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953133">
        <w:rPr>
          <w:rFonts w:ascii="Times New Roman" w:hAnsi="Times New Roman" w:cs="Times New Roman"/>
          <w:i/>
          <w:iCs/>
          <w:sz w:val="20"/>
          <w:szCs w:val="20"/>
        </w:rPr>
        <w:t>See</w:t>
      </w:r>
      <w:r w:rsidRPr="00AE3755">
        <w:rPr>
          <w:rFonts w:ascii="Times New Roman" w:hAnsi="Times New Roman" w:cs="Times New Roman"/>
          <w:sz w:val="20"/>
          <w:szCs w:val="20"/>
        </w:rPr>
        <w:t xml:space="preserve"> </w:t>
      </w:r>
      <w:r w:rsidRPr="00AE3755">
        <w:rPr>
          <w:rFonts w:ascii="Times New Roman" w:hAnsi="Times New Roman" w:cs="Times New Roman"/>
          <w:smallCaps/>
          <w:sz w:val="20"/>
          <w:szCs w:val="20"/>
        </w:rPr>
        <w:t>OECD, Handbook on Constructing Composite Indicators: Methodology and User Guide</w:t>
      </w:r>
      <w:r w:rsidRPr="00AE3755">
        <w:rPr>
          <w:rFonts w:ascii="Times New Roman" w:hAnsi="Times New Roman" w:cs="Times New Roman"/>
          <w:sz w:val="20"/>
          <w:szCs w:val="20"/>
        </w:rPr>
        <w:t xml:space="preserve"> 28 (2008)</w:t>
      </w:r>
      <w:r w:rsidRPr="00AE3755">
        <w:rPr>
          <w:rFonts w:ascii="Times New Roman" w:hAnsi="Times New Roman" w:cs="Times New Roman"/>
          <w:color w:val="000000"/>
          <w:sz w:val="20"/>
          <w:szCs w:val="20"/>
          <w:shd w:val="clear" w:color="auto" w:fill="FFFFFF"/>
        </w:rPr>
        <w:t xml:space="preserve"> for a description of this method.</w:t>
      </w:r>
    </w:p>
  </w:footnote>
  <w:footnote w:id="46">
    <w:p w14:paraId="02EC2040" w14:textId="6F6BCEBB" w:rsidR="00664E5F" w:rsidRPr="00953133" w:rsidRDefault="00664E5F" w:rsidP="00AE3755">
      <w:pPr>
        <w:spacing w:after="0" w:line="240" w:lineRule="auto"/>
        <w:jc w:val="both"/>
        <w:rPr>
          <w:rFonts w:ascii="Times New Roman" w:eastAsia="Times New Roman" w:hAnsi="Times New Roman" w:cs="Times New Roman"/>
          <w:color w:val="333333"/>
          <w:kern w:val="36"/>
          <w:sz w:val="20"/>
          <w:szCs w:val="20"/>
        </w:rPr>
      </w:pPr>
      <w:r w:rsidRPr="00AE3755">
        <w:rPr>
          <w:rFonts w:ascii="Times New Roman" w:hAnsi="Times New Roman" w:cs="Times New Roman"/>
          <w:color w:val="000000"/>
          <w:sz w:val="20"/>
          <w:szCs w:val="20"/>
          <w:shd w:val="clear" w:color="auto" w:fill="FFFFFF"/>
          <w:vertAlign w:val="superscript"/>
        </w:rPr>
        <w:footnoteRef/>
      </w:r>
      <w:r w:rsidRPr="00AE3755">
        <w:rPr>
          <w:rFonts w:ascii="Times New Roman" w:hAnsi="Times New Roman" w:cs="Times New Roman"/>
          <w:color w:val="000000"/>
          <w:sz w:val="20"/>
          <w:szCs w:val="20"/>
          <w:shd w:val="clear" w:color="auto" w:fill="FFFFFF"/>
        </w:rPr>
        <w:t xml:space="preserve"> For the disparate effects of regulatory reforms, whether statutorily expressed or otherwise, see, e.g., Julien Grenet, </w:t>
      </w:r>
      <w:r w:rsidRPr="00AE3755">
        <w:rPr>
          <w:rFonts w:ascii="Times New Roman" w:hAnsi="Times New Roman" w:cs="Times New Roman"/>
          <w:i/>
          <w:iCs/>
          <w:color w:val="000000"/>
          <w:sz w:val="20"/>
          <w:szCs w:val="20"/>
          <w:shd w:val="clear" w:color="auto" w:fill="FFFFFF"/>
        </w:rPr>
        <w:t>Is Extending Compulsory Schooling Alone Enough to Raise Earnings? Evidence from French and British Compulsory Schooling Laws</w:t>
      </w:r>
      <w:r w:rsidRPr="00AE3755">
        <w:rPr>
          <w:rFonts w:ascii="Times New Roman" w:hAnsi="Times New Roman" w:cs="Times New Roman"/>
          <w:color w:val="000000"/>
          <w:sz w:val="20"/>
          <w:szCs w:val="20"/>
          <w:shd w:val="clear" w:color="auto" w:fill="FFFFFF"/>
        </w:rPr>
        <w:t xml:space="preserve">, 115 </w:t>
      </w:r>
      <w:r w:rsidRPr="00AE3755">
        <w:rPr>
          <w:rFonts w:ascii="Times New Roman" w:hAnsi="Times New Roman" w:cs="Times New Roman"/>
          <w:smallCaps/>
          <w:color w:val="000000"/>
          <w:sz w:val="20"/>
          <w:szCs w:val="20"/>
          <w:shd w:val="clear" w:color="auto" w:fill="FFFFFF"/>
        </w:rPr>
        <w:t>Scandinavian J. of Econ.</w:t>
      </w:r>
      <w:r w:rsidRPr="00AE3755">
        <w:rPr>
          <w:rFonts w:ascii="Times New Roman" w:hAnsi="Times New Roman" w:cs="Times New Roman"/>
          <w:color w:val="000000"/>
          <w:sz w:val="20"/>
          <w:szCs w:val="20"/>
          <w:shd w:val="clear" w:color="auto" w:fill="FFFFFF"/>
        </w:rPr>
        <w:t xml:space="preserve"> 176 (2013). </w:t>
      </w:r>
    </w:p>
  </w:footnote>
  <w:footnote w:id="47">
    <w:p w14:paraId="3C4F440E" w14:textId="6EF74C72" w:rsidR="00664E5F" w:rsidRPr="00AE3755" w:rsidRDefault="00664E5F" w:rsidP="00AE3755">
      <w:pPr>
        <w:spacing w:after="0" w:line="240" w:lineRule="auto"/>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color w:val="000000"/>
          <w:sz w:val="20"/>
          <w:szCs w:val="20"/>
          <w:shd w:val="clear" w:color="auto" w:fill="FFFFFF"/>
        </w:rPr>
        <w:t xml:space="preserve">For work using a survey to estimate the weight of different aspects of a phenomenon in order to construct a composite index, see, e.g., Daniel J. Benjamin et al, </w:t>
      </w:r>
      <w:r w:rsidRPr="00AE3755">
        <w:rPr>
          <w:rFonts w:ascii="Times New Roman" w:hAnsi="Times New Roman" w:cs="Times New Roman"/>
          <w:i/>
          <w:iCs/>
          <w:sz w:val="20"/>
          <w:szCs w:val="20"/>
        </w:rPr>
        <w:t>Beyond Happiness and Satisfaction: Toward Well-Being Indices Based on Stated Preference</w:t>
      </w:r>
      <w:r w:rsidRPr="00AE3755">
        <w:rPr>
          <w:rFonts w:ascii="Times New Roman" w:hAnsi="Times New Roman" w:cs="Times New Roman"/>
          <w:sz w:val="20"/>
          <w:szCs w:val="20"/>
        </w:rPr>
        <w:t xml:space="preserve">, 104 </w:t>
      </w:r>
      <w:r w:rsidRPr="00AE3755">
        <w:rPr>
          <w:rFonts w:ascii="Times New Roman" w:hAnsi="Times New Roman" w:cs="Times New Roman"/>
          <w:smallCaps/>
          <w:sz w:val="20"/>
          <w:szCs w:val="20"/>
        </w:rPr>
        <w:t>Am. Econ. Rev.</w:t>
      </w:r>
      <w:r w:rsidRPr="00AE3755">
        <w:rPr>
          <w:rFonts w:ascii="Times New Roman" w:hAnsi="Times New Roman" w:cs="Times New Roman"/>
          <w:sz w:val="20"/>
          <w:szCs w:val="20"/>
        </w:rPr>
        <w:t xml:space="preserve"> 2698 (2014).</w:t>
      </w:r>
    </w:p>
  </w:footnote>
  <w:footnote w:id="48">
    <w:p w14:paraId="47F2A08E" w14:textId="77777777" w:rsidR="00664E5F" w:rsidRPr="00AE3755" w:rsidRDefault="00664E5F" w:rsidP="00AE3755">
      <w:pPr>
        <w:pStyle w:val="FootnoteText"/>
        <w:jc w:val="both"/>
        <w:rPr>
          <w:rFonts w:ascii="Times New Roman" w:hAnsi="Times New Roman" w:cs="Times New Roman"/>
        </w:rPr>
      </w:pPr>
      <w:r w:rsidRPr="00AE3755">
        <w:rPr>
          <w:rFonts w:ascii="Times New Roman" w:hAnsi="Times New Roman" w:cs="Times New Roman"/>
          <w:color w:val="000000"/>
          <w:shd w:val="clear" w:color="auto" w:fill="FFFFFF"/>
          <w:vertAlign w:val="superscript"/>
        </w:rPr>
        <w:footnoteRef/>
      </w:r>
      <w:r w:rsidRPr="00AE3755">
        <w:rPr>
          <w:rFonts w:ascii="Times New Roman" w:hAnsi="Times New Roman" w:cs="Times New Roman"/>
          <w:color w:val="000000"/>
          <w:shd w:val="clear" w:color="auto" w:fill="FFFFFF"/>
          <w:vertAlign w:val="superscript"/>
        </w:rPr>
        <w:t xml:space="preserve"> </w:t>
      </w:r>
      <w:r w:rsidRPr="00AE3755">
        <w:rPr>
          <w:rFonts w:ascii="Times New Roman" w:hAnsi="Times New Roman" w:cs="Times New Roman"/>
          <w:color w:val="000000"/>
          <w:shd w:val="clear" w:color="auto" w:fill="FFFFFF"/>
        </w:rPr>
        <w:t>A graph depicting Cronbach’s alpha for each year of observations is available as part of the online supplement to this article.</w:t>
      </w:r>
      <w:r w:rsidRPr="00AE3755">
        <w:rPr>
          <w:rFonts w:ascii="Times New Roman" w:hAnsi="Times New Roman" w:cs="Times New Roman"/>
        </w:rPr>
        <w:t xml:space="preserve"> </w:t>
      </w:r>
    </w:p>
  </w:footnote>
  <w:footnote w:id="49">
    <w:p w14:paraId="42064EC3"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w:t>
      </w:r>
      <w:r w:rsidRPr="00AE3755">
        <w:rPr>
          <w:rFonts w:ascii="Times New Roman" w:hAnsi="Times New Roman" w:cs="Times New Roman"/>
          <w:i/>
          <w:iCs/>
          <w:color w:val="000000"/>
          <w:shd w:val="clear" w:color="auto" w:fill="FFFFFF"/>
        </w:rPr>
        <w:t>ee, e.g.</w:t>
      </w:r>
      <w:r w:rsidRPr="00AE3755">
        <w:rPr>
          <w:rFonts w:ascii="Times New Roman" w:hAnsi="Times New Roman" w:cs="Times New Roman"/>
          <w:color w:val="000000"/>
          <w:shd w:val="clear" w:color="auto" w:fill="FFFFFF"/>
        </w:rPr>
        <w:t>, Jersey, Trusts (Jersey) Law, s. 9A; Guernsey, Trusts (Guernsey) Law, s. 15.</w:t>
      </w:r>
    </w:p>
  </w:footnote>
  <w:footnote w:id="50">
    <w:p w14:paraId="07086D41"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color w:val="000000"/>
          <w:shd w:val="clear" w:color="auto" w:fill="FFFFFF"/>
        </w:rPr>
        <w:t>See, e.g.</w:t>
      </w:r>
      <w:r w:rsidRPr="00AE3755">
        <w:rPr>
          <w:rFonts w:ascii="Times New Roman" w:hAnsi="Times New Roman" w:cs="Times New Roman"/>
          <w:color w:val="000000"/>
          <w:shd w:val="clear" w:color="auto" w:fill="FFFFFF"/>
        </w:rPr>
        <w:t xml:space="preserve">, </w:t>
      </w:r>
      <w:r w:rsidRPr="00AE3755">
        <w:rPr>
          <w:rFonts w:ascii="Times New Roman" w:hAnsi="Times New Roman" w:cs="Times New Roman"/>
          <w:smallCaps/>
          <w:color w:val="000000"/>
          <w:shd w:val="clear" w:color="auto" w:fill="FFFFFF"/>
        </w:rPr>
        <w:t>West Virginia Code Ann.</w:t>
      </w:r>
      <w:r w:rsidRPr="00AE3755">
        <w:rPr>
          <w:rFonts w:ascii="Times New Roman" w:hAnsi="Times New Roman" w:cs="Times New Roman"/>
          <w:color w:val="000000"/>
          <w:shd w:val="clear" w:color="auto" w:fill="FFFFFF"/>
        </w:rPr>
        <w:t>, c. 44d, s. 6-602.</w:t>
      </w:r>
    </w:p>
  </w:footnote>
  <w:footnote w:id="51">
    <w:p w14:paraId="695404FE"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color w:val="000000"/>
          <w:shd w:val="clear" w:color="auto" w:fill="FFFFFF"/>
        </w:rPr>
        <w:t>See, e.g.</w:t>
      </w:r>
      <w:r w:rsidRPr="00AE3755">
        <w:rPr>
          <w:rFonts w:ascii="Times New Roman" w:hAnsi="Times New Roman" w:cs="Times New Roman"/>
          <w:color w:val="000000"/>
          <w:shd w:val="clear" w:color="auto" w:fill="FFFFFF"/>
        </w:rPr>
        <w:t xml:space="preserve">, </w:t>
      </w:r>
      <w:r w:rsidRPr="00AE3755">
        <w:rPr>
          <w:rFonts w:ascii="Times New Roman" w:hAnsi="Times New Roman" w:cs="Times New Roman"/>
          <w:smallCaps/>
          <w:color w:val="000000"/>
          <w:shd w:val="clear" w:color="auto" w:fill="FFFFFF"/>
        </w:rPr>
        <w:t>Florida Stat. Ann</w:t>
      </w:r>
      <w:r w:rsidRPr="00AE3755">
        <w:rPr>
          <w:rFonts w:ascii="Times New Roman" w:hAnsi="Times New Roman" w:cs="Times New Roman"/>
          <w:color w:val="000000"/>
          <w:shd w:val="clear" w:color="auto" w:fill="FFFFFF"/>
        </w:rPr>
        <w:t>., Tit. XLII, c. 736, s. 0807.</w:t>
      </w:r>
    </w:p>
  </w:footnote>
  <w:footnote w:id="52">
    <w:p w14:paraId="57506ED2"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color w:val="000000"/>
          <w:shd w:val="clear" w:color="auto" w:fill="FFFFFF"/>
        </w:rPr>
        <w:t>See, e.g.</w:t>
      </w:r>
      <w:r w:rsidRPr="00AE3755">
        <w:rPr>
          <w:rFonts w:ascii="Times New Roman" w:hAnsi="Times New Roman" w:cs="Times New Roman"/>
          <w:color w:val="000000"/>
          <w:shd w:val="clear" w:color="auto" w:fill="FFFFFF"/>
        </w:rPr>
        <w:t xml:space="preserve"> Ontario, Trustee Act, R.S.O. 1990, C. T.23, s. 61.</w:t>
      </w:r>
    </w:p>
  </w:footnote>
  <w:footnote w:id="53">
    <w:p w14:paraId="43B8535E"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color w:val="000000"/>
          <w:shd w:val="clear" w:color="auto" w:fill="FFFFFF"/>
        </w:rPr>
        <w:t>See., e.g.</w:t>
      </w:r>
      <w:r w:rsidRPr="00AE3755">
        <w:rPr>
          <w:rFonts w:ascii="Times New Roman" w:hAnsi="Times New Roman" w:cs="Times New Roman"/>
          <w:color w:val="000000"/>
          <w:shd w:val="clear" w:color="auto" w:fill="FFFFFF"/>
        </w:rPr>
        <w:t>, Oregon, R.S.A., s. 130.635.</w:t>
      </w:r>
    </w:p>
  </w:footnote>
  <w:footnote w:id="54">
    <w:p w14:paraId="5C29CC3C" w14:textId="5E3D8A4F" w:rsidR="00664E5F" w:rsidRPr="00AE3755" w:rsidRDefault="00664E5F" w:rsidP="00AE3755">
      <w:pPr>
        <w:autoSpaceDE w:val="0"/>
        <w:autoSpaceDN w:val="0"/>
        <w:adjustRightInd w:val="0"/>
        <w:spacing w:after="0" w:line="240" w:lineRule="auto"/>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smallCaps/>
          <w:sz w:val="20"/>
          <w:szCs w:val="20"/>
        </w:rPr>
        <w:t>Unif. Trust Code</w:t>
      </w:r>
      <w:r w:rsidRPr="00AE3755">
        <w:rPr>
          <w:rFonts w:ascii="Times New Roman" w:hAnsi="Times New Roman" w:cs="Times New Roman"/>
          <w:sz w:val="20"/>
          <w:szCs w:val="20"/>
        </w:rPr>
        <w:t>, Prefatory Note, at p. 1 (stating that the “Uniform Trust Code is the first comprehensive Uniform Act on the subject of trusts”).</w:t>
      </w:r>
    </w:p>
  </w:footnote>
  <w:footnote w:id="55">
    <w:p w14:paraId="11631844" w14:textId="62F9AEF4" w:rsidR="00664E5F" w:rsidRPr="00AE3755" w:rsidRDefault="00664E5F" w:rsidP="00F1222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w:t>
      </w:r>
      <w:r w:rsidRPr="00AE3755">
        <w:rPr>
          <w:rFonts w:ascii="Times New Roman" w:hAnsi="Times New Roman" w:cs="Times New Roman"/>
          <w:i/>
          <w:iCs/>
          <w:color w:val="000000"/>
          <w:shd w:val="clear" w:color="auto" w:fill="FFFFFF"/>
        </w:rPr>
        <w:t>ee</w:t>
      </w:r>
      <w:r w:rsidRPr="00AE3755">
        <w:rPr>
          <w:rFonts w:ascii="Times New Roman" w:hAnsi="Times New Roman" w:cs="Times New Roman"/>
          <w:color w:val="000000"/>
          <w:shd w:val="clear" w:color="auto" w:fill="FFFFFF"/>
        </w:rPr>
        <w:t xml:space="preserve"> a current adoption count at http://tinyurl.com/y6dke5nw </w:t>
      </w:r>
      <w:r w:rsidRPr="00AE3755">
        <w:rPr>
          <w:rFonts w:ascii="Times New Roman" w:hAnsi="Times New Roman" w:cs="Times New Roman"/>
        </w:rPr>
        <w:t>(</w:t>
      </w:r>
      <w:r w:rsidR="00F12223" w:rsidRPr="00AE3755">
        <w:rPr>
          <w:rFonts w:ascii="Times New Roman" w:hAnsi="Times New Roman" w:cs="Times New Roman"/>
        </w:rPr>
        <w:t xml:space="preserve">last visited </w:t>
      </w:r>
      <w:r w:rsidR="00F12223">
        <w:rPr>
          <w:rFonts w:ascii="Times New Roman" w:hAnsi="Times New Roman" w:cs="Times New Roman"/>
        </w:rPr>
        <w:t>Jan</w:t>
      </w:r>
      <w:r w:rsidR="00F12223" w:rsidRPr="00AE3755">
        <w:rPr>
          <w:rFonts w:ascii="Times New Roman" w:hAnsi="Times New Roman" w:cs="Times New Roman"/>
        </w:rPr>
        <w:t xml:space="preserve">. </w:t>
      </w:r>
      <w:r w:rsidR="00F12223">
        <w:rPr>
          <w:rFonts w:ascii="Times New Roman" w:hAnsi="Times New Roman" w:cs="Times New Roman"/>
        </w:rPr>
        <w:t>9</w:t>
      </w:r>
      <w:r w:rsidR="00F12223" w:rsidRPr="00AE3755">
        <w:rPr>
          <w:rFonts w:ascii="Times New Roman" w:hAnsi="Times New Roman" w:cs="Times New Roman"/>
        </w:rPr>
        <w:t>, 20</w:t>
      </w:r>
      <w:r w:rsidR="00F12223">
        <w:rPr>
          <w:rFonts w:ascii="Times New Roman" w:hAnsi="Times New Roman" w:cs="Times New Roman"/>
        </w:rPr>
        <w:t>20</w:t>
      </w:r>
      <w:r w:rsidR="00F12223" w:rsidRPr="00AE3755">
        <w:rPr>
          <w:rFonts w:ascii="Times New Roman" w:hAnsi="Times New Roman" w:cs="Times New Roman"/>
        </w:rPr>
        <w:t xml:space="preserve">, </w:t>
      </w:r>
      <w:r w:rsidR="00F12223">
        <w:rPr>
          <w:rFonts w:ascii="Times New Roman" w:hAnsi="Times New Roman" w:cs="Times New Roman"/>
        </w:rPr>
        <w:t>4</w:t>
      </w:r>
      <w:r w:rsidR="00F12223" w:rsidRPr="00AE3755">
        <w:rPr>
          <w:rFonts w:ascii="Times New Roman" w:hAnsi="Times New Roman" w:cs="Times New Roman"/>
        </w:rPr>
        <w:t>:</w:t>
      </w:r>
      <w:r w:rsidR="00F12223">
        <w:rPr>
          <w:rFonts w:ascii="Times New Roman" w:hAnsi="Times New Roman" w:cs="Times New Roman"/>
        </w:rPr>
        <w:t>1</w:t>
      </w:r>
      <w:r w:rsidR="00F12223" w:rsidRPr="00AE3755">
        <w:rPr>
          <w:rFonts w:ascii="Times New Roman" w:hAnsi="Times New Roman" w:cs="Times New Roman"/>
        </w:rPr>
        <w:t>5 PM</w:t>
      </w:r>
      <w:r w:rsidRPr="00AE3755">
        <w:rPr>
          <w:rFonts w:ascii="Times New Roman" w:hAnsi="Times New Roman" w:cs="Times New Roman"/>
        </w:rPr>
        <w:t>)</w:t>
      </w:r>
      <w:r w:rsidRPr="00AE3755">
        <w:rPr>
          <w:rFonts w:ascii="Times New Roman" w:hAnsi="Times New Roman" w:cs="Times New Roman"/>
          <w:color w:val="000000"/>
          <w:shd w:val="clear" w:color="auto" w:fill="FFFFFF"/>
        </w:rPr>
        <w:t>.</w:t>
      </w:r>
    </w:p>
  </w:footnote>
  <w:footnote w:id="56">
    <w:p w14:paraId="352D6E1D" w14:textId="72D7F0AC"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i/>
          <w:iCs/>
        </w:rPr>
        <w:t>S</w:t>
      </w:r>
      <w:r w:rsidRPr="00AE3755">
        <w:rPr>
          <w:rFonts w:ascii="Times New Roman" w:hAnsi="Times New Roman" w:cs="Times New Roman"/>
          <w:i/>
          <w:iCs/>
          <w:color w:val="000000"/>
          <w:shd w:val="clear" w:color="auto" w:fill="FFFFFF"/>
        </w:rPr>
        <w:t>ee</w:t>
      </w:r>
      <w:r w:rsidRPr="00AE3755">
        <w:rPr>
          <w:rFonts w:ascii="Times New Roman" w:hAnsi="Times New Roman" w:cs="Times New Roman"/>
          <w:color w:val="000000"/>
          <w:shd w:val="clear" w:color="auto" w:fill="FFFFFF"/>
        </w:rPr>
        <w:t xml:space="preserve"> </w:t>
      </w:r>
      <w:r w:rsidRPr="00AE3755">
        <w:rPr>
          <w:rFonts w:ascii="Times New Roman" w:hAnsi="Times New Roman" w:cs="Times New Roman"/>
          <w:i/>
          <w:iCs/>
          <w:color w:val="000000"/>
          <w:shd w:val="clear" w:color="auto" w:fill="FFFFFF"/>
        </w:rPr>
        <w:t xml:space="preserve">supra </w:t>
      </w:r>
      <w:r w:rsidRPr="00AE3755">
        <w:rPr>
          <w:rFonts w:ascii="Times New Roman" w:hAnsi="Times New Roman" w:cs="Times New Roman"/>
          <w:color w:val="000000"/>
          <w:shd w:val="clear" w:color="auto" w:fill="FFFFFF"/>
        </w:rPr>
        <w:t>text accompanying notes 48-52.</w:t>
      </w:r>
    </w:p>
  </w:footnote>
  <w:footnote w:id="57">
    <w:p w14:paraId="21A69763" w14:textId="7E3FE097"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953133">
        <w:rPr>
          <w:rFonts w:ascii="Times New Roman" w:hAnsi="Times New Roman" w:cs="Times New Roman"/>
          <w:i/>
          <w:iCs/>
        </w:rPr>
        <w:t>See</w:t>
      </w:r>
      <w:r w:rsidRPr="00AE3755">
        <w:rPr>
          <w:rFonts w:ascii="Times New Roman" w:hAnsi="Times New Roman" w:cs="Times New Roman"/>
        </w:rPr>
        <w:t xml:space="preserve">, </w:t>
      </w:r>
      <w:r w:rsidRPr="00953133">
        <w:rPr>
          <w:rFonts w:ascii="Times New Roman" w:hAnsi="Times New Roman" w:cs="Times New Roman"/>
          <w:i/>
          <w:iCs/>
        </w:rPr>
        <w:t>e.g.</w:t>
      </w:r>
      <w:r w:rsidRPr="00AE3755">
        <w:rPr>
          <w:rFonts w:ascii="Times New Roman" w:hAnsi="Times New Roman" w:cs="Times New Roman"/>
        </w:rPr>
        <w:t xml:space="preserve">, discussion of this process in New Hampshire in the source quoted in </w:t>
      </w:r>
      <w:r w:rsidRPr="00AE3755">
        <w:rPr>
          <w:rFonts w:ascii="Times New Roman" w:hAnsi="Times New Roman" w:cs="Times New Roman"/>
          <w:i/>
          <w:iCs/>
        </w:rPr>
        <w:t>infra</w:t>
      </w:r>
      <w:r w:rsidRPr="00AE3755">
        <w:rPr>
          <w:rFonts w:ascii="Times New Roman" w:hAnsi="Times New Roman" w:cs="Times New Roman"/>
        </w:rPr>
        <w:t xml:space="preserve"> note 63.</w:t>
      </w:r>
    </w:p>
  </w:footnote>
  <w:footnote w:id="58">
    <w:p w14:paraId="0F0A6AAA" w14:textId="77777777"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color w:val="000000"/>
          <w:sz w:val="20"/>
          <w:szCs w:val="20"/>
          <w:shd w:val="clear" w:color="auto" w:fill="FFFFFF"/>
        </w:rPr>
        <w:t xml:space="preserve">For the highly liberal trust law of which </w:t>
      </w:r>
      <w:r w:rsidRPr="00953133">
        <w:rPr>
          <w:rFonts w:ascii="Times New Roman" w:hAnsi="Times New Roman" w:cs="Times New Roman"/>
          <w:i/>
          <w:iCs/>
          <w:color w:val="000000"/>
          <w:sz w:val="20"/>
          <w:szCs w:val="20"/>
          <w:shd w:val="clear" w:color="auto" w:fill="FFFFFF"/>
        </w:rPr>
        <w:t>see</w:t>
      </w:r>
      <w:r w:rsidRPr="00AE3755">
        <w:rPr>
          <w:rFonts w:ascii="Times New Roman" w:hAnsi="Times New Roman" w:cs="Times New Roman"/>
          <w:color w:val="000000"/>
          <w:sz w:val="20"/>
          <w:szCs w:val="20"/>
          <w:shd w:val="clear" w:color="auto" w:fill="FFFFFF"/>
        </w:rPr>
        <w:t xml:space="preserve"> </w:t>
      </w:r>
      <w:r w:rsidRPr="00AE3755">
        <w:rPr>
          <w:rFonts w:ascii="Times New Roman" w:hAnsi="Times New Roman" w:cs="Times New Roman"/>
          <w:sz w:val="20"/>
          <w:szCs w:val="20"/>
        </w:rPr>
        <w:t xml:space="preserve">Christopher Paul, </w:t>
      </w:r>
      <w:r w:rsidRPr="00AE3755">
        <w:rPr>
          <w:rFonts w:ascii="Times New Roman" w:hAnsi="Times New Roman" w:cs="Times New Roman"/>
          <w:i/>
          <w:iCs/>
          <w:sz w:val="20"/>
          <w:szCs w:val="20"/>
        </w:rPr>
        <w:t>Innovation or a Race to the Bottom? Trust "Modernization" in New Hampshire</w:t>
      </w:r>
      <w:r w:rsidRPr="00AE3755">
        <w:rPr>
          <w:rFonts w:ascii="Times New Roman" w:hAnsi="Times New Roman" w:cs="Times New Roman"/>
          <w:sz w:val="20"/>
          <w:szCs w:val="20"/>
        </w:rPr>
        <w:t xml:space="preserve">, 7 </w:t>
      </w:r>
      <w:r w:rsidRPr="00AE3755">
        <w:rPr>
          <w:rFonts w:ascii="Times New Roman" w:hAnsi="Times New Roman" w:cs="Times New Roman"/>
          <w:smallCaps/>
          <w:sz w:val="20"/>
          <w:szCs w:val="20"/>
        </w:rPr>
        <w:t>Pierce L. Rev.</w:t>
      </w:r>
      <w:r w:rsidRPr="00AE3755">
        <w:rPr>
          <w:rFonts w:ascii="Times New Roman" w:hAnsi="Times New Roman" w:cs="Times New Roman"/>
          <w:sz w:val="20"/>
          <w:szCs w:val="20"/>
        </w:rPr>
        <w:t xml:space="preserve"> 353 (2009).</w:t>
      </w:r>
    </w:p>
  </w:footnote>
  <w:footnote w:id="59">
    <w:p w14:paraId="58043911" w14:textId="2E33CDAD" w:rsidR="00664E5F" w:rsidRPr="00AE3755" w:rsidRDefault="00664E5F" w:rsidP="00AE3755">
      <w:pPr>
        <w:pStyle w:val="FootnoteText"/>
        <w:jc w:val="both"/>
        <w:rPr>
          <w:rFonts w:ascii="Times New Roman" w:hAnsi="Times New Roman" w:cs="Times New Roman"/>
          <w:color w:val="000000"/>
          <w:shd w:val="clear" w:color="auto" w:fill="FFFFFF"/>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color w:val="000000"/>
          <w:shd w:val="clear" w:color="auto" w:fill="FFFFFF"/>
        </w:rPr>
        <w:t xml:space="preserve">For the highly liberal trust law of which </w:t>
      </w:r>
      <w:r w:rsidRPr="00953133">
        <w:rPr>
          <w:rFonts w:ascii="Times New Roman" w:hAnsi="Times New Roman" w:cs="Times New Roman"/>
          <w:i/>
          <w:iCs/>
          <w:color w:val="000000"/>
          <w:shd w:val="clear" w:color="auto" w:fill="FFFFFF"/>
        </w:rPr>
        <w:t>see</w:t>
      </w:r>
      <w:r w:rsidRPr="00AE3755">
        <w:rPr>
          <w:rFonts w:ascii="Times New Roman" w:hAnsi="Times New Roman" w:cs="Times New Roman"/>
          <w:color w:val="000000"/>
          <w:shd w:val="clear" w:color="auto" w:fill="FFFFFF"/>
        </w:rPr>
        <w:t xml:space="preserve"> Brandon Crooks, </w:t>
      </w:r>
      <w:r w:rsidRPr="00AE3755">
        <w:rPr>
          <w:rFonts w:ascii="Times New Roman" w:hAnsi="Times New Roman" w:cs="Times New Roman"/>
          <w:i/>
          <w:iCs/>
          <w:color w:val="000000"/>
          <w:shd w:val="clear" w:color="auto" w:fill="FFFFFF"/>
        </w:rPr>
        <w:t>Tennessee Emerges as a New and Important Trust State</w:t>
      </w:r>
      <w:r w:rsidRPr="00AE3755">
        <w:rPr>
          <w:rFonts w:ascii="Times New Roman" w:hAnsi="Times New Roman" w:cs="Times New Roman"/>
          <w:color w:val="000000"/>
          <w:shd w:val="clear" w:color="auto" w:fill="FFFFFF"/>
        </w:rPr>
        <w:t xml:space="preserve">, </w:t>
      </w:r>
      <w:r w:rsidRPr="00AE3755">
        <w:rPr>
          <w:rFonts w:ascii="Times New Roman" w:hAnsi="Times New Roman" w:cs="Times New Roman"/>
          <w:smallCaps/>
          <w:color w:val="000000"/>
          <w:shd w:val="clear" w:color="auto" w:fill="FFFFFF"/>
        </w:rPr>
        <w:t>The Wealth Advisor</w:t>
      </w:r>
      <w:r w:rsidRPr="00AE3755">
        <w:rPr>
          <w:rFonts w:ascii="Times New Roman" w:hAnsi="Times New Roman" w:cs="Times New Roman"/>
          <w:color w:val="000000"/>
          <w:shd w:val="clear" w:color="auto" w:fill="FFFFFF"/>
        </w:rPr>
        <w:t xml:space="preserve">, </w:t>
      </w:r>
      <w:hyperlink r:id="rId11" w:history="1">
        <w:r w:rsidRPr="00AE3755">
          <w:rPr>
            <w:rStyle w:val="Hyperlink"/>
            <w:rFonts w:ascii="Times New Roman" w:hAnsi="Times New Roman" w:cs="Times New Roman"/>
          </w:rPr>
          <w:t>https://www.thewealthadvisor.com/sponsored-article/tennessee-emerges-new-and-important-trust-state</w:t>
        </w:r>
      </w:hyperlink>
      <w:r w:rsidRPr="00AE3755">
        <w:rPr>
          <w:rFonts w:ascii="Times New Roman" w:hAnsi="Times New Roman" w:cs="Times New Roman"/>
        </w:rPr>
        <w:t xml:space="preserve"> (</w:t>
      </w:r>
      <w:r w:rsidRPr="00AE3755">
        <w:rPr>
          <w:rFonts w:ascii="Times New Roman" w:hAnsi="Times New Roman" w:cs="Times New Roman"/>
          <w:color w:val="000000"/>
          <w:shd w:val="clear" w:color="auto" w:fill="FFFFFF"/>
        </w:rPr>
        <w:t>last visited Jan. 8, 20</w:t>
      </w:r>
      <w:r w:rsidRPr="00AE3755">
        <w:rPr>
          <w:rFonts w:ascii="Times New Roman" w:hAnsi="Times New Roman" w:cs="Times New Roman"/>
          <w:color w:val="000000"/>
          <w:shd w:val="clear" w:color="auto" w:fill="FFFFFF"/>
          <w:rtl/>
        </w:rPr>
        <w:t>20</w:t>
      </w:r>
      <w:r w:rsidRPr="00AE3755">
        <w:rPr>
          <w:rFonts w:ascii="Times New Roman" w:hAnsi="Times New Roman" w:cs="Times New Roman"/>
          <w:color w:val="000000"/>
          <w:shd w:val="clear" w:color="auto" w:fill="FFFFFF"/>
        </w:rPr>
        <w:t>, 11:40 PM).</w:t>
      </w:r>
    </w:p>
  </w:footnote>
  <w:footnote w:id="60">
    <w:p w14:paraId="0E937553" w14:textId="7FB61DF0" w:rsidR="00664E5F" w:rsidRPr="00AE3755" w:rsidRDefault="00664E5F" w:rsidP="00AE3755">
      <w:pPr>
        <w:pStyle w:val="FootnoteText"/>
        <w:jc w:val="both"/>
        <w:rPr>
          <w:rFonts w:ascii="Times New Roman" w:hAnsi="Times New Roman" w:cs="Times New Roman"/>
          <w:color w:val="000000"/>
          <w:shd w:val="clear" w:color="auto" w:fill="FFFFFF"/>
        </w:rPr>
      </w:pPr>
      <w:r w:rsidRPr="00AE3755">
        <w:rPr>
          <w:rFonts w:ascii="Times New Roman" w:hAnsi="Times New Roman" w:cs="Times New Roman"/>
          <w:color w:val="000000"/>
          <w:shd w:val="clear" w:color="auto" w:fill="FFFFFF"/>
          <w:vertAlign w:val="superscript"/>
        </w:rPr>
        <w:footnoteRef/>
      </w:r>
      <w:r w:rsidRPr="00AE3755">
        <w:rPr>
          <w:rFonts w:ascii="Times New Roman" w:hAnsi="Times New Roman" w:cs="Times New Roman"/>
          <w:color w:val="000000"/>
          <w:shd w:val="clear" w:color="auto" w:fill="FFFFFF"/>
          <w:vertAlign w:val="superscript"/>
        </w:rPr>
        <w:t xml:space="preserve"> </w:t>
      </w:r>
      <w:r w:rsidRPr="00953133">
        <w:rPr>
          <w:rFonts w:ascii="Times New Roman" w:hAnsi="Times New Roman" w:cs="Times New Roman"/>
          <w:i/>
          <w:iCs/>
          <w:color w:val="000000"/>
          <w:shd w:val="clear" w:color="auto" w:fill="FFFFFF"/>
        </w:rPr>
        <w:t>See</w:t>
      </w:r>
      <w:r w:rsidRPr="00AE3755">
        <w:rPr>
          <w:rFonts w:ascii="Times New Roman" w:hAnsi="Times New Roman" w:cs="Times New Roman"/>
          <w:color w:val="000000"/>
          <w:shd w:val="clear" w:color="auto" w:fill="FFFFFF"/>
        </w:rPr>
        <w:t xml:space="preserve"> U.S. Income Tax Return for Estates and Trusts, </w:t>
      </w:r>
      <w:hyperlink r:id="rId12" w:history="1">
        <w:r w:rsidRPr="00AE3755">
          <w:rPr>
            <w:rFonts w:ascii="Times New Roman" w:hAnsi="Times New Roman" w:cs="Times New Roman"/>
            <w:color w:val="000000"/>
            <w:shd w:val="clear" w:color="auto" w:fill="FFFFFF"/>
          </w:rPr>
          <w:t>https://www.irs.gov/pub/irs-pdf/f1041.pdf</w:t>
        </w:r>
      </w:hyperlink>
      <w:r w:rsidRPr="00AE3755">
        <w:rPr>
          <w:rFonts w:ascii="Times New Roman" w:hAnsi="Times New Roman" w:cs="Times New Roman"/>
          <w:color w:val="000000"/>
          <w:shd w:val="clear" w:color="auto" w:fill="FFFFFF"/>
        </w:rPr>
        <w:t xml:space="preserve"> (last visited Jan. 8, 20</w:t>
      </w:r>
      <w:r w:rsidRPr="00AE3755">
        <w:rPr>
          <w:rFonts w:ascii="Times New Roman" w:hAnsi="Times New Roman" w:cs="Times New Roman"/>
          <w:color w:val="000000"/>
          <w:shd w:val="clear" w:color="auto" w:fill="FFFFFF"/>
          <w:rtl/>
        </w:rPr>
        <w:t>20</w:t>
      </w:r>
      <w:r w:rsidRPr="00AE3755">
        <w:rPr>
          <w:rFonts w:ascii="Times New Roman" w:hAnsi="Times New Roman" w:cs="Times New Roman"/>
          <w:color w:val="000000"/>
          <w:shd w:val="clear" w:color="auto" w:fill="FFFFFF"/>
        </w:rPr>
        <w:t>, 11:36 PM).</w:t>
      </w:r>
    </w:p>
  </w:footnote>
  <w:footnote w:id="61">
    <w:p w14:paraId="1DAAA9FE" w14:textId="77777777"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smallCaps/>
          <w:sz w:val="20"/>
          <w:szCs w:val="20"/>
        </w:rPr>
        <w:t>OECD, Standard for Automatic Exchange of Financial Information in Tax Matters: Implementation Handbook</w:t>
      </w:r>
      <w:r w:rsidRPr="00AE3755">
        <w:rPr>
          <w:rFonts w:ascii="Times New Roman" w:hAnsi="Times New Roman" w:cs="Times New Roman"/>
          <w:sz w:val="20"/>
          <w:szCs w:val="20"/>
        </w:rPr>
        <w:t xml:space="preserve"> </w:t>
      </w:r>
      <w:r w:rsidRPr="00AE3755">
        <w:rPr>
          <w:rFonts w:ascii="Times New Roman" w:hAnsi="Times New Roman" w:cs="Times New Roman"/>
          <w:color w:val="000000"/>
          <w:sz w:val="20"/>
          <w:szCs w:val="20"/>
          <w:shd w:val="clear" w:color="auto" w:fill="FFFFFF"/>
        </w:rPr>
        <w:t>104-124</w:t>
      </w:r>
      <w:r w:rsidRPr="00AE3755">
        <w:rPr>
          <w:rFonts w:ascii="Times New Roman" w:hAnsi="Times New Roman" w:cs="Times New Roman"/>
          <w:sz w:val="20"/>
          <w:szCs w:val="20"/>
        </w:rPr>
        <w:t xml:space="preserve"> (2</w:t>
      </w:r>
      <w:r w:rsidRPr="00AE3755">
        <w:rPr>
          <w:rFonts w:ascii="Times New Roman" w:hAnsi="Times New Roman" w:cs="Times New Roman"/>
          <w:sz w:val="20"/>
          <w:szCs w:val="20"/>
          <w:vertAlign w:val="superscript"/>
        </w:rPr>
        <w:t>nd</w:t>
      </w:r>
      <w:r w:rsidRPr="00AE3755">
        <w:rPr>
          <w:rFonts w:ascii="Times New Roman" w:hAnsi="Times New Roman" w:cs="Times New Roman"/>
          <w:sz w:val="20"/>
          <w:szCs w:val="20"/>
        </w:rPr>
        <w:t xml:space="preserve"> ed. 2018). </w:t>
      </w:r>
    </w:p>
  </w:footnote>
  <w:footnote w:id="62">
    <w:p w14:paraId="37482B86" w14:textId="0AAB7B6A" w:rsidR="00664E5F" w:rsidRPr="00AE3755" w:rsidRDefault="00664E5F" w:rsidP="00F1222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hyperlink r:id="rId13" w:history="1">
        <w:r w:rsidRPr="00AE3755">
          <w:rPr>
            <w:rStyle w:val="Hyperlink"/>
            <w:rFonts w:ascii="Times New Roman" w:hAnsi="Times New Roman" w:cs="Times New Roman"/>
          </w:rPr>
          <w:t>https://osf.io/yf5p6/</w:t>
        </w:r>
      </w:hyperlink>
      <w:r w:rsidRPr="00AE3755">
        <w:rPr>
          <w:rFonts w:ascii="Times New Roman" w:hAnsi="Times New Roman" w:cs="Times New Roman"/>
        </w:rPr>
        <w:t xml:space="preserve"> (</w:t>
      </w:r>
      <w:r w:rsidR="00F12223" w:rsidRPr="00AE3755">
        <w:rPr>
          <w:rFonts w:ascii="Times New Roman" w:hAnsi="Times New Roman" w:cs="Times New Roman"/>
        </w:rPr>
        <w:t xml:space="preserve">last visited </w:t>
      </w:r>
      <w:r w:rsidR="00F12223">
        <w:rPr>
          <w:rFonts w:ascii="Times New Roman" w:hAnsi="Times New Roman" w:cs="Times New Roman"/>
        </w:rPr>
        <w:t>Jan</w:t>
      </w:r>
      <w:r w:rsidR="00F12223" w:rsidRPr="00AE3755">
        <w:rPr>
          <w:rFonts w:ascii="Times New Roman" w:hAnsi="Times New Roman" w:cs="Times New Roman"/>
        </w:rPr>
        <w:t xml:space="preserve">. </w:t>
      </w:r>
      <w:r w:rsidR="00F12223">
        <w:rPr>
          <w:rFonts w:ascii="Times New Roman" w:hAnsi="Times New Roman" w:cs="Times New Roman"/>
        </w:rPr>
        <w:t>9</w:t>
      </w:r>
      <w:r w:rsidR="00F12223" w:rsidRPr="00AE3755">
        <w:rPr>
          <w:rFonts w:ascii="Times New Roman" w:hAnsi="Times New Roman" w:cs="Times New Roman"/>
        </w:rPr>
        <w:t>, 20</w:t>
      </w:r>
      <w:r w:rsidR="00F12223">
        <w:rPr>
          <w:rFonts w:ascii="Times New Roman" w:hAnsi="Times New Roman" w:cs="Times New Roman"/>
        </w:rPr>
        <w:t>20</w:t>
      </w:r>
      <w:r w:rsidR="00F12223" w:rsidRPr="00AE3755">
        <w:rPr>
          <w:rFonts w:ascii="Times New Roman" w:hAnsi="Times New Roman" w:cs="Times New Roman"/>
        </w:rPr>
        <w:t xml:space="preserve">, </w:t>
      </w:r>
      <w:r w:rsidR="00F12223">
        <w:rPr>
          <w:rFonts w:ascii="Times New Roman" w:hAnsi="Times New Roman" w:cs="Times New Roman"/>
        </w:rPr>
        <w:t>4</w:t>
      </w:r>
      <w:r w:rsidR="00F12223" w:rsidRPr="00AE3755">
        <w:rPr>
          <w:rFonts w:ascii="Times New Roman" w:hAnsi="Times New Roman" w:cs="Times New Roman"/>
        </w:rPr>
        <w:t>:</w:t>
      </w:r>
      <w:r w:rsidR="00F12223">
        <w:rPr>
          <w:rFonts w:ascii="Times New Roman" w:hAnsi="Times New Roman" w:cs="Times New Roman"/>
        </w:rPr>
        <w:t>1</w:t>
      </w:r>
      <w:r w:rsidR="00F12223" w:rsidRPr="00AE3755">
        <w:rPr>
          <w:rFonts w:ascii="Times New Roman" w:hAnsi="Times New Roman" w:cs="Times New Roman"/>
        </w:rPr>
        <w:t>5 PM</w:t>
      </w:r>
      <w:r w:rsidRPr="00AE3755">
        <w:rPr>
          <w:rFonts w:ascii="Times New Roman" w:hAnsi="Times New Roman" w:cs="Times New Roman"/>
        </w:rPr>
        <w:t>)</w:t>
      </w:r>
      <w:r w:rsidRPr="00AE3755">
        <w:rPr>
          <w:rFonts w:ascii="Times New Roman" w:hAnsi="Times New Roman" w:cs="Times New Roman"/>
          <w:color w:val="000000"/>
          <w:shd w:val="clear" w:color="auto" w:fill="FFFFFF"/>
        </w:rPr>
        <w:t>.</w:t>
      </w:r>
    </w:p>
  </w:footnote>
  <w:footnote w:id="63">
    <w:p w14:paraId="66BA7AA2"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The relevant variables are 1, 2, 15, 16, 20 and 22. The recalculated ranking is available in the online supplement to this article, in Table 1b. </w:t>
      </w:r>
    </w:p>
  </w:footnote>
  <w:footnote w:id="64">
    <w:p w14:paraId="1AFF9995" w14:textId="6785D8EF" w:rsidR="00664E5F" w:rsidRPr="00AE3755" w:rsidRDefault="00664E5F" w:rsidP="00AE3755">
      <w:pPr>
        <w:pStyle w:val="FootnoteText"/>
        <w:jc w:val="both"/>
        <w:rPr>
          <w:rFonts w:ascii="Times New Roman" w:hAnsi="Times New Roman" w:cs="Times New Roman"/>
          <w:rtl/>
        </w:rPr>
      </w:pPr>
      <w:r w:rsidRPr="00AE3755">
        <w:rPr>
          <w:rStyle w:val="FootnoteReference"/>
          <w:rFonts w:ascii="Times New Roman" w:hAnsi="Times New Roman" w:cs="Times New Roman"/>
        </w:rPr>
        <w:footnoteRef/>
      </w:r>
      <w:r w:rsidRPr="00AE3755">
        <w:rPr>
          <w:rFonts w:ascii="Times New Roman" w:hAnsi="Times New Roman" w:cs="Times New Roman"/>
        </w:rPr>
        <w:t xml:space="preserve"> See, e.g., for Hew Hampshire, shown in Table 1 </w:t>
      </w:r>
      <w:r w:rsidRPr="00AE3755">
        <w:rPr>
          <w:rFonts w:ascii="Times New Roman" w:hAnsi="Times New Roman" w:cs="Times New Roman"/>
          <w:i/>
          <w:iCs/>
        </w:rPr>
        <w:t>supra</w:t>
      </w:r>
      <w:r w:rsidRPr="00AE3755">
        <w:rPr>
          <w:rFonts w:ascii="Times New Roman" w:hAnsi="Times New Roman" w:cs="Times New Roman"/>
        </w:rPr>
        <w:t xml:space="preserve"> to co-lead the world in trust law liberalization, Michael Kitch, </w:t>
      </w:r>
      <w:r w:rsidRPr="00AE3755">
        <w:rPr>
          <w:rFonts w:ascii="Times New Roman" w:hAnsi="Times New Roman" w:cs="Times New Roman"/>
          <w:i/>
          <w:iCs/>
        </w:rPr>
        <w:t>NH Trust Laws Undergo yet Another Alteration: is Competition among States a ‘Race to the Bottom’?</w:t>
      </w:r>
      <w:r w:rsidRPr="00AE3755">
        <w:rPr>
          <w:rFonts w:ascii="Times New Roman" w:hAnsi="Times New Roman" w:cs="Times New Roman"/>
        </w:rPr>
        <w:t xml:space="preserve">, </w:t>
      </w:r>
      <w:r w:rsidRPr="00AE3755">
        <w:rPr>
          <w:rFonts w:ascii="Times New Roman" w:hAnsi="Times New Roman" w:cs="Times New Roman"/>
          <w:smallCaps/>
        </w:rPr>
        <w:t>NH Business Review</w:t>
      </w:r>
      <w:r w:rsidRPr="00AE3755">
        <w:rPr>
          <w:rFonts w:ascii="Times New Roman" w:hAnsi="Times New Roman" w:cs="Times New Roman"/>
        </w:rPr>
        <w:t xml:space="preserve"> (Aug. 3, 2017), </w:t>
      </w:r>
      <w:hyperlink r:id="rId14" w:history="1">
        <w:r w:rsidRPr="00AE3755">
          <w:rPr>
            <w:rStyle w:val="Hyperlink"/>
            <w:rFonts w:ascii="Times New Roman" w:hAnsi="Times New Roman" w:cs="Times New Roman"/>
          </w:rPr>
          <w:t>https://www.nhbr.com/nh-trust-laws-undergo-yet-another-alteration/</w:t>
        </w:r>
      </w:hyperlink>
      <w:r w:rsidRPr="00AE3755">
        <w:rPr>
          <w:rFonts w:ascii="Times New Roman" w:hAnsi="Times New Roman" w:cs="Times New Roman"/>
        </w:rPr>
        <w:t xml:space="preserve"> (describing a 2017 bill as “the latest of nearly a dozen refinements to the trust laws undertaken since the Uniform Trust Code was adopted in 2004 and the Trust Modernization and Competitiveness Act was enacted in 2006 with the express purpose of fostering “the best and most attractive legal environment in the nation for trusts and trust services,” which in turn promised significant increases in professional employment”, and later quoting a report by state Rep. Kermit Williams, who wrote that “each [statute amending New Hampshire trusts legislation] was touted as the ultimate solution to make our trust industry succeed and boost the state’s economy”, as well as a statement by Rep. Williams according to which “[n]o other part of our laws have been chewed and churned so much … It seems that these trust lawyers are forever looking for some magic formula that will make them a boatload of money.”).</w:t>
      </w:r>
    </w:p>
  </w:footnote>
  <w:footnote w:id="65">
    <w:p w14:paraId="5AB39EDA" w14:textId="77777777" w:rsidR="00664E5F" w:rsidRPr="00AE3755" w:rsidRDefault="00664E5F" w:rsidP="00AE3755">
      <w:pPr>
        <w:shd w:val="clear" w:color="auto" w:fill="FFFFFF"/>
        <w:spacing w:after="0" w:line="240" w:lineRule="auto"/>
        <w:jc w:val="both"/>
        <w:rPr>
          <w:rFonts w:ascii="Times New Roman" w:hAnsi="Times New Roman" w:cs="Times New Roman"/>
          <w:sz w:val="20"/>
          <w:szCs w:val="20"/>
          <w:shd w:val="clear" w:color="auto" w:fill="FFFFFF"/>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sz w:val="20"/>
          <w:szCs w:val="20"/>
          <w:shd w:val="clear" w:color="auto" w:fill="FFFFFF"/>
        </w:rPr>
        <w:t>Data for 2011-2013 was taken from the I.R.S. Statistics of Income Tax Stats, Fiduciary Income and</w:t>
      </w:r>
      <w:r w:rsidRPr="00AE3755">
        <w:rPr>
          <w:rFonts w:ascii="Times New Roman" w:eastAsia="Times New Roman" w:hAnsi="Times New Roman" w:cs="Times New Roman"/>
          <w:b/>
          <w:bCs/>
          <w:color w:val="333333"/>
          <w:sz w:val="20"/>
          <w:szCs w:val="20"/>
        </w:rPr>
        <w:t xml:space="preserve"> </w:t>
      </w:r>
      <w:r w:rsidRPr="00AE3755">
        <w:rPr>
          <w:rFonts w:ascii="Times New Roman" w:hAnsi="Times New Roman" w:cs="Times New Roman"/>
          <w:sz w:val="20"/>
          <w:szCs w:val="20"/>
          <w:shd w:val="clear" w:color="auto" w:fill="FFFFFF"/>
        </w:rPr>
        <w:t xml:space="preserve">Deductions by State and Entity Type, available at </w:t>
      </w:r>
      <w:hyperlink r:id="rId15" w:history="1">
        <w:r w:rsidRPr="00AE3755">
          <w:rPr>
            <w:rStyle w:val="Hyperlink"/>
            <w:rFonts w:ascii="Times New Roman" w:hAnsi="Times New Roman" w:cs="Times New Roman"/>
            <w:sz w:val="20"/>
            <w:szCs w:val="20"/>
          </w:rPr>
          <w:t>https://www.irs.gov/statistics/soi-tax-stats-fiduciary-income-and-deductions-by-state-and-entity-type</w:t>
        </w:r>
      </w:hyperlink>
      <w:r w:rsidRPr="00AE3755">
        <w:rPr>
          <w:rFonts w:ascii="Times New Roman" w:hAnsi="Times New Roman" w:cs="Times New Roman"/>
          <w:sz w:val="20"/>
          <w:szCs w:val="20"/>
        </w:rPr>
        <w:t xml:space="preserve"> (last visited Nov. 12, 2019, 7:59 PM). </w:t>
      </w:r>
      <w:r w:rsidRPr="00AE3755">
        <w:rPr>
          <w:rFonts w:ascii="Times New Roman" w:hAnsi="Times New Roman" w:cs="Times New Roman"/>
          <w:sz w:val="20"/>
          <w:szCs w:val="20"/>
          <w:shd w:val="clear" w:color="auto" w:fill="FFFFFF"/>
        </w:rPr>
        <w:t>Data for 1997 and 2000-2010 was provided by Rob Sitkoff and Max Schanzenbach. The data includes some omissions and errors: data for D.C. only starts in 2011, 2007 data for Wyoming appears identical to that for 2006, and attorney, accountant and return preparer fees deducted for Louisiana in 2011 appear identical to the 2010 figure.</w:t>
      </w:r>
    </w:p>
  </w:footnote>
  <w:footnote w:id="66">
    <w:p w14:paraId="37E1F41A"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The coefficient on my liberality score variable was .0615, with a robust standard error of .0351 (clustered at the state level) and p=0.087. This coefficient translates into an increase of $61, given that </w:t>
      </w:r>
      <w:r w:rsidRPr="00AE3755">
        <w:rPr>
          <w:rFonts w:ascii="Times New Roman" w:hAnsi="Times New Roman" w:cs="Times New Roman"/>
          <w:shd w:val="clear" w:color="auto" w:fill="FFFFFF"/>
        </w:rPr>
        <w:t>the numerator in the fiduciary fees deducted per return ratio, the amount of fiduciary fees deducted according to fiduciary returns filed for a state/year, is expressed in thousands of dollars in the I.R.S. data.</w:t>
      </w:r>
    </w:p>
  </w:footnote>
  <w:footnote w:id="67">
    <w:p w14:paraId="725E5A4A"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The coefficient on the liberality score variable was here .046, with a robust standard error of .035 (clustered at the state level) and p=0.195.</w:t>
      </w:r>
    </w:p>
  </w:footnote>
  <w:footnote w:id="68">
    <w:p w14:paraId="28BAC8B6" w14:textId="73980746"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I used Census Bureau population figures and data from the Bureau of Economic Analysis:</w:t>
      </w:r>
      <w:r w:rsidRPr="00AE3755">
        <w:rPr>
          <w:rFonts w:ascii="Times New Roman" w:hAnsi="Times New Roman" w:cs="Times New Roman"/>
          <w:rtl/>
        </w:rPr>
        <w:t xml:space="preserve"> </w:t>
      </w:r>
      <w:r w:rsidRPr="00AE3755">
        <w:rPr>
          <w:rFonts w:ascii="Times New Roman" w:hAnsi="Times New Roman" w:cs="Times New Roman"/>
        </w:rPr>
        <w:t>Gross domestic product (GDP) by state: All industry total (</w:t>
      </w:r>
      <w:hyperlink r:id="rId16" w:history="1">
        <w:r w:rsidRPr="00AE3755">
          <w:rPr>
            <w:rStyle w:val="Hyperlink"/>
            <w:rFonts w:ascii="Times New Roman" w:hAnsi="Times New Roman" w:cs="Times New Roman"/>
          </w:rPr>
          <w:t>https://apps.bea.gov/iTable/iTable.cfm?acrdn=1&amp;isuri=1&amp;reqid=70&amp;step=1#acrdn=1&amp;isuri=1&amp;reqid=70&amp;step=1</w:t>
        </w:r>
      </w:hyperlink>
      <w:r w:rsidRPr="00AE3755">
        <w:rPr>
          <w:rFonts w:ascii="Times New Roman" w:hAnsi="Times New Roman" w:cs="Times New Roman"/>
        </w:rPr>
        <w:t>), aggregate disposable personal income for each state (</w:t>
      </w:r>
      <w:hyperlink r:id="rId17" w:history="1">
        <w:r w:rsidRPr="00AE3755">
          <w:rPr>
            <w:rStyle w:val="Hyperlink"/>
            <w:rFonts w:ascii="Times New Roman" w:hAnsi="Times New Roman" w:cs="Times New Roman"/>
          </w:rPr>
          <w:t>https://apps.bea.gov/iTable/iTable.cfm?reqid=99&amp;step=1#reqid=99&amp;step=1</w:t>
        </w:r>
      </w:hyperlink>
      <w:r w:rsidRPr="00AE3755">
        <w:rPr>
          <w:rFonts w:ascii="Times New Roman" w:hAnsi="Times New Roman" w:cs="Times New Roman"/>
        </w:rPr>
        <w:t xml:space="preserve">) and </w:t>
      </w:r>
      <w:r w:rsidRPr="00AE3755">
        <w:rPr>
          <w:rFonts w:ascii="Times New Roman" w:eastAsia="Times New Roman" w:hAnsi="Times New Roman" w:cs="Times New Roman"/>
        </w:rPr>
        <w:t>aggregate personal consumption expenditures for each state (</w:t>
      </w:r>
      <w:hyperlink r:id="rId18" w:history="1">
        <w:r w:rsidRPr="00AE3755">
          <w:rPr>
            <w:rStyle w:val="Hyperlink"/>
            <w:rFonts w:ascii="Times New Roman" w:eastAsia="Times New Roman" w:hAnsi="Times New Roman" w:cs="Times New Roman"/>
          </w:rPr>
          <w:t>https://apps.bea.gov/itable/iTable.cfm?ReqID=70&amp;step=1</w:t>
        </w:r>
      </w:hyperlink>
      <w:r w:rsidRPr="00AE3755">
        <w:rPr>
          <w:rFonts w:ascii="Times New Roman" w:eastAsia="Times New Roman" w:hAnsi="Times New Roman" w:cs="Times New Roman"/>
        </w:rPr>
        <w:t xml:space="preserve">) </w:t>
      </w:r>
      <w:r w:rsidRPr="00AE3755">
        <w:rPr>
          <w:rFonts w:ascii="Times New Roman" w:hAnsi="Times New Roman" w:cs="Times New Roman"/>
        </w:rPr>
        <w:t>(all three webpages last visited Nov. 12, 2019, 7:59 PM)</w:t>
      </w:r>
      <w:r w:rsidRPr="00AE3755">
        <w:rPr>
          <w:rFonts w:ascii="Times New Roman" w:eastAsia="Times New Roman" w:hAnsi="Times New Roman" w:cs="Times New Roman"/>
        </w:rPr>
        <w:t>. I extracted data on each state’s tax rate applicable to fiduciary income, for each year since 1991, from Westlaw. Given the complexity of many states’ tax rate structures, I used data from the 22 states that either</w:t>
      </w:r>
      <w:r w:rsidRPr="00AE3755">
        <w:rPr>
          <w:rFonts w:ascii="Times New Roman" w:hAnsi="Times New Roman" w:cs="Times New Roman"/>
          <w:color w:val="222222"/>
          <w:shd w:val="clear" w:color="auto" w:fill="FFFFFF"/>
        </w:rPr>
        <w:t xml:space="preserve"> </w:t>
      </w:r>
      <w:r w:rsidRPr="00AE3755">
        <w:rPr>
          <w:rFonts w:ascii="Times New Roman" w:eastAsia="Times New Roman" w:hAnsi="Times New Roman" w:cs="Times New Roman"/>
        </w:rPr>
        <w:t xml:space="preserve">imposed, during all the relevant years, no tax, imposed a flat tax, or imposed the rate I used on incomes above a threshold of $10,000 or less: Alaska, Colorado, Connecticut, Florida, Illinois, Indiana, Iowa, Massachusetts, Michigan, Nevada, New Hampshire, Pennsylvania, South Dakota, Tennessee, Texas, Washington, Wyoming, Alabama, Georgia, Mississippi, Missouri and Utah. My tax rate data are available in the </w:t>
      </w:r>
      <w:r w:rsidRPr="00AE3755">
        <w:rPr>
          <w:rFonts w:ascii="Times New Roman" w:hAnsi="Times New Roman" w:cs="Times New Roman"/>
          <w:color w:val="000000"/>
          <w:shd w:val="clear" w:color="auto" w:fill="FFFFFF"/>
        </w:rPr>
        <w:t>online supplement to this article.</w:t>
      </w:r>
    </w:p>
  </w:footnote>
  <w:footnote w:id="69">
    <w:p w14:paraId="20B2C376" w14:textId="77777777" w:rsidR="00664E5F" w:rsidRPr="00AE3755" w:rsidRDefault="00664E5F" w:rsidP="00AE3755">
      <w:pPr>
        <w:pStyle w:val="FootnoteText"/>
        <w:jc w:val="both"/>
        <w:rPr>
          <w:rFonts w:ascii="Times New Roman" w:hAnsi="Times New Roman" w:cs="Times New Roman"/>
        </w:rPr>
      </w:pPr>
      <w:r w:rsidRPr="00AE3755">
        <w:rPr>
          <w:rFonts w:ascii="Times New Roman" w:eastAsia="Times New Roman" w:hAnsi="Times New Roman" w:cs="Times New Roman"/>
          <w:vertAlign w:val="superscript"/>
        </w:rPr>
        <w:footnoteRef/>
      </w:r>
      <w:r w:rsidRPr="00AE3755">
        <w:rPr>
          <w:rFonts w:ascii="Times New Roman" w:eastAsia="Times New Roman" w:hAnsi="Times New Roman" w:cs="Times New Roman"/>
        </w:rPr>
        <w:t xml:space="preserve"> Regression results for all the analyses described to this point are available in the online supplement to this article, in a file entitled “Regression Results: IRS data on domestic trusts regressed on liberality scores (calculated from 22 variables)”.</w:t>
      </w:r>
    </w:p>
  </w:footnote>
  <w:footnote w:id="70">
    <w:p w14:paraId="05015B70" w14:textId="2A5C038A" w:rsidR="00664E5F" w:rsidRPr="00AE3755" w:rsidRDefault="00664E5F">
      <w:pPr>
        <w:pStyle w:val="FootnoteText"/>
        <w:jc w:val="both"/>
        <w:rPr>
          <w:rFonts w:ascii="Times New Roman" w:eastAsia="Times New Roman" w:hAnsi="Times New Roman" w:cs="Times New Roman"/>
        </w:rPr>
      </w:pPr>
      <w:r w:rsidRPr="00AE3755">
        <w:rPr>
          <w:rFonts w:ascii="Times New Roman" w:eastAsia="Times New Roman" w:hAnsi="Times New Roman" w:cs="Times New Roman"/>
          <w:vertAlign w:val="superscript"/>
        </w:rPr>
        <w:footnoteRef/>
      </w:r>
      <w:r w:rsidRPr="00AE3755">
        <w:rPr>
          <w:rFonts w:ascii="Times New Roman" w:eastAsia="Times New Roman" w:hAnsi="Times New Roman" w:cs="Times New Roman"/>
          <w:vertAlign w:val="superscript"/>
        </w:rPr>
        <w:t xml:space="preserve"> </w:t>
      </w:r>
      <w:r w:rsidRPr="00AE3755">
        <w:rPr>
          <w:rFonts w:ascii="Times New Roman" w:eastAsia="Times New Roman" w:hAnsi="Times New Roman" w:cs="Times New Roman"/>
        </w:rPr>
        <w:t xml:space="preserve">While variable 20 covers law reforms that protect trustees along with settlors and beneficiaries, which disturbs the otherwise neat division of the 22 variables into those protecting trustees and those protecting and empowering their clients, this does not matter for the analysis in this Part IV.3, since I used U.S. data </w:t>
      </w:r>
      <w:r w:rsidR="00EF1891">
        <w:rPr>
          <w:rFonts w:ascii="Times New Roman" w:eastAsia="Times New Roman" w:hAnsi="Times New Roman" w:cs="Times New Roman"/>
        </w:rPr>
        <w:t>exclusively in the analyses reported to this point</w:t>
      </w:r>
      <w:r w:rsidRPr="00AE3755">
        <w:rPr>
          <w:rFonts w:ascii="Times New Roman" w:eastAsia="Times New Roman" w:hAnsi="Times New Roman" w:cs="Times New Roman"/>
        </w:rPr>
        <w:t xml:space="preserve">, and no U.S. state enacted any statute respecting variable 20. </w:t>
      </w:r>
    </w:p>
  </w:footnote>
  <w:footnote w:id="71">
    <w:p w14:paraId="201D9BCD" w14:textId="77777777" w:rsidR="00664E5F" w:rsidRPr="00AE3755" w:rsidRDefault="00664E5F" w:rsidP="00AE3755">
      <w:pPr>
        <w:pStyle w:val="FootnoteText"/>
        <w:jc w:val="both"/>
        <w:rPr>
          <w:rFonts w:ascii="Times New Roman" w:eastAsia="Times New Roman" w:hAnsi="Times New Roman" w:cs="Times New Roman"/>
        </w:rPr>
      </w:pPr>
      <w:r w:rsidRPr="00AE3755">
        <w:rPr>
          <w:rFonts w:ascii="Times New Roman" w:eastAsia="Times New Roman" w:hAnsi="Times New Roman" w:cs="Times New Roman"/>
          <w:vertAlign w:val="superscript"/>
        </w:rPr>
        <w:footnoteRef/>
      </w:r>
      <w:r w:rsidRPr="00AE3755">
        <w:rPr>
          <w:rFonts w:ascii="Times New Roman" w:eastAsia="Times New Roman" w:hAnsi="Times New Roman" w:cs="Times New Roman"/>
        </w:rPr>
        <w:t xml:space="preserve"> Variables 6, 8, 14, 21 and 22 do not have a clear normative direction.</w:t>
      </w:r>
    </w:p>
  </w:footnote>
  <w:footnote w:id="72">
    <w:p w14:paraId="7B72188D" w14:textId="77777777" w:rsidR="00664E5F" w:rsidRPr="00953133" w:rsidRDefault="00664E5F" w:rsidP="00AE3755">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shd w:val="clear" w:color="auto" w:fill="FFFFFF"/>
        </w:rPr>
        <w:t xml:space="preserve">The data, reported on Form 3520-A, the annual return of foreign trust with U.S. beneficiaries, are available from the I.R.S.: </w:t>
      </w:r>
      <w:hyperlink r:id="rId19" w:history="1">
        <w:r w:rsidRPr="00AE3755">
          <w:rPr>
            <w:rFonts w:ascii="Times New Roman" w:hAnsi="Times New Roman" w:cs="Times New Roman"/>
            <w:shd w:val="clear" w:color="auto" w:fill="FFFFFF"/>
          </w:rPr>
          <w:t>https://www.irs.gov/statistics/soi-tax-stats-foreign-trusts</w:t>
        </w:r>
      </w:hyperlink>
      <w:r w:rsidRPr="00AE3755">
        <w:rPr>
          <w:rFonts w:ascii="Times New Roman" w:hAnsi="Times New Roman" w:cs="Times New Roman"/>
          <w:shd w:val="clear" w:color="auto" w:fill="FFFFFF"/>
        </w:rPr>
        <w:t xml:space="preserve"> (last visited July 21, 2019).</w:t>
      </w:r>
    </w:p>
  </w:footnote>
  <w:footnote w:id="73">
    <w:p w14:paraId="242AA694" w14:textId="77777777" w:rsidR="00664E5F" w:rsidRPr="00953133" w:rsidRDefault="00664E5F" w:rsidP="00AE3755">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AE3755">
        <w:rPr>
          <w:rFonts w:ascii="Times New Roman" w:hAnsi="Times New Roman" w:cs="Times New Roman"/>
        </w:rPr>
        <w:t>Regression results using these dependent variables are available in the online supplement to this article, in a folder entitled “Regression Results: IRS data on 'foreign' trusts regressed on trust liberality scores”.</w:t>
      </w:r>
    </w:p>
  </w:footnote>
  <w:footnote w:id="74">
    <w:p w14:paraId="13455070" w14:textId="77777777"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hyperlink r:id="rId20" w:history="1">
        <w:r w:rsidRPr="00AE3755">
          <w:rPr>
            <w:rStyle w:val="Hyperlink"/>
            <w:rFonts w:ascii="Times New Roman" w:hAnsi="Times New Roman" w:cs="Times New Roman"/>
            <w:color w:val="auto"/>
          </w:rPr>
          <w:t>https://www.naics.com/naics-code-description/?code=523991</w:t>
        </w:r>
      </w:hyperlink>
      <w:r w:rsidRPr="00AE3755">
        <w:rPr>
          <w:rStyle w:val="Hyperlink"/>
          <w:rFonts w:ascii="Times New Roman" w:hAnsi="Times New Roman" w:cs="Times New Roman"/>
          <w:color w:val="auto"/>
          <w:u w:val="none"/>
        </w:rPr>
        <w:t>, last visited</w:t>
      </w:r>
      <w:r w:rsidRPr="00AE3755">
        <w:rPr>
          <w:rFonts w:ascii="Times New Roman" w:hAnsi="Times New Roman" w:cs="Times New Roman"/>
        </w:rPr>
        <w:t xml:space="preserve"> Nov. 13, 2019.</w:t>
      </w:r>
    </w:p>
  </w:footnote>
  <w:footnote w:id="75">
    <w:p w14:paraId="652B95E7" w14:textId="27008965" w:rsidR="00664E5F" w:rsidRPr="00AE3755"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For some such arguments see </w:t>
      </w:r>
      <w:r w:rsidRPr="00AE3755">
        <w:rPr>
          <w:rFonts w:ascii="Times New Roman" w:hAnsi="Times New Roman" w:cs="Times New Roman"/>
          <w:i/>
          <w:iCs/>
        </w:rPr>
        <w:t>supra</w:t>
      </w:r>
      <w:r w:rsidRPr="00AE3755">
        <w:rPr>
          <w:rFonts w:ascii="Times New Roman" w:hAnsi="Times New Roman" w:cs="Times New Roman"/>
        </w:rPr>
        <w:t xml:space="preserve"> note 63. </w:t>
      </w:r>
    </w:p>
  </w:footnote>
  <w:footnote w:id="76">
    <w:p w14:paraId="5422A81E" w14:textId="77777777" w:rsidR="00664E5F" w:rsidRPr="00953133" w:rsidRDefault="00664E5F" w:rsidP="00953133">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See discussion of the normative objections to some liberalizing amendments in </w:t>
      </w:r>
      <w:r w:rsidRPr="00AE3755">
        <w:rPr>
          <w:rFonts w:ascii="Times New Roman" w:hAnsi="Times New Roman" w:cs="Times New Roman"/>
          <w:i/>
          <w:iCs/>
        </w:rPr>
        <w:t>infra</w:t>
      </w:r>
      <w:r w:rsidRPr="00AE3755">
        <w:rPr>
          <w:rFonts w:ascii="Times New Roman" w:hAnsi="Times New Roman" w:cs="Times New Roman"/>
        </w:rPr>
        <w:t xml:space="preserve"> Part V.</w:t>
      </w:r>
      <w:r w:rsidRPr="00953133">
        <w:rPr>
          <w:rFonts w:ascii="Times New Roman" w:hAnsi="Times New Roman" w:cs="Times New Roman"/>
        </w:rPr>
        <w:t xml:space="preserve"> </w:t>
      </w:r>
    </w:p>
  </w:footnote>
  <w:footnote w:id="77">
    <w:p w14:paraId="7DF7DFF0" w14:textId="1EB6D76B"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953133">
        <w:rPr>
          <w:rFonts w:ascii="Times New Roman" w:hAnsi="Times New Roman" w:cs="Times New Roman"/>
          <w:i/>
          <w:iCs/>
        </w:rPr>
        <w:t>See</w:t>
      </w:r>
      <w:r w:rsidRPr="00953133">
        <w:rPr>
          <w:rFonts w:ascii="Times New Roman" w:hAnsi="Times New Roman" w:cs="Times New Roman"/>
        </w:rPr>
        <w:t xml:space="preserve">, </w:t>
      </w:r>
      <w:r w:rsidRPr="00953133">
        <w:rPr>
          <w:rFonts w:ascii="Times New Roman" w:hAnsi="Times New Roman" w:cs="Times New Roman"/>
          <w:i/>
          <w:iCs/>
        </w:rPr>
        <w:t>e.g.</w:t>
      </w:r>
      <w:r w:rsidRPr="00953133">
        <w:rPr>
          <w:rFonts w:ascii="Times New Roman" w:hAnsi="Times New Roman" w:cs="Times New Roman"/>
        </w:rPr>
        <w:t xml:space="preserve">, </w:t>
      </w:r>
      <w:r w:rsidRPr="00953133">
        <w:rPr>
          <w:rFonts w:ascii="Times New Roman" w:hAnsi="Times New Roman" w:cs="Times New Roman"/>
          <w:i/>
          <w:iCs/>
        </w:rPr>
        <w:t xml:space="preserve">supra </w:t>
      </w:r>
      <w:r w:rsidRPr="00953133">
        <w:rPr>
          <w:rFonts w:ascii="Times New Roman" w:hAnsi="Times New Roman" w:cs="Times New Roman"/>
        </w:rPr>
        <w:t xml:space="preserve">text accompanying notes </w:t>
      </w:r>
      <w:r w:rsidRPr="00AE3755">
        <w:rPr>
          <w:rFonts w:ascii="Times New Roman" w:hAnsi="Times New Roman" w:cs="Times New Roman"/>
        </w:rPr>
        <w:t>74-</w:t>
      </w:r>
      <w:r w:rsidRPr="00953133">
        <w:rPr>
          <w:rFonts w:ascii="Times New Roman" w:hAnsi="Times New Roman" w:cs="Times New Roman"/>
        </w:rPr>
        <w:t>75.</w:t>
      </w:r>
    </w:p>
  </w:footnote>
  <w:footnote w:id="78">
    <w:p w14:paraId="509861A3" w14:textId="5AA3AD60" w:rsidR="00664E5F" w:rsidRPr="00953133" w:rsidRDefault="00664E5F" w:rsidP="00953133">
      <w:pPr>
        <w:pStyle w:val="FootnoteText"/>
        <w:jc w:val="both"/>
        <w:rPr>
          <w:rFonts w:ascii="Times New Roman" w:hAnsi="Times New Roman" w:cs="Times New Roman"/>
        </w:rPr>
      </w:pPr>
      <w:r w:rsidRPr="00953133">
        <w:rPr>
          <w:rStyle w:val="FootnoteReference"/>
          <w:rFonts w:ascii="Times New Roman" w:hAnsi="Times New Roman" w:cs="Times New Roman"/>
        </w:rPr>
        <w:footnoteRef/>
      </w:r>
      <w:r w:rsidRPr="00953133">
        <w:rPr>
          <w:rFonts w:ascii="Times New Roman" w:hAnsi="Times New Roman" w:cs="Times New Roman"/>
        </w:rPr>
        <w:t xml:space="preserve"> </w:t>
      </w:r>
      <w:r w:rsidRPr="00953133">
        <w:rPr>
          <w:rFonts w:ascii="Times New Roman" w:hAnsi="Times New Roman" w:cs="Times New Roman"/>
          <w:i/>
          <w:iCs/>
        </w:rPr>
        <w:t>See, e.g.</w:t>
      </w:r>
      <w:r w:rsidRPr="00953133">
        <w:rPr>
          <w:rFonts w:ascii="Times New Roman" w:hAnsi="Times New Roman" w:cs="Times New Roman"/>
        </w:rPr>
        <w:t xml:space="preserve">, the source quoted in </w:t>
      </w:r>
      <w:r w:rsidRPr="00953133">
        <w:rPr>
          <w:rFonts w:ascii="Times New Roman" w:hAnsi="Times New Roman" w:cs="Times New Roman"/>
          <w:i/>
          <w:iCs/>
        </w:rPr>
        <w:t>supra</w:t>
      </w:r>
      <w:r w:rsidRPr="00953133">
        <w:rPr>
          <w:rFonts w:ascii="Times New Roman" w:hAnsi="Times New Roman" w:cs="Times New Roman"/>
        </w:rPr>
        <w:t xml:space="preserve"> note 63.</w:t>
      </w:r>
    </w:p>
  </w:footnote>
  <w:footnote w:id="79">
    <w:p w14:paraId="00E682C9" w14:textId="543F12DE"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S</w:t>
      </w:r>
      <w:r w:rsidRPr="00AE3755">
        <w:rPr>
          <w:rFonts w:ascii="Times New Roman" w:hAnsi="Times New Roman" w:cs="Times New Roman"/>
          <w:color w:val="000000"/>
          <w:sz w:val="20"/>
          <w:szCs w:val="20"/>
          <w:shd w:val="clear" w:color="auto" w:fill="FFFFFF"/>
        </w:rPr>
        <w:t xml:space="preserve">ee, e.g., Melanie B. Leslie, </w:t>
      </w:r>
      <w:r w:rsidRPr="00AE3755">
        <w:rPr>
          <w:rFonts w:ascii="Times New Roman" w:hAnsi="Times New Roman" w:cs="Times New Roman"/>
          <w:i/>
          <w:iCs/>
          <w:color w:val="000000"/>
          <w:sz w:val="20"/>
          <w:szCs w:val="20"/>
          <w:shd w:val="clear" w:color="auto" w:fill="FFFFFF"/>
        </w:rPr>
        <w:t>In Defense of the No Further Inquiry Rule: A Response to Professor John Langbein</w:t>
      </w:r>
      <w:r w:rsidRPr="00AE3755">
        <w:rPr>
          <w:rFonts w:ascii="Times New Roman" w:hAnsi="Times New Roman" w:cs="Times New Roman"/>
          <w:color w:val="000000"/>
          <w:sz w:val="20"/>
          <w:szCs w:val="20"/>
          <w:shd w:val="clear" w:color="auto" w:fill="FFFFFF"/>
        </w:rPr>
        <w:t xml:space="preserve">, 47 </w:t>
      </w:r>
      <w:r w:rsidRPr="00AE3755">
        <w:rPr>
          <w:rFonts w:ascii="Times New Roman" w:hAnsi="Times New Roman" w:cs="Times New Roman"/>
          <w:smallCaps/>
          <w:color w:val="000000"/>
          <w:sz w:val="20"/>
          <w:szCs w:val="20"/>
          <w:shd w:val="clear" w:color="auto" w:fill="FFFFFF"/>
        </w:rPr>
        <w:t xml:space="preserve">Wm. &amp; Mary L. Rev. </w:t>
      </w:r>
      <w:r w:rsidRPr="00AE3755">
        <w:rPr>
          <w:rFonts w:ascii="Times New Roman" w:hAnsi="Times New Roman" w:cs="Times New Roman"/>
          <w:color w:val="000000"/>
          <w:sz w:val="20"/>
          <w:szCs w:val="20"/>
          <w:shd w:val="clear" w:color="auto" w:fill="FFFFFF"/>
        </w:rPr>
        <w:t xml:space="preserve">541 (2005); Melanie B. Leslie, </w:t>
      </w:r>
      <w:r w:rsidRPr="00AE3755">
        <w:rPr>
          <w:rFonts w:ascii="Times New Roman" w:hAnsi="Times New Roman" w:cs="Times New Roman"/>
          <w:i/>
          <w:iCs/>
          <w:color w:val="000000"/>
          <w:sz w:val="20"/>
          <w:szCs w:val="20"/>
          <w:shd w:val="clear" w:color="auto" w:fill="FFFFFF"/>
        </w:rPr>
        <w:t>Trusting Trustees: Fiduciary Duties and the Limits of Default Rules</w:t>
      </w:r>
      <w:r w:rsidRPr="00AE3755">
        <w:rPr>
          <w:rFonts w:ascii="Times New Roman" w:hAnsi="Times New Roman" w:cs="Times New Roman"/>
          <w:color w:val="000000"/>
          <w:sz w:val="20"/>
          <w:szCs w:val="20"/>
          <w:shd w:val="clear" w:color="auto" w:fill="FFFFFF"/>
        </w:rPr>
        <w:t xml:space="preserve">, 94 </w:t>
      </w:r>
      <w:r w:rsidRPr="00AE3755">
        <w:rPr>
          <w:rFonts w:ascii="Times New Roman" w:hAnsi="Times New Roman" w:cs="Times New Roman"/>
          <w:smallCaps/>
          <w:color w:val="000000"/>
          <w:sz w:val="20"/>
          <w:szCs w:val="20"/>
          <w:shd w:val="clear" w:color="auto" w:fill="FFFFFF"/>
        </w:rPr>
        <w:t>Geo. L.J.</w:t>
      </w:r>
      <w:r w:rsidRPr="00AE3755">
        <w:rPr>
          <w:rFonts w:ascii="Times New Roman" w:hAnsi="Times New Roman" w:cs="Times New Roman"/>
          <w:color w:val="000000"/>
          <w:sz w:val="20"/>
          <w:szCs w:val="20"/>
          <w:shd w:val="clear" w:color="auto" w:fill="FFFFFF"/>
        </w:rPr>
        <w:t xml:space="preserve"> 67 (2005); Melanie B. Leslie, </w:t>
      </w:r>
      <w:r w:rsidRPr="00AE3755">
        <w:rPr>
          <w:rFonts w:ascii="Times New Roman" w:hAnsi="Times New Roman" w:cs="Times New Roman"/>
          <w:i/>
          <w:iCs/>
          <w:color w:val="000000"/>
          <w:sz w:val="20"/>
          <w:szCs w:val="20"/>
          <w:shd w:val="clear" w:color="auto" w:fill="FFFFFF"/>
        </w:rPr>
        <w:t>Common Law, Common Sense: Fiduciary Standards and Trustee Identity</w:t>
      </w:r>
      <w:r w:rsidRPr="00AE3755">
        <w:rPr>
          <w:rFonts w:ascii="Times New Roman" w:hAnsi="Times New Roman" w:cs="Times New Roman"/>
          <w:color w:val="000000"/>
          <w:sz w:val="20"/>
          <w:szCs w:val="20"/>
          <w:shd w:val="clear" w:color="auto" w:fill="FFFFFF"/>
        </w:rPr>
        <w:t xml:space="preserve">, 27 </w:t>
      </w:r>
      <w:r w:rsidRPr="00AE3755">
        <w:rPr>
          <w:rFonts w:ascii="Times New Roman" w:hAnsi="Times New Roman" w:cs="Times New Roman"/>
          <w:smallCaps/>
          <w:color w:val="000000"/>
          <w:sz w:val="20"/>
          <w:szCs w:val="20"/>
          <w:shd w:val="clear" w:color="auto" w:fill="FFFFFF"/>
        </w:rPr>
        <w:t>Cardozo L. Rev.</w:t>
      </w:r>
      <w:r w:rsidRPr="00AE3755">
        <w:rPr>
          <w:rFonts w:ascii="Times New Roman" w:hAnsi="Times New Roman" w:cs="Times New Roman"/>
          <w:color w:val="000000"/>
          <w:sz w:val="20"/>
          <w:szCs w:val="20"/>
          <w:shd w:val="clear" w:color="auto" w:fill="FFFFFF"/>
        </w:rPr>
        <w:t xml:space="preserve"> 2713 (2006); Hofri-Winogradow, </w:t>
      </w:r>
      <w:r w:rsidRPr="00AE3755">
        <w:rPr>
          <w:rFonts w:ascii="Times New Roman" w:hAnsi="Times New Roman" w:cs="Times New Roman"/>
          <w:i/>
          <w:iCs/>
          <w:color w:val="000000"/>
          <w:sz w:val="20"/>
          <w:szCs w:val="20"/>
          <w:shd w:val="clear" w:color="auto" w:fill="FFFFFF"/>
        </w:rPr>
        <w:t>supra</w:t>
      </w:r>
      <w:r w:rsidRPr="00AE3755">
        <w:rPr>
          <w:rFonts w:ascii="Times New Roman" w:hAnsi="Times New Roman" w:cs="Times New Roman"/>
          <w:color w:val="000000"/>
          <w:sz w:val="20"/>
          <w:szCs w:val="20"/>
          <w:shd w:val="clear" w:color="auto" w:fill="FFFFFF"/>
        </w:rPr>
        <w:t xml:space="preserve"> note 2; </w:t>
      </w:r>
      <w:r w:rsidRPr="00AE3755">
        <w:rPr>
          <w:rFonts w:ascii="Times New Roman" w:hAnsi="Times New Roman" w:cs="Times New Roman"/>
          <w:i/>
          <w:iCs/>
          <w:color w:val="000000"/>
          <w:sz w:val="20"/>
          <w:szCs w:val="20"/>
          <w:shd w:val="clear" w:color="auto" w:fill="FFFFFF"/>
        </w:rPr>
        <w:t>cf</w:t>
      </w:r>
      <w:r w:rsidRPr="00AE3755">
        <w:rPr>
          <w:rFonts w:ascii="Times New Roman" w:hAnsi="Times New Roman" w:cs="Times New Roman"/>
          <w:color w:val="000000"/>
          <w:sz w:val="20"/>
          <w:szCs w:val="20"/>
          <w:shd w:val="clear" w:color="auto" w:fill="FFFFFF"/>
        </w:rPr>
        <w:t xml:space="preserve"> </w:t>
      </w:r>
      <w:r w:rsidRPr="00AE3755">
        <w:rPr>
          <w:rFonts w:ascii="Times New Roman" w:hAnsi="Times New Roman" w:cs="Times New Roman"/>
          <w:sz w:val="20"/>
          <w:szCs w:val="20"/>
        </w:rPr>
        <w:t xml:space="preserve">John H. Langbein, </w:t>
      </w:r>
      <w:r w:rsidRPr="00AE3755">
        <w:rPr>
          <w:rFonts w:ascii="Times New Roman" w:hAnsi="Times New Roman" w:cs="Times New Roman"/>
          <w:i/>
          <w:iCs/>
          <w:sz w:val="20"/>
          <w:szCs w:val="20"/>
        </w:rPr>
        <w:t>Questioning the Trust Law Duty of Loyalty: Sole Interest or Best Interest?</w:t>
      </w:r>
      <w:r w:rsidRPr="00AE3755">
        <w:rPr>
          <w:rFonts w:ascii="Times New Roman" w:hAnsi="Times New Roman" w:cs="Times New Roman"/>
          <w:sz w:val="20"/>
          <w:szCs w:val="20"/>
        </w:rPr>
        <w:t xml:space="preserve">, 114 </w:t>
      </w:r>
      <w:r w:rsidRPr="00AE3755">
        <w:rPr>
          <w:rFonts w:ascii="Times New Roman" w:hAnsi="Times New Roman" w:cs="Times New Roman"/>
          <w:smallCaps/>
          <w:sz w:val="20"/>
          <w:szCs w:val="20"/>
        </w:rPr>
        <w:t>Yale L. J.</w:t>
      </w:r>
      <w:r w:rsidRPr="00AE3755">
        <w:rPr>
          <w:rFonts w:ascii="Times New Roman" w:hAnsi="Times New Roman" w:cs="Times New Roman"/>
          <w:sz w:val="20"/>
          <w:szCs w:val="20"/>
        </w:rPr>
        <w:t xml:space="preserve"> 929 (2005).</w:t>
      </w:r>
    </w:p>
  </w:footnote>
  <w:footnote w:id="80">
    <w:p w14:paraId="263400F5" w14:textId="77777777" w:rsidR="00664E5F" w:rsidRPr="00AE3755" w:rsidRDefault="00664E5F" w:rsidP="00AE3755">
      <w:pPr>
        <w:spacing w:after="0"/>
        <w:jc w:val="both"/>
        <w:rPr>
          <w:rFonts w:ascii="Times New Roman" w:hAnsi="Times New Roman" w:cs="Times New Roman"/>
          <w:sz w:val="20"/>
          <w:szCs w:val="20"/>
        </w:rPr>
      </w:pPr>
      <w:r w:rsidRPr="00AE3755">
        <w:rPr>
          <w:rStyle w:val="FootnoteReference"/>
          <w:rFonts w:ascii="Times New Roman" w:hAnsi="Times New Roman" w:cs="Times New Roman"/>
          <w:sz w:val="20"/>
          <w:szCs w:val="20"/>
        </w:rPr>
        <w:footnoteRef/>
      </w:r>
      <w:r w:rsidRPr="00AE3755">
        <w:rPr>
          <w:rFonts w:ascii="Times New Roman" w:hAnsi="Times New Roman" w:cs="Times New Roman"/>
          <w:sz w:val="20"/>
          <w:szCs w:val="20"/>
        </w:rPr>
        <w:t xml:space="preserve"> </w:t>
      </w:r>
      <w:r w:rsidRPr="00AE3755">
        <w:rPr>
          <w:rFonts w:ascii="Times New Roman" w:hAnsi="Times New Roman" w:cs="Times New Roman"/>
          <w:color w:val="000000"/>
          <w:sz w:val="20"/>
          <w:szCs w:val="20"/>
          <w:shd w:val="clear" w:color="auto" w:fill="FFFFFF"/>
        </w:rPr>
        <w:t xml:space="preserve">For normative criticism see, e.g., </w:t>
      </w:r>
      <w:r w:rsidRPr="00AE3755">
        <w:rPr>
          <w:rFonts w:ascii="Times New Roman" w:hAnsi="Times New Roman" w:cs="Times New Roman"/>
          <w:sz w:val="20"/>
          <w:szCs w:val="20"/>
        </w:rPr>
        <w:t xml:space="preserve">Stewart E. Sterk, </w:t>
      </w:r>
      <w:r w:rsidRPr="00AE3755">
        <w:rPr>
          <w:rFonts w:ascii="Times New Roman" w:hAnsi="Times New Roman" w:cs="Times New Roman"/>
          <w:i/>
          <w:iCs/>
          <w:sz w:val="20"/>
          <w:szCs w:val="20"/>
        </w:rPr>
        <w:t>Asset Protection Trusts: Trust Law’s Race to the Bottom?</w:t>
      </w:r>
      <w:r w:rsidRPr="00AE3755">
        <w:rPr>
          <w:rFonts w:ascii="Times New Roman" w:hAnsi="Times New Roman" w:cs="Times New Roman"/>
          <w:sz w:val="20"/>
          <w:szCs w:val="20"/>
        </w:rPr>
        <w:t xml:space="preserve">, 85 </w:t>
      </w:r>
      <w:r w:rsidRPr="00AE3755">
        <w:rPr>
          <w:rFonts w:ascii="Times New Roman" w:hAnsi="Times New Roman" w:cs="Times New Roman"/>
          <w:smallCaps/>
          <w:sz w:val="20"/>
          <w:szCs w:val="20"/>
        </w:rPr>
        <w:t>Cornell L. Rev.</w:t>
      </w:r>
      <w:r w:rsidRPr="00AE3755">
        <w:rPr>
          <w:rFonts w:ascii="Times New Roman" w:hAnsi="Times New Roman" w:cs="Times New Roman"/>
          <w:sz w:val="20"/>
          <w:szCs w:val="20"/>
        </w:rPr>
        <w:t xml:space="preserve"> 1035 (2000); Stewart E. Sterk, </w:t>
      </w:r>
      <w:r w:rsidRPr="00AE3755">
        <w:rPr>
          <w:rFonts w:ascii="Times New Roman" w:hAnsi="Times New Roman" w:cs="Times New Roman"/>
          <w:i/>
          <w:iCs/>
          <w:sz w:val="20"/>
          <w:szCs w:val="20"/>
        </w:rPr>
        <w:t>Jurisdictional Competition to Abolish the Rule Against Perpetuities: R.I.P. for the R.A.P.</w:t>
      </w:r>
      <w:r w:rsidRPr="00AE3755">
        <w:rPr>
          <w:rFonts w:ascii="Times New Roman" w:hAnsi="Times New Roman" w:cs="Times New Roman"/>
          <w:sz w:val="20"/>
          <w:szCs w:val="20"/>
        </w:rPr>
        <w:t xml:space="preserve">, 24 </w:t>
      </w:r>
      <w:r w:rsidRPr="00AE3755">
        <w:rPr>
          <w:rFonts w:ascii="Times New Roman" w:hAnsi="Times New Roman" w:cs="Times New Roman"/>
          <w:smallCaps/>
          <w:sz w:val="20"/>
          <w:szCs w:val="20"/>
        </w:rPr>
        <w:t xml:space="preserve">Cardozo L. Rev. </w:t>
      </w:r>
      <w:r w:rsidRPr="00AE3755">
        <w:rPr>
          <w:rFonts w:ascii="Times New Roman" w:hAnsi="Times New Roman" w:cs="Times New Roman"/>
          <w:sz w:val="20"/>
          <w:szCs w:val="20"/>
        </w:rPr>
        <w:t>2097 (2003).</w:t>
      </w:r>
    </w:p>
  </w:footnote>
  <w:footnote w:id="81">
    <w:p w14:paraId="341589BA" w14:textId="12C3A412" w:rsidR="00664E5F" w:rsidRPr="00AE3755" w:rsidRDefault="00664E5F" w:rsidP="00AE3755">
      <w:pPr>
        <w:pStyle w:val="FootnoteText"/>
        <w:jc w:val="both"/>
        <w:rPr>
          <w:rFonts w:ascii="Times New Roman" w:hAnsi="Times New Roman" w:cs="Times New Roman"/>
        </w:rPr>
      </w:pPr>
      <w:r w:rsidRPr="00AE3755">
        <w:rPr>
          <w:rStyle w:val="FootnoteReference"/>
          <w:rFonts w:ascii="Times New Roman" w:hAnsi="Times New Roman" w:cs="Times New Roman"/>
        </w:rPr>
        <w:footnoteRef/>
      </w:r>
      <w:r w:rsidRPr="00AE3755">
        <w:rPr>
          <w:rFonts w:ascii="Times New Roman" w:hAnsi="Times New Roman" w:cs="Times New Roman"/>
        </w:rPr>
        <w:t xml:space="preserve"> </w:t>
      </w:r>
      <w:r w:rsidRPr="00AE3755">
        <w:rPr>
          <w:rFonts w:ascii="Times New Roman" w:hAnsi="Times New Roman" w:cs="Times New Roman"/>
          <w:i/>
          <w:iCs/>
        </w:rPr>
        <w:t>See</w:t>
      </w:r>
      <w:r w:rsidRPr="00AE3755">
        <w:rPr>
          <w:rFonts w:ascii="Times New Roman" w:hAnsi="Times New Roman" w:cs="Times New Roman"/>
        </w:rPr>
        <w:t xml:space="preserve"> Sitkoff &amp; Schanzenbach, </w:t>
      </w:r>
      <w:r w:rsidRPr="00AE3755">
        <w:rPr>
          <w:rFonts w:ascii="Times New Roman" w:hAnsi="Times New Roman" w:cs="Times New Roman"/>
          <w:i/>
          <w:iCs/>
        </w:rPr>
        <w:t>The Prudent Investor Rule</w:t>
      </w:r>
      <w:r w:rsidRPr="00AE3755">
        <w:rPr>
          <w:rFonts w:ascii="Times New Roman" w:hAnsi="Times New Roman" w:cs="Times New Roman"/>
        </w:rPr>
        <w:t xml:space="preserve">, </w:t>
      </w:r>
      <w:r w:rsidRPr="00AE3755">
        <w:rPr>
          <w:rFonts w:ascii="Times New Roman" w:hAnsi="Times New Roman" w:cs="Times New Roman"/>
          <w:i/>
          <w:iCs/>
        </w:rPr>
        <w:t>supra</w:t>
      </w:r>
      <w:r w:rsidRPr="00AE3755">
        <w:rPr>
          <w:rFonts w:ascii="Times New Roman" w:hAnsi="Times New Roman" w:cs="Times New Roman"/>
        </w:rPr>
        <w:t xml:space="preserve"> note 33, at 145, Figure 2.</w:t>
      </w:r>
    </w:p>
  </w:footnote>
  <w:footnote w:id="82">
    <w:p w14:paraId="395177EE" w14:textId="19B571A4" w:rsidR="00664E5F" w:rsidRPr="00953133" w:rsidRDefault="00664E5F" w:rsidP="00953133">
      <w:pPr>
        <w:pStyle w:val="FootnoteText"/>
        <w:jc w:val="both"/>
        <w:rPr>
          <w:rFonts w:ascii="Times New Roman" w:hAnsi="Times New Roman" w:cs="Times New Roman"/>
        </w:rPr>
      </w:pPr>
      <w:r w:rsidRPr="00AE3755">
        <w:rPr>
          <w:rFonts w:ascii="Times New Roman" w:hAnsi="Times New Roman" w:cs="Times New Roman"/>
          <w:vertAlign w:val="superscript"/>
        </w:rPr>
        <w:footnoteRef/>
      </w:r>
      <w:r w:rsidRPr="00AE3755">
        <w:rPr>
          <w:rFonts w:ascii="Times New Roman" w:hAnsi="Times New Roman" w:cs="Times New Roman"/>
        </w:rPr>
        <w:t xml:space="preserve"> These regression results are available in the online supplement to this article, </w:t>
      </w:r>
      <w:r w:rsidR="00EF1891">
        <w:rPr>
          <w:rFonts w:ascii="Times New Roman" w:hAnsi="Times New Roman" w:cs="Times New Roman"/>
        </w:rPr>
        <w:t xml:space="preserve">in a file </w:t>
      </w:r>
      <w:r w:rsidRPr="00AE3755">
        <w:rPr>
          <w:rFonts w:ascii="Times New Roman" w:hAnsi="Times New Roman" w:cs="Times New Roman"/>
        </w:rPr>
        <w:t xml:space="preserve">entitled “Regression results – US IRS data on var 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0C4E" w14:textId="77777777" w:rsidR="00664E5F" w:rsidRPr="004B5C37" w:rsidRDefault="00664E5F" w:rsidP="00FF54F7">
    <w:pPr>
      <w:pStyle w:val="Header"/>
      <w:rPr>
        <w:rFonts w:ascii="Century" w:hAnsi="Century"/>
        <w:sz w:val="16"/>
      </w:rPr>
    </w:pPr>
    <w:r w:rsidRPr="004B5C37">
      <w:rPr>
        <w:rFonts w:ascii="Century" w:hAnsi="Century"/>
      </w:rPr>
      <w:t>Hofri-Winogradow</w:t>
    </w:r>
    <w:r w:rsidRPr="004B5C37">
      <w:rPr>
        <w:rFonts w:ascii="Century" w:hAnsi="Century"/>
      </w:rPr>
      <w:ptab w:relativeTo="margin" w:alignment="center" w:leader="none"/>
    </w:r>
    <w:r w:rsidRPr="004B5C37">
      <w:rPr>
        <w:rFonts w:ascii="Century" w:hAnsi="Century"/>
      </w:rPr>
      <w:ptab w:relativeTo="margin" w:alignment="right" w:leader="none"/>
    </w:r>
    <w:r w:rsidRPr="004B5C37">
      <w:rPr>
        <w:rFonts w:ascii="Century" w:hAnsi="Century"/>
      </w:rPr>
      <w:t>T</w:t>
    </w:r>
    <w:r>
      <w:rPr>
        <w:rFonts w:ascii="Century" w:hAnsi="Century"/>
      </w:rPr>
      <w:t>he Statutory</w:t>
    </w:r>
    <w:r w:rsidRPr="004B5C37">
      <w:rPr>
        <w:rFonts w:ascii="Century" w:hAnsi="Century"/>
      </w:rPr>
      <w:t xml:space="preserve"> Liberalization</w:t>
    </w:r>
    <w:r>
      <w:rPr>
        <w:rFonts w:ascii="Century" w:hAnsi="Century"/>
      </w:rPr>
      <w:t xml:space="preserve"> of Trust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DA39" w14:textId="77777777" w:rsidR="00664E5F" w:rsidRDefault="00664E5F" w:rsidP="006B0F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1C42"/>
    <w:multiLevelType w:val="hybridMultilevel"/>
    <w:tmpl w:val="2A822FCE"/>
    <w:lvl w:ilvl="0" w:tplc="BCF2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64E23"/>
    <w:multiLevelType w:val="hybridMultilevel"/>
    <w:tmpl w:val="821AA63A"/>
    <w:lvl w:ilvl="0" w:tplc="8326D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A3FE8"/>
    <w:multiLevelType w:val="multilevel"/>
    <w:tmpl w:val="DAC0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Melanie Schiff">
    <w15:presenceInfo w15:providerId="AD" w15:userId="S::rmschiff@ucdavis.edu::77a221c9-61e2-4343-9e9c-3299a183be6a"/>
  </w15:person>
  <w15:person w15:author="Adam Hofri">
    <w15:presenceInfo w15:providerId="Windows Live" w15:userId="de52e91206d8a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F9"/>
    <w:rsid w:val="00000FF3"/>
    <w:rsid w:val="00002DFA"/>
    <w:rsid w:val="00006925"/>
    <w:rsid w:val="000137C9"/>
    <w:rsid w:val="000149A9"/>
    <w:rsid w:val="0001564B"/>
    <w:rsid w:val="00017358"/>
    <w:rsid w:val="00022AA0"/>
    <w:rsid w:val="00022CAD"/>
    <w:rsid w:val="00023B36"/>
    <w:rsid w:val="00023F79"/>
    <w:rsid w:val="00024517"/>
    <w:rsid w:val="00024FFC"/>
    <w:rsid w:val="00035ED0"/>
    <w:rsid w:val="000378F5"/>
    <w:rsid w:val="00041997"/>
    <w:rsid w:val="00041B75"/>
    <w:rsid w:val="000454D5"/>
    <w:rsid w:val="00045977"/>
    <w:rsid w:val="0005042B"/>
    <w:rsid w:val="00053E5C"/>
    <w:rsid w:val="00055725"/>
    <w:rsid w:val="00055BD7"/>
    <w:rsid w:val="000563DC"/>
    <w:rsid w:val="00057A2A"/>
    <w:rsid w:val="000606DA"/>
    <w:rsid w:val="00060812"/>
    <w:rsid w:val="00061DCB"/>
    <w:rsid w:val="00063957"/>
    <w:rsid w:val="00064A9C"/>
    <w:rsid w:val="00064D3F"/>
    <w:rsid w:val="00070203"/>
    <w:rsid w:val="0007036D"/>
    <w:rsid w:val="0007535D"/>
    <w:rsid w:val="00075FCB"/>
    <w:rsid w:val="000771E7"/>
    <w:rsid w:val="000773B4"/>
    <w:rsid w:val="000815A4"/>
    <w:rsid w:val="00081BB3"/>
    <w:rsid w:val="00082B36"/>
    <w:rsid w:val="00085A2E"/>
    <w:rsid w:val="00087387"/>
    <w:rsid w:val="0009328A"/>
    <w:rsid w:val="00094368"/>
    <w:rsid w:val="000A032A"/>
    <w:rsid w:val="000A093B"/>
    <w:rsid w:val="000A1DC1"/>
    <w:rsid w:val="000A2B0D"/>
    <w:rsid w:val="000A4386"/>
    <w:rsid w:val="000A51F8"/>
    <w:rsid w:val="000A5506"/>
    <w:rsid w:val="000A5755"/>
    <w:rsid w:val="000A7A90"/>
    <w:rsid w:val="000A7C46"/>
    <w:rsid w:val="000B14D2"/>
    <w:rsid w:val="000B18B1"/>
    <w:rsid w:val="000B30CE"/>
    <w:rsid w:val="000B7FCC"/>
    <w:rsid w:val="000C1D36"/>
    <w:rsid w:val="000C1F95"/>
    <w:rsid w:val="000C2437"/>
    <w:rsid w:val="000C31D5"/>
    <w:rsid w:val="000C5B3C"/>
    <w:rsid w:val="000C61D3"/>
    <w:rsid w:val="000D1E5A"/>
    <w:rsid w:val="000D402A"/>
    <w:rsid w:val="000D4543"/>
    <w:rsid w:val="000D723E"/>
    <w:rsid w:val="000E062A"/>
    <w:rsid w:val="000E683A"/>
    <w:rsid w:val="000F009B"/>
    <w:rsid w:val="000F0D59"/>
    <w:rsid w:val="000F2401"/>
    <w:rsid w:val="000F2A21"/>
    <w:rsid w:val="000F3225"/>
    <w:rsid w:val="000F4FC0"/>
    <w:rsid w:val="000F6B0E"/>
    <w:rsid w:val="00100817"/>
    <w:rsid w:val="00100933"/>
    <w:rsid w:val="00102FA8"/>
    <w:rsid w:val="00104011"/>
    <w:rsid w:val="00110583"/>
    <w:rsid w:val="001114F7"/>
    <w:rsid w:val="001149C4"/>
    <w:rsid w:val="00114DBC"/>
    <w:rsid w:val="00120615"/>
    <w:rsid w:val="00120C82"/>
    <w:rsid w:val="00120FA6"/>
    <w:rsid w:val="00121545"/>
    <w:rsid w:val="00122C7F"/>
    <w:rsid w:val="0012656B"/>
    <w:rsid w:val="00127526"/>
    <w:rsid w:val="0012753B"/>
    <w:rsid w:val="0013124C"/>
    <w:rsid w:val="0013247E"/>
    <w:rsid w:val="001343F9"/>
    <w:rsid w:val="0013477E"/>
    <w:rsid w:val="00135EEC"/>
    <w:rsid w:val="00137863"/>
    <w:rsid w:val="0014003F"/>
    <w:rsid w:val="0014127E"/>
    <w:rsid w:val="00144A9B"/>
    <w:rsid w:val="00150FE1"/>
    <w:rsid w:val="00152093"/>
    <w:rsid w:val="001556A7"/>
    <w:rsid w:val="00161289"/>
    <w:rsid w:val="001652C6"/>
    <w:rsid w:val="00166AF3"/>
    <w:rsid w:val="00170DE1"/>
    <w:rsid w:val="00171781"/>
    <w:rsid w:val="00171D91"/>
    <w:rsid w:val="00176825"/>
    <w:rsid w:val="00177A39"/>
    <w:rsid w:val="00180931"/>
    <w:rsid w:val="00180BF0"/>
    <w:rsid w:val="00183D90"/>
    <w:rsid w:val="00183F91"/>
    <w:rsid w:val="00184DAE"/>
    <w:rsid w:val="00184F41"/>
    <w:rsid w:val="0018671B"/>
    <w:rsid w:val="001874BD"/>
    <w:rsid w:val="0018770F"/>
    <w:rsid w:val="00190C77"/>
    <w:rsid w:val="00191905"/>
    <w:rsid w:val="001950EA"/>
    <w:rsid w:val="00197B89"/>
    <w:rsid w:val="00197CD8"/>
    <w:rsid w:val="00197E3E"/>
    <w:rsid w:val="001A0618"/>
    <w:rsid w:val="001A39E8"/>
    <w:rsid w:val="001A694E"/>
    <w:rsid w:val="001B2476"/>
    <w:rsid w:val="001B5B82"/>
    <w:rsid w:val="001B7F7A"/>
    <w:rsid w:val="001C1EA2"/>
    <w:rsid w:val="001D020F"/>
    <w:rsid w:val="001D0A0F"/>
    <w:rsid w:val="001D0F14"/>
    <w:rsid w:val="001D143B"/>
    <w:rsid w:val="001D1C9B"/>
    <w:rsid w:val="001D33AD"/>
    <w:rsid w:val="001D456B"/>
    <w:rsid w:val="001D6CAA"/>
    <w:rsid w:val="001E098C"/>
    <w:rsid w:val="001E15D4"/>
    <w:rsid w:val="001E323F"/>
    <w:rsid w:val="001E62EA"/>
    <w:rsid w:val="001F0F0A"/>
    <w:rsid w:val="001F49BE"/>
    <w:rsid w:val="001F5153"/>
    <w:rsid w:val="001F5365"/>
    <w:rsid w:val="002004C6"/>
    <w:rsid w:val="00204B2E"/>
    <w:rsid w:val="002050B5"/>
    <w:rsid w:val="00205886"/>
    <w:rsid w:val="00205F14"/>
    <w:rsid w:val="00206D8F"/>
    <w:rsid w:val="00213762"/>
    <w:rsid w:val="0021517F"/>
    <w:rsid w:val="002156FF"/>
    <w:rsid w:val="0021599D"/>
    <w:rsid w:val="00216567"/>
    <w:rsid w:val="00220615"/>
    <w:rsid w:val="00221538"/>
    <w:rsid w:val="0022153E"/>
    <w:rsid w:val="00221C61"/>
    <w:rsid w:val="0022211A"/>
    <w:rsid w:val="00222DC0"/>
    <w:rsid w:val="002231A9"/>
    <w:rsid w:val="00223E4D"/>
    <w:rsid w:val="0022479D"/>
    <w:rsid w:val="00227540"/>
    <w:rsid w:val="002319F3"/>
    <w:rsid w:val="00233731"/>
    <w:rsid w:val="00233DED"/>
    <w:rsid w:val="00234526"/>
    <w:rsid w:val="00235E02"/>
    <w:rsid w:val="00237205"/>
    <w:rsid w:val="0024020A"/>
    <w:rsid w:val="0024465C"/>
    <w:rsid w:val="002452DA"/>
    <w:rsid w:val="002519C6"/>
    <w:rsid w:val="00252C83"/>
    <w:rsid w:val="0025363D"/>
    <w:rsid w:val="00255208"/>
    <w:rsid w:val="00257585"/>
    <w:rsid w:val="0026314F"/>
    <w:rsid w:val="002655C7"/>
    <w:rsid w:val="00267060"/>
    <w:rsid w:val="0027097A"/>
    <w:rsid w:val="002718A0"/>
    <w:rsid w:val="0027236D"/>
    <w:rsid w:val="0027673D"/>
    <w:rsid w:val="00276963"/>
    <w:rsid w:val="00276F41"/>
    <w:rsid w:val="002800F6"/>
    <w:rsid w:val="00280247"/>
    <w:rsid w:val="002802A7"/>
    <w:rsid w:val="00280477"/>
    <w:rsid w:val="00281B5A"/>
    <w:rsid w:val="00281CFD"/>
    <w:rsid w:val="0028429F"/>
    <w:rsid w:val="00285FAF"/>
    <w:rsid w:val="002865E3"/>
    <w:rsid w:val="00286E5E"/>
    <w:rsid w:val="002870C0"/>
    <w:rsid w:val="002904A5"/>
    <w:rsid w:val="002917FB"/>
    <w:rsid w:val="00292285"/>
    <w:rsid w:val="002927EC"/>
    <w:rsid w:val="00293D81"/>
    <w:rsid w:val="002943CC"/>
    <w:rsid w:val="00294FE3"/>
    <w:rsid w:val="00295292"/>
    <w:rsid w:val="00295543"/>
    <w:rsid w:val="00295E44"/>
    <w:rsid w:val="00296618"/>
    <w:rsid w:val="00296A19"/>
    <w:rsid w:val="002A003F"/>
    <w:rsid w:val="002A02D8"/>
    <w:rsid w:val="002A57C7"/>
    <w:rsid w:val="002A6469"/>
    <w:rsid w:val="002A692C"/>
    <w:rsid w:val="002A76BE"/>
    <w:rsid w:val="002B0A55"/>
    <w:rsid w:val="002B3EAD"/>
    <w:rsid w:val="002B40BB"/>
    <w:rsid w:val="002C06C0"/>
    <w:rsid w:val="002C0E97"/>
    <w:rsid w:val="002C4739"/>
    <w:rsid w:val="002C62C5"/>
    <w:rsid w:val="002C6E32"/>
    <w:rsid w:val="002C75D6"/>
    <w:rsid w:val="002D0C4F"/>
    <w:rsid w:val="002D1381"/>
    <w:rsid w:val="002D2217"/>
    <w:rsid w:val="002D23D3"/>
    <w:rsid w:val="002D2F51"/>
    <w:rsid w:val="002D3881"/>
    <w:rsid w:val="002D3F3B"/>
    <w:rsid w:val="002D5A33"/>
    <w:rsid w:val="002D6C07"/>
    <w:rsid w:val="002D767B"/>
    <w:rsid w:val="002E0B84"/>
    <w:rsid w:val="002E1A59"/>
    <w:rsid w:val="002E2489"/>
    <w:rsid w:val="002E26DB"/>
    <w:rsid w:val="002E4774"/>
    <w:rsid w:val="002E5214"/>
    <w:rsid w:val="002E54D5"/>
    <w:rsid w:val="002E67B9"/>
    <w:rsid w:val="002E67F0"/>
    <w:rsid w:val="002E6EF1"/>
    <w:rsid w:val="002F00AB"/>
    <w:rsid w:val="002F1212"/>
    <w:rsid w:val="002F20AF"/>
    <w:rsid w:val="002F34B2"/>
    <w:rsid w:val="002F66C7"/>
    <w:rsid w:val="002F735C"/>
    <w:rsid w:val="003008A2"/>
    <w:rsid w:val="003027C2"/>
    <w:rsid w:val="00303890"/>
    <w:rsid w:val="003041F2"/>
    <w:rsid w:val="00304CBF"/>
    <w:rsid w:val="00307399"/>
    <w:rsid w:val="0030762A"/>
    <w:rsid w:val="00310C31"/>
    <w:rsid w:val="00312695"/>
    <w:rsid w:val="00315682"/>
    <w:rsid w:val="00320669"/>
    <w:rsid w:val="0032179A"/>
    <w:rsid w:val="003217D8"/>
    <w:rsid w:val="003304D5"/>
    <w:rsid w:val="0033091C"/>
    <w:rsid w:val="0033200E"/>
    <w:rsid w:val="00333BC7"/>
    <w:rsid w:val="00333E9C"/>
    <w:rsid w:val="0033601B"/>
    <w:rsid w:val="00342BA2"/>
    <w:rsid w:val="00344D4D"/>
    <w:rsid w:val="00345731"/>
    <w:rsid w:val="0035176C"/>
    <w:rsid w:val="00352184"/>
    <w:rsid w:val="00353074"/>
    <w:rsid w:val="00353D78"/>
    <w:rsid w:val="00353FB8"/>
    <w:rsid w:val="003568FF"/>
    <w:rsid w:val="0036175F"/>
    <w:rsid w:val="00362B20"/>
    <w:rsid w:val="00364161"/>
    <w:rsid w:val="003657D7"/>
    <w:rsid w:val="00365F2D"/>
    <w:rsid w:val="0037094B"/>
    <w:rsid w:val="003720F3"/>
    <w:rsid w:val="00372763"/>
    <w:rsid w:val="00372BE5"/>
    <w:rsid w:val="00373980"/>
    <w:rsid w:val="00376F7E"/>
    <w:rsid w:val="00377145"/>
    <w:rsid w:val="00377B51"/>
    <w:rsid w:val="00381CF4"/>
    <w:rsid w:val="00382C5B"/>
    <w:rsid w:val="00384306"/>
    <w:rsid w:val="003859F7"/>
    <w:rsid w:val="00386330"/>
    <w:rsid w:val="00386CDF"/>
    <w:rsid w:val="00392295"/>
    <w:rsid w:val="00395117"/>
    <w:rsid w:val="00396376"/>
    <w:rsid w:val="003A0A43"/>
    <w:rsid w:val="003A1BF2"/>
    <w:rsid w:val="003A20C1"/>
    <w:rsid w:val="003A49EF"/>
    <w:rsid w:val="003A581B"/>
    <w:rsid w:val="003A5D78"/>
    <w:rsid w:val="003B289D"/>
    <w:rsid w:val="003B2DDB"/>
    <w:rsid w:val="003B31F2"/>
    <w:rsid w:val="003B47BF"/>
    <w:rsid w:val="003B524B"/>
    <w:rsid w:val="003C04D9"/>
    <w:rsid w:val="003C07F6"/>
    <w:rsid w:val="003C0E03"/>
    <w:rsid w:val="003C15BA"/>
    <w:rsid w:val="003C20BF"/>
    <w:rsid w:val="003D02BE"/>
    <w:rsid w:val="003D0F96"/>
    <w:rsid w:val="003D358E"/>
    <w:rsid w:val="003D3AE3"/>
    <w:rsid w:val="003D4550"/>
    <w:rsid w:val="003D5AD9"/>
    <w:rsid w:val="003D5D4D"/>
    <w:rsid w:val="003D5E0B"/>
    <w:rsid w:val="003D5EFB"/>
    <w:rsid w:val="003D7BE0"/>
    <w:rsid w:val="003E0D63"/>
    <w:rsid w:val="003E24A3"/>
    <w:rsid w:val="003E3539"/>
    <w:rsid w:val="003E3ACF"/>
    <w:rsid w:val="003E3D3F"/>
    <w:rsid w:val="003E47F4"/>
    <w:rsid w:val="003E5A72"/>
    <w:rsid w:val="003E60B6"/>
    <w:rsid w:val="003E7578"/>
    <w:rsid w:val="003F1914"/>
    <w:rsid w:val="003F29DD"/>
    <w:rsid w:val="003F4D1A"/>
    <w:rsid w:val="004021C4"/>
    <w:rsid w:val="004026AD"/>
    <w:rsid w:val="004045E3"/>
    <w:rsid w:val="00404AA3"/>
    <w:rsid w:val="00405210"/>
    <w:rsid w:val="00405AA9"/>
    <w:rsid w:val="00405BFF"/>
    <w:rsid w:val="00406E69"/>
    <w:rsid w:val="004109F1"/>
    <w:rsid w:val="00410CCF"/>
    <w:rsid w:val="00412C88"/>
    <w:rsid w:val="0041390E"/>
    <w:rsid w:val="00415ECB"/>
    <w:rsid w:val="004169DE"/>
    <w:rsid w:val="00421BE5"/>
    <w:rsid w:val="00424BE7"/>
    <w:rsid w:val="00427185"/>
    <w:rsid w:val="00431BE5"/>
    <w:rsid w:val="00433E09"/>
    <w:rsid w:val="004364F0"/>
    <w:rsid w:val="00437926"/>
    <w:rsid w:val="00437A04"/>
    <w:rsid w:val="0044042B"/>
    <w:rsid w:val="0044377F"/>
    <w:rsid w:val="00444BA9"/>
    <w:rsid w:val="00445F13"/>
    <w:rsid w:val="00447878"/>
    <w:rsid w:val="004501B9"/>
    <w:rsid w:val="004512F9"/>
    <w:rsid w:val="00453629"/>
    <w:rsid w:val="00453AA3"/>
    <w:rsid w:val="00453DCB"/>
    <w:rsid w:val="00461EB5"/>
    <w:rsid w:val="004624AC"/>
    <w:rsid w:val="00463329"/>
    <w:rsid w:val="00466ED9"/>
    <w:rsid w:val="004714D7"/>
    <w:rsid w:val="00471FF3"/>
    <w:rsid w:val="004744E1"/>
    <w:rsid w:val="00475FB1"/>
    <w:rsid w:val="0047660D"/>
    <w:rsid w:val="00480AAC"/>
    <w:rsid w:val="00481198"/>
    <w:rsid w:val="00481874"/>
    <w:rsid w:val="00482740"/>
    <w:rsid w:val="00484835"/>
    <w:rsid w:val="00487FF0"/>
    <w:rsid w:val="004913B2"/>
    <w:rsid w:val="00494E19"/>
    <w:rsid w:val="00495FED"/>
    <w:rsid w:val="00496651"/>
    <w:rsid w:val="004A0832"/>
    <w:rsid w:val="004A115C"/>
    <w:rsid w:val="004A29E9"/>
    <w:rsid w:val="004A357C"/>
    <w:rsid w:val="004A4267"/>
    <w:rsid w:val="004B066B"/>
    <w:rsid w:val="004B0980"/>
    <w:rsid w:val="004B0DE5"/>
    <w:rsid w:val="004B1526"/>
    <w:rsid w:val="004B1D04"/>
    <w:rsid w:val="004B1F75"/>
    <w:rsid w:val="004B4D74"/>
    <w:rsid w:val="004B5142"/>
    <w:rsid w:val="004B5C37"/>
    <w:rsid w:val="004B6E63"/>
    <w:rsid w:val="004C0D35"/>
    <w:rsid w:val="004C192A"/>
    <w:rsid w:val="004C22F6"/>
    <w:rsid w:val="004C35CE"/>
    <w:rsid w:val="004C38DD"/>
    <w:rsid w:val="004C3D84"/>
    <w:rsid w:val="004C4E9D"/>
    <w:rsid w:val="004C57EA"/>
    <w:rsid w:val="004C60E0"/>
    <w:rsid w:val="004C6813"/>
    <w:rsid w:val="004D0387"/>
    <w:rsid w:val="004D0ED5"/>
    <w:rsid w:val="004D274F"/>
    <w:rsid w:val="004D3D7C"/>
    <w:rsid w:val="004D6301"/>
    <w:rsid w:val="004D658B"/>
    <w:rsid w:val="004E0797"/>
    <w:rsid w:val="004E4FD0"/>
    <w:rsid w:val="004F0019"/>
    <w:rsid w:val="004F0A7F"/>
    <w:rsid w:val="004F16CF"/>
    <w:rsid w:val="004F233D"/>
    <w:rsid w:val="004F396B"/>
    <w:rsid w:val="004F3B3C"/>
    <w:rsid w:val="004F4434"/>
    <w:rsid w:val="004F781B"/>
    <w:rsid w:val="004F7DBB"/>
    <w:rsid w:val="00501CE3"/>
    <w:rsid w:val="00502D36"/>
    <w:rsid w:val="00503FB5"/>
    <w:rsid w:val="00506713"/>
    <w:rsid w:val="00507977"/>
    <w:rsid w:val="00507BCC"/>
    <w:rsid w:val="00512575"/>
    <w:rsid w:val="00512DC6"/>
    <w:rsid w:val="0051388D"/>
    <w:rsid w:val="00513C17"/>
    <w:rsid w:val="005152BB"/>
    <w:rsid w:val="00515D90"/>
    <w:rsid w:val="0051701E"/>
    <w:rsid w:val="00517D33"/>
    <w:rsid w:val="00521AF9"/>
    <w:rsid w:val="00521B38"/>
    <w:rsid w:val="00522157"/>
    <w:rsid w:val="0052699C"/>
    <w:rsid w:val="00534A40"/>
    <w:rsid w:val="00537036"/>
    <w:rsid w:val="00540803"/>
    <w:rsid w:val="005408A0"/>
    <w:rsid w:val="0054280B"/>
    <w:rsid w:val="0054406F"/>
    <w:rsid w:val="005442AD"/>
    <w:rsid w:val="005447D1"/>
    <w:rsid w:val="00545FDA"/>
    <w:rsid w:val="00550049"/>
    <w:rsid w:val="00551F56"/>
    <w:rsid w:val="0055283C"/>
    <w:rsid w:val="005528E4"/>
    <w:rsid w:val="005548A8"/>
    <w:rsid w:val="00554FA3"/>
    <w:rsid w:val="00555798"/>
    <w:rsid w:val="005557BF"/>
    <w:rsid w:val="005557D6"/>
    <w:rsid w:val="00560380"/>
    <w:rsid w:val="005618F9"/>
    <w:rsid w:val="0056209B"/>
    <w:rsid w:val="005626CE"/>
    <w:rsid w:val="00563A07"/>
    <w:rsid w:val="00565207"/>
    <w:rsid w:val="00570146"/>
    <w:rsid w:val="005714EC"/>
    <w:rsid w:val="00574F29"/>
    <w:rsid w:val="0057589A"/>
    <w:rsid w:val="00577662"/>
    <w:rsid w:val="0058182A"/>
    <w:rsid w:val="00583496"/>
    <w:rsid w:val="0058463F"/>
    <w:rsid w:val="0058545E"/>
    <w:rsid w:val="00585DE9"/>
    <w:rsid w:val="005861E6"/>
    <w:rsid w:val="005875C6"/>
    <w:rsid w:val="0059134B"/>
    <w:rsid w:val="0059159A"/>
    <w:rsid w:val="00592637"/>
    <w:rsid w:val="00593432"/>
    <w:rsid w:val="00597F60"/>
    <w:rsid w:val="00597FDC"/>
    <w:rsid w:val="005A0151"/>
    <w:rsid w:val="005A2EF6"/>
    <w:rsid w:val="005A49D0"/>
    <w:rsid w:val="005B47E9"/>
    <w:rsid w:val="005B5513"/>
    <w:rsid w:val="005B61AC"/>
    <w:rsid w:val="005B6A56"/>
    <w:rsid w:val="005B6CC2"/>
    <w:rsid w:val="005B7BB7"/>
    <w:rsid w:val="005C44BB"/>
    <w:rsid w:val="005C6D53"/>
    <w:rsid w:val="005C7778"/>
    <w:rsid w:val="005D0782"/>
    <w:rsid w:val="005D0C17"/>
    <w:rsid w:val="005D1D30"/>
    <w:rsid w:val="005D56BB"/>
    <w:rsid w:val="005D64A5"/>
    <w:rsid w:val="005D6C02"/>
    <w:rsid w:val="005D70DE"/>
    <w:rsid w:val="005D733F"/>
    <w:rsid w:val="005D77C8"/>
    <w:rsid w:val="005E15D7"/>
    <w:rsid w:val="005E254C"/>
    <w:rsid w:val="005E79A2"/>
    <w:rsid w:val="005E7C7C"/>
    <w:rsid w:val="005F02B7"/>
    <w:rsid w:val="005F0BEE"/>
    <w:rsid w:val="005F15BC"/>
    <w:rsid w:val="005F2C95"/>
    <w:rsid w:val="005F510F"/>
    <w:rsid w:val="005F5115"/>
    <w:rsid w:val="005F59A4"/>
    <w:rsid w:val="005F5E60"/>
    <w:rsid w:val="00602036"/>
    <w:rsid w:val="006037C4"/>
    <w:rsid w:val="00603FB1"/>
    <w:rsid w:val="00604678"/>
    <w:rsid w:val="006047F0"/>
    <w:rsid w:val="00605653"/>
    <w:rsid w:val="00606061"/>
    <w:rsid w:val="00606072"/>
    <w:rsid w:val="00607233"/>
    <w:rsid w:val="00607D4B"/>
    <w:rsid w:val="006105AC"/>
    <w:rsid w:val="0061104F"/>
    <w:rsid w:val="006130A2"/>
    <w:rsid w:val="0061452A"/>
    <w:rsid w:val="00614D35"/>
    <w:rsid w:val="006150BE"/>
    <w:rsid w:val="00615192"/>
    <w:rsid w:val="00615E38"/>
    <w:rsid w:val="0062134F"/>
    <w:rsid w:val="00621663"/>
    <w:rsid w:val="00624C17"/>
    <w:rsid w:val="00625A8A"/>
    <w:rsid w:val="00631A27"/>
    <w:rsid w:val="00633493"/>
    <w:rsid w:val="00635ACB"/>
    <w:rsid w:val="00636C63"/>
    <w:rsid w:val="0063709C"/>
    <w:rsid w:val="00643B8B"/>
    <w:rsid w:val="006448ED"/>
    <w:rsid w:val="00647849"/>
    <w:rsid w:val="00650C1A"/>
    <w:rsid w:val="00650C3C"/>
    <w:rsid w:val="0065146E"/>
    <w:rsid w:val="006516CE"/>
    <w:rsid w:val="00652751"/>
    <w:rsid w:val="00653D18"/>
    <w:rsid w:val="0065431D"/>
    <w:rsid w:val="00654B17"/>
    <w:rsid w:val="00656B0B"/>
    <w:rsid w:val="00657EAA"/>
    <w:rsid w:val="00661292"/>
    <w:rsid w:val="006628D9"/>
    <w:rsid w:val="00662C57"/>
    <w:rsid w:val="00663D3C"/>
    <w:rsid w:val="0066490C"/>
    <w:rsid w:val="00664E5F"/>
    <w:rsid w:val="00665107"/>
    <w:rsid w:val="006666CB"/>
    <w:rsid w:val="0067299F"/>
    <w:rsid w:val="0067495B"/>
    <w:rsid w:val="006762D8"/>
    <w:rsid w:val="00676544"/>
    <w:rsid w:val="00676E44"/>
    <w:rsid w:val="006778B9"/>
    <w:rsid w:val="006817A7"/>
    <w:rsid w:val="006818D1"/>
    <w:rsid w:val="00681FAD"/>
    <w:rsid w:val="00682178"/>
    <w:rsid w:val="0068259F"/>
    <w:rsid w:val="00683D1E"/>
    <w:rsid w:val="00686B7B"/>
    <w:rsid w:val="00687674"/>
    <w:rsid w:val="006877C1"/>
    <w:rsid w:val="006879BD"/>
    <w:rsid w:val="00692019"/>
    <w:rsid w:val="006926CC"/>
    <w:rsid w:val="00692D62"/>
    <w:rsid w:val="00694B4D"/>
    <w:rsid w:val="00694E5A"/>
    <w:rsid w:val="00695C7F"/>
    <w:rsid w:val="00697BAB"/>
    <w:rsid w:val="006A0969"/>
    <w:rsid w:val="006A2E5E"/>
    <w:rsid w:val="006A5E5C"/>
    <w:rsid w:val="006A72ED"/>
    <w:rsid w:val="006B0D68"/>
    <w:rsid w:val="006B0F44"/>
    <w:rsid w:val="006B3780"/>
    <w:rsid w:val="006B53F6"/>
    <w:rsid w:val="006B6DAC"/>
    <w:rsid w:val="006C0106"/>
    <w:rsid w:val="006C10E9"/>
    <w:rsid w:val="006C28F6"/>
    <w:rsid w:val="006C6C24"/>
    <w:rsid w:val="006D002B"/>
    <w:rsid w:val="006D03D2"/>
    <w:rsid w:val="006D06D7"/>
    <w:rsid w:val="006E1419"/>
    <w:rsid w:val="006E1BBF"/>
    <w:rsid w:val="006E1D0A"/>
    <w:rsid w:val="006E21E6"/>
    <w:rsid w:val="006E3F1D"/>
    <w:rsid w:val="006E4E57"/>
    <w:rsid w:val="006E65F4"/>
    <w:rsid w:val="006E6768"/>
    <w:rsid w:val="006E7AE4"/>
    <w:rsid w:val="006F045A"/>
    <w:rsid w:val="006F093A"/>
    <w:rsid w:val="006F3F75"/>
    <w:rsid w:val="006F42F1"/>
    <w:rsid w:val="006F4F5E"/>
    <w:rsid w:val="006F626E"/>
    <w:rsid w:val="006F7E70"/>
    <w:rsid w:val="00700891"/>
    <w:rsid w:val="00701AD8"/>
    <w:rsid w:val="007031D7"/>
    <w:rsid w:val="00707D39"/>
    <w:rsid w:val="0071171C"/>
    <w:rsid w:val="00712586"/>
    <w:rsid w:val="007146D4"/>
    <w:rsid w:val="007159BB"/>
    <w:rsid w:val="00715F20"/>
    <w:rsid w:val="0071702C"/>
    <w:rsid w:val="0072152B"/>
    <w:rsid w:val="00723231"/>
    <w:rsid w:val="00724EA3"/>
    <w:rsid w:val="00726D91"/>
    <w:rsid w:val="00727B3F"/>
    <w:rsid w:val="00730311"/>
    <w:rsid w:val="00730E17"/>
    <w:rsid w:val="00733287"/>
    <w:rsid w:val="00734F22"/>
    <w:rsid w:val="00740208"/>
    <w:rsid w:val="007406B8"/>
    <w:rsid w:val="00740A07"/>
    <w:rsid w:val="00742261"/>
    <w:rsid w:val="00743A28"/>
    <w:rsid w:val="00744660"/>
    <w:rsid w:val="00747AED"/>
    <w:rsid w:val="0075026C"/>
    <w:rsid w:val="00753378"/>
    <w:rsid w:val="0075374D"/>
    <w:rsid w:val="00753EE1"/>
    <w:rsid w:val="00754D14"/>
    <w:rsid w:val="007550CD"/>
    <w:rsid w:val="007569C2"/>
    <w:rsid w:val="00756CE6"/>
    <w:rsid w:val="007607BF"/>
    <w:rsid w:val="00760B20"/>
    <w:rsid w:val="007649DD"/>
    <w:rsid w:val="00764FB8"/>
    <w:rsid w:val="0076580C"/>
    <w:rsid w:val="0076643C"/>
    <w:rsid w:val="00766968"/>
    <w:rsid w:val="00766F5E"/>
    <w:rsid w:val="00770CAC"/>
    <w:rsid w:val="00771638"/>
    <w:rsid w:val="007716FE"/>
    <w:rsid w:val="007728B2"/>
    <w:rsid w:val="00773D2D"/>
    <w:rsid w:val="0077436A"/>
    <w:rsid w:val="00777B1A"/>
    <w:rsid w:val="00777D00"/>
    <w:rsid w:val="007802CD"/>
    <w:rsid w:val="00781BE0"/>
    <w:rsid w:val="007837AD"/>
    <w:rsid w:val="00783862"/>
    <w:rsid w:val="00783A9B"/>
    <w:rsid w:val="00783CD2"/>
    <w:rsid w:val="00785803"/>
    <w:rsid w:val="00787826"/>
    <w:rsid w:val="0079304B"/>
    <w:rsid w:val="00794073"/>
    <w:rsid w:val="0079457B"/>
    <w:rsid w:val="007955BD"/>
    <w:rsid w:val="00796107"/>
    <w:rsid w:val="00796FEE"/>
    <w:rsid w:val="007A4545"/>
    <w:rsid w:val="007A4A9A"/>
    <w:rsid w:val="007A5958"/>
    <w:rsid w:val="007A6DFE"/>
    <w:rsid w:val="007A714F"/>
    <w:rsid w:val="007B07D9"/>
    <w:rsid w:val="007B0CE2"/>
    <w:rsid w:val="007B319E"/>
    <w:rsid w:val="007B5088"/>
    <w:rsid w:val="007B5479"/>
    <w:rsid w:val="007B5F99"/>
    <w:rsid w:val="007B663D"/>
    <w:rsid w:val="007B6AD9"/>
    <w:rsid w:val="007C0670"/>
    <w:rsid w:val="007C06C5"/>
    <w:rsid w:val="007C2C59"/>
    <w:rsid w:val="007C461D"/>
    <w:rsid w:val="007C4862"/>
    <w:rsid w:val="007D00B4"/>
    <w:rsid w:val="007D0F7A"/>
    <w:rsid w:val="007D2F37"/>
    <w:rsid w:val="007D39A0"/>
    <w:rsid w:val="007D5840"/>
    <w:rsid w:val="007E062B"/>
    <w:rsid w:val="007E1395"/>
    <w:rsid w:val="007E13DD"/>
    <w:rsid w:val="007E1E58"/>
    <w:rsid w:val="007E3776"/>
    <w:rsid w:val="007E406E"/>
    <w:rsid w:val="007E6619"/>
    <w:rsid w:val="007F0BD6"/>
    <w:rsid w:val="007F31E0"/>
    <w:rsid w:val="007F74E0"/>
    <w:rsid w:val="00800E3B"/>
    <w:rsid w:val="00801407"/>
    <w:rsid w:val="00803870"/>
    <w:rsid w:val="00804505"/>
    <w:rsid w:val="00810625"/>
    <w:rsid w:val="00811CFD"/>
    <w:rsid w:val="00814473"/>
    <w:rsid w:val="0081493C"/>
    <w:rsid w:val="0081512D"/>
    <w:rsid w:val="00815A3B"/>
    <w:rsid w:val="00816C35"/>
    <w:rsid w:val="0081733A"/>
    <w:rsid w:val="00817512"/>
    <w:rsid w:val="00817C3D"/>
    <w:rsid w:val="0082348C"/>
    <w:rsid w:val="008253CD"/>
    <w:rsid w:val="0082649A"/>
    <w:rsid w:val="00826F61"/>
    <w:rsid w:val="0082737E"/>
    <w:rsid w:val="00827D9B"/>
    <w:rsid w:val="00830F38"/>
    <w:rsid w:val="008318F4"/>
    <w:rsid w:val="00831C5B"/>
    <w:rsid w:val="00832139"/>
    <w:rsid w:val="008322FD"/>
    <w:rsid w:val="0083265F"/>
    <w:rsid w:val="00833D73"/>
    <w:rsid w:val="0083669E"/>
    <w:rsid w:val="00836836"/>
    <w:rsid w:val="008417B7"/>
    <w:rsid w:val="0084185B"/>
    <w:rsid w:val="0084279E"/>
    <w:rsid w:val="00842FD3"/>
    <w:rsid w:val="008431C1"/>
    <w:rsid w:val="00844DA1"/>
    <w:rsid w:val="00845F2D"/>
    <w:rsid w:val="00846181"/>
    <w:rsid w:val="008461B1"/>
    <w:rsid w:val="00851428"/>
    <w:rsid w:val="00851D99"/>
    <w:rsid w:val="00854275"/>
    <w:rsid w:val="00854775"/>
    <w:rsid w:val="0086412D"/>
    <w:rsid w:val="008679C8"/>
    <w:rsid w:val="008707B2"/>
    <w:rsid w:val="00870C4B"/>
    <w:rsid w:val="008734EC"/>
    <w:rsid w:val="00873C5A"/>
    <w:rsid w:val="00873D77"/>
    <w:rsid w:val="00875A98"/>
    <w:rsid w:val="00875DBE"/>
    <w:rsid w:val="008775C4"/>
    <w:rsid w:val="00877603"/>
    <w:rsid w:val="00881229"/>
    <w:rsid w:val="008815CB"/>
    <w:rsid w:val="00882149"/>
    <w:rsid w:val="00882F90"/>
    <w:rsid w:val="00890614"/>
    <w:rsid w:val="008916CD"/>
    <w:rsid w:val="00893FB5"/>
    <w:rsid w:val="00897A11"/>
    <w:rsid w:val="00897A93"/>
    <w:rsid w:val="008A03B1"/>
    <w:rsid w:val="008A23B0"/>
    <w:rsid w:val="008A2582"/>
    <w:rsid w:val="008A3FA8"/>
    <w:rsid w:val="008A7638"/>
    <w:rsid w:val="008B0310"/>
    <w:rsid w:val="008B23F1"/>
    <w:rsid w:val="008B2CC0"/>
    <w:rsid w:val="008B2D3E"/>
    <w:rsid w:val="008B4E67"/>
    <w:rsid w:val="008B4EC3"/>
    <w:rsid w:val="008B4EF1"/>
    <w:rsid w:val="008C0BF7"/>
    <w:rsid w:val="008C0E0E"/>
    <w:rsid w:val="008C1B85"/>
    <w:rsid w:val="008C2C6E"/>
    <w:rsid w:val="008C2FD7"/>
    <w:rsid w:val="008C33BF"/>
    <w:rsid w:val="008C65C6"/>
    <w:rsid w:val="008C6A31"/>
    <w:rsid w:val="008C7B01"/>
    <w:rsid w:val="008D0C74"/>
    <w:rsid w:val="008D290E"/>
    <w:rsid w:val="008D48E4"/>
    <w:rsid w:val="008D7FC8"/>
    <w:rsid w:val="008E06C6"/>
    <w:rsid w:val="008E0CD9"/>
    <w:rsid w:val="008E330A"/>
    <w:rsid w:val="008E4BD8"/>
    <w:rsid w:val="008E60E0"/>
    <w:rsid w:val="008E674A"/>
    <w:rsid w:val="008F0DB1"/>
    <w:rsid w:val="008F1182"/>
    <w:rsid w:val="008F4709"/>
    <w:rsid w:val="008F514E"/>
    <w:rsid w:val="008F56D6"/>
    <w:rsid w:val="008F6C1E"/>
    <w:rsid w:val="00901216"/>
    <w:rsid w:val="00901683"/>
    <w:rsid w:val="00901CA1"/>
    <w:rsid w:val="00901E70"/>
    <w:rsid w:val="009026A9"/>
    <w:rsid w:val="009044B6"/>
    <w:rsid w:val="00910AAF"/>
    <w:rsid w:val="009127A7"/>
    <w:rsid w:val="009157C3"/>
    <w:rsid w:val="00915DFB"/>
    <w:rsid w:val="00916135"/>
    <w:rsid w:val="009172AD"/>
    <w:rsid w:val="009201FA"/>
    <w:rsid w:val="0092097D"/>
    <w:rsid w:val="00920EA6"/>
    <w:rsid w:val="00925138"/>
    <w:rsid w:val="00926109"/>
    <w:rsid w:val="009261C8"/>
    <w:rsid w:val="00930894"/>
    <w:rsid w:val="00934E54"/>
    <w:rsid w:val="00935089"/>
    <w:rsid w:val="00943331"/>
    <w:rsid w:val="00944C8F"/>
    <w:rsid w:val="009458FD"/>
    <w:rsid w:val="00945B6B"/>
    <w:rsid w:val="00945FE8"/>
    <w:rsid w:val="00946EDA"/>
    <w:rsid w:val="009503AD"/>
    <w:rsid w:val="00950B49"/>
    <w:rsid w:val="00952801"/>
    <w:rsid w:val="00953133"/>
    <w:rsid w:val="00953965"/>
    <w:rsid w:val="0095647F"/>
    <w:rsid w:val="00956819"/>
    <w:rsid w:val="00956A98"/>
    <w:rsid w:val="00962DF5"/>
    <w:rsid w:val="0096349C"/>
    <w:rsid w:val="009638CA"/>
    <w:rsid w:val="00966483"/>
    <w:rsid w:val="00966A3A"/>
    <w:rsid w:val="00966FA1"/>
    <w:rsid w:val="009705C4"/>
    <w:rsid w:val="00973375"/>
    <w:rsid w:val="00974984"/>
    <w:rsid w:val="009767AD"/>
    <w:rsid w:val="00976AB8"/>
    <w:rsid w:val="00981123"/>
    <w:rsid w:val="00981C56"/>
    <w:rsid w:val="009835C6"/>
    <w:rsid w:val="00984046"/>
    <w:rsid w:val="009858BC"/>
    <w:rsid w:val="00990D74"/>
    <w:rsid w:val="00991A8F"/>
    <w:rsid w:val="00991FD7"/>
    <w:rsid w:val="00992254"/>
    <w:rsid w:val="00993C84"/>
    <w:rsid w:val="0099485A"/>
    <w:rsid w:val="009B0CD2"/>
    <w:rsid w:val="009B2D1D"/>
    <w:rsid w:val="009B3254"/>
    <w:rsid w:val="009B421F"/>
    <w:rsid w:val="009B6684"/>
    <w:rsid w:val="009C1D9B"/>
    <w:rsid w:val="009C2567"/>
    <w:rsid w:val="009C4932"/>
    <w:rsid w:val="009C4B35"/>
    <w:rsid w:val="009C5A1F"/>
    <w:rsid w:val="009D34E8"/>
    <w:rsid w:val="009D55D6"/>
    <w:rsid w:val="009D6DDF"/>
    <w:rsid w:val="009E1FFF"/>
    <w:rsid w:val="009E440E"/>
    <w:rsid w:val="009E4B31"/>
    <w:rsid w:val="009E52FD"/>
    <w:rsid w:val="009E56AD"/>
    <w:rsid w:val="009E663E"/>
    <w:rsid w:val="009E72CB"/>
    <w:rsid w:val="009F06E3"/>
    <w:rsid w:val="009F086E"/>
    <w:rsid w:val="009F3149"/>
    <w:rsid w:val="009F390F"/>
    <w:rsid w:val="009F3954"/>
    <w:rsid w:val="009F407A"/>
    <w:rsid w:val="009F42A0"/>
    <w:rsid w:val="009F6056"/>
    <w:rsid w:val="00A00011"/>
    <w:rsid w:val="00A053AF"/>
    <w:rsid w:val="00A06073"/>
    <w:rsid w:val="00A06091"/>
    <w:rsid w:val="00A1088D"/>
    <w:rsid w:val="00A11751"/>
    <w:rsid w:val="00A14B0D"/>
    <w:rsid w:val="00A16754"/>
    <w:rsid w:val="00A16CC6"/>
    <w:rsid w:val="00A17753"/>
    <w:rsid w:val="00A204EC"/>
    <w:rsid w:val="00A20CC1"/>
    <w:rsid w:val="00A22467"/>
    <w:rsid w:val="00A26E70"/>
    <w:rsid w:val="00A27422"/>
    <w:rsid w:val="00A30294"/>
    <w:rsid w:val="00A30468"/>
    <w:rsid w:val="00A309CE"/>
    <w:rsid w:val="00A30FA1"/>
    <w:rsid w:val="00A32A36"/>
    <w:rsid w:val="00A34E27"/>
    <w:rsid w:val="00A3727F"/>
    <w:rsid w:val="00A40031"/>
    <w:rsid w:val="00A40554"/>
    <w:rsid w:val="00A419F9"/>
    <w:rsid w:val="00A44C87"/>
    <w:rsid w:val="00A50BA0"/>
    <w:rsid w:val="00A51089"/>
    <w:rsid w:val="00A527D8"/>
    <w:rsid w:val="00A5434D"/>
    <w:rsid w:val="00A54BFC"/>
    <w:rsid w:val="00A54FA4"/>
    <w:rsid w:val="00A55FCC"/>
    <w:rsid w:val="00A57D86"/>
    <w:rsid w:val="00A635D7"/>
    <w:rsid w:val="00A63FE6"/>
    <w:rsid w:val="00A705E1"/>
    <w:rsid w:val="00A71FDA"/>
    <w:rsid w:val="00A775DB"/>
    <w:rsid w:val="00A77FA6"/>
    <w:rsid w:val="00A8065B"/>
    <w:rsid w:val="00A8109B"/>
    <w:rsid w:val="00A814EA"/>
    <w:rsid w:val="00A819A6"/>
    <w:rsid w:val="00A81A38"/>
    <w:rsid w:val="00A846EC"/>
    <w:rsid w:val="00A87244"/>
    <w:rsid w:val="00A87433"/>
    <w:rsid w:val="00A87C70"/>
    <w:rsid w:val="00A908E9"/>
    <w:rsid w:val="00A9776E"/>
    <w:rsid w:val="00A97803"/>
    <w:rsid w:val="00AA134A"/>
    <w:rsid w:val="00AA1F99"/>
    <w:rsid w:val="00AA3342"/>
    <w:rsid w:val="00AA3486"/>
    <w:rsid w:val="00AA445D"/>
    <w:rsid w:val="00AA478E"/>
    <w:rsid w:val="00AA4914"/>
    <w:rsid w:val="00AB1E6F"/>
    <w:rsid w:val="00AB69B1"/>
    <w:rsid w:val="00AC76A9"/>
    <w:rsid w:val="00AD01DE"/>
    <w:rsid w:val="00AD028A"/>
    <w:rsid w:val="00AD0E3D"/>
    <w:rsid w:val="00AD10E3"/>
    <w:rsid w:val="00AD2763"/>
    <w:rsid w:val="00AE148A"/>
    <w:rsid w:val="00AE19C8"/>
    <w:rsid w:val="00AE32DB"/>
    <w:rsid w:val="00AE3633"/>
    <w:rsid w:val="00AE3755"/>
    <w:rsid w:val="00AE484B"/>
    <w:rsid w:val="00AE74A7"/>
    <w:rsid w:val="00AF11E7"/>
    <w:rsid w:val="00AF3C80"/>
    <w:rsid w:val="00AF5A6E"/>
    <w:rsid w:val="00AF6126"/>
    <w:rsid w:val="00B02A26"/>
    <w:rsid w:val="00B03701"/>
    <w:rsid w:val="00B03A04"/>
    <w:rsid w:val="00B05007"/>
    <w:rsid w:val="00B05436"/>
    <w:rsid w:val="00B059E1"/>
    <w:rsid w:val="00B071FF"/>
    <w:rsid w:val="00B07E85"/>
    <w:rsid w:val="00B1113A"/>
    <w:rsid w:val="00B14082"/>
    <w:rsid w:val="00B14DA9"/>
    <w:rsid w:val="00B21329"/>
    <w:rsid w:val="00B2209E"/>
    <w:rsid w:val="00B263F5"/>
    <w:rsid w:val="00B27FBC"/>
    <w:rsid w:val="00B3002A"/>
    <w:rsid w:val="00B34DE2"/>
    <w:rsid w:val="00B3595B"/>
    <w:rsid w:val="00B359FB"/>
    <w:rsid w:val="00B36252"/>
    <w:rsid w:val="00B366F6"/>
    <w:rsid w:val="00B36929"/>
    <w:rsid w:val="00B36A4C"/>
    <w:rsid w:val="00B37621"/>
    <w:rsid w:val="00B37C14"/>
    <w:rsid w:val="00B37D5C"/>
    <w:rsid w:val="00B41B82"/>
    <w:rsid w:val="00B43C08"/>
    <w:rsid w:val="00B44786"/>
    <w:rsid w:val="00B44AB9"/>
    <w:rsid w:val="00B501C8"/>
    <w:rsid w:val="00B535BF"/>
    <w:rsid w:val="00B56256"/>
    <w:rsid w:val="00B630FF"/>
    <w:rsid w:val="00B637A4"/>
    <w:rsid w:val="00B63B0E"/>
    <w:rsid w:val="00B63EF9"/>
    <w:rsid w:val="00B640A0"/>
    <w:rsid w:val="00B6481A"/>
    <w:rsid w:val="00B65A6F"/>
    <w:rsid w:val="00B66069"/>
    <w:rsid w:val="00B6650C"/>
    <w:rsid w:val="00B67A86"/>
    <w:rsid w:val="00B7113E"/>
    <w:rsid w:val="00B711D5"/>
    <w:rsid w:val="00B73D9E"/>
    <w:rsid w:val="00B7430A"/>
    <w:rsid w:val="00B76451"/>
    <w:rsid w:val="00B76536"/>
    <w:rsid w:val="00B77EFC"/>
    <w:rsid w:val="00B8252C"/>
    <w:rsid w:val="00B848EC"/>
    <w:rsid w:val="00B94E4D"/>
    <w:rsid w:val="00B979C4"/>
    <w:rsid w:val="00BA0F22"/>
    <w:rsid w:val="00BA26C5"/>
    <w:rsid w:val="00BA3B7F"/>
    <w:rsid w:val="00BA42FC"/>
    <w:rsid w:val="00BA4B56"/>
    <w:rsid w:val="00BA6788"/>
    <w:rsid w:val="00BA744D"/>
    <w:rsid w:val="00BB00D6"/>
    <w:rsid w:val="00BB30DF"/>
    <w:rsid w:val="00BB72DB"/>
    <w:rsid w:val="00BC02CD"/>
    <w:rsid w:val="00BC0E06"/>
    <w:rsid w:val="00BC1884"/>
    <w:rsid w:val="00BC1F86"/>
    <w:rsid w:val="00BC232E"/>
    <w:rsid w:val="00BC4D56"/>
    <w:rsid w:val="00BC6619"/>
    <w:rsid w:val="00BD0E46"/>
    <w:rsid w:val="00BD1A63"/>
    <w:rsid w:val="00BD2E24"/>
    <w:rsid w:val="00BD4D17"/>
    <w:rsid w:val="00BE0A41"/>
    <w:rsid w:val="00BE193A"/>
    <w:rsid w:val="00BE2CB8"/>
    <w:rsid w:val="00BE5BD5"/>
    <w:rsid w:val="00BF106F"/>
    <w:rsid w:val="00BF2AB5"/>
    <w:rsid w:val="00BF3324"/>
    <w:rsid w:val="00BF3D68"/>
    <w:rsid w:val="00BF3DFB"/>
    <w:rsid w:val="00BF5536"/>
    <w:rsid w:val="00BF5786"/>
    <w:rsid w:val="00BF5DC6"/>
    <w:rsid w:val="00BF7FF8"/>
    <w:rsid w:val="00C019D0"/>
    <w:rsid w:val="00C02346"/>
    <w:rsid w:val="00C10C66"/>
    <w:rsid w:val="00C118AE"/>
    <w:rsid w:val="00C119D5"/>
    <w:rsid w:val="00C12E3B"/>
    <w:rsid w:val="00C13055"/>
    <w:rsid w:val="00C16F99"/>
    <w:rsid w:val="00C17B7F"/>
    <w:rsid w:val="00C20BDC"/>
    <w:rsid w:val="00C20FE6"/>
    <w:rsid w:val="00C236E1"/>
    <w:rsid w:val="00C2420B"/>
    <w:rsid w:val="00C24495"/>
    <w:rsid w:val="00C260C3"/>
    <w:rsid w:val="00C264FA"/>
    <w:rsid w:val="00C27825"/>
    <w:rsid w:val="00C311CD"/>
    <w:rsid w:val="00C327F2"/>
    <w:rsid w:val="00C328C0"/>
    <w:rsid w:val="00C32AA7"/>
    <w:rsid w:val="00C400AD"/>
    <w:rsid w:val="00C41C6D"/>
    <w:rsid w:val="00C43F52"/>
    <w:rsid w:val="00C4431B"/>
    <w:rsid w:val="00C448F5"/>
    <w:rsid w:val="00C4649E"/>
    <w:rsid w:val="00C47014"/>
    <w:rsid w:val="00C505E3"/>
    <w:rsid w:val="00C50EEC"/>
    <w:rsid w:val="00C5134F"/>
    <w:rsid w:val="00C513B0"/>
    <w:rsid w:val="00C52CAF"/>
    <w:rsid w:val="00C54902"/>
    <w:rsid w:val="00C55CB1"/>
    <w:rsid w:val="00C5783A"/>
    <w:rsid w:val="00C648CE"/>
    <w:rsid w:val="00C663A4"/>
    <w:rsid w:val="00C702ED"/>
    <w:rsid w:val="00C74B45"/>
    <w:rsid w:val="00C76E61"/>
    <w:rsid w:val="00C77795"/>
    <w:rsid w:val="00C77978"/>
    <w:rsid w:val="00C80C80"/>
    <w:rsid w:val="00C80E14"/>
    <w:rsid w:val="00C8183E"/>
    <w:rsid w:val="00C8260E"/>
    <w:rsid w:val="00C901EE"/>
    <w:rsid w:val="00C9189B"/>
    <w:rsid w:val="00C92261"/>
    <w:rsid w:val="00C946B9"/>
    <w:rsid w:val="00C9621D"/>
    <w:rsid w:val="00C97E8A"/>
    <w:rsid w:val="00CA0536"/>
    <w:rsid w:val="00CA3604"/>
    <w:rsid w:val="00CA79AA"/>
    <w:rsid w:val="00CB077A"/>
    <w:rsid w:val="00CB09AD"/>
    <w:rsid w:val="00CB0C65"/>
    <w:rsid w:val="00CB1E65"/>
    <w:rsid w:val="00CB2DAF"/>
    <w:rsid w:val="00CB35E7"/>
    <w:rsid w:val="00CB398A"/>
    <w:rsid w:val="00CB3F6B"/>
    <w:rsid w:val="00CB4DD5"/>
    <w:rsid w:val="00CC4F7C"/>
    <w:rsid w:val="00CC5F17"/>
    <w:rsid w:val="00CC7511"/>
    <w:rsid w:val="00CD07E7"/>
    <w:rsid w:val="00CD0A92"/>
    <w:rsid w:val="00CD1176"/>
    <w:rsid w:val="00CD5046"/>
    <w:rsid w:val="00CD53B8"/>
    <w:rsid w:val="00CE5204"/>
    <w:rsid w:val="00CE611E"/>
    <w:rsid w:val="00CE79DB"/>
    <w:rsid w:val="00CF7FAC"/>
    <w:rsid w:val="00D009A7"/>
    <w:rsid w:val="00D009E9"/>
    <w:rsid w:val="00D03A0D"/>
    <w:rsid w:val="00D04CF8"/>
    <w:rsid w:val="00D06209"/>
    <w:rsid w:val="00D06A8A"/>
    <w:rsid w:val="00D07A5B"/>
    <w:rsid w:val="00D10506"/>
    <w:rsid w:val="00D10FEB"/>
    <w:rsid w:val="00D12D61"/>
    <w:rsid w:val="00D13C83"/>
    <w:rsid w:val="00D1614B"/>
    <w:rsid w:val="00D16542"/>
    <w:rsid w:val="00D172A3"/>
    <w:rsid w:val="00D17A70"/>
    <w:rsid w:val="00D21F1A"/>
    <w:rsid w:val="00D22208"/>
    <w:rsid w:val="00D2553E"/>
    <w:rsid w:val="00D25F10"/>
    <w:rsid w:val="00D2646F"/>
    <w:rsid w:val="00D264C4"/>
    <w:rsid w:val="00D2654F"/>
    <w:rsid w:val="00D269CE"/>
    <w:rsid w:val="00D31396"/>
    <w:rsid w:val="00D329B0"/>
    <w:rsid w:val="00D338CA"/>
    <w:rsid w:val="00D338E8"/>
    <w:rsid w:val="00D34AF9"/>
    <w:rsid w:val="00D42D33"/>
    <w:rsid w:val="00D43557"/>
    <w:rsid w:val="00D512D5"/>
    <w:rsid w:val="00D515A8"/>
    <w:rsid w:val="00D54DEF"/>
    <w:rsid w:val="00D55DD5"/>
    <w:rsid w:val="00D62537"/>
    <w:rsid w:val="00D6266C"/>
    <w:rsid w:val="00D658E5"/>
    <w:rsid w:val="00D663CE"/>
    <w:rsid w:val="00D666DE"/>
    <w:rsid w:val="00D712F7"/>
    <w:rsid w:val="00D7172A"/>
    <w:rsid w:val="00D72CD3"/>
    <w:rsid w:val="00D755D7"/>
    <w:rsid w:val="00D75E0C"/>
    <w:rsid w:val="00D7627D"/>
    <w:rsid w:val="00D83682"/>
    <w:rsid w:val="00D9054F"/>
    <w:rsid w:val="00D91CB7"/>
    <w:rsid w:val="00D92802"/>
    <w:rsid w:val="00D9435F"/>
    <w:rsid w:val="00D9566D"/>
    <w:rsid w:val="00D961F7"/>
    <w:rsid w:val="00D97B51"/>
    <w:rsid w:val="00DA00A5"/>
    <w:rsid w:val="00DA0B95"/>
    <w:rsid w:val="00DA170B"/>
    <w:rsid w:val="00DA1C24"/>
    <w:rsid w:val="00DA1E78"/>
    <w:rsid w:val="00DA2945"/>
    <w:rsid w:val="00DA2B4E"/>
    <w:rsid w:val="00DA33BC"/>
    <w:rsid w:val="00DA4874"/>
    <w:rsid w:val="00DA6CEB"/>
    <w:rsid w:val="00DA78E2"/>
    <w:rsid w:val="00DB00EF"/>
    <w:rsid w:val="00DB0840"/>
    <w:rsid w:val="00DB2E86"/>
    <w:rsid w:val="00DB3008"/>
    <w:rsid w:val="00DB617A"/>
    <w:rsid w:val="00DB7728"/>
    <w:rsid w:val="00DC1AF4"/>
    <w:rsid w:val="00DC30C1"/>
    <w:rsid w:val="00DC3113"/>
    <w:rsid w:val="00DC3A71"/>
    <w:rsid w:val="00DC5367"/>
    <w:rsid w:val="00DC5EC0"/>
    <w:rsid w:val="00DD150E"/>
    <w:rsid w:val="00DD26AB"/>
    <w:rsid w:val="00DD35CA"/>
    <w:rsid w:val="00DD4E09"/>
    <w:rsid w:val="00DD5968"/>
    <w:rsid w:val="00DE368E"/>
    <w:rsid w:val="00DE7105"/>
    <w:rsid w:val="00DF0BFD"/>
    <w:rsid w:val="00DF281E"/>
    <w:rsid w:val="00DF3A43"/>
    <w:rsid w:val="00DF739B"/>
    <w:rsid w:val="00E00E9D"/>
    <w:rsid w:val="00E01AB1"/>
    <w:rsid w:val="00E023CE"/>
    <w:rsid w:val="00E03A9D"/>
    <w:rsid w:val="00E04E93"/>
    <w:rsid w:val="00E05FB1"/>
    <w:rsid w:val="00E10185"/>
    <w:rsid w:val="00E10B9F"/>
    <w:rsid w:val="00E15F38"/>
    <w:rsid w:val="00E17AD2"/>
    <w:rsid w:val="00E20194"/>
    <w:rsid w:val="00E203F4"/>
    <w:rsid w:val="00E22066"/>
    <w:rsid w:val="00E23B75"/>
    <w:rsid w:val="00E26216"/>
    <w:rsid w:val="00E30F7B"/>
    <w:rsid w:val="00E344E8"/>
    <w:rsid w:val="00E3667C"/>
    <w:rsid w:val="00E370A8"/>
    <w:rsid w:val="00E41CF0"/>
    <w:rsid w:val="00E438B8"/>
    <w:rsid w:val="00E44B53"/>
    <w:rsid w:val="00E45B84"/>
    <w:rsid w:val="00E46BF3"/>
    <w:rsid w:val="00E50713"/>
    <w:rsid w:val="00E50C3A"/>
    <w:rsid w:val="00E51391"/>
    <w:rsid w:val="00E519A6"/>
    <w:rsid w:val="00E52808"/>
    <w:rsid w:val="00E53007"/>
    <w:rsid w:val="00E53962"/>
    <w:rsid w:val="00E5398E"/>
    <w:rsid w:val="00E55579"/>
    <w:rsid w:val="00E57967"/>
    <w:rsid w:val="00E61509"/>
    <w:rsid w:val="00E63BF5"/>
    <w:rsid w:val="00E645F0"/>
    <w:rsid w:val="00E65F5C"/>
    <w:rsid w:val="00E663D6"/>
    <w:rsid w:val="00E66562"/>
    <w:rsid w:val="00E6666E"/>
    <w:rsid w:val="00E66A35"/>
    <w:rsid w:val="00E724C8"/>
    <w:rsid w:val="00E76A75"/>
    <w:rsid w:val="00E818F3"/>
    <w:rsid w:val="00E82D6C"/>
    <w:rsid w:val="00E84CA7"/>
    <w:rsid w:val="00E8525E"/>
    <w:rsid w:val="00E86262"/>
    <w:rsid w:val="00E90023"/>
    <w:rsid w:val="00E9052F"/>
    <w:rsid w:val="00E91324"/>
    <w:rsid w:val="00E919E5"/>
    <w:rsid w:val="00E92E35"/>
    <w:rsid w:val="00E94D49"/>
    <w:rsid w:val="00E96F4F"/>
    <w:rsid w:val="00E975FA"/>
    <w:rsid w:val="00EA2D29"/>
    <w:rsid w:val="00EA3401"/>
    <w:rsid w:val="00EA3873"/>
    <w:rsid w:val="00EA3A0E"/>
    <w:rsid w:val="00EA53E3"/>
    <w:rsid w:val="00EA5B95"/>
    <w:rsid w:val="00EA6847"/>
    <w:rsid w:val="00EB1304"/>
    <w:rsid w:val="00EB1AA7"/>
    <w:rsid w:val="00EB698D"/>
    <w:rsid w:val="00EB7081"/>
    <w:rsid w:val="00EC1923"/>
    <w:rsid w:val="00EC3059"/>
    <w:rsid w:val="00EC316F"/>
    <w:rsid w:val="00EC3618"/>
    <w:rsid w:val="00EC4A14"/>
    <w:rsid w:val="00EC67AD"/>
    <w:rsid w:val="00EC74E9"/>
    <w:rsid w:val="00EC7596"/>
    <w:rsid w:val="00ED1696"/>
    <w:rsid w:val="00ED3A95"/>
    <w:rsid w:val="00ED44FF"/>
    <w:rsid w:val="00ED5402"/>
    <w:rsid w:val="00ED612D"/>
    <w:rsid w:val="00EE3C30"/>
    <w:rsid w:val="00EE44D1"/>
    <w:rsid w:val="00EE49AF"/>
    <w:rsid w:val="00EE794D"/>
    <w:rsid w:val="00EE7A61"/>
    <w:rsid w:val="00EF1891"/>
    <w:rsid w:val="00EF39D4"/>
    <w:rsid w:val="00EF4B72"/>
    <w:rsid w:val="00EF5332"/>
    <w:rsid w:val="00EF5CE5"/>
    <w:rsid w:val="00EF5E36"/>
    <w:rsid w:val="00EF673C"/>
    <w:rsid w:val="00EF71B6"/>
    <w:rsid w:val="00F01C67"/>
    <w:rsid w:val="00F01CA3"/>
    <w:rsid w:val="00F036E5"/>
    <w:rsid w:val="00F03A4D"/>
    <w:rsid w:val="00F03A91"/>
    <w:rsid w:val="00F053C9"/>
    <w:rsid w:val="00F12223"/>
    <w:rsid w:val="00F14744"/>
    <w:rsid w:val="00F15E18"/>
    <w:rsid w:val="00F208D9"/>
    <w:rsid w:val="00F20FB2"/>
    <w:rsid w:val="00F232A9"/>
    <w:rsid w:val="00F237D4"/>
    <w:rsid w:val="00F2538A"/>
    <w:rsid w:val="00F25DFA"/>
    <w:rsid w:val="00F25E29"/>
    <w:rsid w:val="00F3197B"/>
    <w:rsid w:val="00F3507C"/>
    <w:rsid w:val="00F3621B"/>
    <w:rsid w:val="00F36757"/>
    <w:rsid w:val="00F37389"/>
    <w:rsid w:val="00F37CB9"/>
    <w:rsid w:val="00F40A36"/>
    <w:rsid w:val="00F44B53"/>
    <w:rsid w:val="00F45F06"/>
    <w:rsid w:val="00F47525"/>
    <w:rsid w:val="00F47B08"/>
    <w:rsid w:val="00F51C58"/>
    <w:rsid w:val="00F53C22"/>
    <w:rsid w:val="00F54E64"/>
    <w:rsid w:val="00F569DA"/>
    <w:rsid w:val="00F5785F"/>
    <w:rsid w:val="00F602B0"/>
    <w:rsid w:val="00F61186"/>
    <w:rsid w:val="00F62331"/>
    <w:rsid w:val="00F64FE8"/>
    <w:rsid w:val="00F6674D"/>
    <w:rsid w:val="00F76B85"/>
    <w:rsid w:val="00F77CDE"/>
    <w:rsid w:val="00F77CF8"/>
    <w:rsid w:val="00F85641"/>
    <w:rsid w:val="00F856E4"/>
    <w:rsid w:val="00F87BD5"/>
    <w:rsid w:val="00F901FD"/>
    <w:rsid w:val="00F91E69"/>
    <w:rsid w:val="00F94DFC"/>
    <w:rsid w:val="00F94FAD"/>
    <w:rsid w:val="00FA2AD1"/>
    <w:rsid w:val="00FA2BCD"/>
    <w:rsid w:val="00FA3201"/>
    <w:rsid w:val="00FA4B36"/>
    <w:rsid w:val="00FA5FB6"/>
    <w:rsid w:val="00FA73F5"/>
    <w:rsid w:val="00FA75F6"/>
    <w:rsid w:val="00FB1A63"/>
    <w:rsid w:val="00FB2C49"/>
    <w:rsid w:val="00FB36A0"/>
    <w:rsid w:val="00FB48E3"/>
    <w:rsid w:val="00FB5921"/>
    <w:rsid w:val="00FB5C88"/>
    <w:rsid w:val="00FC1006"/>
    <w:rsid w:val="00FC15A2"/>
    <w:rsid w:val="00FC216D"/>
    <w:rsid w:val="00FC6255"/>
    <w:rsid w:val="00FD072C"/>
    <w:rsid w:val="00FD13FB"/>
    <w:rsid w:val="00FD33ED"/>
    <w:rsid w:val="00FD4B0C"/>
    <w:rsid w:val="00FD589E"/>
    <w:rsid w:val="00FD7CA0"/>
    <w:rsid w:val="00FE0A51"/>
    <w:rsid w:val="00FE4937"/>
    <w:rsid w:val="00FE52DB"/>
    <w:rsid w:val="00FE6D90"/>
    <w:rsid w:val="00FF11F5"/>
    <w:rsid w:val="00FF27C5"/>
    <w:rsid w:val="00FF3B1C"/>
    <w:rsid w:val="00FF421D"/>
    <w:rsid w:val="00FF54F7"/>
    <w:rsid w:val="00FF58CE"/>
    <w:rsid w:val="00FF58DA"/>
    <w:rsid w:val="00FF5DE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5775"/>
  <w15:chartTrackingRefBased/>
  <w15:docId w15:val="{FA6F3C98-E82A-4A39-A888-971C30A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33"/>
  </w:style>
  <w:style w:type="paragraph" w:styleId="Heading1">
    <w:name w:val="heading 1"/>
    <w:basedOn w:val="Normal"/>
    <w:next w:val="Normal"/>
    <w:link w:val="Heading1Char"/>
    <w:uiPriority w:val="9"/>
    <w:qFormat/>
    <w:rsid w:val="002C0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C4"/>
    <w:pPr>
      <w:ind w:left="720"/>
      <w:contextualSpacing/>
    </w:pPr>
  </w:style>
  <w:style w:type="paragraph" w:styleId="Header">
    <w:name w:val="header"/>
    <w:basedOn w:val="Normal"/>
    <w:link w:val="HeaderChar"/>
    <w:uiPriority w:val="99"/>
    <w:unhideWhenUsed/>
    <w:rsid w:val="005F0B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BEE"/>
  </w:style>
  <w:style w:type="paragraph" w:styleId="Footer">
    <w:name w:val="footer"/>
    <w:basedOn w:val="Normal"/>
    <w:link w:val="FooterChar"/>
    <w:uiPriority w:val="99"/>
    <w:unhideWhenUsed/>
    <w:rsid w:val="005F0B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BEE"/>
  </w:style>
  <w:style w:type="character" w:customStyle="1" w:styleId="Heading1Char">
    <w:name w:val="Heading 1 Char"/>
    <w:basedOn w:val="DefaultParagraphFont"/>
    <w:link w:val="Heading1"/>
    <w:uiPriority w:val="9"/>
    <w:rsid w:val="002C06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06C0"/>
    <w:pPr>
      <w:outlineLvl w:val="9"/>
    </w:pPr>
    <w:rPr>
      <w:lang w:bidi="ar-SA"/>
    </w:rPr>
  </w:style>
  <w:style w:type="paragraph" w:styleId="TOC2">
    <w:name w:val="toc 2"/>
    <w:basedOn w:val="Normal"/>
    <w:next w:val="Normal"/>
    <w:autoRedefine/>
    <w:uiPriority w:val="39"/>
    <w:unhideWhenUsed/>
    <w:rsid w:val="002C06C0"/>
    <w:pPr>
      <w:spacing w:after="100"/>
      <w:ind w:left="220"/>
    </w:pPr>
    <w:rPr>
      <w:rFonts w:eastAsiaTheme="minorEastAsia" w:cs="Times New Roman"/>
      <w:lang w:bidi="ar-SA"/>
    </w:rPr>
  </w:style>
  <w:style w:type="paragraph" w:styleId="TOC1">
    <w:name w:val="toc 1"/>
    <w:basedOn w:val="Normal"/>
    <w:next w:val="Normal"/>
    <w:autoRedefine/>
    <w:uiPriority w:val="39"/>
    <w:unhideWhenUsed/>
    <w:rsid w:val="002C06C0"/>
    <w:pPr>
      <w:spacing w:after="100"/>
    </w:pPr>
    <w:rPr>
      <w:rFonts w:eastAsiaTheme="minorEastAsia" w:cs="Times New Roman"/>
      <w:lang w:bidi="ar-SA"/>
    </w:rPr>
  </w:style>
  <w:style w:type="paragraph" w:styleId="TOC3">
    <w:name w:val="toc 3"/>
    <w:basedOn w:val="Normal"/>
    <w:next w:val="Normal"/>
    <w:autoRedefine/>
    <w:uiPriority w:val="39"/>
    <w:unhideWhenUsed/>
    <w:rsid w:val="002C06C0"/>
    <w:pPr>
      <w:spacing w:after="100"/>
      <w:ind w:left="440"/>
    </w:pPr>
    <w:rPr>
      <w:rFonts w:eastAsiaTheme="minorEastAsia" w:cs="Times New Roman"/>
      <w:lang w:bidi="ar-SA"/>
    </w:rPr>
  </w:style>
  <w:style w:type="character" w:styleId="Hyperlink">
    <w:name w:val="Hyperlink"/>
    <w:basedOn w:val="DefaultParagraphFont"/>
    <w:uiPriority w:val="99"/>
    <w:unhideWhenUsed/>
    <w:rsid w:val="002C06C0"/>
    <w:rPr>
      <w:color w:val="0563C1" w:themeColor="hyperlink"/>
      <w:u w:val="single"/>
    </w:rPr>
  </w:style>
  <w:style w:type="paragraph" w:styleId="FootnoteText">
    <w:name w:val="footnote text"/>
    <w:basedOn w:val="Normal"/>
    <w:link w:val="FootnoteTextChar"/>
    <w:uiPriority w:val="99"/>
    <w:unhideWhenUsed/>
    <w:rsid w:val="00A705E1"/>
    <w:pPr>
      <w:spacing w:after="0" w:line="240" w:lineRule="auto"/>
    </w:pPr>
    <w:rPr>
      <w:sz w:val="20"/>
      <w:szCs w:val="20"/>
    </w:rPr>
  </w:style>
  <w:style w:type="character" w:customStyle="1" w:styleId="FootnoteTextChar">
    <w:name w:val="Footnote Text Char"/>
    <w:basedOn w:val="DefaultParagraphFont"/>
    <w:link w:val="FootnoteText"/>
    <w:uiPriority w:val="99"/>
    <w:rsid w:val="00A705E1"/>
    <w:rPr>
      <w:sz w:val="20"/>
      <w:szCs w:val="20"/>
    </w:rPr>
  </w:style>
  <w:style w:type="character" w:styleId="FootnoteReference">
    <w:name w:val="footnote reference"/>
    <w:basedOn w:val="DefaultParagraphFont"/>
    <w:uiPriority w:val="99"/>
    <w:semiHidden/>
    <w:unhideWhenUsed/>
    <w:rsid w:val="00A705E1"/>
    <w:rPr>
      <w:vertAlign w:val="superscript"/>
    </w:rPr>
  </w:style>
  <w:style w:type="paragraph" w:customStyle="1" w:styleId="EndNoteBibliography">
    <w:name w:val="EndNote Bibliography"/>
    <w:basedOn w:val="Normal"/>
    <w:link w:val="EndNoteBibliography0"/>
    <w:rsid w:val="00295E44"/>
    <w:pPr>
      <w:widowControl w:val="0"/>
      <w:spacing w:after="0" w:line="240" w:lineRule="auto"/>
    </w:pPr>
    <w:rPr>
      <w:rFonts w:ascii="Times New Roman" w:eastAsia="PMingLiU" w:hAnsi="Times New Roman" w:cs="Times New Roman"/>
      <w:noProof/>
      <w:kern w:val="2"/>
      <w:sz w:val="24"/>
      <w:szCs w:val="24"/>
      <w:lang w:eastAsia="zh-TW" w:bidi="ar-SA"/>
    </w:rPr>
  </w:style>
  <w:style w:type="character" w:customStyle="1" w:styleId="EndNoteBibliography0">
    <w:name w:val="EndNote Bibliography 字元"/>
    <w:basedOn w:val="DefaultParagraphFont"/>
    <w:link w:val="EndNoteBibliography"/>
    <w:rsid w:val="00295E44"/>
    <w:rPr>
      <w:rFonts w:ascii="Times New Roman" w:eastAsia="PMingLiU" w:hAnsi="Times New Roman" w:cs="Times New Roman"/>
      <w:noProof/>
      <w:kern w:val="2"/>
      <w:sz w:val="24"/>
      <w:szCs w:val="24"/>
      <w:lang w:eastAsia="zh-TW" w:bidi="ar-SA"/>
    </w:rPr>
  </w:style>
  <w:style w:type="table" w:styleId="TableGrid">
    <w:name w:val="Table Grid"/>
    <w:basedOn w:val="TableNormal"/>
    <w:rsid w:val="00692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C06C5"/>
  </w:style>
  <w:style w:type="character" w:styleId="PlaceholderText">
    <w:name w:val="Placeholder Text"/>
    <w:basedOn w:val="DefaultParagraphFont"/>
    <w:uiPriority w:val="99"/>
    <w:semiHidden/>
    <w:rsid w:val="005A0151"/>
    <w:rPr>
      <w:color w:val="808080"/>
    </w:rPr>
  </w:style>
  <w:style w:type="character" w:styleId="FollowedHyperlink">
    <w:name w:val="FollowedHyperlink"/>
    <w:basedOn w:val="DefaultParagraphFont"/>
    <w:uiPriority w:val="99"/>
    <w:semiHidden/>
    <w:unhideWhenUsed/>
    <w:rsid w:val="004B1F75"/>
    <w:rPr>
      <w:color w:val="954F72" w:themeColor="followedHyperlink"/>
      <w:u w:val="single"/>
    </w:rPr>
  </w:style>
  <w:style w:type="paragraph" w:styleId="BalloonText">
    <w:name w:val="Balloon Text"/>
    <w:basedOn w:val="Normal"/>
    <w:link w:val="BalloonTextChar"/>
    <w:uiPriority w:val="99"/>
    <w:semiHidden/>
    <w:unhideWhenUsed/>
    <w:rsid w:val="00DC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F4"/>
    <w:rPr>
      <w:rFonts w:ascii="Segoe UI" w:hAnsi="Segoe UI" w:cs="Segoe UI"/>
      <w:sz w:val="18"/>
      <w:szCs w:val="18"/>
    </w:rPr>
  </w:style>
  <w:style w:type="character" w:styleId="CommentReference">
    <w:name w:val="annotation reference"/>
    <w:basedOn w:val="DefaultParagraphFont"/>
    <w:uiPriority w:val="99"/>
    <w:semiHidden/>
    <w:unhideWhenUsed/>
    <w:rsid w:val="00DC1AF4"/>
    <w:rPr>
      <w:sz w:val="16"/>
      <w:szCs w:val="16"/>
    </w:rPr>
  </w:style>
  <w:style w:type="paragraph" w:styleId="CommentText">
    <w:name w:val="annotation text"/>
    <w:basedOn w:val="Normal"/>
    <w:link w:val="CommentTextChar"/>
    <w:uiPriority w:val="99"/>
    <w:semiHidden/>
    <w:unhideWhenUsed/>
    <w:rsid w:val="00DC1AF4"/>
    <w:pPr>
      <w:spacing w:line="240" w:lineRule="auto"/>
    </w:pPr>
    <w:rPr>
      <w:sz w:val="20"/>
      <w:szCs w:val="20"/>
    </w:rPr>
  </w:style>
  <w:style w:type="character" w:customStyle="1" w:styleId="CommentTextChar">
    <w:name w:val="Comment Text Char"/>
    <w:basedOn w:val="DefaultParagraphFont"/>
    <w:link w:val="CommentText"/>
    <w:uiPriority w:val="99"/>
    <w:semiHidden/>
    <w:rsid w:val="00DC1AF4"/>
    <w:rPr>
      <w:sz w:val="20"/>
      <w:szCs w:val="20"/>
    </w:rPr>
  </w:style>
  <w:style w:type="paragraph" w:styleId="CommentSubject">
    <w:name w:val="annotation subject"/>
    <w:basedOn w:val="CommentText"/>
    <w:next w:val="CommentText"/>
    <w:link w:val="CommentSubjectChar"/>
    <w:uiPriority w:val="99"/>
    <w:semiHidden/>
    <w:unhideWhenUsed/>
    <w:rsid w:val="00DC1AF4"/>
    <w:rPr>
      <w:b/>
      <w:bCs/>
    </w:rPr>
  </w:style>
  <w:style w:type="character" w:customStyle="1" w:styleId="CommentSubjectChar">
    <w:name w:val="Comment Subject Char"/>
    <w:basedOn w:val="CommentTextChar"/>
    <w:link w:val="CommentSubject"/>
    <w:uiPriority w:val="99"/>
    <w:semiHidden/>
    <w:rsid w:val="00DC1AF4"/>
    <w:rPr>
      <w:b/>
      <w:bCs/>
      <w:sz w:val="20"/>
      <w:szCs w:val="20"/>
    </w:rPr>
  </w:style>
  <w:style w:type="character" w:customStyle="1" w:styleId="Heading2Char">
    <w:name w:val="Heading 2 Char"/>
    <w:basedOn w:val="DefaultParagraphFont"/>
    <w:link w:val="Heading2"/>
    <w:uiPriority w:val="9"/>
    <w:rsid w:val="00734F22"/>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B34DE2"/>
    <w:pPr>
      <w:spacing w:after="0" w:line="240" w:lineRule="auto"/>
    </w:pPr>
  </w:style>
  <w:style w:type="character" w:styleId="Emphasis">
    <w:name w:val="Emphasis"/>
    <w:basedOn w:val="DefaultParagraphFont"/>
    <w:uiPriority w:val="20"/>
    <w:qFormat/>
    <w:rsid w:val="002E67F0"/>
    <w:rPr>
      <w:i/>
      <w:iCs/>
    </w:rPr>
  </w:style>
  <w:style w:type="paragraph" w:customStyle="1" w:styleId="Default">
    <w:name w:val="Default"/>
    <w:rsid w:val="008916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clearfix">
    <w:name w:val="legclearfix"/>
    <w:basedOn w:val="Normal"/>
    <w:rsid w:val="009948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85A"/>
    <w:rPr>
      <w:b/>
      <w:bCs/>
    </w:rPr>
  </w:style>
  <w:style w:type="character" w:customStyle="1" w:styleId="fn">
    <w:name w:val="fn"/>
    <w:basedOn w:val="DefaultParagraphFont"/>
    <w:rsid w:val="00F61186"/>
  </w:style>
  <w:style w:type="character" w:customStyle="1" w:styleId="Subtitle1">
    <w:name w:val="Subtitle1"/>
    <w:basedOn w:val="DefaultParagraphFont"/>
    <w:rsid w:val="00F6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958">
      <w:bodyDiv w:val="1"/>
      <w:marLeft w:val="0"/>
      <w:marRight w:val="0"/>
      <w:marTop w:val="0"/>
      <w:marBottom w:val="0"/>
      <w:divBdr>
        <w:top w:val="none" w:sz="0" w:space="0" w:color="auto"/>
        <w:left w:val="none" w:sz="0" w:space="0" w:color="auto"/>
        <w:bottom w:val="none" w:sz="0" w:space="0" w:color="auto"/>
        <w:right w:val="none" w:sz="0" w:space="0" w:color="auto"/>
      </w:divBdr>
    </w:div>
    <w:div w:id="37318884">
      <w:bodyDiv w:val="1"/>
      <w:marLeft w:val="0"/>
      <w:marRight w:val="0"/>
      <w:marTop w:val="0"/>
      <w:marBottom w:val="0"/>
      <w:divBdr>
        <w:top w:val="none" w:sz="0" w:space="0" w:color="auto"/>
        <w:left w:val="none" w:sz="0" w:space="0" w:color="auto"/>
        <w:bottom w:val="none" w:sz="0" w:space="0" w:color="auto"/>
        <w:right w:val="none" w:sz="0" w:space="0" w:color="auto"/>
      </w:divBdr>
    </w:div>
    <w:div w:id="51080414">
      <w:bodyDiv w:val="1"/>
      <w:marLeft w:val="0"/>
      <w:marRight w:val="0"/>
      <w:marTop w:val="0"/>
      <w:marBottom w:val="0"/>
      <w:divBdr>
        <w:top w:val="none" w:sz="0" w:space="0" w:color="auto"/>
        <w:left w:val="none" w:sz="0" w:space="0" w:color="auto"/>
        <w:bottom w:val="none" w:sz="0" w:space="0" w:color="auto"/>
        <w:right w:val="none" w:sz="0" w:space="0" w:color="auto"/>
      </w:divBdr>
    </w:div>
    <w:div w:id="67310350">
      <w:bodyDiv w:val="1"/>
      <w:marLeft w:val="0"/>
      <w:marRight w:val="0"/>
      <w:marTop w:val="0"/>
      <w:marBottom w:val="0"/>
      <w:divBdr>
        <w:top w:val="none" w:sz="0" w:space="0" w:color="auto"/>
        <w:left w:val="none" w:sz="0" w:space="0" w:color="auto"/>
        <w:bottom w:val="none" w:sz="0" w:space="0" w:color="auto"/>
        <w:right w:val="none" w:sz="0" w:space="0" w:color="auto"/>
      </w:divBdr>
    </w:div>
    <w:div w:id="99186645">
      <w:bodyDiv w:val="1"/>
      <w:marLeft w:val="0"/>
      <w:marRight w:val="0"/>
      <w:marTop w:val="0"/>
      <w:marBottom w:val="0"/>
      <w:divBdr>
        <w:top w:val="none" w:sz="0" w:space="0" w:color="auto"/>
        <w:left w:val="none" w:sz="0" w:space="0" w:color="auto"/>
        <w:bottom w:val="none" w:sz="0" w:space="0" w:color="auto"/>
        <w:right w:val="none" w:sz="0" w:space="0" w:color="auto"/>
      </w:divBdr>
    </w:div>
    <w:div w:id="202913784">
      <w:bodyDiv w:val="1"/>
      <w:marLeft w:val="0"/>
      <w:marRight w:val="0"/>
      <w:marTop w:val="0"/>
      <w:marBottom w:val="0"/>
      <w:divBdr>
        <w:top w:val="none" w:sz="0" w:space="0" w:color="auto"/>
        <w:left w:val="none" w:sz="0" w:space="0" w:color="auto"/>
        <w:bottom w:val="none" w:sz="0" w:space="0" w:color="auto"/>
        <w:right w:val="none" w:sz="0" w:space="0" w:color="auto"/>
      </w:divBdr>
    </w:div>
    <w:div w:id="246233606">
      <w:bodyDiv w:val="1"/>
      <w:marLeft w:val="0"/>
      <w:marRight w:val="0"/>
      <w:marTop w:val="0"/>
      <w:marBottom w:val="0"/>
      <w:divBdr>
        <w:top w:val="none" w:sz="0" w:space="0" w:color="auto"/>
        <w:left w:val="none" w:sz="0" w:space="0" w:color="auto"/>
        <w:bottom w:val="none" w:sz="0" w:space="0" w:color="auto"/>
        <w:right w:val="none" w:sz="0" w:space="0" w:color="auto"/>
      </w:divBdr>
    </w:div>
    <w:div w:id="488404944">
      <w:bodyDiv w:val="1"/>
      <w:marLeft w:val="0"/>
      <w:marRight w:val="0"/>
      <w:marTop w:val="0"/>
      <w:marBottom w:val="0"/>
      <w:divBdr>
        <w:top w:val="none" w:sz="0" w:space="0" w:color="auto"/>
        <w:left w:val="none" w:sz="0" w:space="0" w:color="auto"/>
        <w:bottom w:val="none" w:sz="0" w:space="0" w:color="auto"/>
        <w:right w:val="none" w:sz="0" w:space="0" w:color="auto"/>
      </w:divBdr>
    </w:div>
    <w:div w:id="536431928">
      <w:bodyDiv w:val="1"/>
      <w:marLeft w:val="0"/>
      <w:marRight w:val="0"/>
      <w:marTop w:val="0"/>
      <w:marBottom w:val="0"/>
      <w:divBdr>
        <w:top w:val="none" w:sz="0" w:space="0" w:color="auto"/>
        <w:left w:val="none" w:sz="0" w:space="0" w:color="auto"/>
        <w:bottom w:val="none" w:sz="0" w:space="0" w:color="auto"/>
        <w:right w:val="none" w:sz="0" w:space="0" w:color="auto"/>
      </w:divBdr>
    </w:div>
    <w:div w:id="541483197">
      <w:bodyDiv w:val="1"/>
      <w:marLeft w:val="0"/>
      <w:marRight w:val="0"/>
      <w:marTop w:val="0"/>
      <w:marBottom w:val="0"/>
      <w:divBdr>
        <w:top w:val="none" w:sz="0" w:space="0" w:color="auto"/>
        <w:left w:val="none" w:sz="0" w:space="0" w:color="auto"/>
        <w:bottom w:val="none" w:sz="0" w:space="0" w:color="auto"/>
        <w:right w:val="none" w:sz="0" w:space="0" w:color="auto"/>
      </w:divBdr>
    </w:div>
    <w:div w:id="549418704">
      <w:bodyDiv w:val="1"/>
      <w:marLeft w:val="0"/>
      <w:marRight w:val="0"/>
      <w:marTop w:val="0"/>
      <w:marBottom w:val="0"/>
      <w:divBdr>
        <w:top w:val="none" w:sz="0" w:space="0" w:color="auto"/>
        <w:left w:val="none" w:sz="0" w:space="0" w:color="auto"/>
        <w:bottom w:val="none" w:sz="0" w:space="0" w:color="auto"/>
        <w:right w:val="none" w:sz="0" w:space="0" w:color="auto"/>
      </w:divBdr>
    </w:div>
    <w:div w:id="714886590">
      <w:bodyDiv w:val="1"/>
      <w:marLeft w:val="0"/>
      <w:marRight w:val="0"/>
      <w:marTop w:val="0"/>
      <w:marBottom w:val="0"/>
      <w:divBdr>
        <w:top w:val="none" w:sz="0" w:space="0" w:color="auto"/>
        <w:left w:val="none" w:sz="0" w:space="0" w:color="auto"/>
        <w:bottom w:val="none" w:sz="0" w:space="0" w:color="auto"/>
        <w:right w:val="none" w:sz="0" w:space="0" w:color="auto"/>
      </w:divBdr>
    </w:div>
    <w:div w:id="732198607">
      <w:bodyDiv w:val="1"/>
      <w:marLeft w:val="0"/>
      <w:marRight w:val="0"/>
      <w:marTop w:val="0"/>
      <w:marBottom w:val="0"/>
      <w:divBdr>
        <w:top w:val="none" w:sz="0" w:space="0" w:color="auto"/>
        <w:left w:val="none" w:sz="0" w:space="0" w:color="auto"/>
        <w:bottom w:val="none" w:sz="0" w:space="0" w:color="auto"/>
        <w:right w:val="none" w:sz="0" w:space="0" w:color="auto"/>
      </w:divBdr>
    </w:div>
    <w:div w:id="791676984">
      <w:bodyDiv w:val="1"/>
      <w:marLeft w:val="0"/>
      <w:marRight w:val="0"/>
      <w:marTop w:val="0"/>
      <w:marBottom w:val="0"/>
      <w:divBdr>
        <w:top w:val="none" w:sz="0" w:space="0" w:color="auto"/>
        <w:left w:val="none" w:sz="0" w:space="0" w:color="auto"/>
        <w:bottom w:val="none" w:sz="0" w:space="0" w:color="auto"/>
        <w:right w:val="none" w:sz="0" w:space="0" w:color="auto"/>
      </w:divBdr>
    </w:div>
    <w:div w:id="1037122847">
      <w:bodyDiv w:val="1"/>
      <w:marLeft w:val="0"/>
      <w:marRight w:val="0"/>
      <w:marTop w:val="0"/>
      <w:marBottom w:val="0"/>
      <w:divBdr>
        <w:top w:val="none" w:sz="0" w:space="0" w:color="auto"/>
        <w:left w:val="none" w:sz="0" w:space="0" w:color="auto"/>
        <w:bottom w:val="none" w:sz="0" w:space="0" w:color="auto"/>
        <w:right w:val="none" w:sz="0" w:space="0" w:color="auto"/>
      </w:divBdr>
    </w:div>
    <w:div w:id="1058171081">
      <w:bodyDiv w:val="1"/>
      <w:marLeft w:val="0"/>
      <w:marRight w:val="0"/>
      <w:marTop w:val="0"/>
      <w:marBottom w:val="0"/>
      <w:divBdr>
        <w:top w:val="none" w:sz="0" w:space="0" w:color="auto"/>
        <w:left w:val="none" w:sz="0" w:space="0" w:color="auto"/>
        <w:bottom w:val="none" w:sz="0" w:space="0" w:color="auto"/>
        <w:right w:val="none" w:sz="0" w:space="0" w:color="auto"/>
      </w:divBdr>
    </w:div>
    <w:div w:id="1265380195">
      <w:bodyDiv w:val="1"/>
      <w:marLeft w:val="0"/>
      <w:marRight w:val="0"/>
      <w:marTop w:val="0"/>
      <w:marBottom w:val="0"/>
      <w:divBdr>
        <w:top w:val="none" w:sz="0" w:space="0" w:color="auto"/>
        <w:left w:val="none" w:sz="0" w:space="0" w:color="auto"/>
        <w:bottom w:val="none" w:sz="0" w:space="0" w:color="auto"/>
        <w:right w:val="none" w:sz="0" w:space="0" w:color="auto"/>
      </w:divBdr>
    </w:div>
    <w:div w:id="1403604593">
      <w:bodyDiv w:val="1"/>
      <w:marLeft w:val="0"/>
      <w:marRight w:val="0"/>
      <w:marTop w:val="0"/>
      <w:marBottom w:val="0"/>
      <w:divBdr>
        <w:top w:val="none" w:sz="0" w:space="0" w:color="auto"/>
        <w:left w:val="none" w:sz="0" w:space="0" w:color="auto"/>
        <w:bottom w:val="none" w:sz="0" w:space="0" w:color="auto"/>
        <w:right w:val="none" w:sz="0" w:space="0" w:color="auto"/>
      </w:divBdr>
    </w:div>
    <w:div w:id="1569995906">
      <w:bodyDiv w:val="1"/>
      <w:marLeft w:val="0"/>
      <w:marRight w:val="0"/>
      <w:marTop w:val="0"/>
      <w:marBottom w:val="0"/>
      <w:divBdr>
        <w:top w:val="none" w:sz="0" w:space="0" w:color="auto"/>
        <w:left w:val="none" w:sz="0" w:space="0" w:color="auto"/>
        <w:bottom w:val="none" w:sz="0" w:space="0" w:color="auto"/>
        <w:right w:val="none" w:sz="0" w:space="0" w:color="auto"/>
      </w:divBdr>
    </w:div>
    <w:div w:id="1577282208">
      <w:bodyDiv w:val="1"/>
      <w:marLeft w:val="0"/>
      <w:marRight w:val="0"/>
      <w:marTop w:val="0"/>
      <w:marBottom w:val="0"/>
      <w:divBdr>
        <w:top w:val="none" w:sz="0" w:space="0" w:color="auto"/>
        <w:left w:val="none" w:sz="0" w:space="0" w:color="auto"/>
        <w:bottom w:val="none" w:sz="0" w:space="0" w:color="auto"/>
        <w:right w:val="none" w:sz="0" w:space="0" w:color="auto"/>
      </w:divBdr>
    </w:div>
    <w:div w:id="1593779984">
      <w:bodyDiv w:val="1"/>
      <w:marLeft w:val="0"/>
      <w:marRight w:val="0"/>
      <w:marTop w:val="0"/>
      <w:marBottom w:val="0"/>
      <w:divBdr>
        <w:top w:val="none" w:sz="0" w:space="0" w:color="auto"/>
        <w:left w:val="none" w:sz="0" w:space="0" w:color="auto"/>
        <w:bottom w:val="none" w:sz="0" w:space="0" w:color="auto"/>
        <w:right w:val="none" w:sz="0" w:space="0" w:color="auto"/>
      </w:divBdr>
    </w:div>
    <w:div w:id="1664817968">
      <w:bodyDiv w:val="1"/>
      <w:marLeft w:val="0"/>
      <w:marRight w:val="0"/>
      <w:marTop w:val="0"/>
      <w:marBottom w:val="0"/>
      <w:divBdr>
        <w:top w:val="none" w:sz="0" w:space="0" w:color="auto"/>
        <w:left w:val="none" w:sz="0" w:space="0" w:color="auto"/>
        <w:bottom w:val="none" w:sz="0" w:space="0" w:color="auto"/>
        <w:right w:val="none" w:sz="0" w:space="0" w:color="auto"/>
      </w:divBdr>
    </w:div>
    <w:div w:id="1726487188">
      <w:bodyDiv w:val="1"/>
      <w:marLeft w:val="0"/>
      <w:marRight w:val="0"/>
      <w:marTop w:val="0"/>
      <w:marBottom w:val="0"/>
      <w:divBdr>
        <w:top w:val="none" w:sz="0" w:space="0" w:color="auto"/>
        <w:left w:val="none" w:sz="0" w:space="0" w:color="auto"/>
        <w:bottom w:val="none" w:sz="0" w:space="0" w:color="auto"/>
        <w:right w:val="none" w:sz="0" w:space="0" w:color="auto"/>
      </w:divBdr>
    </w:div>
    <w:div w:id="1797216720">
      <w:bodyDiv w:val="1"/>
      <w:marLeft w:val="0"/>
      <w:marRight w:val="0"/>
      <w:marTop w:val="0"/>
      <w:marBottom w:val="0"/>
      <w:divBdr>
        <w:top w:val="none" w:sz="0" w:space="0" w:color="auto"/>
        <w:left w:val="none" w:sz="0" w:space="0" w:color="auto"/>
        <w:bottom w:val="none" w:sz="0" w:space="0" w:color="auto"/>
        <w:right w:val="none" w:sz="0" w:space="0" w:color="auto"/>
      </w:divBdr>
    </w:div>
    <w:div w:id="1902448562">
      <w:bodyDiv w:val="1"/>
      <w:marLeft w:val="0"/>
      <w:marRight w:val="0"/>
      <w:marTop w:val="0"/>
      <w:marBottom w:val="0"/>
      <w:divBdr>
        <w:top w:val="none" w:sz="0" w:space="0" w:color="auto"/>
        <w:left w:val="none" w:sz="0" w:space="0" w:color="auto"/>
        <w:bottom w:val="none" w:sz="0" w:space="0" w:color="auto"/>
        <w:right w:val="none" w:sz="0" w:space="0" w:color="auto"/>
      </w:divBdr>
    </w:div>
    <w:div w:id="20747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sol3/papers.cfm?abstract_id=3208458" TargetMode="External"/><Relationship Id="rId13" Type="http://schemas.openxmlformats.org/officeDocument/2006/relationships/hyperlink" Target="https://osf.io/yf5p6/" TargetMode="External"/><Relationship Id="rId18" Type="http://schemas.openxmlformats.org/officeDocument/2006/relationships/hyperlink" Target="https://apps.bea.gov/itable/iTable.cfm?ReqID=70&amp;step=1" TargetMode="External"/><Relationship Id="rId3" Type="http://schemas.openxmlformats.org/officeDocument/2006/relationships/hyperlink" Target="https://ichi.moe/cl/word/?q=%E4%BF%A1%E8%A8%97%E6%B3%95" TargetMode="External"/><Relationship Id="rId7" Type="http://schemas.openxmlformats.org/officeDocument/2006/relationships/hyperlink" Target="http://perma.cc/MMA6-UBVR" TargetMode="External"/><Relationship Id="rId12" Type="http://schemas.openxmlformats.org/officeDocument/2006/relationships/hyperlink" Target="https://www.irs.gov/pub/irs-pdf/f1041.pdf" TargetMode="External"/><Relationship Id="rId17" Type="http://schemas.openxmlformats.org/officeDocument/2006/relationships/hyperlink" Target="https://apps.bea.gov/iTable/iTable.cfm?reqid=99&amp;step=1%23reqid=99&amp;step=1" TargetMode="External"/><Relationship Id="rId2" Type="http://schemas.openxmlformats.org/officeDocument/2006/relationships/hyperlink" Target="https://www.jerseylaw.je/laws/revised/Pages/13.875.aspx" TargetMode="External"/><Relationship Id="rId16" Type="http://schemas.openxmlformats.org/officeDocument/2006/relationships/hyperlink" Target="https://apps.bea.gov/iTable/iTable.cfm?acrdn=1&amp;isuri=1&amp;reqid=70&amp;step=1%23acrdn=1&amp;isuri=1&amp;reqid=70&amp;step=1" TargetMode="External"/><Relationship Id="rId20" Type="http://schemas.openxmlformats.org/officeDocument/2006/relationships/hyperlink" Target="https://www.naics.com/naics-code-description/?code=523991" TargetMode="External"/><Relationship Id="rId1" Type="http://schemas.openxmlformats.org/officeDocument/2006/relationships/hyperlink" Target="https://ichi.moe/cl/word/?q=%E4%BF%A1%E8%A8%97%E6%B3%95" TargetMode="External"/><Relationship Id="rId6" Type="http://schemas.openxmlformats.org/officeDocument/2006/relationships/hyperlink" Target="http://supremecourtdatabase.org/documentation.php?var=decisionDirection" TargetMode="External"/><Relationship Id="rId11" Type="http://schemas.openxmlformats.org/officeDocument/2006/relationships/hyperlink" Target="https://www.thewealthadvisor.com/sponsored-article/tennessee-emerges-new-and-important-trust-state" TargetMode="External"/><Relationship Id="rId5" Type="http://schemas.openxmlformats.org/officeDocument/2006/relationships/hyperlink" Target="http://iscdbstaging.wustl.edu/home" TargetMode="External"/><Relationship Id="rId15" Type="http://schemas.openxmlformats.org/officeDocument/2006/relationships/hyperlink" Target="https://www.irs.gov/statistics/soi-tax-stats-fiduciary-income-and-deductions-by-state-and-entity-type" TargetMode="External"/><Relationship Id="rId10" Type="http://schemas.openxmlformats.org/officeDocument/2006/relationships/hyperlink" Target="https://osf.io/yf5p6/" TargetMode="External"/><Relationship Id="rId19" Type="http://schemas.openxmlformats.org/officeDocument/2006/relationships/hyperlink" Target="https://www.irs.gov/statistics/soi-tax-stats-foreign-trusts" TargetMode="External"/><Relationship Id="rId4" Type="http://schemas.openxmlformats.org/officeDocument/2006/relationships/hyperlink" Target="http://Supremecourtdatabase.org" TargetMode="External"/><Relationship Id="rId9" Type="http://schemas.openxmlformats.org/officeDocument/2006/relationships/hyperlink" Target="https://www.google.co.il/search?tbo=p&amp;tbm=bks&amp;q=inauthor:%22Hein+K%C3%B6tz%22" TargetMode="External"/><Relationship Id="rId14" Type="http://schemas.openxmlformats.org/officeDocument/2006/relationships/hyperlink" Target="https://www.nhbr.com/nh-trust-laws-undergo-yet-another-alt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0CFB-BD48-4D21-9606-3FB867A9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11116</Words>
  <Characters>63364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Hofri</dc:creator>
  <cp:keywords/>
  <dc:description/>
  <cp:lastModifiedBy>Adam Hofri</cp:lastModifiedBy>
  <cp:revision>3</cp:revision>
  <cp:lastPrinted>2019-09-18T15:03:00Z</cp:lastPrinted>
  <dcterms:created xsi:type="dcterms:W3CDTF">2020-01-09T14:31:00Z</dcterms:created>
  <dcterms:modified xsi:type="dcterms:W3CDTF">2020-01-14T12:35:00Z</dcterms:modified>
</cp:coreProperties>
</file>